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6"/>
        </w:rPr>
      </w:pPr>
      <w:r>
        <w:rPr>
          <w:rFonts w:ascii="Times New Roman;sans-serif" w:hAnsi="Times New Roman;sans-serif"/>
          <w:b/>
          <w:color w:val="000000"/>
          <w:sz w:val="26"/>
        </w:rPr>
        <w:t>UNITED STATES</w:t>
      </w:r>
    </w:p>
    <w:p>
      <w:pPr>
        <w:pStyle w:val="TextBody"/>
        <w:bidi w:val="0"/>
        <w:spacing w:lineRule="auto" w:line="288" w:before="0" w:after="0"/>
        <w:jc w:val="center"/>
        <w:rPr>
          <w:rFonts w:ascii="Times New Roman;sans-serif" w:hAnsi="Times New Roman;sans-serif"/>
          <w:b/>
          <w:color w:val="000000"/>
          <w:sz w:val="26"/>
        </w:rPr>
      </w:pPr>
      <w:r>
        <w:rPr>
          <w:rFonts w:ascii="Times New Roman;sans-serif" w:hAnsi="Times New Roman;sans-serif"/>
          <w:b/>
          <w:color w:val="000000"/>
          <w:sz w:val="26"/>
        </w:rPr>
        <w:t>SECURITIES AND EXCHANGE COMMISSION</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p>
      <w:pPr>
        <w:pStyle w:val="TextBody"/>
        <w:bidi w:val="0"/>
        <w:spacing w:lineRule="auto" w:line="288" w:before="80" w:after="283"/>
        <w:jc w:val="center"/>
        <w:rPr>
          <w:rFonts w:ascii="Times New Roman;sans-serif" w:hAnsi="Times New Roman;sans-serif"/>
          <w:b/>
          <w:color w:val="000000"/>
          <w:sz w:val="26"/>
        </w:rPr>
      </w:pPr>
      <w:r>
        <w:rPr>
          <w:rFonts w:ascii="Times New Roman;sans-serif" w:hAnsi="Times New Roman;sans-serif"/>
          <w:b/>
          <w:color w:val="000000"/>
          <w:sz w:val="26"/>
        </w:rPr>
        <w:t>FORM 10-K</w:t>
      </w:r>
    </w:p>
    <w:p>
      <w:pPr>
        <w:pStyle w:val="TextBody"/>
        <w:bidi w:val="0"/>
        <w:spacing w:lineRule="auto" w:line="288" w:before="80" w:after="283"/>
        <w:jc w:val="left"/>
        <w:rPr>
          <w:rFonts w:ascii="Times New Roman;sans-serif" w:hAnsi="Times New Roman;sans-serif"/>
          <w:b/>
          <w:color w:val="000000"/>
          <w:sz w:val="15"/>
        </w:rPr>
      </w:pPr>
      <w:r>
        <w:rPr>
          <w:rFonts w:ascii="Times New Roman;sans-serif" w:hAnsi="Times New Roman;sans-serif"/>
          <w:b/>
          <w:color w:val="000000"/>
          <w:sz w:val="15"/>
        </w:rPr>
        <w:t>(Mark One)</w:t>
      </w:r>
    </w:p>
    <w:tbl>
      <w:tblPr>
        <w:tblW w:w="9927" w:type="dxa"/>
        <w:jc w:val="left"/>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5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ANNUAL REPORT PURSUANT TO SECTION 13 OR 15(d) OF THE SECURITIES EXCHANGE ACT OF 1934</w:t>
            </w:r>
          </w:p>
        </w:tc>
      </w:tr>
    </w:tbl>
    <w:p>
      <w:pPr>
        <w:pStyle w:val="TextBody"/>
        <w:bidi w:val="0"/>
        <w:spacing w:lineRule="auto" w:line="288" w:before="80" w:after="283"/>
        <w:jc w:val="center"/>
        <w:rPr>
          <w:rFonts w:ascii="Times New Roman;sans-serif" w:hAnsi="Times New Roman;sans-serif"/>
          <w:b/>
          <w:color w:val="000000"/>
          <w:sz w:val="16"/>
        </w:rPr>
      </w:pPr>
      <w:r>
        <w:rPr>
          <w:rFonts w:ascii="Times New Roman;sans-serif" w:hAnsi="Times New Roman;sans-serif"/>
          <w:b/>
          <w:color w:val="000000"/>
          <w:sz w:val="16"/>
        </w:rPr>
        <w:t>For the Fiscal Year Ended: December 31, 2023</w:t>
      </w:r>
    </w:p>
    <w:p>
      <w:pPr>
        <w:pStyle w:val="TextBody"/>
        <w:bidi w:val="0"/>
        <w:spacing w:lineRule="auto" w:line="288" w:before="80" w:after="283"/>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80" w:after="283"/>
        <w:jc w:val="center"/>
        <w:rPr>
          <w:rFonts w:ascii="Times New Roman;sans-serif" w:hAnsi="Times New Roman;sans-serif"/>
          <w:b/>
          <w:color w:val="000000"/>
          <w:sz w:val="16"/>
        </w:rPr>
      </w:pPr>
      <w:r>
        <w:rPr>
          <w:rFonts w:ascii="Times New Roman;sans-serif" w:hAnsi="Times New Roman;sans-serif"/>
          <w:b/>
          <w:color w:val="000000"/>
          <w:sz w:val="16"/>
        </w:rPr>
        <w:t>For the Transition Period from_______to_______</w:t>
      </w:r>
    </w:p>
    <w:p>
      <w:pPr>
        <w:pStyle w:val="TextBody"/>
        <w:bidi w:val="0"/>
        <w:spacing w:lineRule="auto" w:line="288" w:before="80" w:after="283"/>
        <w:jc w:val="center"/>
        <w:rPr>
          <w:rFonts w:ascii="Times New Roman;sans-serif" w:hAnsi="Times New Roman;sans-serif"/>
          <w:b/>
          <w:color w:val="000000"/>
          <w:sz w:val="16"/>
        </w:rPr>
      </w:pPr>
      <w:r>
        <w:rPr>
          <w:rFonts w:ascii="Times New Roman;sans-serif" w:hAnsi="Times New Roman;sans-serif"/>
          <w:b/>
          <w:color w:val="000000"/>
          <w:sz w:val="16"/>
        </w:rPr>
        <w:t>Commission file number 001-34702</w:t>
      </w:r>
    </w:p>
    <w:p>
      <w:pPr>
        <w:pStyle w:val="TextBody"/>
        <w:bidi w:val="0"/>
        <w:spacing w:lineRule="auto" w:line="288" w:before="40" w:after="283"/>
        <w:jc w:val="center"/>
        <w:rPr>
          <w:rFonts w:ascii="Times New Roman;sans-serif" w:hAnsi="Times New Roman;sans-serif"/>
          <w:b/>
          <w:color w:val="000000"/>
          <w:sz w:val="38"/>
        </w:rPr>
      </w:pPr>
      <w:r>
        <w:rPr>
          <w:rFonts w:ascii="Times New Roman;sans-serif" w:hAnsi="Times New Roman;sans-serif"/>
          <w:b/>
          <w:color w:val="000000"/>
          <w:sz w:val="38"/>
        </w:rPr>
        <w:t>SPS COMMERCE, INC.</w:t>
      </w:r>
    </w:p>
    <w:p>
      <w:pPr>
        <w:pStyle w:val="TextBody"/>
        <w:bidi w:val="0"/>
        <w:spacing w:before="40" w:after="283"/>
        <w:jc w:val="center"/>
        <w:rPr/>
      </w:pPr>
      <w:r>
        <w:rPr/>
        <w:drawing>
          <wp:inline distT="0" distB="0" distL="0" distR="0">
            <wp:extent cx="638175"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38175" cy="638175"/>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i/>
          <w:color w:val="000000"/>
          <w:sz w:val="16"/>
        </w:rPr>
      </w:pPr>
      <w:r>
        <w:rPr>
          <w:rFonts w:ascii="Times New Roman;sans-serif" w:hAnsi="Times New Roman;sans-serif"/>
          <w:b/>
          <w:i/>
          <w:color w:val="000000"/>
          <w:sz w:val="16"/>
        </w:rPr>
        <w:t>(Exact Name of Registrant as Specified in its Charter)</w:t>
      </w:r>
    </w:p>
    <w:tbl>
      <w:tblPr>
        <w:tblW w:w="4091" w:type="dxa"/>
        <w:jc w:val="center"/>
        <w:tblInd w:w="0" w:type="dxa"/>
        <w:tblLayout w:type="fixed"/>
        <w:tblCellMar>
          <w:top w:w="28" w:type="dxa"/>
          <w:left w:w="28" w:type="dxa"/>
          <w:bottom w:w="28" w:type="dxa"/>
          <w:right w:w="28" w:type="dxa"/>
        </w:tblCellMar>
      </w:tblPr>
      <w:tblGrid>
        <w:gridCol w:w="837"/>
        <w:gridCol w:w="733"/>
        <w:gridCol w:w="740"/>
        <w:gridCol w:w="109"/>
        <w:gridCol w:w="109"/>
        <w:gridCol w:w="109"/>
        <w:gridCol w:w="423"/>
        <w:gridCol w:w="423"/>
        <w:gridCol w:w="608"/>
      </w:tblGrid>
      <w:tr>
        <w:trPr/>
        <w:tc>
          <w:tcPr>
            <w:tcW w:w="83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41-2015127</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(I.R.S. Employer</w:t>
              <w:br/>
              <w:t>Identification No.)</w:t>
            </w:r>
          </w:p>
        </w:tc>
      </w:tr>
    </w:tbl>
    <w:p>
      <w:pPr>
        <w:pStyle w:val="TextBody"/>
        <w:bidi w:val="0"/>
        <w:spacing w:lineRule="auto" w:line="288" w:before="80" w:after="283"/>
        <w:jc w:val="center"/>
        <w:rPr>
          <w:rFonts w:ascii="Times New Roman;sans-serif" w:hAnsi="Times New Roman;sans-serif"/>
          <w:b/>
          <w:color w:val="000000"/>
          <w:sz w:val="16"/>
        </w:rPr>
      </w:pPr>
      <w:r>
        <w:rPr>
          <w:rFonts w:ascii="Times New Roman;sans-serif" w:hAnsi="Times New Roman;sans-serif"/>
          <w:b/>
          <w:color w:val="000000"/>
          <w:sz w:val="16"/>
        </w:rPr>
        <w:t>333 South Seventh Street, Suite 1000, Minneapolis, MN 55402</w:t>
      </w:r>
    </w:p>
    <w:p>
      <w:pPr>
        <w:pStyle w:val="TextBody"/>
        <w:bidi w:val="0"/>
        <w:spacing w:lineRule="auto" w:line="288" w:before="0" w:after="0"/>
        <w:jc w:val="center"/>
        <w:rPr>
          <w:rFonts w:ascii="Times New Roman;sans-serif" w:hAnsi="Times New Roman;sans-serif"/>
          <w:b/>
          <w:i/>
          <w:color w:val="000000"/>
          <w:sz w:val="16"/>
        </w:rPr>
      </w:pPr>
      <w:r>
        <w:rPr>
          <w:rFonts w:ascii="Times New Roman;sans-serif" w:hAnsi="Times New Roman;sans-serif"/>
          <w:b/>
          <w:i/>
          <w:color w:val="000000"/>
          <w:sz w:val="16"/>
        </w:rPr>
        <w:t>(Address of Principal Executive Offices, Including Zip Code)</w:t>
      </w:r>
    </w:p>
    <w:p>
      <w:pPr>
        <w:pStyle w:val="TextBody"/>
        <w:bidi w:val="0"/>
        <w:spacing w:lineRule="auto" w:line="288" w:before="80" w:after="283"/>
        <w:jc w:val="center"/>
        <w:rPr>
          <w:rFonts w:ascii="Times New Roman;sans-serif" w:hAnsi="Times New Roman;sans-serif"/>
          <w:b/>
          <w:color w:val="000000"/>
          <w:sz w:val="16"/>
        </w:rPr>
      </w:pPr>
      <w:r>
        <w:rPr>
          <w:rFonts w:ascii="Times New Roman;sans-serif" w:hAnsi="Times New Roman;sans-serif"/>
          <w:b/>
          <w:color w:val="000000"/>
          <w:sz w:val="16"/>
        </w:rPr>
        <w:t>(612) 435-9400</w:t>
      </w:r>
    </w:p>
    <w:p>
      <w:pPr>
        <w:pStyle w:val="TextBody"/>
        <w:bidi w:val="0"/>
        <w:spacing w:lineRule="auto" w:line="288" w:before="0" w:after="0"/>
        <w:jc w:val="center"/>
        <w:rPr>
          <w:rFonts w:ascii="Times New Roman;sans-serif" w:hAnsi="Times New Roman;sans-serif"/>
          <w:b/>
          <w:i/>
          <w:color w:val="000000"/>
          <w:sz w:val="16"/>
        </w:rPr>
      </w:pPr>
      <w:r>
        <w:rPr>
          <w:rFonts w:ascii="Times New Roman;sans-serif" w:hAnsi="Times New Roman;sans-serif"/>
          <w:b/>
          <w:i/>
          <w:color w:val="000000"/>
          <w:sz w:val="16"/>
        </w:rPr>
        <w:t>(Registrant’s Telephone Number, Including Area Code)</w:t>
      </w:r>
    </w:p>
    <w:p>
      <w:pPr>
        <w:pStyle w:val="TextBody"/>
        <w:bidi w:val="0"/>
        <w:spacing w:lineRule="auto" w:line="288" w:before="80" w:after="283"/>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Securities registered pursuant to Section 12(b) of the Act:</w:t>
      </w:r>
    </w:p>
    <w:tbl>
      <w:tblPr>
        <w:tblW w:w="8107" w:type="dxa"/>
        <w:jc w:val="center"/>
        <w:tblInd w:w="0" w:type="dxa"/>
        <w:tblLayout w:type="fixed"/>
        <w:tblCellMar>
          <w:top w:w="28" w:type="dxa"/>
          <w:left w:w="28" w:type="dxa"/>
          <w:bottom w:w="28" w:type="dxa"/>
          <w:right w:w="28" w:type="dxa"/>
        </w:tblCellMar>
      </w:tblPr>
      <w:tblGrid>
        <w:gridCol w:w="991"/>
        <w:gridCol w:w="873"/>
        <w:gridCol w:w="880"/>
        <w:gridCol w:w="109"/>
        <w:gridCol w:w="109"/>
        <w:gridCol w:w="109"/>
        <w:gridCol w:w="394"/>
        <w:gridCol w:w="394"/>
        <w:gridCol w:w="396"/>
        <w:gridCol w:w="109"/>
        <w:gridCol w:w="109"/>
        <w:gridCol w:w="109"/>
        <w:gridCol w:w="1031"/>
        <w:gridCol w:w="1031"/>
        <w:gridCol w:w="1463"/>
      </w:tblGrid>
      <w:tr>
        <w:trPr/>
        <w:tc>
          <w:tcPr>
            <w:tcW w:w="99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5"/>
              </w:rPr>
            </w:pPr>
            <w:r>
              <w:rPr>
                <w:rFonts w:ascii="Times New Roman;sans-serif" w:hAnsi="Times New Roman;sans-serif"/>
                <w:b/>
                <w:color w:val="000000"/>
                <w:sz w:val="15"/>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5"/>
              </w:rPr>
            </w:pPr>
            <w:r>
              <w:rPr>
                <w:rFonts w:ascii="Times New Roman;sans-serif" w:hAnsi="Times New Roman;sans-serif"/>
                <w:b/>
                <w:color w:val="000000"/>
                <w:sz w:val="15"/>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5"/>
              </w:rPr>
            </w:pPr>
            <w:r>
              <w:rPr>
                <w:rFonts w:ascii="Times New Roman;sans-serif" w:hAnsi="Times New Roman;sans-serif"/>
                <w:b/>
                <w:color w:val="000000"/>
                <w:sz w:val="15"/>
              </w:rPr>
              <w:t>Name of exchange on which registered</w:t>
            </w:r>
          </w:p>
        </w:tc>
      </w:tr>
      <w:tr>
        <w:trPr/>
        <w:tc>
          <w:tcPr>
            <w:tcW w:w="274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5"/>
              </w:rPr>
            </w:pPr>
            <w:r>
              <w:rPr>
                <w:rFonts w:ascii="Times New Roman;sans-serif" w:hAnsi="Times New Roman;sans-serif"/>
                <w:b w:val="false"/>
                <w:color w:val="000000"/>
                <w:sz w:val="15"/>
              </w:rPr>
              <w:t>SPSC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5"/>
              </w:rPr>
            </w:pPr>
            <w:r>
              <w:rPr>
                <w:rFonts w:ascii="Times New Roman;sans-serif" w:hAnsi="Times New Roman;sans-serif"/>
                <w:b w:val="false"/>
                <w:color w:val="000000"/>
                <w:sz w:val="15"/>
              </w:rPr>
              <w:t>The Nasdaq Stock Market LLC (Nasdaq Global Market)</w:t>
            </w:r>
          </w:p>
        </w:tc>
      </w:tr>
    </w:tbl>
    <w:p>
      <w:pPr>
        <w:pStyle w:val="TextBody"/>
        <w:bidi w:val="0"/>
        <w:spacing w:lineRule="auto" w:line="288" w:before="80" w:after="283"/>
        <w:jc w:val="center"/>
        <w:rPr>
          <w:rFonts w:ascii="Times New Roman;sans-serif" w:hAnsi="Times New Roman;sans-serif"/>
          <w:b/>
          <w:color w:val="000000"/>
          <w:sz w:val="15"/>
        </w:rPr>
      </w:pPr>
      <w:r>
        <w:rPr>
          <w:rFonts w:ascii="Times New Roman;sans-serif" w:hAnsi="Times New Roman;sans-serif"/>
          <w:b/>
          <w:color w:val="000000"/>
          <w:sz w:val="15"/>
        </w:rPr>
        <w:t>Securities registered pursuant to Section 12(g) of the Act:</w:t>
      </w:r>
    </w:p>
    <w:p>
      <w:pPr>
        <w:pStyle w:val="TextBody"/>
        <w:bidi w:val="0"/>
        <w:spacing w:lineRule="auto" w:line="288" w:before="0" w:after="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 xml:space="preserve">None </w:t>
      </w:r>
    </w:p>
    <w:p>
      <w:pPr>
        <w:pStyle w:val="TextBody"/>
        <w:bidi w:val="0"/>
        <w:spacing w:lineRule="auto" w:line="288" w:before="80" w:after="283"/>
        <w:jc w:val="left"/>
        <w:rPr/>
      </w:pPr>
      <w:r>
        <w:rPr>
          <w:rFonts w:ascii="Times New Roman;sans-serif" w:hAnsi="Times New Roman;sans-serif"/>
          <w:b w:val="false"/>
          <w:color w:val="000000"/>
          <w:sz w:val="16"/>
        </w:rPr>
        <w:t xml:space="preserve">Indicate by check mark if the registrant is a well-known seasoned issuer, as defined in Rule 405 of the Securities Act. Yes </w:t>
      </w:r>
      <w:r>
        <w:rPr>
          <w:rFonts w:ascii="Wingdings;sans-serif" w:hAnsi="Wingdings;sans-serif"/>
          <w:b w:val="false"/>
          <w:color w:val="000000"/>
          <w:sz w:val="16"/>
        </w:rPr>
        <w:t>x</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80" w:after="283"/>
        <w:jc w:val="left"/>
        <w:rPr/>
      </w:pPr>
      <w:r>
        <w:rPr>
          <w:rFonts w:ascii="Times New Roman;sans-serif" w:hAnsi="Times New Roman;sans-serif"/>
          <w:b w:val="false"/>
          <w:color w:val="000000"/>
          <w:sz w:val="16"/>
        </w:rPr>
        <w:t xml:space="preserve">Indicate by check mark if the registrant is not required to file reports pursuant to Section 13 or 15(d) of the Act. Yes </w:t>
      </w:r>
      <w:r>
        <w:rPr>
          <w:rFonts w:ascii="Wingdings;sans-serif" w:hAnsi="Wingdings;sans-serif"/>
          <w:b w:val="false"/>
          <w:color w:val="000000"/>
          <w:sz w:val="16"/>
        </w:rPr>
        <w:t>o</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80" w:after="283"/>
        <w:jc w:val="left"/>
        <w:rPr/>
      </w:pPr>
      <w:r>
        <w:rPr>
          <w:rFonts w:ascii="Times New Roman;sans-serif" w:hAnsi="Times New Roman;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Times New Roman;sans-serif" w:hAnsi="Times New Roman;sans-serif"/>
          <w:b w:val="false"/>
          <w:color w:val="000000"/>
          <w:sz w:val="16"/>
        </w:rPr>
        <w:t xml:space="preserve">No </w:t>
      </w:r>
      <w:r>
        <w:rPr>
          <w:color w:val="000000"/>
        </w:rPr>
        <w:t>☐</w:t>
      </w:r>
    </w:p>
    <w:p>
      <w:pPr>
        <w:pStyle w:val="TextBody"/>
        <w:bidi w:val="0"/>
        <w:spacing w:lineRule="auto" w:line="288" w:before="80" w:after="283"/>
        <w:jc w:val="left"/>
        <w:rPr/>
      </w:pPr>
      <w:r>
        <w:rPr>
          <w:rFonts w:ascii="Times New Roman;sans-serif" w:hAnsi="Times New Roman;sans-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Times New Roman;sans-serif" w:hAnsi="Times New Roman;sans-serif"/>
          <w:b w:val="false"/>
          <w:color w:val="000000"/>
          <w:sz w:val="16"/>
        </w:rPr>
        <w:t xml:space="preserve">No </w:t>
      </w:r>
      <w:r>
        <w:rPr>
          <w:color w:val="000000"/>
        </w:rPr>
        <w:t>☐</w:t>
      </w:r>
    </w:p>
    <w:p>
      <w:pPr>
        <w:pStyle w:val="TextBody"/>
        <w:bidi w:val="0"/>
        <w:spacing w:lineRule="auto" w:line="288" w:before="8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524" w:type="dxa"/>
        <w:jc w:val="center"/>
        <w:tblInd w:w="0" w:type="dxa"/>
        <w:tblLayout w:type="fixed"/>
        <w:tblCellMar>
          <w:top w:w="28" w:type="dxa"/>
          <w:left w:w="28" w:type="dxa"/>
          <w:bottom w:w="28" w:type="dxa"/>
          <w:right w:w="28" w:type="dxa"/>
        </w:tblCellMar>
      </w:tblPr>
      <w:tblGrid>
        <w:gridCol w:w="630"/>
        <w:gridCol w:w="553"/>
        <w:gridCol w:w="557"/>
        <w:gridCol w:w="109"/>
        <w:gridCol w:w="109"/>
        <w:gridCol w:w="109"/>
        <w:gridCol w:w="694"/>
        <w:gridCol w:w="694"/>
        <w:gridCol w:w="69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20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r>
        <w:trPr/>
        <w:tc>
          <w:tcPr>
            <w:tcW w:w="17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20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bl>
    <w:p>
      <w:pPr>
        <w:pStyle w:val="TextBody"/>
        <w:bidi w:val="0"/>
        <w:spacing w:lineRule="auto" w:line="288" w:before="40" w:after="283"/>
        <w:jc w:val="left"/>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80" w:after="283"/>
        <w:jc w:val="left"/>
        <w:rPr/>
      </w:pPr>
      <w:r>
        <w:rPr>
          <w:rFonts w:ascii="Times New Roman;sans-serif" w:hAnsi="Times New Roman;sans-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sans-serif" w:hAnsi="Wingdings;sans-serif"/>
          <w:b w:val="false"/>
          <w:color w:val="000000"/>
          <w:sz w:val="16"/>
        </w:rPr>
        <w:t>x</w:t>
      </w:r>
    </w:p>
    <w:p>
      <w:pPr>
        <w:pStyle w:val="TextBody"/>
        <w:bidi w:val="0"/>
        <w:spacing w:lineRule="auto" w:line="288" w:before="80" w:after="283"/>
        <w:jc w:val="left"/>
        <w:rPr/>
      </w:pPr>
      <w:r>
        <w:rPr>
          <w:rFonts w:ascii="Times New Roman;sans-serif" w:hAnsi="Times New Roman;sans-serif"/>
          <w:b w:val="false"/>
          <w:color w:val="000000"/>
          <w:sz w:val="16"/>
        </w:rPr>
        <w:t>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8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8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8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 of June 30, 2023, the last business day of the registrant’s most recently completed second fiscal quarter, the aggregate market value of shares of the registrant’s common stock held by non-affiliates of the registrant (based upon the closing sale price of $192.06 per share on the Nasdaq Global Market on such date) was approximately $7.0 billion.</w:t>
      </w:r>
    </w:p>
    <w:p>
      <w:pPr>
        <w:pStyle w:val="TextBody"/>
        <w:bidi w:val="0"/>
        <w:spacing w:lineRule="auto" w:line="288" w:before="8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The number of shares of the registrant’s common stock, par value $0.001 per share, outstanding as of February 13, 2024 was 36,973,665 shares.</w:t>
      </w:r>
    </w:p>
    <w:p>
      <w:pPr>
        <w:pStyle w:val="TextBody"/>
        <w:bidi w:val="0"/>
        <w:spacing w:lineRule="auto" w:line="288" w:before="8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DOCUMENTS INCORPORATED BY REFERENCE</w:t>
      </w:r>
    </w:p>
    <w:p>
      <w:pPr>
        <w:pStyle w:val="TextBody"/>
        <w:bidi w:val="0"/>
        <w:spacing w:lineRule="auto" w:line="288" w:before="8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Portions of the Company’s definitive Proxy Statement for the Annual Meeting of Stockholders to be held on May 16, 2024 (the “2024 Proxy Statement”), which is expected to be filed within 120 days after the end of the fiscal year covered by this Annual Report on Form 10-K, are incorporated by reference in Part III of this Annual Report on Form 10-K. </w:t>
      </w:r>
    </w:p>
    <w:tbl>
      <w:tblPr>
        <w:tblW w:w="6478" w:type="dxa"/>
        <w:jc w:val="left"/>
        <w:tblInd w:w="0" w:type="dxa"/>
        <w:tblLayout w:type="fixed"/>
        <w:tblCellMar>
          <w:top w:w="28" w:type="dxa"/>
          <w:left w:w="28" w:type="dxa"/>
          <w:bottom w:w="28" w:type="dxa"/>
          <w:right w:w="28" w:type="dxa"/>
        </w:tblCellMar>
      </w:tblPr>
      <w:tblGrid>
        <w:gridCol w:w="461"/>
        <w:gridCol w:w="405"/>
        <w:gridCol w:w="409"/>
        <w:gridCol w:w="125"/>
        <w:gridCol w:w="125"/>
        <w:gridCol w:w="126"/>
        <w:gridCol w:w="379"/>
        <w:gridCol w:w="379"/>
        <w:gridCol w:w="381"/>
        <w:gridCol w:w="324"/>
        <w:gridCol w:w="324"/>
        <w:gridCol w:w="326"/>
        <w:gridCol w:w="449"/>
        <w:gridCol w:w="449"/>
        <w:gridCol w:w="451"/>
        <w:gridCol w:w="399"/>
        <w:gridCol w:w="399"/>
        <w:gridCol w:w="567"/>
      </w:tblGrid>
      <w:tr>
        <w:trPr/>
        <w:tc>
          <w:tcPr>
            <w:tcW w:w="46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Auditor Firm Id:</w:t>
            </w:r>
          </w:p>
        </w:tc>
        <w:tc>
          <w:tcPr>
            <w:tcW w:w="3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185</w:t>
            </w:r>
          </w:p>
        </w:tc>
        <w:tc>
          <w:tcPr>
            <w:tcW w:w="11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Auditor Name:</w:t>
            </w:r>
          </w:p>
        </w:tc>
        <w:tc>
          <w:tcPr>
            <w:tcW w:w="9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KPMG, LLP</w:t>
            </w:r>
          </w:p>
        </w:tc>
        <w:tc>
          <w:tcPr>
            <w:tcW w:w="13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Auditor Location:</w:t>
            </w:r>
          </w:p>
        </w:tc>
        <w:tc>
          <w:tcPr>
            <w:tcW w:w="13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Minneapolis, MN</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AAE5"/>
          <w:sz w:val="20"/>
        </w:rPr>
      </w:pPr>
      <w:r>
        <w:rPr>
          <w:rFonts w:ascii="Times New Roman;sans-serif" w:hAnsi="Times New Roman;sans-serif"/>
          <w:b/>
          <w:color w:val="00AAE5"/>
          <w:sz w:val="20"/>
        </w:rPr>
        <w:t>SPS COMMERCE, INC.</w:t>
      </w:r>
    </w:p>
    <w:p>
      <w:pPr>
        <w:pStyle w:val="TextBody"/>
        <w:bidi w:val="0"/>
        <w:spacing w:lineRule="auto" w:line="288" w:before="0" w:after="0"/>
        <w:jc w:val="center"/>
        <w:rPr>
          <w:rFonts w:ascii="Times New Roman;sans-serif" w:hAnsi="Times New Roman;sans-serif"/>
          <w:b/>
          <w:color w:val="00AAE5"/>
          <w:sz w:val="20"/>
        </w:rPr>
      </w:pPr>
      <w:r>
        <w:rPr>
          <w:rFonts w:ascii="Times New Roman;sans-serif" w:hAnsi="Times New Roman;sans-serif"/>
          <w:b/>
          <w:color w:val="00AAE5"/>
          <w:sz w:val="20"/>
        </w:rPr>
        <w:t>ANNUAL REPORT ON FORM 10-K</w:t>
      </w:r>
    </w:p>
    <w:p>
      <w:pPr>
        <w:pStyle w:val="TextBody"/>
        <w:bidi w:val="0"/>
        <w:spacing w:lineRule="auto" w:line="288" w:before="0" w:after="0"/>
        <w:jc w:val="center"/>
        <w:rPr>
          <w:rFonts w:ascii="Times New Roman;sans-serif" w:hAnsi="Times New Roman;sans-serif"/>
          <w:b/>
          <w:color w:val="00AAE5"/>
          <w:sz w:val="20"/>
        </w:rPr>
      </w:pPr>
      <w:r>
        <w:rPr>
          <w:rFonts w:ascii="Times New Roman;sans-serif" w:hAnsi="Times New Roman;sans-serif"/>
          <w:b/>
          <w:color w:val="00AAE5"/>
          <w:sz w:val="20"/>
        </w:rPr>
        <w:t>TABLE OF CONTENTS</w:t>
      </w:r>
    </w:p>
    <w:tbl>
      <w:tblPr>
        <w:tblW w:w="10205" w:type="dxa"/>
        <w:jc w:val="left"/>
        <w:tblInd w:w="0" w:type="dxa"/>
        <w:tblLayout w:type="fixed"/>
        <w:tblCellMar>
          <w:top w:w="28" w:type="dxa"/>
          <w:left w:w="28" w:type="dxa"/>
          <w:bottom w:w="28" w:type="dxa"/>
          <w:right w:w="28" w:type="dxa"/>
        </w:tblCellMar>
      </w:tblPr>
      <w:tblGrid>
        <w:gridCol w:w="288"/>
        <w:gridCol w:w="253"/>
        <w:gridCol w:w="254"/>
        <w:gridCol w:w="2947"/>
        <w:gridCol w:w="2936"/>
        <w:gridCol w:w="2952"/>
        <w:gridCol w:w="167"/>
        <w:gridCol w:w="167"/>
        <w:gridCol w:w="241"/>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947" w:type="dxa"/>
            <w:tcBorders/>
            <w:vAlign w:val="center"/>
          </w:tcPr>
          <w:p>
            <w:pPr>
              <w:pStyle w:val="TableContents"/>
              <w:bidi w:val="0"/>
              <w:spacing w:before="0" w:after="283"/>
              <w:jc w:val="left"/>
              <w:rPr>
                <w:sz w:val="4"/>
                <w:szCs w:val="4"/>
              </w:rPr>
            </w:pPr>
            <w:r>
              <w:rPr>
                <w:sz w:val="4"/>
                <w:szCs w:val="4"/>
              </w:rPr>
            </w:r>
          </w:p>
        </w:tc>
        <w:tc>
          <w:tcPr>
            <w:tcW w:w="2936" w:type="dxa"/>
            <w:tcBorders/>
            <w:vAlign w:val="center"/>
          </w:tcPr>
          <w:p>
            <w:pPr>
              <w:pStyle w:val="TableContents"/>
              <w:bidi w:val="0"/>
              <w:spacing w:before="0" w:after="283"/>
              <w:jc w:val="left"/>
              <w:rPr>
                <w:sz w:val="4"/>
                <w:szCs w:val="4"/>
              </w:rPr>
            </w:pPr>
            <w:r>
              <w:rPr>
                <w:sz w:val="4"/>
                <w:szCs w:val="4"/>
              </w:rPr>
            </w:r>
          </w:p>
        </w:tc>
        <w:tc>
          <w:tcPr>
            <w:tcW w:w="295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3f718fd861814da79dc80fa32884b818_13">
              <w:r>
                <w:rPr>
                  <w:rStyle w:val="InternetLink"/>
                  <w:rFonts w:ascii="Times New Roman;sans-serif" w:hAnsi="Times New Roman;sans-serif"/>
                  <w:b/>
                  <w:color w:val="0000FF"/>
                  <w:sz w:val="20"/>
                  <w:u w:val="single"/>
                </w:rPr>
                <w:t>PART I</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718fd861814da79dc80fa32884b818_16">
              <w:r>
                <w:rPr>
                  <w:rStyle w:val="InternetLink"/>
                  <w:rFonts w:ascii="Times New Roman;sans-serif" w:hAnsi="Times New Roman;sans-serif"/>
                  <w:b w:val="false"/>
                  <w:strike w:val="false"/>
                  <w:dstrike w:val="false"/>
                  <w:color w:val="000000"/>
                  <w:sz w:val="20"/>
                  <w:u w:val="none"/>
                  <w:effect w:val="none"/>
                </w:rPr>
                <w:t>Item 1.</w:t>
              </w:r>
            </w:hyperlink>
          </w:p>
        </w:tc>
        <w:tc>
          <w:tcPr>
            <w:tcW w:w="8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718fd861814da79dc80fa32884b818_19">
              <w:r>
                <w:rPr>
                  <w:rStyle w:val="InternetLink"/>
                  <w:rFonts w:ascii="Times New Roman;sans-serif" w:hAnsi="Times New Roman;sans-serif"/>
                  <w:b w:val="false"/>
                  <w:color w:val="0000FF"/>
                  <w:sz w:val="20"/>
                  <w:u w:val="single"/>
                </w:rPr>
                <w:t>Business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f718fd861814da79dc80fa32884b818_19">
              <w:r>
                <w:rPr>
                  <w:rStyle w:val="InternetLink"/>
                  <w:rFonts w:ascii="Times New Roman;sans-serif" w:hAnsi="Times New Roman;sans-serif"/>
                  <w:b w:val="false"/>
                  <w:strike w:val="false"/>
                  <w:dstrike w:val="false"/>
                  <w:color w:val="000000"/>
                  <w:sz w:val="20"/>
                  <w:u w:val="none"/>
                  <w:effect w:val="none"/>
                </w:rPr>
                <w:t>4</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718fd861814da79dc80fa32884b818_31">
              <w:r>
                <w:rPr>
                  <w:rStyle w:val="InternetLink"/>
                  <w:rFonts w:ascii="Times New Roman;sans-serif" w:hAnsi="Times New Roman;sans-serif"/>
                  <w:b w:val="false"/>
                  <w:strike w:val="false"/>
                  <w:dstrike w:val="false"/>
                  <w:color w:val="000000"/>
                  <w:sz w:val="20"/>
                  <w:u w:val="none"/>
                  <w:effect w:val="none"/>
                </w:rPr>
                <w:t>Item 1A.</w:t>
              </w:r>
            </w:hyperlink>
          </w:p>
        </w:tc>
        <w:tc>
          <w:tcPr>
            <w:tcW w:w="8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718fd861814da79dc80fa32884b818_31">
              <w:r>
                <w:rPr>
                  <w:rStyle w:val="InternetLink"/>
                  <w:rFonts w:ascii="Times New Roman;sans-serif" w:hAnsi="Times New Roman;sans-serif"/>
                  <w:b w:val="false"/>
                  <w:color w:val="0000FF"/>
                  <w:sz w:val="20"/>
                  <w:u w:val="single"/>
                </w:rPr>
                <w:t>Risk Factors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f718fd861814da79dc80fa32884b818_31">
              <w:r>
                <w:rPr>
                  <w:rStyle w:val="InternetLink"/>
                  <w:rFonts w:ascii="Times New Roman;sans-serif" w:hAnsi="Times New Roman;sans-serif"/>
                  <w:b w:val="false"/>
                  <w:strike w:val="false"/>
                  <w:dstrike w:val="false"/>
                  <w:color w:val="000000"/>
                  <w:sz w:val="20"/>
                  <w:u w:val="none"/>
                  <w:effect w:val="none"/>
                </w:rPr>
                <w:t>11</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718fd861814da79dc80fa32884b818_49">
              <w:r>
                <w:rPr>
                  <w:rStyle w:val="InternetLink"/>
                  <w:rFonts w:ascii="Times New Roman;sans-serif" w:hAnsi="Times New Roman;sans-serif"/>
                  <w:b w:val="false"/>
                  <w:strike w:val="false"/>
                  <w:dstrike w:val="false"/>
                  <w:color w:val="000000"/>
                  <w:sz w:val="20"/>
                  <w:u w:val="none"/>
                  <w:effect w:val="none"/>
                </w:rPr>
                <w:t>Item 1B.</w:t>
              </w:r>
            </w:hyperlink>
          </w:p>
        </w:tc>
        <w:tc>
          <w:tcPr>
            <w:tcW w:w="8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718fd861814da79dc80fa32884b818_49">
              <w:r>
                <w:rPr>
                  <w:rStyle w:val="InternetLink"/>
                  <w:rFonts w:ascii="Times New Roman;sans-serif" w:hAnsi="Times New Roman;sans-serif"/>
                  <w:b w:val="false"/>
                  <w:color w:val="0000FF"/>
                  <w:sz w:val="20"/>
                  <w:u w:val="single"/>
                </w:rPr>
                <w:t>Unresolved Staff Comments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f718fd861814da79dc80fa32884b818_49">
              <w:r>
                <w:rPr>
                  <w:rStyle w:val="InternetLink"/>
                  <w:rFonts w:ascii="Times New Roman;sans-serif" w:hAnsi="Times New Roman;sans-serif"/>
                  <w:b w:val="false"/>
                  <w:strike w:val="false"/>
                  <w:dstrike w:val="false"/>
                  <w:color w:val="000000"/>
                  <w:sz w:val="20"/>
                  <w:u w:val="none"/>
                  <w:effect w:val="none"/>
                </w:rPr>
                <w:t>23</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718fd861814da79dc80fa32884b818_49">
              <w:r>
                <w:rPr>
                  <w:rStyle w:val="InternetLink"/>
                  <w:rFonts w:ascii="Times New Roman;sans-serif" w:hAnsi="Times New Roman;sans-serif"/>
                  <w:b w:val="false"/>
                  <w:strike w:val="false"/>
                  <w:dstrike w:val="false"/>
                  <w:color w:val="000080"/>
                  <w:sz w:val="20"/>
                  <w:u w:val="single"/>
                  <w:effect w:val="none"/>
                </w:rPr>
                <w:t>Item 1</w:t>
              </w:r>
            </w:hyperlink>
            <w:hyperlink w:anchor="i3f718fd861814da79dc80fa32884b818_49">
              <w:r>
                <w:rPr>
                  <w:rStyle w:val="InternetLink"/>
                  <w:rFonts w:ascii="Times New Roman;sans-serif" w:hAnsi="Times New Roman;sans-serif"/>
                  <w:b w:val="false"/>
                  <w:strike w:val="false"/>
                  <w:dstrike w:val="false"/>
                  <w:color w:val="000080"/>
                  <w:sz w:val="20"/>
                  <w:u w:val="single"/>
                  <w:effect w:val="none"/>
                </w:rPr>
                <w:t>C</w:t>
              </w:r>
            </w:hyperlink>
            <w:hyperlink w:anchor="i3f718fd861814da79dc80fa32884b818_49">
              <w:r>
                <w:rPr>
                  <w:rStyle w:val="InternetLink"/>
                  <w:rFonts w:ascii="Times New Roman;sans-serif" w:hAnsi="Times New Roman;sans-serif"/>
                  <w:b w:val="false"/>
                  <w:strike w:val="false"/>
                  <w:dstrike w:val="false"/>
                  <w:color w:val="000080"/>
                  <w:sz w:val="20"/>
                  <w:u w:val="single"/>
                  <w:effect w:val="none"/>
                </w:rPr>
                <w:t>.</w:t>
              </w:r>
            </w:hyperlink>
          </w:p>
        </w:tc>
        <w:tc>
          <w:tcPr>
            <w:tcW w:w="8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718fd861814da79dc80fa32884b818_736">
              <w:r>
                <w:rPr>
                  <w:rStyle w:val="InternetLink"/>
                  <w:rFonts w:ascii="Times New Roman;sans-serif" w:hAnsi="Times New Roman;sans-serif"/>
                  <w:b w:val="false"/>
                  <w:color w:val="0000FF"/>
                  <w:sz w:val="20"/>
                  <w:u w:val="single"/>
                </w:rPr>
                <w:t>Cybersecurity</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f718fd861814da79dc80fa32884b818_736">
              <w:r>
                <w:rPr>
                  <w:rStyle w:val="InternetLink"/>
                  <w:rFonts w:ascii="Times New Roman;sans-serif" w:hAnsi="Times New Roman;sans-serif"/>
                  <w:b w:val="false"/>
                  <w:strike w:val="false"/>
                  <w:dstrike w:val="false"/>
                  <w:color w:val="000000"/>
                  <w:sz w:val="20"/>
                  <w:u w:val="none"/>
                  <w:effect w:val="none"/>
                </w:rPr>
                <w:t>23</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718fd861814da79dc80fa32884b818_52">
              <w:r>
                <w:rPr>
                  <w:rStyle w:val="InternetLink"/>
                  <w:rFonts w:ascii="Times New Roman;sans-serif" w:hAnsi="Times New Roman;sans-serif"/>
                  <w:b w:val="false"/>
                  <w:strike w:val="false"/>
                  <w:dstrike w:val="false"/>
                  <w:color w:val="000000"/>
                  <w:sz w:val="20"/>
                  <w:u w:val="none"/>
                  <w:effect w:val="none"/>
                </w:rPr>
                <w:t>Item 2.</w:t>
              </w:r>
            </w:hyperlink>
          </w:p>
        </w:tc>
        <w:tc>
          <w:tcPr>
            <w:tcW w:w="8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718fd861814da79dc80fa32884b818_52">
              <w:r>
                <w:rPr>
                  <w:rStyle w:val="InternetLink"/>
                  <w:rFonts w:ascii="Times New Roman;sans-serif" w:hAnsi="Times New Roman;sans-serif"/>
                  <w:b w:val="false"/>
                  <w:color w:val="0000FF"/>
                  <w:sz w:val="20"/>
                  <w:u w:val="single"/>
                </w:rPr>
                <w:t>Properties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f718fd861814da79dc80fa32884b818_52">
              <w:r>
                <w:rPr>
                  <w:rStyle w:val="InternetLink"/>
                  <w:rFonts w:ascii="Times New Roman;sans-serif" w:hAnsi="Times New Roman;sans-serif"/>
                  <w:b w:val="false"/>
                  <w:strike w:val="false"/>
                  <w:dstrike w:val="false"/>
                  <w:color w:val="000000"/>
                  <w:sz w:val="20"/>
                  <w:u w:val="none"/>
                  <w:effect w:val="none"/>
                </w:rPr>
                <w:t>24</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718fd861814da79dc80fa32884b818_55">
              <w:r>
                <w:rPr>
                  <w:rStyle w:val="InternetLink"/>
                  <w:rFonts w:ascii="Times New Roman;sans-serif" w:hAnsi="Times New Roman;sans-serif"/>
                  <w:b w:val="false"/>
                  <w:strike w:val="false"/>
                  <w:dstrike w:val="false"/>
                  <w:color w:val="000000"/>
                  <w:sz w:val="20"/>
                  <w:u w:val="none"/>
                  <w:effect w:val="none"/>
                </w:rPr>
                <w:t>Item 3.</w:t>
              </w:r>
            </w:hyperlink>
          </w:p>
        </w:tc>
        <w:tc>
          <w:tcPr>
            <w:tcW w:w="8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718fd861814da79dc80fa32884b818_55">
              <w:r>
                <w:rPr>
                  <w:rStyle w:val="InternetLink"/>
                  <w:rFonts w:ascii="Times New Roman;sans-serif" w:hAnsi="Times New Roman;sans-serif"/>
                  <w:b w:val="false"/>
                  <w:color w:val="0000FF"/>
                  <w:sz w:val="20"/>
                  <w:u w:val="single"/>
                </w:rPr>
                <w:t>Legal Proceedings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f718fd861814da79dc80fa32884b818_55">
              <w:r>
                <w:rPr>
                  <w:rStyle w:val="InternetLink"/>
                  <w:rFonts w:ascii="Times New Roman;sans-serif" w:hAnsi="Times New Roman;sans-serif"/>
                  <w:b w:val="false"/>
                  <w:strike w:val="false"/>
                  <w:dstrike w:val="false"/>
                  <w:color w:val="000000"/>
                  <w:sz w:val="20"/>
                  <w:u w:val="none"/>
                  <w:effect w:val="none"/>
                </w:rPr>
                <w:t>24</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718fd861814da79dc80fa32884b818_58">
              <w:r>
                <w:rPr>
                  <w:rStyle w:val="InternetLink"/>
                  <w:rFonts w:ascii="Times New Roman;sans-serif" w:hAnsi="Times New Roman;sans-serif"/>
                  <w:b w:val="false"/>
                  <w:strike w:val="false"/>
                  <w:dstrike w:val="false"/>
                  <w:color w:val="000000"/>
                  <w:sz w:val="20"/>
                  <w:u w:val="none"/>
                  <w:effect w:val="none"/>
                </w:rPr>
                <w:t>Item 4.</w:t>
              </w:r>
            </w:hyperlink>
          </w:p>
        </w:tc>
        <w:tc>
          <w:tcPr>
            <w:tcW w:w="8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718fd861814da79dc80fa32884b818_58">
              <w:r>
                <w:rPr>
                  <w:rStyle w:val="InternetLink"/>
                  <w:rFonts w:ascii="Times New Roman;sans-serif" w:hAnsi="Times New Roman;sans-serif"/>
                  <w:b w:val="false"/>
                  <w:color w:val="0000FF"/>
                  <w:sz w:val="20"/>
                  <w:u w:val="single"/>
                </w:rPr>
                <w:t>Mine Safety Disclosures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f718fd861814da79dc80fa32884b818_58">
              <w:r>
                <w:rPr>
                  <w:rStyle w:val="InternetLink"/>
                  <w:rFonts w:ascii="Times New Roman;sans-serif" w:hAnsi="Times New Roman;sans-serif"/>
                  <w:b w:val="false"/>
                  <w:strike w:val="false"/>
                  <w:dstrike w:val="false"/>
                  <w:color w:val="000000"/>
                  <w:sz w:val="20"/>
                  <w:u w:val="none"/>
                  <w:effect w:val="none"/>
                </w:rPr>
                <w:t>24</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3f718fd861814da79dc80fa32884b818_61">
              <w:r>
                <w:rPr>
                  <w:rStyle w:val="InternetLink"/>
                  <w:rFonts w:ascii="Times New Roman;sans-serif" w:hAnsi="Times New Roman;sans-serif"/>
                  <w:b/>
                  <w:color w:val="0000FF"/>
                  <w:sz w:val="20"/>
                  <w:u w:val="single"/>
                </w:rPr>
                <w:t>PART II</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718fd861814da79dc80fa32884b818_64">
              <w:r>
                <w:rPr>
                  <w:rStyle w:val="InternetLink"/>
                  <w:rFonts w:ascii="Times New Roman;sans-serif" w:hAnsi="Times New Roman;sans-serif"/>
                  <w:b w:val="false"/>
                  <w:strike w:val="false"/>
                  <w:dstrike w:val="false"/>
                  <w:color w:val="000000"/>
                  <w:sz w:val="20"/>
                  <w:u w:val="none"/>
                  <w:effect w:val="none"/>
                </w:rPr>
                <w:t>Item 5.</w:t>
              </w:r>
            </w:hyperlink>
          </w:p>
        </w:tc>
        <w:tc>
          <w:tcPr>
            <w:tcW w:w="8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718fd861814da79dc80fa32884b818_64">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f718fd861814da79dc80fa32884b818_64">
              <w:r>
                <w:rPr>
                  <w:rStyle w:val="InternetLink"/>
                  <w:rFonts w:ascii="Times New Roman;sans-serif" w:hAnsi="Times New Roman;sans-serif"/>
                  <w:b w:val="false"/>
                  <w:strike w:val="false"/>
                  <w:dstrike w:val="false"/>
                  <w:color w:val="000000"/>
                  <w:sz w:val="20"/>
                  <w:u w:val="none"/>
                  <w:effect w:val="none"/>
                </w:rPr>
                <w:t>25</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718fd861814da79dc80fa32884b818_73">
              <w:r>
                <w:rPr>
                  <w:rStyle w:val="InternetLink"/>
                  <w:rFonts w:ascii="Times New Roman;sans-serif" w:hAnsi="Times New Roman;sans-serif"/>
                  <w:b w:val="false"/>
                  <w:strike w:val="false"/>
                  <w:dstrike w:val="false"/>
                  <w:color w:val="000000"/>
                  <w:sz w:val="20"/>
                  <w:u w:val="none"/>
                  <w:effect w:val="none"/>
                </w:rPr>
                <w:t>Item 6.</w:t>
              </w:r>
            </w:hyperlink>
          </w:p>
        </w:tc>
        <w:tc>
          <w:tcPr>
            <w:tcW w:w="8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718fd861814da79dc80fa32884b818_73">
              <w:r>
                <w:rPr>
                  <w:rStyle w:val="InternetLink"/>
                  <w:rFonts w:ascii="Times New Roman;sans-serif" w:hAnsi="Times New Roman;sans-serif"/>
                  <w:b w:val="false"/>
                  <w:color w:val="0000FF"/>
                  <w:sz w:val="20"/>
                  <w:u w:val="single"/>
                </w:rPr>
                <w:t>[Reserved]</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f718fd861814da79dc80fa32884b818_73">
              <w:r>
                <w:rPr>
                  <w:rStyle w:val="InternetLink"/>
                  <w:rFonts w:ascii="Times New Roman;sans-serif" w:hAnsi="Times New Roman;sans-serif"/>
                  <w:b w:val="false"/>
                  <w:strike w:val="false"/>
                  <w:dstrike w:val="false"/>
                  <w:color w:val="000000"/>
                  <w:sz w:val="20"/>
                  <w:u w:val="none"/>
                  <w:effect w:val="none"/>
                </w:rPr>
                <w:t>26</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718fd861814da79dc80fa32884b818_76">
              <w:r>
                <w:rPr>
                  <w:rStyle w:val="InternetLink"/>
                  <w:rFonts w:ascii="Times New Roman;sans-serif" w:hAnsi="Times New Roman;sans-serif"/>
                  <w:b w:val="false"/>
                  <w:strike w:val="false"/>
                  <w:dstrike w:val="false"/>
                  <w:color w:val="000000"/>
                  <w:sz w:val="20"/>
                  <w:u w:val="none"/>
                  <w:effect w:val="none"/>
                </w:rPr>
                <w:t>Item 7.</w:t>
              </w:r>
            </w:hyperlink>
          </w:p>
        </w:tc>
        <w:tc>
          <w:tcPr>
            <w:tcW w:w="8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718fd861814da79dc80fa32884b818_76">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f718fd861814da79dc80fa32884b818_76">
              <w:r>
                <w:rPr>
                  <w:rStyle w:val="InternetLink"/>
                  <w:rFonts w:ascii="Times New Roman;sans-serif" w:hAnsi="Times New Roman;sans-serif"/>
                  <w:b w:val="false"/>
                  <w:strike w:val="false"/>
                  <w:dstrike w:val="false"/>
                  <w:color w:val="000000"/>
                  <w:sz w:val="20"/>
                  <w:u w:val="none"/>
                  <w:effect w:val="none"/>
                </w:rPr>
                <w:t>27</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718fd861814da79dc80fa32884b818_100">
              <w:r>
                <w:rPr>
                  <w:rStyle w:val="InternetLink"/>
                  <w:rFonts w:ascii="Times New Roman;sans-serif" w:hAnsi="Times New Roman;sans-serif"/>
                  <w:b w:val="false"/>
                  <w:strike w:val="false"/>
                  <w:dstrike w:val="false"/>
                  <w:color w:val="000000"/>
                  <w:sz w:val="20"/>
                  <w:u w:val="none"/>
                  <w:effect w:val="none"/>
                </w:rPr>
                <w:t>Item 7A.</w:t>
              </w:r>
            </w:hyperlink>
          </w:p>
        </w:tc>
        <w:tc>
          <w:tcPr>
            <w:tcW w:w="8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718fd861814da79dc80fa32884b818_100">
              <w:r>
                <w:rPr>
                  <w:rStyle w:val="InternetLink"/>
                  <w:rFonts w:ascii="Times New Roman;sans-serif" w:hAnsi="Times New Roman;sans-serif"/>
                  <w:b w:val="false"/>
                  <w:color w:val="0000FF"/>
                  <w:sz w:val="20"/>
                  <w:u w:val="single"/>
                </w:rPr>
                <w:t>Quantitative and Qualitative Disclosures About Market Risk</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f718fd861814da79dc80fa32884b818_100">
              <w:r>
                <w:rPr>
                  <w:rStyle w:val="InternetLink"/>
                  <w:rFonts w:ascii="Times New Roman;sans-serif" w:hAnsi="Times New Roman;sans-serif"/>
                  <w:b w:val="false"/>
                  <w:strike w:val="false"/>
                  <w:dstrike w:val="false"/>
                  <w:color w:val="000000"/>
                  <w:sz w:val="20"/>
                  <w:u w:val="none"/>
                  <w:effect w:val="none"/>
                </w:rPr>
                <w:t>34</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718fd861814da79dc80fa32884b818_109">
              <w:r>
                <w:rPr>
                  <w:rStyle w:val="InternetLink"/>
                  <w:rFonts w:ascii="Times New Roman;sans-serif" w:hAnsi="Times New Roman;sans-serif"/>
                  <w:b w:val="false"/>
                  <w:strike w:val="false"/>
                  <w:dstrike w:val="false"/>
                  <w:color w:val="000000"/>
                  <w:sz w:val="20"/>
                  <w:u w:val="none"/>
                  <w:effect w:val="none"/>
                </w:rPr>
                <w:t>Item 8.</w:t>
              </w:r>
            </w:hyperlink>
          </w:p>
        </w:tc>
        <w:tc>
          <w:tcPr>
            <w:tcW w:w="8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718fd861814da79dc80fa32884b818_109">
              <w:r>
                <w:rPr>
                  <w:rStyle w:val="InternetLink"/>
                  <w:rFonts w:ascii="Times New Roman;sans-serif" w:hAnsi="Times New Roman;sans-serif"/>
                  <w:b w:val="false"/>
                  <w:color w:val="0000FF"/>
                  <w:sz w:val="20"/>
                  <w:u w:val="single"/>
                </w:rPr>
                <w:t>Financial Statements and Supplementary Data</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f718fd861814da79dc80fa32884b818_109">
              <w:r>
                <w:rPr>
                  <w:rStyle w:val="InternetLink"/>
                  <w:rFonts w:ascii="Times New Roman;sans-serif" w:hAnsi="Times New Roman;sans-serif"/>
                  <w:b w:val="false"/>
                  <w:strike w:val="false"/>
                  <w:dstrike w:val="false"/>
                  <w:color w:val="000000"/>
                  <w:sz w:val="20"/>
                  <w:u w:val="none"/>
                  <w:effect w:val="none"/>
                </w:rPr>
                <w:t>35</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718fd861814da79dc80fa32884b818_196">
              <w:r>
                <w:rPr>
                  <w:rStyle w:val="InternetLink"/>
                  <w:rFonts w:ascii="Times New Roman;sans-serif" w:hAnsi="Times New Roman;sans-serif"/>
                  <w:b w:val="false"/>
                  <w:strike w:val="false"/>
                  <w:dstrike w:val="false"/>
                  <w:color w:val="000000"/>
                  <w:sz w:val="20"/>
                  <w:u w:val="none"/>
                  <w:effect w:val="none"/>
                </w:rPr>
                <w:t>Item 9.</w:t>
              </w:r>
            </w:hyperlink>
          </w:p>
        </w:tc>
        <w:tc>
          <w:tcPr>
            <w:tcW w:w="8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718fd861814da79dc80fa32884b818_196">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f718fd861814da79dc80fa32884b818_196">
              <w:r>
                <w:rPr>
                  <w:rStyle w:val="InternetLink"/>
                  <w:rFonts w:ascii="Times New Roman;sans-serif" w:hAnsi="Times New Roman;sans-serif"/>
                  <w:b w:val="false"/>
                  <w:strike w:val="false"/>
                  <w:dstrike w:val="false"/>
                  <w:color w:val="000000"/>
                  <w:sz w:val="20"/>
                  <w:u w:val="none"/>
                  <w:effect w:val="none"/>
                </w:rPr>
                <w:t>61</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718fd861814da79dc80fa32884b818_199">
              <w:r>
                <w:rPr>
                  <w:rStyle w:val="InternetLink"/>
                  <w:rFonts w:ascii="Times New Roman;sans-serif" w:hAnsi="Times New Roman;sans-serif"/>
                  <w:b w:val="false"/>
                  <w:strike w:val="false"/>
                  <w:dstrike w:val="false"/>
                  <w:color w:val="000000"/>
                  <w:sz w:val="20"/>
                  <w:u w:val="none"/>
                  <w:effect w:val="none"/>
                </w:rPr>
                <w:t>Item 9A</w:t>
              </w:r>
            </w:hyperlink>
            <w:r>
              <w:rPr>
                <w:rFonts w:ascii="Times New Roman;sans-serif" w:hAnsi="Times New Roman;sans-serif"/>
                <w:b w:val="false"/>
                <w:color w:val="000000"/>
                <w:sz w:val="20"/>
              </w:rPr>
              <w:t>.</w:t>
            </w:r>
          </w:p>
        </w:tc>
        <w:tc>
          <w:tcPr>
            <w:tcW w:w="8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718fd861814da79dc80fa32884b818_199">
              <w:r>
                <w:rPr>
                  <w:rStyle w:val="InternetLink"/>
                  <w:rFonts w:ascii="Times New Roman;sans-serif" w:hAnsi="Times New Roman;sans-serif"/>
                  <w:b w:val="false"/>
                  <w:color w:val="0000FF"/>
                  <w:sz w:val="20"/>
                  <w:u w:val="single"/>
                </w:rPr>
                <w:t>Controls and Procedures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f718fd861814da79dc80fa32884b818_199">
              <w:r>
                <w:rPr>
                  <w:rStyle w:val="InternetLink"/>
                  <w:rFonts w:ascii="Times New Roman;sans-serif" w:hAnsi="Times New Roman;sans-serif"/>
                  <w:b w:val="false"/>
                  <w:strike w:val="false"/>
                  <w:dstrike w:val="false"/>
                  <w:color w:val="000000"/>
                  <w:sz w:val="20"/>
                  <w:u w:val="none"/>
                  <w:effect w:val="none"/>
                </w:rPr>
                <w:t>61</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718fd861814da79dc80fa32884b818_202">
              <w:r>
                <w:rPr>
                  <w:rStyle w:val="InternetLink"/>
                  <w:rFonts w:ascii="Times New Roman;sans-serif" w:hAnsi="Times New Roman;sans-serif"/>
                  <w:b w:val="false"/>
                  <w:strike w:val="false"/>
                  <w:dstrike w:val="false"/>
                  <w:color w:val="000000"/>
                  <w:sz w:val="20"/>
                  <w:u w:val="none"/>
                  <w:effect w:val="none"/>
                </w:rPr>
                <w:t>Item 9B.</w:t>
              </w:r>
            </w:hyperlink>
          </w:p>
        </w:tc>
        <w:tc>
          <w:tcPr>
            <w:tcW w:w="8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718fd861814da79dc80fa32884b818_202">
              <w:r>
                <w:rPr>
                  <w:rStyle w:val="InternetLink"/>
                  <w:rFonts w:ascii="Times New Roman;sans-serif" w:hAnsi="Times New Roman;sans-serif"/>
                  <w:b w:val="false"/>
                  <w:color w:val="0000FF"/>
                  <w:sz w:val="20"/>
                  <w:u w:val="single"/>
                </w:rPr>
                <w:t>Other Information</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f718fd861814da79dc80fa32884b818_202">
              <w:r>
                <w:rPr>
                  <w:rStyle w:val="InternetLink"/>
                  <w:rFonts w:ascii="Times New Roman;sans-serif" w:hAnsi="Times New Roman;sans-serif"/>
                  <w:b w:val="false"/>
                  <w:strike w:val="false"/>
                  <w:dstrike w:val="false"/>
                  <w:color w:val="000000"/>
                  <w:sz w:val="20"/>
                  <w:u w:val="none"/>
                  <w:effect w:val="none"/>
                </w:rPr>
                <w:t>62</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718fd861814da79dc80fa32884b818_205">
              <w:r>
                <w:rPr>
                  <w:rStyle w:val="InternetLink"/>
                  <w:rFonts w:ascii="Times New Roman;sans-serif" w:hAnsi="Times New Roman;sans-serif"/>
                  <w:b w:val="false"/>
                  <w:strike w:val="false"/>
                  <w:dstrike w:val="false"/>
                  <w:color w:val="000000"/>
                  <w:sz w:val="20"/>
                  <w:u w:val="none"/>
                  <w:effect w:val="none"/>
                </w:rPr>
                <w:t>Item 9C.</w:t>
              </w:r>
            </w:hyperlink>
          </w:p>
        </w:tc>
        <w:tc>
          <w:tcPr>
            <w:tcW w:w="8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718fd861814da79dc80fa32884b818_205">
              <w:r>
                <w:rPr>
                  <w:rStyle w:val="InternetLink"/>
                  <w:rFonts w:ascii="Times New Roman;sans-serif" w:hAnsi="Times New Roman;sans-serif"/>
                  <w:b w:val="false"/>
                  <w:color w:val="0000FF"/>
                  <w:sz w:val="20"/>
                  <w:u w:val="single"/>
                </w:rPr>
                <w:t>Disclosure Regarding Foreign Jurisdictions that Prevent Inspections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f718fd861814da79dc80fa32884b818_205">
              <w:r>
                <w:rPr>
                  <w:rStyle w:val="InternetLink"/>
                  <w:rFonts w:ascii="Times New Roman;sans-serif" w:hAnsi="Times New Roman;sans-serif"/>
                  <w:b w:val="false"/>
                  <w:strike w:val="false"/>
                  <w:dstrike w:val="false"/>
                  <w:color w:val="000000"/>
                  <w:sz w:val="20"/>
                  <w:u w:val="none"/>
                  <w:effect w:val="none"/>
                </w:rPr>
                <w:t>62</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3f718fd861814da79dc80fa32884b818_208">
              <w:r>
                <w:rPr>
                  <w:rStyle w:val="InternetLink"/>
                  <w:rFonts w:ascii="Times New Roman;sans-serif" w:hAnsi="Times New Roman;sans-serif"/>
                  <w:b/>
                  <w:color w:val="0000FF"/>
                  <w:sz w:val="20"/>
                  <w:u w:val="single"/>
                </w:rPr>
                <w:t>PART III</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718fd861814da79dc80fa32884b818_211">
              <w:r>
                <w:rPr>
                  <w:rStyle w:val="InternetLink"/>
                  <w:rFonts w:ascii="Times New Roman;sans-serif" w:hAnsi="Times New Roman;sans-serif"/>
                  <w:b w:val="false"/>
                  <w:strike w:val="false"/>
                  <w:dstrike w:val="false"/>
                  <w:color w:val="000000"/>
                  <w:sz w:val="20"/>
                  <w:u w:val="none"/>
                  <w:effect w:val="none"/>
                </w:rPr>
                <w:t>Item 10.</w:t>
              </w:r>
            </w:hyperlink>
          </w:p>
        </w:tc>
        <w:tc>
          <w:tcPr>
            <w:tcW w:w="8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718fd861814da79dc80fa32884b818_211">
              <w:r>
                <w:rPr>
                  <w:rStyle w:val="InternetLink"/>
                  <w:rFonts w:ascii="Times New Roman;sans-serif" w:hAnsi="Times New Roman;sans-serif"/>
                  <w:b w:val="false"/>
                  <w:color w:val="0000FF"/>
                  <w:sz w:val="20"/>
                  <w:u w:val="single"/>
                </w:rPr>
                <w:t>Directors, Executive Officers and Corporate Governance</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f718fd861814da79dc80fa32884b818_211">
              <w:r>
                <w:rPr>
                  <w:rStyle w:val="InternetLink"/>
                  <w:rFonts w:ascii="Times New Roman;sans-serif" w:hAnsi="Times New Roman;sans-serif"/>
                  <w:b w:val="false"/>
                  <w:strike w:val="false"/>
                  <w:dstrike w:val="false"/>
                  <w:color w:val="000000"/>
                  <w:sz w:val="20"/>
                  <w:u w:val="none"/>
                  <w:effect w:val="none"/>
                </w:rPr>
                <w:t>63</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718fd861814da79dc80fa32884b818_214">
              <w:r>
                <w:rPr>
                  <w:rStyle w:val="InternetLink"/>
                  <w:rFonts w:ascii="Times New Roman;sans-serif" w:hAnsi="Times New Roman;sans-serif"/>
                  <w:b w:val="false"/>
                  <w:strike w:val="false"/>
                  <w:dstrike w:val="false"/>
                  <w:color w:val="000000"/>
                  <w:sz w:val="20"/>
                  <w:u w:val="none"/>
                  <w:effect w:val="none"/>
                </w:rPr>
                <w:t>Item 11.</w:t>
              </w:r>
            </w:hyperlink>
          </w:p>
        </w:tc>
        <w:tc>
          <w:tcPr>
            <w:tcW w:w="8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718fd861814da79dc80fa32884b818_214">
              <w:r>
                <w:rPr>
                  <w:rStyle w:val="InternetLink"/>
                  <w:rFonts w:ascii="Times New Roman;sans-serif" w:hAnsi="Times New Roman;sans-serif"/>
                  <w:b w:val="false"/>
                  <w:color w:val="0000FF"/>
                  <w:sz w:val="20"/>
                  <w:u w:val="single"/>
                </w:rPr>
                <w:t>Executive Compensation</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f718fd861814da79dc80fa32884b818_214">
              <w:r>
                <w:rPr>
                  <w:rStyle w:val="InternetLink"/>
                  <w:rFonts w:ascii="Times New Roman;sans-serif" w:hAnsi="Times New Roman;sans-serif"/>
                  <w:b w:val="false"/>
                  <w:strike w:val="false"/>
                  <w:dstrike w:val="false"/>
                  <w:color w:val="000000"/>
                  <w:sz w:val="20"/>
                  <w:u w:val="none"/>
                  <w:effect w:val="none"/>
                </w:rPr>
                <w:t>63</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718fd861814da79dc80fa32884b818_217">
              <w:r>
                <w:rPr>
                  <w:rStyle w:val="InternetLink"/>
                  <w:rFonts w:ascii="Times New Roman;sans-serif" w:hAnsi="Times New Roman;sans-serif"/>
                  <w:b w:val="false"/>
                  <w:strike w:val="false"/>
                  <w:dstrike w:val="false"/>
                  <w:color w:val="000000"/>
                  <w:sz w:val="20"/>
                  <w:u w:val="none"/>
                  <w:effect w:val="none"/>
                </w:rPr>
                <w:t>Item 12.</w:t>
              </w:r>
            </w:hyperlink>
          </w:p>
        </w:tc>
        <w:tc>
          <w:tcPr>
            <w:tcW w:w="8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718fd861814da79dc80fa32884b818_217">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f718fd861814da79dc80fa32884b818_217">
              <w:r>
                <w:rPr>
                  <w:rStyle w:val="InternetLink"/>
                  <w:rFonts w:ascii="Times New Roman;sans-serif" w:hAnsi="Times New Roman;sans-serif"/>
                  <w:b w:val="false"/>
                  <w:strike w:val="false"/>
                  <w:dstrike w:val="false"/>
                  <w:color w:val="000000"/>
                  <w:sz w:val="20"/>
                  <w:u w:val="none"/>
                  <w:effect w:val="none"/>
                </w:rPr>
                <w:t>63</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718fd861814da79dc80fa32884b818_220">
              <w:r>
                <w:rPr>
                  <w:rStyle w:val="InternetLink"/>
                  <w:rFonts w:ascii="Times New Roman;sans-serif" w:hAnsi="Times New Roman;sans-serif"/>
                  <w:b w:val="false"/>
                  <w:strike w:val="false"/>
                  <w:dstrike w:val="false"/>
                  <w:color w:val="000000"/>
                  <w:sz w:val="20"/>
                  <w:u w:val="none"/>
                  <w:effect w:val="none"/>
                </w:rPr>
                <w:t>Item 13.</w:t>
              </w:r>
            </w:hyperlink>
          </w:p>
        </w:tc>
        <w:tc>
          <w:tcPr>
            <w:tcW w:w="8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718fd861814da79dc80fa32884b818_220">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f718fd861814da79dc80fa32884b818_220">
              <w:r>
                <w:rPr>
                  <w:rStyle w:val="InternetLink"/>
                  <w:rFonts w:ascii="Times New Roman;sans-serif" w:hAnsi="Times New Roman;sans-serif"/>
                  <w:b w:val="false"/>
                  <w:strike w:val="false"/>
                  <w:dstrike w:val="false"/>
                  <w:color w:val="000000"/>
                  <w:sz w:val="20"/>
                  <w:u w:val="none"/>
                  <w:effect w:val="none"/>
                </w:rPr>
                <w:t>63</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718fd861814da79dc80fa32884b818_223">
              <w:r>
                <w:rPr>
                  <w:rStyle w:val="InternetLink"/>
                  <w:rFonts w:ascii="Times New Roman;sans-serif" w:hAnsi="Times New Roman;sans-serif"/>
                  <w:b w:val="false"/>
                  <w:strike w:val="false"/>
                  <w:dstrike w:val="false"/>
                  <w:color w:val="000000"/>
                  <w:sz w:val="20"/>
                  <w:u w:val="none"/>
                  <w:effect w:val="none"/>
                </w:rPr>
                <w:t>Item 14.</w:t>
              </w:r>
            </w:hyperlink>
          </w:p>
        </w:tc>
        <w:tc>
          <w:tcPr>
            <w:tcW w:w="8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718fd861814da79dc80fa32884b818_223">
              <w:r>
                <w:rPr>
                  <w:rStyle w:val="InternetLink"/>
                  <w:rFonts w:ascii="Times New Roman;sans-serif" w:hAnsi="Times New Roman;sans-serif"/>
                  <w:b w:val="false"/>
                  <w:color w:val="0000FF"/>
                  <w:sz w:val="20"/>
                  <w:u w:val="single"/>
                </w:rPr>
                <w:t>Principal Accounting Fees and Services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f718fd861814da79dc80fa32884b818_223">
              <w:r>
                <w:rPr>
                  <w:rStyle w:val="InternetLink"/>
                  <w:rFonts w:ascii="Times New Roman;sans-serif" w:hAnsi="Times New Roman;sans-serif"/>
                  <w:b w:val="false"/>
                  <w:strike w:val="false"/>
                  <w:dstrike w:val="false"/>
                  <w:color w:val="000000"/>
                  <w:sz w:val="20"/>
                  <w:u w:val="none"/>
                  <w:effect w:val="none"/>
                </w:rPr>
                <w:t>63</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3f718fd861814da79dc80fa32884b818_226">
              <w:r>
                <w:rPr>
                  <w:rStyle w:val="InternetLink"/>
                  <w:rFonts w:ascii="Times New Roman;sans-serif" w:hAnsi="Times New Roman;sans-serif"/>
                  <w:b/>
                  <w:color w:val="0000FF"/>
                  <w:sz w:val="20"/>
                  <w:u w:val="single"/>
                </w:rPr>
                <w:t>PART IV</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718fd861814da79dc80fa32884b818_232">
              <w:r>
                <w:rPr>
                  <w:rStyle w:val="InternetLink"/>
                  <w:rFonts w:ascii="Times New Roman;sans-serif" w:hAnsi="Times New Roman;sans-serif"/>
                  <w:b w:val="false"/>
                  <w:strike w:val="false"/>
                  <w:dstrike w:val="false"/>
                  <w:color w:val="000000"/>
                  <w:sz w:val="20"/>
                  <w:u w:val="none"/>
                  <w:effect w:val="none"/>
                </w:rPr>
                <w:t>Item 15.</w:t>
              </w:r>
            </w:hyperlink>
          </w:p>
        </w:tc>
        <w:tc>
          <w:tcPr>
            <w:tcW w:w="8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718fd861814da79dc80fa32884b818_229">
              <w:r>
                <w:rPr>
                  <w:rStyle w:val="InternetLink"/>
                  <w:rFonts w:ascii="Times New Roman;sans-serif" w:hAnsi="Times New Roman;sans-serif"/>
                  <w:b w:val="false"/>
                  <w:color w:val="0000FF"/>
                  <w:sz w:val="20"/>
                  <w:u w:val="single"/>
                </w:rPr>
                <w:t>Exhibits, Financial Statement Schedules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f718fd861814da79dc80fa32884b818_229">
              <w:r>
                <w:rPr>
                  <w:rStyle w:val="InternetLink"/>
                  <w:rFonts w:ascii="Times New Roman;sans-serif" w:hAnsi="Times New Roman;sans-serif"/>
                  <w:b w:val="false"/>
                  <w:strike w:val="false"/>
                  <w:dstrike w:val="false"/>
                  <w:color w:val="000000"/>
                  <w:sz w:val="20"/>
                  <w:u w:val="none"/>
                  <w:effect w:val="none"/>
                </w:rPr>
                <w:t>63</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16.</w:t>
            </w:r>
          </w:p>
        </w:tc>
        <w:tc>
          <w:tcPr>
            <w:tcW w:w="8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718fd861814da79dc80fa32884b818_232">
              <w:r>
                <w:rPr>
                  <w:rStyle w:val="InternetLink"/>
                  <w:rFonts w:ascii="Times New Roman;sans-serif" w:hAnsi="Times New Roman;sans-serif"/>
                  <w:b w:val="false"/>
                  <w:color w:val="0000FF"/>
                  <w:sz w:val="20"/>
                  <w:u w:val="single"/>
                </w:rPr>
                <w:t>Form 10-K Summary</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f718fd861814da79dc80fa32884b818_232">
              <w:r>
                <w:rPr>
                  <w:rStyle w:val="InternetLink"/>
                  <w:rFonts w:ascii="Times New Roman;sans-serif" w:hAnsi="Times New Roman;sans-serif"/>
                  <w:b w:val="false"/>
                  <w:strike w:val="false"/>
                  <w:dstrike w:val="false"/>
                  <w:color w:val="000000"/>
                  <w:sz w:val="20"/>
                  <w:u w:val="none"/>
                  <w:effect w:val="none"/>
                </w:rPr>
                <w:t>65</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f718fd861814da79dc80fa32884b818_235">
              <w:r>
                <w:rPr>
                  <w:rStyle w:val="InternetLink"/>
                  <w:rFonts w:ascii="Times New Roman;sans-serif" w:hAnsi="Times New Roman;sans-serif"/>
                  <w:b/>
                  <w:color w:val="0000FF"/>
                  <w:sz w:val="20"/>
                  <w:u w:val="single"/>
                </w:rPr>
                <w:t>SIGNATURES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f718fd861814da79dc80fa32884b818_235">
              <w:r>
                <w:rPr>
                  <w:rStyle w:val="InternetLink"/>
                  <w:rFonts w:ascii="Times New Roman;sans-serif" w:hAnsi="Times New Roman;sans-serif"/>
                  <w:b w:val="false"/>
                  <w:strike w:val="false"/>
                  <w:dstrike w:val="false"/>
                  <w:color w:val="000000"/>
                  <w:sz w:val="20"/>
                  <w:u w:val="none"/>
                  <w:effect w:val="none"/>
                </w:rPr>
                <w:t>66</w:t>
              </w:r>
            </w:hyperlink>
          </w:p>
        </w:tc>
      </w:tr>
    </w:tbl>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Unless the context otherwise requires, for purposes of the Annual Report on Form 10-K, the words “we,” “us,” “our,” the “Company,” “SPS,” and “SPS Commerce” refer to SPS Commerce,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897890"/>
                <wp:effectExtent l="0" t="0" r="0" b="0"/>
                <wp:wrapNone/>
                <wp:docPr id="3" name="Frame2"/>
                <a:graphic xmlns:a="http://schemas.openxmlformats.org/drawingml/2006/main">
                  <a:graphicData uri="http://schemas.microsoft.com/office/word/2010/wordprocessingShape">
                    <wps:wsp>
                      <wps:cNvSpPr txBox="1"/>
                      <wps:spPr>
                        <a:xfrm>
                          <a:off x="0" y="0"/>
                          <a:ext cx="6480175" cy="897890"/>
                        </a:xfrm>
                        <a:prstGeom prst="rect"/>
                        <a:solidFill>
                          <a:srgbClr val="FFFFFF"/>
                        </a:solidFill>
                      </wps:spPr>
                      <wps:txb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38125" cy="2381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238125" cy="238125"/>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7pt;mso-wrap-distance-left:0pt;mso-wrap-distance-right:0pt;mso-wrap-distance-top:0pt;mso-wrap-distance-bottom:0pt;margin-top:0pt;mso-position-vertical:top;mso-position-vertical-relative:text;margin-left:0pt;mso-position-horizontal:left;mso-position-horizontal-relative:text">
                <v:textbo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38125" cy="2381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4"/>
                                          <a:stretch>
                                            <a:fillRect/>
                                          </a:stretch>
                                        </pic:blipFill>
                                        <pic:spPr bwMode="auto">
                                          <a:xfrm>
                                            <a:off x="0" y="0"/>
                                            <a:ext cx="238125" cy="238125"/>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3f718fd861814da79dc80fa32884b81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INFORMATION</w:t>
      </w:r>
    </w:p>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This Annual Report on Form 10-K contains forward-looking statements</w:t>
      </w:r>
      <w:r>
        <w:rPr>
          <w:color w:val="000000"/>
        </w:rPr>
        <w:t xml:space="preserve"> </w:t>
      </w:r>
      <w:r>
        <w:rPr>
          <w:rFonts w:ascii="Times New Roman;sans-serif" w:hAnsi="Times New Roman;sans-serif"/>
          <w:b w:val="false"/>
          <w:i/>
          <w:color w:val="000000"/>
          <w:sz w:val="20"/>
        </w:rPr>
        <w:t>within the meaning of the U.S. Private Securities Litigation Reform Act of 1995. Forward looking statements regarding us, our business prospects and our results of operations are subject to certain risks and uncertainties posed by many factors and events that could cause our actual business, prospects and results of operations to differ materially from those that may be anticipated by such forward-looking statements. Readers are cautioned not to place undue reliance on these forward-looking statements, which speak only as of the date of this report. In some cases, you can identify forward-looking statements by the following words: “anticipate,” “assume,” “believe,” “continue,” “could,” “estimate,” “expect,” “intend,” “may,” “ongoing,” “plan,” “potential,” “predict,” “project,” “should,” “will,” “would,” or the negative of these terms or other comparable terminology, although not all forward-looking statements contain these words. Similarly, statements that describe our future plans, objectives or goals are also forward-looking. Forward-looking statements may also be made from time to time in oral presentations, including telephone conferences and/or webcasts open to the public. Shareholders, potential investors, and others are cautioned that all forward-looking statements involve risks and uncertainties that could cause results in future periods to differ materially from those anticipated by some of the statements made in this report, including the risks and uncertainties described in Part I, Item IA, “Risk Factors” of this Annual Report on Form 10-K for the year ended December 31, 2023, as may be updated in our subsequent Quarterly Reports on Form 10-Q or other filings from time to time. We expressly disclaim any intent or obligation to update or revise any forward-looking statements, whether as a result of new information, future events or otherwise. Readers are urged to carefully review and consider the various disclosures made by us in this report and in our other reports filed with the U.S. Securities and Exchange Commission ("SEC") that advise interested parties of the risks and factors that may affect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897890"/>
                <wp:effectExtent l="0" t="0" r="0" b="0"/>
                <wp:wrapNone/>
                <wp:docPr id="6" name="Frame3"/>
                <a:graphic xmlns:a="http://schemas.openxmlformats.org/drawingml/2006/main">
                  <a:graphicData uri="http://schemas.microsoft.com/office/word/2010/wordprocessingShape">
                    <wps:wsp>
                      <wps:cNvSpPr txBox="1"/>
                      <wps:spPr>
                        <a:xfrm>
                          <a:off x="0" y="0"/>
                          <a:ext cx="6480175" cy="897890"/>
                        </a:xfrm>
                        <a:prstGeom prst="rect"/>
                        <a:solidFill>
                          <a:srgbClr val="FFFFFF"/>
                        </a:solidFill>
                      </wps:spPr>
                      <wps:txb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38125" cy="23812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5"/>
                                                <a:stretch>
                                                  <a:fillRect/>
                                                </a:stretch>
                                              </pic:blipFill>
                                              <pic:spPr bwMode="auto">
                                                <a:xfrm>
                                                  <a:off x="0" y="0"/>
                                                  <a:ext cx="238125" cy="238125"/>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7pt;mso-wrap-distance-left:0pt;mso-wrap-distance-right:0pt;mso-wrap-distance-top:0pt;mso-wrap-distance-bottom:0pt;margin-top:0pt;mso-position-vertical:top;mso-position-vertical-relative:text;margin-left:0pt;mso-position-horizontal:left;mso-position-horizontal-relative:text">
                <v:textbo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38125" cy="238125"/>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6"/>
                                          <a:stretch>
                                            <a:fillRect/>
                                          </a:stretch>
                                        </pic:blipFill>
                                        <pic:spPr bwMode="auto">
                                          <a:xfrm>
                                            <a:off x="0" y="0"/>
                                            <a:ext cx="238125" cy="238125"/>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3f718fd861814da79dc80fa32884b81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60" w:after="283"/>
        <w:jc w:val="center"/>
        <w:rPr>
          <w:rFonts w:ascii="Times New Roman;sans-serif" w:hAnsi="Times New Roman;sans-serif"/>
          <w:b/>
          <w:color w:val="00AAE5"/>
          <w:sz w:val="20"/>
        </w:rPr>
      </w:pPr>
      <w:r>
        <w:rPr>
          <w:rFonts w:ascii="Times New Roman;sans-serif" w:hAnsi="Times New Roman;sans-serif"/>
          <w:b/>
          <w:color w:val="00AAE5"/>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ans-serif" w:hAnsi="Times New Roman;sans-serif"/>
          <w:b/>
          <w:color w:val="00AAE5"/>
          <w:sz w:val="20"/>
        </w:rPr>
      </w:pPr>
      <w:r>
        <w:rPr>
          <w:rFonts w:ascii="Times New Roman;sans-serif" w:hAnsi="Times New Roman;sans-serif"/>
          <w:b/>
          <w:color w:val="00AAE5"/>
          <w:sz w:val="20"/>
        </w:rPr>
        <w:t>Item 1.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AAE5"/>
          <w:sz w:val="20"/>
        </w:rPr>
      </w:pPr>
      <w:r>
        <w:rPr>
          <w:rFonts w:ascii="Times New Roman;sans-serif" w:hAnsi="Times New Roman;sans-serif"/>
          <w:b/>
          <w:color w:val="00AAE5"/>
          <w:sz w:val="20"/>
        </w:rPr>
        <w:t>Overview</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SPS Commerce is a leading provider of cloud-based supply chain management services across our global retail network. Our products make it easier for retailers, grocers, distributors, suppliers, and logistics firms to communicate and collaborate by simplifying how they manage and share item, inventory, order and sales data across omnichannel retail channels. We deliver our products using a full-service model, which includes industry-leading technology and a team of experts that optimize, update, and operate the technology on customers' behalf.</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products enable customers to increase supply chain performance, optimize inventory levels and sell-through, reduce operational costs, improve order visibility, and satisfy consumer demands for a seamless omnichannel experience.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approximately 44,800 customers with ongoing contracts to pay us monthly fees, which we refer to as recurring revenue customers. In addition to our recurring revenue customers, to date we have provided our cloud-based supply chain management services to approximately 75,200 other organizations, and we refer to the combination as our customers. Once connected to the SPS Commerce cloud-based retail network, our customers often require additional integrations to new organizations that represent an expansion of our cloud-based network and new sources of revenues for us.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2023, 2022, and 2021, we generated revenues of $536.9 million, $450.9 million, and $385.3 million, respectively. Our quarter ended December 31, 2023 represented our 92nd consecutive quarter of revenue growth. Recurring revenues from recurring revenue customers accounted for 94%, 93%, and 92% of our total revenues for the years ended December 31, 2023, 2022, and 2021, respectively. Our revenues are not concentrated with any customer, as our largest customer represented less than 1% of total revenues for the years ended December 31, 2023, 2022, and 2021.</w:t>
      </w:r>
    </w:p>
    <w:p>
      <w:pPr>
        <w:pStyle w:val="TextBody"/>
        <w:bidi w:val="0"/>
        <w:spacing w:lineRule="auto" w:line="288" w:before="360" w:after="283"/>
        <w:jc w:val="left"/>
        <w:rPr>
          <w:rFonts w:ascii="Times New Roman;sans-serif" w:hAnsi="Times New Roman;sans-serif"/>
          <w:b/>
          <w:color w:val="00AAE5"/>
          <w:sz w:val="20"/>
        </w:rPr>
      </w:pPr>
      <w:r>
        <w:rPr>
          <w:rFonts w:ascii="Times New Roman;sans-serif" w:hAnsi="Times New Roman;sans-serif"/>
          <w:b/>
          <w:color w:val="00AAE5"/>
          <w:sz w:val="20"/>
        </w:rPr>
        <w:t>Increasing Demand for a Retail Network</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retail industry has undergone many changes in recent years, which have accelerated the need for a more automated supply chain. To navigate disruptions and meet growing consumer demands, companies across the retail ecosystem need to integrate their operations and communications from wholesale, eCommerce, and marketplace sales channels into a single omnichannel process. These channels no longer operate independently but instead in an interconnected fashion as consumers demand more buying and delivery options. The coordination needed to manage multiple channels adds complexity to supply chains and trading partner relationships.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SPS Commerce retail network offers a single destination where companies can manage item details, orders, shipments, invoices, and much more for any customer and any channel. The network provides businesses with a comprehensive view of retail transactions, enabling them to optimize inventory and fulfill orders efficiently, regardless of channel. Customers use our retail network to manage all channels in a single system, saving time and reducing errors.</w:t>
      </w:r>
    </w:p>
    <w:p>
      <w:pPr>
        <w:pStyle w:val="TextBody"/>
        <w:bidi w:val="0"/>
        <w:spacing w:lineRule="auto" w:line="288" w:before="360" w:after="283"/>
        <w:jc w:val="left"/>
        <w:rPr>
          <w:rFonts w:ascii="Times New Roman;sans-serif" w:hAnsi="Times New Roman;sans-serif"/>
          <w:b/>
          <w:color w:val="00AAE5"/>
          <w:sz w:val="20"/>
        </w:rPr>
      </w:pPr>
      <w:r>
        <w:rPr>
          <w:rFonts w:ascii="Times New Roman;sans-serif" w:hAnsi="Times New Roman;sans-serif"/>
          <w:b/>
          <w:color w:val="00AAE5"/>
          <w:sz w:val="20"/>
        </w:rPr>
        <w:t>Our Products</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SPS Commerce operates one of the largest retail networks in the world to improve the way retailers, grocers, distributors, suppliers, and logistics firms manage digital item catalogs, fulfill omnichannel orders, optimize sell-through performance, and automate new trading relationships. To date</w:t>
      </w:r>
      <w:r>
        <w:rPr>
          <w:rFonts w:ascii="Times New Roman;sans-serif" w:hAnsi="Times New Roman;sans-serif"/>
          <w:b w:val="false"/>
          <w:color w:val="000000"/>
          <w:sz w:val="20"/>
          <w:shd w:fill="FFFFFF" w:val="clear"/>
        </w:rPr>
        <w:t>,</w:t>
      </w:r>
      <w:r>
        <w:rPr>
          <w:color w:val="000000"/>
        </w:rPr>
        <w:t xml:space="preserve"> </w:t>
      </w:r>
      <w:r>
        <w:rPr>
          <w:rFonts w:ascii="Times New Roman;sans-serif" w:hAnsi="Times New Roman;sans-serif"/>
          <w:b w:val="false"/>
          <w:color w:val="000000"/>
          <w:sz w:val="20"/>
        </w:rPr>
        <w:t>120,000 customers across approximately 85 countries have used SPS Comm</w:t>
      </w:r>
      <w:r>
        <w:rPr>
          <w:rFonts w:ascii="Times New Roman;sans-serif" w:hAnsi="Times New Roman;sans-serif"/>
          <w:b w:val="false"/>
          <w:color w:val="000000"/>
          <w:sz w:val="20"/>
          <w:shd w:fill="FFFFFF" w:val="clear"/>
        </w:rPr>
        <w:t>erce products to expand and optimize the performance of their trading relationships through the network.</w:t>
      </w:r>
    </w:p>
    <w:p>
      <w:pPr>
        <w:pStyle w:val="TextBody"/>
        <w:bidi w:val="0"/>
        <w:spacing w:lineRule="auto" w:line="288" w:before="12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products fundamentally change how organizations communicate information to manage their omnichannel, supply chain, and other business requirements. Our products replace traditional, manual, or disparate approaches (such as email, phone, and fax), multiple channel-specific solution providers, as well as custom-built, point-to-point integrations by delivering a single smart connection to the entire SPS Commerce retail network of prebuilt connections to thousands of global trading partners.</w:t>
      </w:r>
    </w:p>
    <w:p>
      <w:pPr>
        <w:pStyle w:val="TextBody"/>
        <w:bidi w:val="0"/>
        <w:spacing w:before="120" w:after="283"/>
        <w:ind w:left="0" w:right="0" w:firstLine="540"/>
        <w:jc w:val="left"/>
        <w:rPr/>
      </w:pPr>
      <w:r>
        <w:rPr/>
      </w:r>
    </w:p>
    <w:p>
      <w:pPr>
        <w:pStyle w:val="TextBody"/>
        <w:bidi w:val="0"/>
        <w:spacing w:before="120" w:after="283"/>
        <w:ind w:left="0" w:right="0" w:firstLine="540"/>
        <w:jc w:val="left"/>
        <w:rPr/>
      </w:pPr>
      <w:r>
        <w:rPr/>
      </w:r>
    </w:p>
    <w:p>
      <w:pPr>
        <w:pStyle w:val="TextBody"/>
        <w:bidi w:val="0"/>
        <w:spacing w:before="120" w:after="283"/>
        <w:ind w:left="0" w:right="0" w:firstLine="540"/>
        <w:jc w:val="left"/>
        <w:rPr/>
      </w:pPr>
      <w:r>
        <w:rPr/>
      </w:r>
    </w:p>
    <w:p>
      <w:pPr>
        <w:pStyle w:val="TextBody"/>
        <w:bidi w:val="0"/>
        <w:spacing w:before="120" w:after="283"/>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897890"/>
                <wp:effectExtent l="0" t="0" r="0" b="0"/>
                <wp:wrapNone/>
                <wp:docPr id="9" name="Frame4"/>
                <a:graphic xmlns:a="http://schemas.openxmlformats.org/drawingml/2006/main">
                  <a:graphicData uri="http://schemas.microsoft.com/office/word/2010/wordprocessingShape">
                    <wps:wsp>
                      <wps:cNvSpPr txBox="1"/>
                      <wps:spPr>
                        <a:xfrm>
                          <a:off x="0" y="0"/>
                          <a:ext cx="6480175" cy="897890"/>
                        </a:xfrm>
                        <a:prstGeom prst="rect"/>
                        <a:solidFill>
                          <a:srgbClr val="FFFFFF"/>
                        </a:solidFill>
                      </wps:spPr>
                      <wps:txb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38125" cy="238125"/>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7"/>
                                                <a:stretch>
                                                  <a:fillRect/>
                                                </a:stretch>
                                              </pic:blipFill>
                                              <pic:spPr bwMode="auto">
                                                <a:xfrm>
                                                  <a:off x="0" y="0"/>
                                                  <a:ext cx="238125" cy="238125"/>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7pt;mso-wrap-distance-left:0pt;mso-wrap-distance-right:0pt;mso-wrap-distance-top:0pt;mso-wrap-distance-bottom:0pt;margin-top:0pt;mso-position-vertical:top;mso-position-vertical-relative:text;margin-left:0pt;mso-position-horizontal:left;mso-position-horizontal-relative:text">
                <v:textbo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38125" cy="238125"/>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8"/>
                                          <a:stretch>
                                            <a:fillRect/>
                                          </a:stretch>
                                        </pic:blipFill>
                                        <pic:spPr bwMode="auto">
                                          <a:xfrm>
                                            <a:off x="0" y="0"/>
                                            <a:ext cx="238125" cy="238125"/>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3f718fd861814da79dc80fa32884b81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2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products include:</w:t>
      </w:r>
    </w:p>
    <w:p>
      <w:pPr>
        <w:pStyle w:val="TextBody"/>
        <w:bidi w:val="0"/>
        <w:spacing w:lineRule="auto" w:line="288" w:before="120" w:after="283"/>
        <w:ind w:left="0" w:right="0" w:hanging="540"/>
        <w:jc w:val="left"/>
        <w:rPr/>
      </w:pPr>
      <w:r>
        <w:rPr>
          <w:color w:val="000000"/>
          <w:shd w:fill="FFFFFF" w:val="clear"/>
        </w:rPr>
        <w:t>•</w:t>
      </w:r>
      <w:r>
        <w:rPr>
          <w:rFonts w:ascii="Times New Roman;sans-serif" w:hAnsi="Times New Roman;sans-serif"/>
          <w:b/>
          <w:i/>
          <w:color w:val="000000"/>
          <w:sz w:val="20"/>
          <w:shd w:fill="FFFFFF" w:val="clear"/>
        </w:rPr>
        <w:t xml:space="preserve">Fulfillment - </w:t>
      </w:r>
      <w:r>
        <w:rPr>
          <w:rFonts w:ascii="Times New Roman;sans-serif" w:hAnsi="Times New Roman;sans-serif"/>
          <w:b w:val="false"/>
          <w:color w:val="000000"/>
          <w:sz w:val="20"/>
          <w:shd w:fill="FFFFFF" w:val="clear"/>
        </w:rPr>
        <w:t>Our Fulfillment product is a full-service electronic data interchange ("EDI") solution that scales as a business grows. Companies can use a single system to manage orders and logistics from all sales channels, including wholesale, eCommerce, and marketplaces. Fulfillment is configurable for any trading partner, document or business system used for order management and offers a full suite of tools to help businesses efficiently manage their supply chain.</w:t>
      </w:r>
    </w:p>
    <w:p>
      <w:pPr>
        <w:pStyle w:val="TextBody"/>
        <w:bidi w:val="0"/>
        <w:spacing w:lineRule="auto" w:line="288" w:before="120" w:after="283"/>
        <w:ind w:left="0" w:right="0" w:hanging="540"/>
        <w:jc w:val="left"/>
        <w:rPr/>
      </w:pPr>
      <w:r>
        <w:rPr>
          <w:color w:val="000000"/>
          <w:shd w:fill="FFFFFF" w:val="clear"/>
        </w:rPr>
        <w:t>•</w:t>
      </w:r>
      <w:r>
        <w:rPr>
          <w:rFonts w:ascii="Times New Roman;sans-serif" w:hAnsi="Times New Roman;sans-serif"/>
          <w:b/>
          <w:i/>
          <w:color w:val="000000"/>
          <w:sz w:val="20"/>
          <w:shd w:fill="FFFFFF" w:val="clear"/>
        </w:rPr>
        <w:t>Analytics</w:t>
      </w:r>
      <w:r>
        <w:rPr>
          <w:color w:val="000000"/>
          <w:shd w:fill="FFFFFF" w:val="clear"/>
        </w:rPr>
        <w:t xml:space="preserve"> </w:t>
      </w:r>
      <w:r>
        <w:rPr>
          <w:rFonts w:ascii="Times New Roman;sans-serif" w:hAnsi="Times New Roman;sans-serif"/>
          <w:b w:val="false"/>
          <w:i/>
          <w:color w:val="000000"/>
          <w:sz w:val="20"/>
          <w:shd w:fill="FFFFFF" w:val="clear"/>
        </w:rPr>
        <w:t xml:space="preserve">- </w:t>
      </w:r>
      <w:r>
        <w:rPr>
          <w:rFonts w:ascii="Times New Roman;sans-serif" w:hAnsi="Times New Roman;sans-serif"/>
          <w:b w:val="false"/>
          <w:color w:val="000000"/>
          <w:sz w:val="20"/>
          <w:shd w:fill="FFFFFF" w:val="clear"/>
        </w:rPr>
        <w:t>Our Analytics product enables organizations to improve visibility into how products are selling through a single connection across all sales channels, including wholesale, eCommerce, and marketplaces. Analytics improves access and usage of sales and inventory data through a combination of our analytics applications, network of connections, and industry-leading expertise.</w:t>
      </w:r>
    </w:p>
    <w:p>
      <w:pPr>
        <w:pStyle w:val="TextBody"/>
        <w:bidi w:val="0"/>
        <w:spacing w:lineRule="auto" w:line="288" w:before="120" w:after="283"/>
        <w:ind w:left="0" w:right="0" w:hanging="540"/>
        <w:jc w:val="left"/>
        <w:rPr/>
      </w:pPr>
      <w:r>
        <w:rPr>
          <w:color w:val="000000"/>
          <w:shd w:fill="FFFFFF" w:val="clear"/>
        </w:rPr>
        <w:t>•</w:t>
      </w:r>
      <w:r>
        <w:rPr>
          <w:rFonts w:ascii="Times New Roman;sans-serif" w:hAnsi="Times New Roman;sans-serif"/>
          <w:b/>
          <w:i/>
          <w:color w:val="000000"/>
          <w:sz w:val="20"/>
          <w:shd w:fill="FFFFFF" w:val="clear"/>
        </w:rPr>
        <w:t>Other Products -</w:t>
      </w:r>
      <w:r>
        <w:rPr>
          <w:color w:val="000000"/>
          <w:shd w:fill="FFFFFF" w:val="clear"/>
        </w:rPr>
        <w:t xml:space="preserve"> </w:t>
      </w:r>
      <w:r>
        <w:rPr>
          <w:rFonts w:ascii="Times New Roman;sans-serif" w:hAnsi="Times New Roman;sans-serif"/>
          <w:b w:val="false"/>
          <w:color w:val="000000"/>
          <w:sz w:val="20"/>
          <w:shd w:fill="FFFFFF" w:val="clear"/>
        </w:rPr>
        <w:t>We provide several complementary products, such as:</w:t>
      </w:r>
    </w:p>
    <w:p>
      <w:pPr>
        <w:pStyle w:val="TextBody"/>
        <w:bidi w:val="0"/>
        <w:spacing w:lineRule="auto" w:line="288" w:before="0" w:after="0"/>
        <w:ind w:left="0" w:right="0" w:hanging="540"/>
        <w:jc w:val="left"/>
        <w:rPr/>
      </w:pPr>
      <w:r>
        <w:rPr>
          <w:color w:val="000000"/>
          <w:shd w:fill="FFFFFF" w:val="clear"/>
        </w:rPr>
        <w:t>◦</w:t>
      </w:r>
      <w:r>
        <w:rPr>
          <w:rFonts w:ascii="Times New Roman;sans-serif" w:hAnsi="Times New Roman;sans-serif"/>
          <w:b w:val="false"/>
          <w:color w:val="000000"/>
          <w:sz w:val="20"/>
          <w:shd w:fill="FFFFFF" w:val="clear"/>
        </w:rPr>
        <w:t xml:space="preserve">Assortment </w:t>
      </w:r>
      <w:r>
        <w:rPr>
          <w:rFonts w:ascii="Times New Roman;sans-serif" w:hAnsi="Times New Roman;sans-serif"/>
          <w:b w:val="false"/>
          <w:i/>
          <w:color w:val="000000"/>
          <w:sz w:val="20"/>
        </w:rPr>
        <w:t>-</w:t>
      </w:r>
      <w:r>
        <w:rPr>
          <w:color w:val="000000"/>
          <w:shd w:fill="FFFFFF" w:val="clear"/>
        </w:rPr>
        <w:t xml:space="preserve"> </w:t>
      </w:r>
      <w:r>
        <w:rPr>
          <w:rFonts w:ascii="Times New Roman;sans-serif" w:hAnsi="Times New Roman;sans-serif"/>
          <w:b w:val="false"/>
          <w:color w:val="000000"/>
          <w:sz w:val="20"/>
          <w:shd w:fill="FFFFFF" w:val="clear"/>
        </w:rPr>
        <w:t>Our Assortment product simplifies the communication of robust, accurate item data by automatically translating item attributes, and hierarchies through a single connection across all sales channels.</w:t>
      </w:r>
    </w:p>
    <w:p>
      <w:pPr>
        <w:pStyle w:val="TextBody"/>
        <w:bidi w:val="0"/>
        <w:spacing w:lineRule="auto" w:line="288" w:before="0" w:after="0"/>
        <w:ind w:left="0" w:right="0" w:hanging="540"/>
        <w:jc w:val="left"/>
        <w:rPr/>
      </w:pPr>
      <w:r>
        <w:rPr>
          <w:color w:val="000000"/>
          <w:shd w:fill="FFFFFF" w:val="clear"/>
        </w:rPr>
        <w:t>◦</w:t>
      </w:r>
      <w:r>
        <w:rPr>
          <w:rFonts w:ascii="Times New Roman;sans-serif" w:hAnsi="Times New Roman;sans-serif"/>
          <w:b w:val="false"/>
          <w:color w:val="000000"/>
          <w:sz w:val="20"/>
          <w:shd w:fill="FFFFFF" w:val="clear"/>
        </w:rPr>
        <w:t xml:space="preserve">Community </w:t>
      </w:r>
      <w:r>
        <w:rPr>
          <w:rFonts w:ascii="Times New Roman;sans-serif" w:hAnsi="Times New Roman;sans-serif"/>
          <w:b w:val="false"/>
          <w:i/>
          <w:color w:val="000000"/>
          <w:sz w:val="20"/>
        </w:rPr>
        <w:t>-</w:t>
      </w:r>
      <w:r>
        <w:rPr>
          <w:color w:val="000000"/>
          <w:shd w:fill="FFFFFF" w:val="clear"/>
        </w:rPr>
        <w:t xml:space="preserve"> </w:t>
      </w:r>
      <w:r>
        <w:rPr>
          <w:rFonts w:ascii="Times New Roman;sans-serif" w:hAnsi="Times New Roman;sans-serif"/>
          <w:b w:val="false"/>
          <w:color w:val="000000"/>
          <w:sz w:val="20"/>
          <w:shd w:fill="FFFFFF" w:val="clear"/>
        </w:rPr>
        <w:t>Our Community product allows organizations to accelerate digitization of their supply chain and improve collaboration with suppliers through proven change management and onboarding programs.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these offerings, we also provide one-time services such as professional services and testing and certification.</w:t>
      </w:r>
    </w:p>
    <w:p>
      <w:pPr>
        <w:pStyle w:val="TextBody"/>
        <w:bidi w:val="0"/>
        <w:spacing w:lineRule="auto" w:line="288" w:before="360" w:after="283"/>
        <w:jc w:val="left"/>
        <w:rPr>
          <w:rFonts w:ascii="Times New Roman;sans-serif" w:hAnsi="Times New Roman;sans-serif"/>
          <w:b/>
          <w:color w:val="00AAE5"/>
          <w:sz w:val="20"/>
        </w:rPr>
      </w:pPr>
      <w:r>
        <w:rPr>
          <w:rFonts w:ascii="Times New Roman;sans-serif" w:hAnsi="Times New Roman;sans-serif"/>
          <w:b/>
          <w:color w:val="00AAE5"/>
          <w:sz w:val="20"/>
        </w:rPr>
        <w:t>Growing Our Network</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one of the largest providers of cloud-based services for retail supply chain management, SPS Commerce enables trading partner relationships among retailer, grocer, distributor, supplier, and logistics firms that naturally lead to new customer acquisition opportunities.</w:t>
      </w:r>
    </w:p>
    <w:p>
      <w:pPr>
        <w:pStyle w:val="TextBody"/>
        <w:bidi w:val="0"/>
        <w:spacing w:lineRule="auto" w:line="288" w:before="360" w:after="283"/>
        <w:jc w:val="left"/>
        <w:rPr>
          <w:color w:val="000000"/>
        </w:rPr>
      </w:pPr>
      <w:r>
        <w:rPr>
          <w:color w:val="000000"/>
        </w:rPr>
        <w:t>“</w:t>
      </w:r>
      <w:r>
        <w:rPr>
          <w:rFonts w:ascii="Times New Roman;sans-serif" w:hAnsi="Times New Roman;sans-serif"/>
          <w:b/>
          <w:i/>
          <w:color w:val="000000"/>
          <w:sz w:val="20"/>
        </w:rPr>
        <w:t>Network Effect”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Once connected to our retail network, trading partners can exchange electronic supply chain information with each other. The value of our network increases with the number of trading partners connected to it. After joining our retail network, customers often find that many of their existing or new trading partners are already on the network, allowing for easy connections. The addition of each new customer enables that new customer to communicate with our existing customers and permits our existing customers to do business with the new customer. This “network effect” of adding additional customers to our products’ infrastructure creates a significant opportunity for existing customers to realize incremental sales by working with our new trading partners and vice versa. As a result of this increased volume of activity among our network participants, we earn additional revenues from these participants.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Customer Acquisition Sources</w:t>
      </w:r>
    </w:p>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 xml:space="preserve">Community - </w:t>
      </w:r>
      <w:r>
        <w:rPr>
          <w:rFonts w:ascii="Times New Roman;sans-serif" w:hAnsi="Times New Roman;sans-serif"/>
          <w:b w:val="false"/>
          <w:color w:val="000000"/>
          <w:sz w:val="20"/>
        </w:rPr>
        <w:t>As retailers and suppliers reshape how they do business in an omnichannel landscape, they need to bring new capabilities and services to their trading partner networks. Our Community product is designed to manage this process and bring suppliers into compliance with new requirements. For instance, a supplier may wish to collaborate with their retailers around point-of-sale analytics data, or a retailer may decide to change the workflow or protocol by which it interacts with its suppliers. In each case, the supplier and retailer may engage us to work with their trading partner base to enable the new capability. Performing these programs on behalf of retailers and suppliers generates supplier sales leads for us.</w:t>
      </w:r>
    </w:p>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 xml:space="preserve">Referrals from Our Customers - </w:t>
      </w:r>
      <w:r>
        <w:rPr>
          <w:rFonts w:ascii="Times New Roman;sans-serif" w:hAnsi="Times New Roman;sans-serif"/>
          <w:b w:val="false"/>
          <w:color w:val="000000"/>
          <w:sz w:val="20"/>
        </w:rPr>
        <w:t>We also receive sales leads from our customers seeking to communicate electronically with their trading partners. For example, a supplier may refer a third-party logistics provider or manufacturer, which is not in our network, to us.</w:t>
      </w:r>
    </w:p>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 xml:space="preserve">Direct Marketing - </w:t>
      </w:r>
      <w:r>
        <w:rPr>
          <w:rFonts w:ascii="Times New Roman;sans-serif" w:hAnsi="Times New Roman;sans-serif"/>
          <w:b w:val="false"/>
          <w:color w:val="000000"/>
          <w:sz w:val="20"/>
        </w:rPr>
        <w:t>We employ various marketing strategies. Our marketing programs include a variety of lead generating activities including digital marketing, conferences and trade shows, sponsored events, and public relations activities targeted at key decision makers within our prospective customers.</w:t>
      </w:r>
    </w:p>
    <w:p>
      <w:pPr>
        <w:pStyle w:val="TextBody"/>
        <w:bidi w:val="0"/>
        <w:spacing w:before="120" w:after="283"/>
        <w:ind w:left="0" w:right="0" w:firstLine="540"/>
        <w:jc w:val="left"/>
        <w:rPr/>
      </w:pPr>
      <w:r>
        <w:rPr/>
      </w:r>
    </w:p>
    <w:p>
      <w:pPr>
        <w:pStyle w:val="TextBody"/>
        <w:bidi w:val="0"/>
        <w:spacing w:before="120" w:after="283"/>
        <w:ind w:left="0" w:right="0" w:firstLine="540"/>
        <w:jc w:val="left"/>
        <w:rPr/>
      </w:pPr>
      <w:r>
        <w:rPr/>
      </w:r>
    </w:p>
    <w:p>
      <w:pPr>
        <w:pStyle w:val="TextBody"/>
        <w:bidi w:val="0"/>
        <w:spacing w:before="120" w:after="283"/>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897890"/>
                <wp:effectExtent l="0" t="0" r="0" b="0"/>
                <wp:wrapNone/>
                <wp:docPr id="12" name="Frame5"/>
                <a:graphic xmlns:a="http://schemas.openxmlformats.org/drawingml/2006/main">
                  <a:graphicData uri="http://schemas.microsoft.com/office/word/2010/wordprocessingShape">
                    <wps:wsp>
                      <wps:cNvSpPr txBox="1"/>
                      <wps:spPr>
                        <a:xfrm>
                          <a:off x="0" y="0"/>
                          <a:ext cx="6480175" cy="897890"/>
                        </a:xfrm>
                        <a:prstGeom prst="rect"/>
                        <a:solidFill>
                          <a:srgbClr val="FFFFFF"/>
                        </a:solidFill>
                      </wps:spPr>
                      <wps:txb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38125" cy="238125"/>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9"/>
                                                <a:stretch>
                                                  <a:fillRect/>
                                                </a:stretch>
                                              </pic:blipFill>
                                              <pic:spPr bwMode="auto">
                                                <a:xfrm>
                                                  <a:off x="0" y="0"/>
                                                  <a:ext cx="238125" cy="238125"/>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7pt;mso-wrap-distance-left:0pt;mso-wrap-distance-right:0pt;mso-wrap-distance-top:0pt;mso-wrap-distance-bottom:0pt;margin-top:0pt;mso-position-vertical:top;mso-position-vertical-relative:text;margin-left:0pt;mso-position-horizontal:left;mso-position-horizontal-relative:text">
                <v:textbo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38125" cy="238125"/>
                                  <wp:effectExtent l="0" t="0" r="0" b="0"/>
                                  <wp:docPr id="1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5" descr=""/>
                                          <pic:cNvPicPr>
                                            <a:picLocks noChangeAspect="1" noChangeArrowheads="1"/>
                                          </pic:cNvPicPr>
                                        </pic:nvPicPr>
                                        <pic:blipFill>
                                          <a:blip r:embed="rId10"/>
                                          <a:stretch>
                                            <a:fillRect/>
                                          </a:stretch>
                                        </pic:blipFill>
                                        <pic:spPr bwMode="auto">
                                          <a:xfrm>
                                            <a:off x="0" y="0"/>
                                            <a:ext cx="238125" cy="238125"/>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3f718fd861814da79dc80fa32884b81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 xml:space="preserve">Channel Partners - </w:t>
      </w:r>
      <w:r>
        <w:rPr>
          <w:rFonts w:ascii="Times New Roman;sans-serif" w:hAnsi="Times New Roman;sans-serif"/>
          <w:b w:val="false"/>
          <w:color w:val="000000"/>
          <w:sz w:val="20"/>
        </w:rPr>
        <w:t>In addition to the customer acquisition sources identified above, we market and sell our products through a variety of channel partners, including software providers, resellers, system integrators, and logistics partners. For example, software partners such as Microsoft, NetSuite, Oracle, SAP, Sage, and their business partner communities generate sales for us as part of broader enterprise resource planning, warehouse management system and/or transportation management system sales efforts. Our logistics partners also drive new sales both by providing leads and by embedding our products as part of their service offerings</w:t>
      </w:r>
      <w:r>
        <w:rPr>
          <w:rFonts w:ascii="Times New Roman;sans-serif" w:hAnsi="Times New Roman;sans-serif"/>
          <w:b w:val="false"/>
          <w:i/>
          <w:color w:val="000000"/>
          <w:sz w:val="20"/>
        </w:rPr>
        <w:t>.</w:t>
      </w:r>
    </w:p>
    <w:p>
      <w:pPr>
        <w:pStyle w:val="TextBody"/>
        <w:bidi w:val="0"/>
        <w:spacing w:lineRule="auto" w:line="288" w:before="360" w:after="283"/>
        <w:jc w:val="left"/>
        <w:rPr>
          <w:rFonts w:ascii="Times New Roman;sans-serif" w:hAnsi="Times New Roman;sans-serif"/>
          <w:b/>
          <w:color w:val="00AAE5"/>
          <w:sz w:val="20"/>
        </w:rPr>
      </w:pPr>
      <w:r>
        <w:rPr>
          <w:rFonts w:ascii="Times New Roman;sans-serif" w:hAnsi="Times New Roman;sans-serif"/>
          <w:b/>
          <w:color w:val="00AAE5"/>
          <w:sz w:val="20"/>
        </w:rPr>
        <w:t>Our Growth Strategy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objective is to be the leading global retail network and provider of supply chain management products. Key elements of our strategy include: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i/>
          <w:color w:val="000000"/>
          <w:sz w:val="20"/>
        </w:rPr>
        <w:t xml:space="preserve">Further Penetrate Our Current Market </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We believe the global supply chain management market is underpenetrated. As the retail industry continues to respond to the changing requirements of the omnichannel marketplace, and as the supply chain ecosystem becomes more complex and geographically dispersed, we believe the demand for supply chain management solutions will increase. We intend to continue leveraging our relationships with customers and their trading partners to obtain new sales leads.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i/>
          <w:color w:val="000000"/>
          <w:sz w:val="20"/>
        </w:rPr>
        <w:t xml:space="preserve">Increase Revenues from Our Customer Base </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We believe our overall customer satisfaction is strong and will lead our customers to further expand their use of our products they have purchased, as well as purchase additional products to continue improving the performance of their trading partner relationships, generating additional revenues for us. We also expect to introduce new products to sell to our customers. We believe our position as the incumbent supply chain management solution provider to our customers, our integration into our recurring revenue customers’ business systems, and the modular nature of our cloud-based products are conducive to deploying additional products with customers.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i/>
          <w:color w:val="000000"/>
          <w:sz w:val="20"/>
        </w:rPr>
        <w:t xml:space="preserve">Expand Our Distribution Channels </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We intend to grow our business by expanding our sales capacity to gain new customers. We also believe there are valuable opportunities to promote and sell our products through collaboration with other providers.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i/>
          <w:color w:val="000000"/>
          <w:sz w:val="20"/>
        </w:rPr>
        <w:t xml:space="preserve">Expand Our International Presence </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We believe our presence in Asia Pacific, as well as in Europe, represents a significant competitive advantage. We plan to increase our global sales efforts to obtain new customers around the world. We intend to leverage our current global presence to increase the number of integrations we have with retailers in foreign markets to make our products more valuable to their trading partners based overseas.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i/>
          <w:color w:val="000000"/>
          <w:sz w:val="20"/>
        </w:rPr>
        <w:t xml:space="preserve">Enhance and Expand Our Services </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We intend to further improve and develop the functionality and features of our cloud-based products, including, from time to time, developing new offerings and applications.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i/>
          <w:color w:val="000000"/>
          <w:sz w:val="20"/>
        </w:rPr>
        <w:t xml:space="preserve">Selectively Pursue Strategic Acquisitions </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The nature of our market provides an opportunity for selective acquisitions. We plan to continue to evaluate potential acquisitions based on the number of new customers, revenue, functionality, or geographic reach the acquisition would provide relative to the purchase price, and our ability to integrate and operate the acquired business. In 2023, we acquired TIE Kinetix Holding B.V. ("TIE Kinetix"), a leading provider of supply chain digitalization including EDI and e-invoicing in Europe and the United States. This acquisition further extends the capabilities of our network and added new customers and technology.</w:t>
      </w:r>
    </w:p>
    <w:p>
      <w:pPr>
        <w:pStyle w:val="TextBody"/>
        <w:bidi w:val="0"/>
        <w:spacing w:lineRule="auto" w:line="288" w:before="360" w:after="283"/>
        <w:jc w:val="left"/>
        <w:rPr>
          <w:rFonts w:ascii="Times New Roman;sans-serif" w:hAnsi="Times New Roman;sans-serif"/>
          <w:b/>
          <w:color w:val="00AAE5"/>
          <w:sz w:val="20"/>
        </w:rPr>
      </w:pPr>
      <w:r>
        <w:rPr>
          <w:rFonts w:ascii="Times New Roman;sans-serif" w:hAnsi="Times New Roman;sans-serif"/>
          <w:b/>
          <w:color w:val="00AAE5"/>
          <w:sz w:val="20"/>
        </w:rPr>
        <w:t>Our Market Opportunity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we have a significant market opportunity to help organizations accelerate their omnichannel retail strategies with our retail network and supply chain products.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i/>
          <w:color w:val="000000"/>
          <w:sz w:val="20"/>
        </w:rPr>
        <w:t xml:space="preserve">Omnichannel retail requires new connections/transactions </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Each sales channel (wholesale, eCommerce, and marketplaces) brings new trading partners to the supply chain process. As customers expand their business, the SPS Commerce retail network is a core part of their omnichannel strategy. Each additional channel brings more reliance and volume to the network and increases customer revenue.</w:t>
      </w:r>
    </w:p>
    <w:p>
      <w:pPr>
        <w:pStyle w:val="TextBody"/>
        <w:bidi w:val="0"/>
        <w:spacing w:before="120" w:after="283"/>
        <w:ind w:left="0" w:right="0" w:hanging="180"/>
        <w:jc w:val="left"/>
        <w:rPr/>
      </w:pPr>
      <w:r>
        <w:rPr/>
      </w:r>
    </w:p>
    <w:p>
      <w:pPr>
        <w:pStyle w:val="TextBody"/>
        <w:bidi w:val="0"/>
        <w:spacing w:before="120" w:after="283"/>
        <w:ind w:left="0" w:right="0" w:hanging="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897890"/>
                <wp:effectExtent l="0" t="0" r="0" b="0"/>
                <wp:wrapNone/>
                <wp:docPr id="15" name="Frame6"/>
                <a:graphic xmlns:a="http://schemas.openxmlformats.org/drawingml/2006/main">
                  <a:graphicData uri="http://schemas.microsoft.com/office/word/2010/wordprocessingShape">
                    <wps:wsp>
                      <wps:cNvSpPr txBox="1"/>
                      <wps:spPr>
                        <a:xfrm>
                          <a:off x="0" y="0"/>
                          <a:ext cx="6480175" cy="897890"/>
                        </a:xfrm>
                        <a:prstGeom prst="rect"/>
                        <a:solidFill>
                          <a:srgbClr val="FFFFFF"/>
                        </a:solidFill>
                      </wps:spPr>
                      <wps:txb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38125" cy="238125"/>
                                        <wp:effectExtent l="0" t="0" r="0" b="0"/>
                                        <wp:docPr id="1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6" descr=""/>
                                                <pic:cNvPicPr>
                                                  <a:picLocks noChangeAspect="1" noChangeArrowheads="1"/>
                                                </pic:cNvPicPr>
                                              </pic:nvPicPr>
                                              <pic:blipFill>
                                                <a:blip r:embed="rId11"/>
                                                <a:stretch>
                                                  <a:fillRect/>
                                                </a:stretch>
                                              </pic:blipFill>
                                              <pic:spPr bwMode="auto">
                                                <a:xfrm>
                                                  <a:off x="0" y="0"/>
                                                  <a:ext cx="238125" cy="238125"/>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7pt;mso-wrap-distance-left:0pt;mso-wrap-distance-right:0pt;mso-wrap-distance-top:0pt;mso-wrap-distance-bottom:0pt;margin-top:0pt;mso-position-vertical:top;mso-position-vertical-relative:text;margin-left:0pt;mso-position-horizontal:left;mso-position-horizontal-relative:text">
                <v:textbo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38125" cy="238125"/>
                                  <wp:effectExtent l="0" t="0" r="0" b="0"/>
                                  <wp:docPr id="1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6" descr=""/>
                                          <pic:cNvPicPr>
                                            <a:picLocks noChangeAspect="1" noChangeArrowheads="1"/>
                                          </pic:cNvPicPr>
                                        </pic:nvPicPr>
                                        <pic:blipFill>
                                          <a:blip r:embed="rId12"/>
                                          <a:stretch>
                                            <a:fillRect/>
                                          </a:stretch>
                                        </pic:blipFill>
                                        <pic:spPr bwMode="auto">
                                          <a:xfrm>
                                            <a:off x="0" y="0"/>
                                            <a:ext cx="238125" cy="238125"/>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3f718fd861814da79dc80fa32884b81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20" w:after="283"/>
        <w:ind w:left="0" w:right="0" w:hanging="540"/>
        <w:jc w:val="left"/>
        <w:rPr/>
      </w:pPr>
      <w:r>
        <w:rPr>
          <w:color w:val="000000"/>
        </w:rPr>
        <w:t>•</w:t>
      </w:r>
      <w:r>
        <w:rPr>
          <w:rFonts w:ascii="Times New Roman;sans-serif" w:hAnsi="Times New Roman;sans-serif"/>
          <w:b/>
          <w:i/>
          <w:color w:val="000000"/>
          <w:sz w:val="20"/>
        </w:rPr>
        <w:t xml:space="preserve">Retail needs automation </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With increased retail store openings and closings, labor shortages, supply chain disruptions, and new buying patterns, retailers are demanding more from their trading partners as they need to be agile and transition their businesses as markets change. Businesses using SPS Commerce products to automate supply chain functions with their trading partners can pivot quickly to new delivery models and capture market share. The visibility into orders, shipments, and inventory gained by automating trading relationships on the SPS Commerce retail network is critical to their success and offers a competitive advantage.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i/>
          <w:color w:val="000000"/>
          <w:sz w:val="20"/>
        </w:rPr>
        <w:t xml:space="preserve">Consumers want new products </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Retail assortments are ever-changing with seasonality shifts and new product introductions from companies of all sizes. Consumers want the latest products and retailers are continually chasing trends, offering differentiated items, and introducing new products and suppliers to their supply chains. As retailers evolve, their trading partner relationships must support any new product introductions or new suppliers to achieve their merchandising goals. The SPS Commerce retail network automates these relationships to quickly secure product details, initiate orders, and track performance to help keep operations running smoothly.</w:t>
      </w:r>
    </w:p>
    <w:p>
      <w:pPr>
        <w:pStyle w:val="TextBody"/>
        <w:bidi w:val="0"/>
        <w:spacing w:lineRule="auto" w:line="288" w:before="360" w:after="283"/>
        <w:jc w:val="left"/>
        <w:rPr>
          <w:rFonts w:ascii="Times New Roman;sans-serif" w:hAnsi="Times New Roman;sans-serif"/>
          <w:b/>
          <w:color w:val="00AAE5"/>
          <w:sz w:val="20"/>
        </w:rPr>
      </w:pPr>
      <w:r>
        <w:rPr>
          <w:rFonts w:ascii="Times New Roman;sans-serif" w:hAnsi="Times New Roman;sans-serif"/>
          <w:b/>
          <w:color w:val="00AAE5"/>
          <w:sz w:val="20"/>
        </w:rPr>
        <w:t>Technology, Development and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Technology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SPS Commerce was an early provider of cloud-services to the retail supply chain management industry, launching the first version of what would become our current services in 1997. We use commercially available hardware and cloud-services with a combination of proprietary and commercially available software.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cloud-service model treats all customers as logically separate tenants within a shared virtual infrastructure. As a result, we spread the cost of delivering our products across our customer base. Because we do not manage thousands of distinct applications with their own business logic and database schemes, we can scale our business faster than traditional software vendors, even those that modified their products to be accessible over the internet.</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Development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efforts focus on maintaining, improving, and enhancing our existing products, as well as developing new products and applications. Our multi-tenant products serve all of our customers, which allows us to maintain relatively low research and development expenses and release software updates more frequently compared to traditional on-premise licensed software products that support multiple versions. Our development efforts take place at our United States ("U.S.") locations in Minnesota and New Jersey, as well as in Melbourne, Australia; Toronto, Canada; and Kyiv, Ukraine.</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Operations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operate our infrastructure in third-party data centers located throughout North America, Europe, and Australia, as well as provisioned services with cloud providers. In most cases, infrastructure and services are managed by us.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internal and third-party monitoring software that continually checks the status of services and underlying infrastructure for availability and performance, helping ensure that the network is always available and providing desired service levels. We have a technology team that includes system provisioning, management, maintenance, monitoring, and back-up.</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operate a service architecture using industry best practices to ensure multiple points of redundancy, high availability, and scale as needed. Our databases are replicated between locations with a defined recovery point objective.</w:t>
      </w:r>
    </w:p>
    <w:p>
      <w:pPr>
        <w:pStyle w:val="TextBody"/>
        <w:bidi w:val="0"/>
        <w:spacing w:lineRule="auto" w:line="288" w:before="360" w:after="283"/>
        <w:jc w:val="left"/>
        <w:rPr>
          <w:rFonts w:ascii="Times New Roman;sans-serif" w:hAnsi="Times New Roman;sans-serif"/>
          <w:b/>
          <w:color w:val="00AAE5"/>
          <w:sz w:val="20"/>
        </w:rPr>
      </w:pPr>
      <w:r>
        <w:rPr>
          <w:rFonts w:ascii="Times New Roman;sans-serif" w:hAnsi="Times New Roman;sans-serif"/>
          <w:b/>
          <w:color w:val="00AAE5"/>
          <w:sz w:val="20"/>
        </w:rPr>
        <w:t>Sales &amp; Marketing</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sell our products through an employed global sales force that focuses on retailers, grocers, distributors, suppliers, and logistics firms.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marketing teams focus on driving awareness and demand for our products through the following activities: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i/>
          <w:color w:val="000000"/>
          <w:sz w:val="20"/>
        </w:rPr>
        <w:t>Demand Generation</w:t>
      </w:r>
      <w:r>
        <w:rPr>
          <w:color w:val="000000"/>
        </w:rPr>
        <w:t xml:space="preserve"> </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Engages with target audiences using the latest digital marketing strategies to bring opportunities to our sales teams.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i/>
          <w:color w:val="000000"/>
          <w:sz w:val="20"/>
        </w:rPr>
        <w:t>Communications</w:t>
      </w:r>
      <w:r>
        <w:rPr>
          <w:color w:val="000000"/>
        </w:rPr>
        <w:t xml:space="preserve"> </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Manages our brand and public relations, as well as provides go-to-market support.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897890"/>
                <wp:effectExtent l="0" t="0" r="0" b="0"/>
                <wp:wrapNone/>
                <wp:docPr id="18" name="Frame7"/>
                <a:graphic xmlns:a="http://schemas.openxmlformats.org/drawingml/2006/main">
                  <a:graphicData uri="http://schemas.microsoft.com/office/word/2010/wordprocessingShape">
                    <wps:wsp>
                      <wps:cNvSpPr txBox="1"/>
                      <wps:spPr>
                        <a:xfrm>
                          <a:off x="0" y="0"/>
                          <a:ext cx="6480175" cy="897890"/>
                        </a:xfrm>
                        <a:prstGeom prst="rect"/>
                        <a:solidFill>
                          <a:srgbClr val="FFFFFF"/>
                        </a:solidFill>
                      </wps:spPr>
                      <wps:txb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38125" cy="238125"/>
                                        <wp:effectExtent l="0" t="0" r="0" b="0"/>
                                        <wp:docPr id="1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7" descr=""/>
                                                <pic:cNvPicPr>
                                                  <a:picLocks noChangeAspect="1" noChangeArrowheads="1"/>
                                                </pic:cNvPicPr>
                                              </pic:nvPicPr>
                                              <pic:blipFill>
                                                <a:blip r:embed="rId13"/>
                                                <a:stretch>
                                                  <a:fillRect/>
                                                </a:stretch>
                                              </pic:blipFill>
                                              <pic:spPr bwMode="auto">
                                                <a:xfrm>
                                                  <a:off x="0" y="0"/>
                                                  <a:ext cx="238125" cy="238125"/>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7pt;mso-wrap-distance-left:0pt;mso-wrap-distance-right:0pt;mso-wrap-distance-top:0pt;mso-wrap-distance-bottom:0pt;margin-top:0pt;mso-position-vertical:top;mso-position-vertical-relative:text;margin-left:0pt;mso-position-horizontal:left;mso-position-horizontal-relative:text">
                <v:textbo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38125" cy="238125"/>
                                  <wp:effectExtent l="0" t="0" r="0" b="0"/>
                                  <wp:docPr id="2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7" descr=""/>
                                          <pic:cNvPicPr>
                                            <a:picLocks noChangeAspect="1" noChangeArrowheads="1"/>
                                          </pic:cNvPicPr>
                                        </pic:nvPicPr>
                                        <pic:blipFill>
                                          <a:blip r:embed="rId14"/>
                                          <a:stretch>
                                            <a:fillRect/>
                                          </a:stretch>
                                        </pic:blipFill>
                                        <pic:spPr bwMode="auto">
                                          <a:xfrm>
                                            <a:off x="0" y="0"/>
                                            <a:ext cx="238125" cy="238125"/>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3f718fd861814da79dc80fa32884b81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20" w:after="283"/>
        <w:ind w:left="0" w:right="0" w:hanging="540"/>
        <w:jc w:val="left"/>
        <w:rPr/>
      </w:pPr>
      <w:r>
        <w:rPr>
          <w:color w:val="000000"/>
        </w:rPr>
        <w:t>•</w:t>
      </w:r>
      <w:r>
        <w:rPr>
          <w:rFonts w:ascii="Times New Roman;sans-serif" w:hAnsi="Times New Roman;sans-serif"/>
          <w:b/>
          <w:i/>
          <w:color w:val="000000"/>
          <w:sz w:val="20"/>
        </w:rPr>
        <w:t>Product Marketing</w:t>
      </w:r>
      <w:r>
        <w:rPr>
          <w:color w:val="000000"/>
        </w:rPr>
        <w:t xml:space="preserve"> </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Equips our sales teams, performs market studies, and promotes the unique capabilities of each of our products using our go-to-market strategies.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i/>
          <w:color w:val="000000"/>
          <w:sz w:val="20"/>
        </w:rPr>
        <w:t xml:space="preserve">Events </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Highlights our presence at industry trade shows and orchestrates virtual and in-person events.</w:t>
      </w:r>
    </w:p>
    <w:p>
      <w:pPr>
        <w:pStyle w:val="TextBody"/>
        <w:bidi w:val="0"/>
        <w:spacing w:lineRule="auto" w:line="288" w:before="360" w:after="283"/>
        <w:jc w:val="left"/>
        <w:rPr>
          <w:rFonts w:ascii="Times New Roman;sans-serif" w:hAnsi="Times New Roman;sans-serif"/>
          <w:b/>
          <w:color w:val="00AAE5"/>
          <w:sz w:val="20"/>
        </w:rPr>
      </w:pPr>
      <w:r>
        <w:rPr>
          <w:rFonts w:ascii="Times New Roman;sans-serif" w:hAnsi="Times New Roman;sans-serif"/>
          <w:b/>
          <w:color w:val="00AAE5"/>
          <w:sz w:val="20"/>
        </w:rPr>
        <w:t>Customer Success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Customer Success team includes retail and technology experts who implement our products on our customers' behalf, provide ongoing support, and collaborate with accounts to identify opportunities for added value from their existing products. This team focuses on delivering services that build customer satisfaction and result in high customer retention rates.</w:t>
      </w:r>
    </w:p>
    <w:p>
      <w:pPr>
        <w:pStyle w:val="TextBody"/>
        <w:bidi w:val="0"/>
        <w:spacing w:lineRule="auto" w:line="288" w:before="360" w:after="283"/>
        <w:jc w:val="left"/>
        <w:rPr>
          <w:rFonts w:ascii="Times New Roman;sans-serif" w:hAnsi="Times New Roman;sans-serif"/>
          <w:b/>
          <w:color w:val="00AAE5"/>
          <w:sz w:val="20"/>
        </w:rPr>
      </w:pPr>
      <w:r>
        <w:rPr>
          <w:rFonts w:ascii="Times New Roman;sans-serif" w:hAnsi="Times New Roman;sans-serif"/>
          <w:b/>
          <w:color w:val="00AAE5"/>
          <w:sz w:val="20"/>
        </w:rPr>
        <w:t>Competition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Vendors in the supply chain management industry offer products through three delivery methods: traditional on-premise software, cloud-based managed services, and cloud-based full-service products.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market for cloud-based supply chain management products is fragmented and rapidly evolving. Cloud-service vendors compete directly with each other based mainly on the following:</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breadth of pre-built network connections to retailers, third-party logistics providers, and other trading partners;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 history of establishing and maintaining reliable connections with trading partners;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reputation of the cloud-service vendor in the supply chain management industry;</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price;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specialization in a customer market segment;</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speed and quality with which the cloud-service vendor can integrate its customers to their trading partners;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functionality of the cloud-service product, such as the ability to integrate the product with a customer’s business systems;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breadth of complementary supply chain management products the cloud-service vendor offers;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training and customer support services provided during and after a customer’s initial integration.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Cloud-service vendors also compete with traditional on-premise software companies. Traditional on-premise software companies focused on supply chain integration management include IBM Sterling and OpenText. These companies offer a “do-it-yourself” method in which customers purchase, install, and manage specialized software, hardware, and value-added networks for their supply chain integration needs. This method requires customers to invest in staff to operate and maintain the software. Traditional on-premise software companies use a single-tenant approach in which information maps to retailers are built for and used by one supplier, as compared to cloud-service products that allow multiple customers to share information maps with a retailer.</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Managed service providers focused on the supply chain management market include IBM Sterling, OpenText, TrueCommerce and many other small providers. These companies offer a cloud-based product in which they develop and maintain the core technology, while the customer’s internal staff is responsible for the day-to-day customization, optimization, and operations of the technology.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contrast, full-service providers, including SPS Commerce, offer cloud-based products and expert resources that customize, optimize, and operate the technology. This approach offloads the time-intensive process of managing these products, which is not a core competency for most businesses.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Customers of traditional on-premise software providers must typically make significant upfront investments in the supply chain management products these competitors provide, which can decrease customers’ willingness to abandon their investments in favor of a cloud-service product. Cloud-service vendors compete with these traditional software products based on the total cost of ownership and flexibility.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897890"/>
                <wp:effectExtent l="0" t="0" r="0" b="0"/>
                <wp:wrapNone/>
                <wp:docPr id="21" name="Frame8"/>
                <a:graphic xmlns:a="http://schemas.openxmlformats.org/drawingml/2006/main">
                  <a:graphicData uri="http://schemas.microsoft.com/office/word/2010/wordprocessingShape">
                    <wps:wsp>
                      <wps:cNvSpPr txBox="1"/>
                      <wps:spPr>
                        <a:xfrm>
                          <a:off x="0" y="0"/>
                          <a:ext cx="6480175" cy="897890"/>
                        </a:xfrm>
                        <a:prstGeom prst="rect"/>
                        <a:solidFill>
                          <a:srgbClr val="FFFFFF"/>
                        </a:solidFill>
                      </wps:spPr>
                      <wps:txb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38125" cy="238125"/>
                                        <wp:effectExtent l="0" t="0" r="0" b="0"/>
                                        <wp:docPr id="2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8" descr=""/>
                                                <pic:cNvPicPr>
                                                  <a:picLocks noChangeAspect="1" noChangeArrowheads="1"/>
                                                </pic:cNvPicPr>
                                              </pic:nvPicPr>
                                              <pic:blipFill>
                                                <a:blip r:embed="rId15"/>
                                                <a:stretch>
                                                  <a:fillRect/>
                                                </a:stretch>
                                              </pic:blipFill>
                                              <pic:spPr bwMode="auto">
                                                <a:xfrm>
                                                  <a:off x="0" y="0"/>
                                                  <a:ext cx="238125" cy="238125"/>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7pt;mso-wrap-distance-left:0pt;mso-wrap-distance-right:0pt;mso-wrap-distance-top:0pt;mso-wrap-distance-bottom:0pt;margin-top:0pt;mso-position-vertical:top;mso-position-vertical-relative:text;margin-left:0pt;mso-position-horizontal:left;mso-position-horizontal-relative:text">
                <v:textbo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38125" cy="238125"/>
                                  <wp:effectExtent l="0" t="0" r="0" b="0"/>
                                  <wp:docPr id="2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8" descr=""/>
                                          <pic:cNvPicPr>
                                            <a:picLocks noChangeAspect="1" noChangeArrowheads="1"/>
                                          </pic:cNvPicPr>
                                        </pic:nvPicPr>
                                        <pic:blipFill>
                                          <a:blip r:embed="rId16"/>
                                          <a:stretch>
                                            <a:fillRect/>
                                          </a:stretch>
                                        </pic:blipFill>
                                        <pic:spPr bwMode="auto">
                                          <a:xfrm>
                                            <a:off x="0" y="0"/>
                                            <a:ext cx="238125" cy="238125"/>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3f718fd861814da79dc80fa32884b81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60" w:after="283"/>
        <w:jc w:val="left"/>
        <w:rPr>
          <w:rFonts w:ascii="Times New Roman;sans-serif" w:hAnsi="Times New Roman;sans-serif"/>
          <w:b/>
          <w:color w:val="00AAE5"/>
          <w:sz w:val="20"/>
        </w:rPr>
      </w:pPr>
      <w:r>
        <w:rPr>
          <w:rFonts w:ascii="Times New Roman;sans-serif" w:hAnsi="Times New Roman;sans-serif"/>
          <w:b/>
          <w:color w:val="00AAE5"/>
          <w:sz w:val="20"/>
        </w:rPr>
        <w:t>Intellectual Property and Proprietary Content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SPS Commerce relies on a combination of copyright, trademark, patent, and trade secret laws as well as confidentiality procedures and contractual provisions to protect our proprietary technology and our brand. We enter into confidentiality and proprietary rights agreements with our employees, consultants and additional third parties, and control access to software, documentation, and other proprietary information. We have registered trademarks and pending trademark applications in the U.S. and certain foreign countries.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Depending on the jurisdiction, trademarks are generally valid as long as they are in use or their registrations are properly maintained, and they have not been found to have become generic. Registrations of trademarks can also generally be renewed indefinitely as long as the trademarks are in use. We have one patent we acquired through the acquisition of GCommerce. Our trade secrets consist primarily of the software we have developed for our SPS Commerce cloud-based products and network. Our software is also protected under copyright law, but we do not have any registered copyrights.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AAE5"/>
          <w:sz w:val="20"/>
          <w:shd w:fill="FFFFFF" w:val="clear"/>
        </w:rPr>
      </w:pPr>
      <w:r>
        <w:rPr>
          <w:rFonts w:ascii="Times New Roman;sans-serif" w:hAnsi="Times New Roman;sans-serif"/>
          <w:b/>
          <w:color w:val="00AAE5"/>
          <w:sz w:val="20"/>
          <w:shd w:fill="FFFFFF" w:val="clear"/>
        </w:rPr>
        <w:t>Human Capital</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At SPS, we believe our employees have and will continue to be a primary reason for our growth and success. Our core values drive our culture and are foundational to how we create an engaging workplace, identify the right talent, and train and develop our teams. Our values guide our interactions with our customers, partners, and one another. We attract, retain, and reward exceptional talent by cultivating an inclusive, high-performing culture and engaging employees with meaningful work and opportunities to grow and develop.</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i/>
          <w:color w:val="000000"/>
          <w:sz w:val="20"/>
        </w:rPr>
      </w:pPr>
      <w:r>
        <w:rPr>
          <w:rFonts w:ascii="Times New Roman;sans-serif" w:hAnsi="Times New Roman;sans-serif"/>
          <w:b/>
          <w:i/>
          <w:color w:val="000000"/>
          <w:sz w:val="20"/>
        </w:rPr>
        <w:t>Oversight and Governance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board of directors and Compensation and Talent Committee have oversight of our human capital management and diversity, equity, and inclusion efforts. They receive regular updates from our Chief Human Resources Officer on key strategic initiatives and other relevant matters related to human resources including, but not limited to, hiring, development, retention, employee engagement, succession planning, compensation and benefits, and human resources-related risks.</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i/>
          <w:color w:val="000000"/>
          <w:sz w:val="20"/>
        </w:rPr>
      </w:pPr>
      <w:r>
        <w:rPr>
          <w:rFonts w:ascii="Times New Roman;sans-serif" w:hAnsi="Times New Roman;sans-serif"/>
          <w:b/>
          <w:i/>
          <w:color w:val="000000"/>
          <w:sz w:val="20"/>
        </w:rPr>
        <w:t>Our People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a total of 2,489 employees worldwide, including 1,238 in cost of revenues, 644 in sales and marketing, 402 in research and development, and 205 in general and administrative. 81% are based in North America with the remaining in Europe and Asia Pacific. Substantially all our employees are employed on a full-time basis. We also engage third-party agencies for staff augmentation to support our operations. Although we have statutory employee representation obligations in certain countries, none of our U.S. employees are represented by a labor union.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36% of our global workforce identify as female and 2% did not specify their gender. Within the U.S. 18% of our employees self-identified as being a member of an underrepresented group. Our executive team is comprised of 10 individuals, of which 40% are women.</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i/>
          <w:color w:val="000000"/>
          <w:sz w:val="20"/>
        </w:rPr>
      </w:pPr>
      <w:r>
        <w:rPr>
          <w:rFonts w:ascii="Times New Roman;sans-serif" w:hAnsi="Times New Roman;sans-serif"/>
          <w:b/>
          <w:i/>
          <w:color w:val="000000"/>
          <w:sz w:val="20"/>
        </w:rPr>
        <w:t>Diversity, Equity, and Inclusion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value diversity, equity, and inclusion and believe our differences make us, our customers, and our communities better. We strive to create an organization where every employee feels welcomed and is empowered to do their best work. We make our commitment to diversity, equity, and inclusion a reality by incorporating it into our human resource core processes and our talent strategies.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Employee Resource Groups ("ERGs") foster employee connections across the globe, provide learning, engagement, and networking opportunities, as well as provide important insights in support of advancing equity company-wide. These employee-led resource groups create community and focus across several dimensions including gender, race and ethnicity, gender identity, sexual orientation, ability/disability, military service and more. All employees are welcome and encouraged to participate in one or more of our ERGs, which include the Black Business Resource Group, the Diversity and Inclusion Group, the LGBTQ+ Group, and Women in Tech.</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Since 2021, all new hires participate in an interactive diversity, equity, and inclusion curriculum focused on the History of Racism, Implicit Bias, and Allyship. Additionally, we provide our managers with resources to support building inclusive teams and being an inclusive leader.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897890"/>
                <wp:effectExtent l="0" t="0" r="0" b="0"/>
                <wp:wrapNone/>
                <wp:docPr id="24" name="Frame9"/>
                <a:graphic xmlns:a="http://schemas.openxmlformats.org/drawingml/2006/main">
                  <a:graphicData uri="http://schemas.microsoft.com/office/word/2010/wordprocessingShape">
                    <wps:wsp>
                      <wps:cNvSpPr txBox="1"/>
                      <wps:spPr>
                        <a:xfrm>
                          <a:off x="0" y="0"/>
                          <a:ext cx="6480175" cy="897890"/>
                        </a:xfrm>
                        <a:prstGeom prst="rect"/>
                        <a:solidFill>
                          <a:srgbClr val="FFFFFF"/>
                        </a:solidFill>
                      </wps:spPr>
                      <wps:txb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38125" cy="238125"/>
                                        <wp:effectExtent l="0" t="0" r="0" b="0"/>
                                        <wp:docPr id="2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9" descr=""/>
                                                <pic:cNvPicPr>
                                                  <a:picLocks noChangeAspect="1" noChangeArrowheads="1"/>
                                                </pic:cNvPicPr>
                                              </pic:nvPicPr>
                                              <pic:blipFill>
                                                <a:blip r:embed="rId17"/>
                                                <a:stretch>
                                                  <a:fillRect/>
                                                </a:stretch>
                                              </pic:blipFill>
                                              <pic:spPr bwMode="auto">
                                                <a:xfrm>
                                                  <a:off x="0" y="0"/>
                                                  <a:ext cx="238125" cy="238125"/>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7pt;mso-wrap-distance-left:0pt;mso-wrap-distance-right:0pt;mso-wrap-distance-top:0pt;mso-wrap-distance-bottom:0pt;margin-top:0pt;mso-position-vertical:top;mso-position-vertical-relative:text;margin-left:0pt;mso-position-horizontal:left;mso-position-horizontal-relative:text">
                <v:textbo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38125" cy="238125"/>
                                  <wp:effectExtent l="0" t="0" r="0" b="0"/>
                                  <wp:docPr id="2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9" descr=""/>
                                          <pic:cNvPicPr>
                                            <a:picLocks noChangeAspect="1" noChangeArrowheads="1"/>
                                          </pic:cNvPicPr>
                                        </pic:nvPicPr>
                                        <pic:blipFill>
                                          <a:blip r:embed="rId18"/>
                                          <a:stretch>
                                            <a:fillRect/>
                                          </a:stretch>
                                        </pic:blipFill>
                                        <pic:spPr bwMode="auto">
                                          <a:xfrm>
                                            <a:off x="0" y="0"/>
                                            <a:ext cx="238125" cy="238125"/>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3f718fd861814da79dc80fa32884b81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well over a decade, SPS has invested in and supported the communities in which we live and work, focused on efforts that expand our future talent pipeline by helping to develop the workforce of tomorrow. Over the years we have invested in student programs focused on creating opportunities for high school and college students who are part of underrepresented populations including women, genderqueer and non-binary individuals, and racial minorities. These opportunities build experiences through job shadowing, work-study, mentoring, and professional development in areas of Science, Technology, Engineering and Math ("STEM"), supply-chain, analytics, and customer success.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Established in 2020, the SPS Diverse Scholar Program supports diverse first-generation college students pursuing a career in technology. In addition to receiving funding for their education, our diverse scholars participate in our internship program, have access to mentors, are offered part-time work during the school year, and are connected to a wide range of business professionals.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as a federal contractor we comply with federal contractor affirmative action requirements to employ and promote women, minorities, individuals with disabilities, and protected veterans.</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i/>
          <w:color w:val="000000"/>
          <w:sz w:val="20"/>
        </w:rPr>
      </w:pPr>
      <w:r>
        <w:rPr>
          <w:rFonts w:ascii="Times New Roman;sans-serif" w:hAnsi="Times New Roman;sans-serif"/>
          <w:b/>
          <w:i/>
          <w:color w:val="000000"/>
          <w:sz w:val="20"/>
        </w:rPr>
        <w:t>Talent Acquisition, Engagement, and Retention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work diligently to attract the best talent from a variety of sources to meet current and future business needs. We have cultivated relationships with many colleges and universities, including Historically Black Colleges and Universities ("HBCUs"), industry groups, professional associations, and other student programs focused on hiring women, non-binary and genderqueer, minorities, and individuals with disabilities. Our campus program focuses on bringing in talent with experience from schools that are leaders in technology, supply chain, engineering, and business. 41% of our hires from our most recent campus cohort identify as underrepresented minorities.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regularly survey our employees to better understand their perspectives and where we can focus to improve their experience. Our 2023 employee engagement survey indicated a positive engagement score of 71%, which is higher than the benchmark provided by our survey vendor both globally and for North American companies of similar size or within our sector. Additionally, feedback on diversity and inclusion continues to score higher than benchmarks with an 81% positive perception score.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2023 employee retention rate of 92% improved compared to 88% in 2022. We believe our strong company culture and focus on providing meaningful work, professional development, flexible work options, competitive pay and benefits, as well as our commitment to diversity, equity, and inclusion contribute to our high employee retention.</w:t>
      </w:r>
    </w:p>
    <w:p>
      <w:pPr>
        <w:pStyle w:val="TextBody"/>
        <w:bidi w:val="0"/>
        <w:spacing w:before="0" w:after="0"/>
        <w:ind w:left="0" w:right="0" w:firstLine="720"/>
        <w:jc w:val="left"/>
        <w:rPr/>
      </w:pPr>
      <w:r>
        <w:rPr/>
      </w:r>
    </w:p>
    <w:p>
      <w:pPr>
        <w:pStyle w:val="TextBody"/>
        <w:bidi w:val="0"/>
        <w:spacing w:lineRule="auto" w:line="256" w:before="0" w:after="0"/>
        <w:jc w:val="left"/>
        <w:rPr>
          <w:rFonts w:ascii="Times New Roman;sans-serif" w:hAnsi="Times New Roman;sans-serif"/>
          <w:b/>
          <w:i/>
          <w:color w:val="000000"/>
          <w:sz w:val="20"/>
        </w:rPr>
      </w:pPr>
      <w:r>
        <w:rPr>
          <w:rFonts w:ascii="Times New Roman;sans-serif" w:hAnsi="Times New Roman;sans-serif"/>
          <w:b/>
          <w:i/>
          <w:color w:val="000000"/>
          <w:sz w:val="20"/>
        </w:rPr>
        <w:t>Growth and Development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Development of our employees and leaders results in high performing teams who are empowered to grow their careers and deliver exceptional results, and it begins on the first day of employment with SPS. When new employees join SPS, they attend a robust new hire onboarding program that focuses on the skills necessary to become productive employees, including training on company technology, collaboration tools, our company culture, values, and a comprehensive diversity, equity, and inclusion learning experience. Onboarding is followed by on-the-job training and regular performance and development discussions between employees and their managers.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provide ongoing opportunities for our employees to build new skills, develop in their current role, and prepare for future roles. All employees have access to an online learning platform that supports their development as well as opportunities to participate in programs such as AccelerateMe and Exploring Leadership. Annually we host SPS Professional Development Week ("PDW"), a collection of learning and development opportunities designed to help employees develop skills for continued growth. In 2023, the PDW employee track focused on how to effectively receive feedback and owning your SPS career. The PDW manager track focused on change management, what it means to be an inclusive leader, and building Crucial Conversation skills.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talent strategy prioritizes growing and developing our own leaders. In 2023, we refreshed our Leadership Model by introducing competencies for each of our four leadership pillars: People Developer, Culture Champion, Strategist, and Results Enabler. These competencies will help frame our leadership development programs as we continue to build tools and resources to advance our leaders’ capabilities to grow and scale their teams. Additionally, we assess our leadership talent across the organization through our talent review process, which allows us to differentiate talent based on performance and potential. This process is the basis for succession planning for critical roles in the organization.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897890"/>
                <wp:effectExtent l="0" t="0" r="0" b="0"/>
                <wp:wrapNone/>
                <wp:docPr id="27" name="Frame10"/>
                <a:graphic xmlns:a="http://schemas.openxmlformats.org/drawingml/2006/main">
                  <a:graphicData uri="http://schemas.microsoft.com/office/word/2010/wordprocessingShape">
                    <wps:wsp>
                      <wps:cNvSpPr txBox="1"/>
                      <wps:spPr>
                        <a:xfrm>
                          <a:off x="0" y="0"/>
                          <a:ext cx="6480175" cy="897890"/>
                        </a:xfrm>
                        <a:prstGeom prst="rect"/>
                        <a:solidFill>
                          <a:srgbClr val="FFFFFF"/>
                        </a:solidFill>
                      </wps:spPr>
                      <wps:txb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38125" cy="238125"/>
                                        <wp:effectExtent l="0" t="0" r="0" b="0"/>
                                        <wp:docPr id="2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0" descr=""/>
                                                <pic:cNvPicPr>
                                                  <a:picLocks noChangeAspect="1" noChangeArrowheads="1"/>
                                                </pic:cNvPicPr>
                                              </pic:nvPicPr>
                                              <pic:blipFill>
                                                <a:blip r:embed="rId19"/>
                                                <a:stretch>
                                                  <a:fillRect/>
                                                </a:stretch>
                                              </pic:blipFill>
                                              <pic:spPr bwMode="auto">
                                                <a:xfrm>
                                                  <a:off x="0" y="0"/>
                                                  <a:ext cx="238125" cy="238125"/>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7pt;mso-wrap-distance-left:0pt;mso-wrap-distance-right:0pt;mso-wrap-distance-top:0pt;mso-wrap-distance-bottom:0pt;margin-top:0pt;mso-position-vertical:top;mso-position-vertical-relative:text;margin-left:0pt;mso-position-horizontal:left;mso-position-horizontal-relative:text">
                <v:textbo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38125" cy="238125"/>
                                  <wp:effectExtent l="0" t="0" r="0" b="0"/>
                                  <wp:docPr id="2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0" descr=""/>
                                          <pic:cNvPicPr>
                                            <a:picLocks noChangeAspect="1" noChangeArrowheads="1"/>
                                          </pic:cNvPicPr>
                                        </pic:nvPicPr>
                                        <pic:blipFill>
                                          <a:blip r:embed="rId20"/>
                                          <a:stretch>
                                            <a:fillRect/>
                                          </a:stretch>
                                        </pic:blipFill>
                                        <pic:spPr bwMode="auto">
                                          <a:xfrm>
                                            <a:off x="0" y="0"/>
                                            <a:ext cx="238125" cy="238125"/>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3f718fd861814da79dc80fa32884b818_7">
        <w:r>
          <w:rPr>
            <w:rStyle w:val="InternetLink"/>
            <w:rFonts w:ascii="Times New Roman;sans-serif" w:hAnsi="Times New Roman;sans-serif"/>
            <w:b w:val="false"/>
            <w:color w:val="0000FF"/>
            <w:sz w:val="16"/>
            <w:u w:val="single"/>
          </w:rPr>
          <w:t>Table of Contents</w:t>
        </w:r>
      </w:hyperlink>
    </w:p>
    <w:p>
      <w:pPr>
        <w:pStyle w:val="TextBody"/>
        <w:bidi w:val="0"/>
        <w:spacing w:lineRule="auto" w:line="256" w:before="0" w:after="0"/>
        <w:jc w:val="left"/>
        <w:rPr>
          <w:rFonts w:ascii="Times New Roman;sans-serif" w:hAnsi="Times New Roman;sans-serif"/>
          <w:b/>
          <w:i/>
          <w:color w:val="000000"/>
          <w:sz w:val="20"/>
        </w:rPr>
      </w:pPr>
      <w:r>
        <w:rPr>
          <w:rFonts w:ascii="Times New Roman;sans-serif" w:hAnsi="Times New Roman;sans-serif"/>
          <w:b/>
          <w:i/>
          <w:color w:val="000000"/>
          <w:sz w:val="20"/>
        </w:rPr>
        <w:t>Total Rewards and Employee Well-being</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SPS, our total rewards strategies support the financial, physical, and mental well-being of our employees and their families and incorporate market competitive pay and comprehensive benefits programs for all global employees. We offer compelling and competitive packages designed to attract, retain, and motivate our employees. Our benefit programs align to our geographies and provide a comprehensive healthcare offering and other programs, including an employee stock purchase plan in most jurisdictions.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in paying team members equitably, regardless of gender, race, or ethnicity, and we regularly review the pay data of U.S. and other geographies to ensure fairness.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well-being of our workforce is particularly important to us. In addition to our traditional employee benefits, we offer several supplemental benefits to support the physical, mental, and financial health of all our employees. We have partnered with a global employee assistance program ("EAP") vendor that provides curated webinars in support of mental health and well-being, and offers all employees and their dependents access to mental health providers and free sessions with a licensed provider. Our U.S. healthcare platform offers virtual mental health solutions, including tools focused on mindfulness, meditation, and wellness. In 2023, we launched our Wellbeing at SPS intranet site providing greater access to all our programs and resources.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At SPS, we believe generosity and caring make a difference. We actively contribute to our communities and encourage volunteerism and philanthropy among our employees. The Team SPS Gives Back Matching program amplifies SPS employees’ charitable contributions or volunteer hours with matching donations, furthering their support to the organizations they believe in and care about.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AAE5"/>
          <w:sz w:val="20"/>
        </w:rPr>
      </w:pPr>
      <w:r>
        <w:rPr>
          <w:rFonts w:ascii="Times New Roman;sans-serif" w:hAnsi="Times New Roman;sans-serif"/>
          <w:b/>
          <w:color w:val="00AAE5"/>
          <w:sz w:val="20"/>
        </w:rPr>
        <w:t>Company Information</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We were originally incorporated as St. Paul Software, Inc., a Minnesota corporation, on January 28, 1987. On May 30, 2001, we reincorporated in Delaware under our current name, SPS Commerce, Inc. Our principal executive offices are located at the address listed below. Our telephone number is (612) 435-9400 and our website address is </w:t>
      </w:r>
      <w:r>
        <w:rPr>
          <w:rFonts w:ascii="Times New Roman;sans-serif" w:hAnsi="Times New Roman;sans-serif"/>
          <w:b w:val="false"/>
          <w:i/>
          <w:color w:val="000000"/>
          <w:sz w:val="20"/>
        </w:rPr>
        <w:t>www.spscommerce.com</w:t>
      </w:r>
      <w:r>
        <w:rPr>
          <w:rFonts w:ascii="Times New Roman;sans-serif" w:hAnsi="Times New Roman;sans-serif"/>
          <w:b w:val="false"/>
          <w:color w:val="000000"/>
          <w:sz w:val="20"/>
        </w:rPr>
        <w:t xml:space="preserve">. Information on our website does not constitute part of this Annual Report on Form 10-K or any other report we file or furnish with the SEC.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SPS Commerce,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333 South Seventh Street</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Suite 1000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Minneapolis, MN 55402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AAE5"/>
          <w:sz w:val="20"/>
        </w:rPr>
      </w:pPr>
      <w:r>
        <w:rPr>
          <w:rFonts w:ascii="Times New Roman;sans-serif" w:hAnsi="Times New Roman;sans-serif"/>
          <w:b/>
          <w:color w:val="00AAE5"/>
          <w:sz w:val="20"/>
        </w:rPr>
        <w:t>Available Information</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We provide free access to various reports that we file with or furnish to the SEC through our website at </w:t>
      </w:r>
      <w:r>
        <w:rPr>
          <w:rFonts w:ascii="Times New Roman;sans-serif" w:hAnsi="Times New Roman;sans-serif"/>
          <w:b w:val="false"/>
          <w:i/>
          <w:color w:val="000000"/>
          <w:sz w:val="20"/>
        </w:rPr>
        <w:t>www.spscommerce.com</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 xml:space="preserve">as soon as reasonably practicable after they have been filed or furnished. These reports include, but are not limited to, our Annual Reports on Form 10-K, Quarterly Reports on Form 10-Q, Current Reports on Form 8-K and any amendments to these reports. Our SEC reports can be accessed through the investor relations section of our website or through the SEC’s website at </w:t>
      </w:r>
      <w:r>
        <w:rPr>
          <w:rFonts w:ascii="Times New Roman;sans-serif" w:hAnsi="Times New Roman;sans-serif"/>
          <w:b w:val="false"/>
          <w:i/>
          <w:color w:val="000000"/>
          <w:sz w:val="20"/>
        </w:rPr>
        <w:t>www.sec.gov</w:t>
      </w:r>
      <w:r>
        <w:rPr>
          <w:rFonts w:ascii="Times New Roman;sans-serif" w:hAnsi="Times New Roman;sans-serif"/>
          <w:b w:val="false"/>
          <w:color w:val="000000"/>
          <w:sz w:val="20"/>
        </w:rPr>
        <w:t>. Stockholders may also request copies of these documents by writing to us at the address above, with attention to "Investor Relations".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ans-serif" w:hAnsi="Times New Roman;sans-serif"/>
          <w:b/>
          <w:color w:val="00AAE5"/>
          <w:sz w:val="20"/>
        </w:rPr>
      </w:pPr>
      <w:r>
        <w:rPr>
          <w:rFonts w:ascii="Times New Roman;sans-serif" w:hAnsi="Times New Roman;sans-serif"/>
          <w:b/>
          <w:color w:val="00AAE5"/>
          <w:sz w:val="20"/>
        </w:rPr>
        <w:t>Item 1A.    Risk Factors</w:t>
      </w:r>
    </w:p>
    <w:p>
      <w:pPr>
        <w:pStyle w:val="TextBody"/>
        <w:bidi w:val="0"/>
        <w:spacing w:lineRule="auto" w:line="288" w:before="12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Set forth below and elsewhere in this Annual Report on Form 10-K, and in other documents we file with the SEC, are risks and uncertainties that could cause our actual results to differ materially from the results contemplated by the forward-looking statements contained in this Annual Report on Form 10-K and in other written and oral communications from time to time. You should carefully consider all of the following risks and the other information in this Report and our other filings with the SEC before you decide to invest in our Company or to maintain or increase your investment. Our business could be harmed by any of these risks. The trading price of our common stock could decline due to any of these risks. In assessing these risks, you should also refer to the other information contained in this Annual Report on Form 10-K, including our consolidated financial statements and related notes.</w:t>
      </w:r>
    </w:p>
    <w:p>
      <w:pPr>
        <w:pStyle w:val="TextBody"/>
        <w:bidi w:val="0"/>
        <w:spacing w:before="120" w:after="283"/>
        <w:ind w:left="0" w:right="0" w:firstLine="540"/>
        <w:jc w:val="left"/>
        <w:rPr/>
      </w:pPr>
      <w:r>
        <w:rPr/>
      </w:r>
    </w:p>
    <w:p>
      <w:pPr>
        <w:pStyle w:val="TextBody"/>
        <w:bidi w:val="0"/>
        <w:spacing w:before="120" w:after="283"/>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897890"/>
                <wp:effectExtent l="0" t="0" r="0" b="0"/>
                <wp:wrapNone/>
                <wp:docPr id="30" name="Frame11"/>
                <a:graphic xmlns:a="http://schemas.openxmlformats.org/drawingml/2006/main">
                  <a:graphicData uri="http://schemas.microsoft.com/office/word/2010/wordprocessingShape">
                    <wps:wsp>
                      <wps:cNvSpPr txBox="1"/>
                      <wps:spPr>
                        <a:xfrm>
                          <a:off x="0" y="0"/>
                          <a:ext cx="6480175" cy="897890"/>
                        </a:xfrm>
                        <a:prstGeom prst="rect"/>
                        <a:solidFill>
                          <a:srgbClr val="FFFFFF"/>
                        </a:solidFill>
                      </wps:spPr>
                      <wps:txb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38125" cy="238125"/>
                                        <wp:effectExtent l="0" t="0" r="0" b="0"/>
                                        <wp:docPr id="3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1" descr=""/>
                                                <pic:cNvPicPr>
                                                  <a:picLocks noChangeAspect="1" noChangeArrowheads="1"/>
                                                </pic:cNvPicPr>
                                              </pic:nvPicPr>
                                              <pic:blipFill>
                                                <a:blip r:embed="rId21"/>
                                                <a:stretch>
                                                  <a:fillRect/>
                                                </a:stretch>
                                              </pic:blipFill>
                                              <pic:spPr bwMode="auto">
                                                <a:xfrm>
                                                  <a:off x="0" y="0"/>
                                                  <a:ext cx="238125" cy="238125"/>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7pt;mso-wrap-distance-left:0pt;mso-wrap-distance-right:0pt;mso-wrap-distance-top:0pt;mso-wrap-distance-bottom:0pt;margin-top:0pt;mso-position-vertical:top;mso-position-vertical-relative:text;margin-left:0pt;mso-position-horizontal:left;mso-position-horizontal-relative:text">
                <v:textbo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38125" cy="238125"/>
                                  <wp:effectExtent l="0" t="0" r="0" b="0"/>
                                  <wp:docPr id="3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1" descr=""/>
                                          <pic:cNvPicPr>
                                            <a:picLocks noChangeAspect="1" noChangeArrowheads="1"/>
                                          </pic:cNvPicPr>
                                        </pic:nvPicPr>
                                        <pic:blipFill>
                                          <a:blip r:embed="rId22"/>
                                          <a:stretch>
                                            <a:fillRect/>
                                          </a:stretch>
                                        </pic:blipFill>
                                        <pic:spPr bwMode="auto">
                                          <a:xfrm>
                                            <a:off x="0" y="0"/>
                                            <a:ext cx="238125" cy="238125"/>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3f718fd861814da79dc80fa32884b81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2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risks included in this section are not the only ones we face. We operate in a very competitive and rapidly changing environment. New risk factors emerge from time-to-time, and it is not possible for management to predict all such risk factors, nor can it assess the potential impact of all such risk factors on our business or the extent to which any factor, or combination of factors, may cause actual results to differ materially from those in any forward-looking statements. If any of the following risks actually occur, our business, results of operations, financial condition and future prospects would likely suffer. In that case, the trading price of our common stock could decline, and you may lose all or part of your investment.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i/>
          <w:color w:val="00AAE5"/>
          <w:sz w:val="20"/>
        </w:rPr>
      </w:pPr>
      <w:r>
        <w:rPr>
          <w:rFonts w:ascii="Times New Roman;sans-serif" w:hAnsi="Times New Roman;sans-serif"/>
          <w:b/>
          <w:i/>
          <w:color w:val="00AAE5"/>
          <w:sz w:val="20"/>
        </w:rPr>
        <w:t>Business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If we are unable to attract new customers, or sell additional products to existing customers, or if our customers do not increase their use of our products, our revenue growth and profitability will be adversely affected.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To increase our revenue and achieve and maintain profitability, we believe that we must regularly add new customers, sell additional products to existing customers, and our customers must increase their use of the products for which they currently subscribe. We intend to grow our business by retaining and attracting talent, developing strategic relationships with resellers, including resellers that incorporate our applications in their offerings, and increasing our marketing activities. If we are unable to hire or retain quality personnel, convert companies that have been referred to us by our existing network into paying customers, ensure the effectiveness of our marketing programs, or if our existing or new customers do not perceive our products to be of sufficiently high value and quality, we might not be able to increase sales and our operating results will be adversely affected. If we fail to sell our products to existing or new customers, we will not generate anticipated revenues from these products, our operating results will suffer, and we will not be able to grow our revenues or maintain profitability as planned.</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We do not have long-term contracts with most of our recurring revenue customers, and therefore a lack of success in maintaining or improving forecasted renewal rates will have adverse effects on revenue and financial results.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Most of our contracts with our recurring revenue customers allow the customer to cancel the contract for any reason with 30 to 90 days’ notice. Our continued success therefore depends significantly on our ability to meet or exceed our recurring revenue customers’ expectations because most recurring revenue customers do not make long-term commitments to use our products. In addition, if our reputation in the supply chain management industry is harmed or diminished for any reason, our recurring revenue customers have the ability to terminate their relationship with us on short notice and seek alternative supply chain management solutions. We may also not be able to accurately predict future trends in customer renewals, and our customers’ renewal rates may decline or fluctuate because of several factors, including their dissatisfaction with our services, the cost of our services compared to the cost of services offered by our competitors and reductions in our customers’ spending levels. If a significant number of recurring revenue customers seek to terminate their relationship with us, our business, results of operations and financial condition would be adversely affected in a short period of time.</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Economic weakness and uncertainty could adversely affect our revenue, lengthen our sales cycles, and make it more difficult for us to forecast operating results accurately.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revenues depend significantly on general economic conditions and the sustainability and health of retailers. Economic weakness and constrained retail spending may result in slower growth, or reductions, in revenues and gross profits in the future. We have experienced, and may experience in the future, reduced spending in our business due to financial turmoil affecting the U.S. and global economy, and other macroeconomic factors affecting spending behavior. Uncertainty about future economic conditions increases the difficulty of forecasting operating results and making decisions about future investments. In addition, economic conditions or uncertainty may cause customers and potential customers to reduce or delay technology purchases, including purchases of our products. Our sales cycles may lengthen if purchasing decisions are delayed as a result of uncertain technology or development budgets or contract negotiations become more protracted or difficult as customers institute additional internal approvals for technology purchases. Delays or reductions in technology spending could have a material adverse effect on demand for our products, and consequently our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897890"/>
                <wp:effectExtent l="0" t="0" r="0" b="0"/>
                <wp:wrapNone/>
                <wp:docPr id="33" name="Frame12"/>
                <a:graphic xmlns:a="http://schemas.openxmlformats.org/drawingml/2006/main">
                  <a:graphicData uri="http://schemas.microsoft.com/office/word/2010/wordprocessingShape">
                    <wps:wsp>
                      <wps:cNvSpPr txBox="1"/>
                      <wps:spPr>
                        <a:xfrm>
                          <a:off x="0" y="0"/>
                          <a:ext cx="6480175" cy="897890"/>
                        </a:xfrm>
                        <a:prstGeom prst="rect"/>
                        <a:solidFill>
                          <a:srgbClr val="FFFFFF"/>
                        </a:solidFill>
                      </wps:spPr>
                      <wps:txb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38125" cy="238125"/>
                                        <wp:effectExtent l="0" t="0" r="0" b="0"/>
                                        <wp:docPr id="3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2" descr=""/>
                                                <pic:cNvPicPr>
                                                  <a:picLocks noChangeAspect="1" noChangeArrowheads="1"/>
                                                </pic:cNvPicPr>
                                              </pic:nvPicPr>
                                              <pic:blipFill>
                                                <a:blip r:embed="rId23"/>
                                                <a:stretch>
                                                  <a:fillRect/>
                                                </a:stretch>
                                              </pic:blipFill>
                                              <pic:spPr bwMode="auto">
                                                <a:xfrm>
                                                  <a:off x="0" y="0"/>
                                                  <a:ext cx="238125" cy="238125"/>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7pt;mso-wrap-distance-left:0pt;mso-wrap-distance-right:0pt;mso-wrap-distance-top:0pt;mso-wrap-distance-bottom:0pt;margin-top:0pt;mso-position-vertical:top;mso-position-vertical-relative:text;margin-left:0pt;mso-position-horizontal:left;mso-position-horizontal-relative:text">
                <v:textbo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38125" cy="238125"/>
                                  <wp:effectExtent l="0" t="0" r="0" b="0"/>
                                  <wp:docPr id="3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2" descr=""/>
                                          <pic:cNvPicPr>
                                            <a:picLocks noChangeAspect="1" noChangeArrowheads="1"/>
                                          </pic:cNvPicPr>
                                        </pic:nvPicPr>
                                        <pic:blipFill>
                                          <a:blip r:embed="rId24"/>
                                          <a:stretch>
                                            <a:fillRect/>
                                          </a:stretch>
                                        </pic:blipFill>
                                        <pic:spPr bwMode="auto">
                                          <a:xfrm>
                                            <a:off x="0" y="0"/>
                                            <a:ext cx="238125" cy="238125"/>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3f718fd861814da79dc80fa32884b81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Our continued growth could significantly strain our personnel resources and infrastructure, and if we are unable to implement appropriate controls and procedures to manage our growth, we may not be able to implement our business plan successfully.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experienced a period of rapid growth in our headcount and operations. To the extent that we are able to sustain such growth, it might place a significant strain on our management, administrative, operational, and financial resources, and infrastructure. Our success will depend in part upon the ability of our senior management to manage this growth effectively. To do so, we must continue to hire, train, and manage new employees as needed. To manage the expected growth of our operations and personnel, we will need to continue to improve our operational, financial and management controls and our reporting systems and procedures. If we fail to successfully manage our growth, we will be unable to execute our business plan as expected.</w:t>
      </w:r>
    </w:p>
    <w:p>
      <w:pPr>
        <w:pStyle w:val="TextBody"/>
        <w:bidi w:val="0"/>
        <w:spacing w:lineRule="auto" w:line="288"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If we fail to attract, retain, and train members of our senior management team and other key personnel, or if we are not able to successfully manage the transition of our Chief Executive Officer or our President and Chief Operating Officer, our business could be adversely affected.</w:t>
      </w:r>
    </w:p>
    <w:p>
      <w:pPr>
        <w:pStyle w:val="TextBody"/>
        <w:bidi w:val="0"/>
        <w:spacing w:lineRule="auto" w:line="288" w:before="12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Given the complex nature of the cloud-based technology through which our business operates and the speed with which such technology advances, our future success is dependent, in large part, upon our ability to attract, retain, and train highly qualified key executive, managerial, technology, and sales personnel. Competition for talented personnel is intense and we cannot be certain that we can retain our key personnel or that we can attract, assimilate, or retain such personnel in the future to adequately scale our business. Additionally, the loss of any key or a significant number of personnel in our technology, customer success, or sales teams might significantly delay or prevent the achievement of our business objectives and could materially harm our business, customer relationships, results of operations and financial condition.</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Further, our former Chief Executive Officer, Archie Black, retired as Chief Executive Officer effective October 2, 2023, and the board of directors appointed his successor, Chad Collins, as of that date. We also announced the planned retirement of our President and Chief Operating Officer, James Frome, effective December 31, 2024. Leadership transitions and management changes involve inherent risks, can be difficult to manage and may cause uncertainty or a disruption, which could adversely affect our business.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If the market for cloud-based supply chain management products declines or does not maintain its historical growth rates, our revenues may decline or fail to grow, and we may incur operating losses.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derive, and expect to continue to derive, substantially all of our revenues from providing cloud-based supply chain management products to retailers, grocers, distributors, suppliers, and logistics firms. The market for these products has historically experienced growth, but it is uncertain whether these products will continue or sustain growing levels of demand and market acceptance. Our success will depend on the willingness of retailers and their trading partners to accept our products as an alternative to traditional licensed hardware and software products.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Some retailers, grocers, distributors, suppliers, or logistics firms may be reluctant or unwilling to use our cloud-based products for a number of reasons, including their potential significant initial investment to replace existing investments in supply chain management hardware and licensed software and perceived loss of control over user data with a cloud-based product. Other factors that may limit market acceptance of our cloud-based supply chain management products include: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ability to maintain high levels of customer satisfaction;</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ability to maintain continuity of service for all users of our cloud-based products;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price, performance, and availability of competing products, both new and existing;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ability to address customers’ confidentiality and security concerns about information stored within our cloud-based products.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customers do not perceive the benefits of our cloud-based supply chain management products, or if customers are unwilling to accept our cloud-based products as an alternative to the on-premise software or other options approach, demand for our products may not continue to grow or may grow more slowly than we expect, either of which would adversely affect our revenues, growth prospects, and overall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897890"/>
                <wp:effectExtent l="0" t="0" r="0" b="0"/>
                <wp:wrapNone/>
                <wp:docPr id="36" name="Frame13"/>
                <a:graphic xmlns:a="http://schemas.openxmlformats.org/drawingml/2006/main">
                  <a:graphicData uri="http://schemas.microsoft.com/office/word/2010/wordprocessingShape">
                    <wps:wsp>
                      <wps:cNvSpPr txBox="1"/>
                      <wps:spPr>
                        <a:xfrm>
                          <a:off x="0" y="0"/>
                          <a:ext cx="6480175" cy="897890"/>
                        </a:xfrm>
                        <a:prstGeom prst="rect"/>
                        <a:solidFill>
                          <a:srgbClr val="FFFFFF"/>
                        </a:solidFill>
                      </wps:spPr>
                      <wps:txb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38125" cy="238125"/>
                                        <wp:effectExtent l="0" t="0" r="0" b="0"/>
                                        <wp:docPr id="3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3" descr=""/>
                                                <pic:cNvPicPr>
                                                  <a:picLocks noChangeAspect="1" noChangeArrowheads="1"/>
                                                </pic:cNvPicPr>
                                              </pic:nvPicPr>
                                              <pic:blipFill>
                                                <a:blip r:embed="rId25"/>
                                                <a:stretch>
                                                  <a:fillRect/>
                                                </a:stretch>
                                              </pic:blipFill>
                                              <pic:spPr bwMode="auto">
                                                <a:xfrm>
                                                  <a:off x="0" y="0"/>
                                                  <a:ext cx="238125" cy="238125"/>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7pt;mso-wrap-distance-left:0pt;mso-wrap-distance-right:0pt;mso-wrap-distance-top:0pt;mso-wrap-distance-bottom:0pt;margin-top:0pt;mso-position-vertical:top;mso-position-vertical-relative:text;margin-left:0pt;mso-position-horizontal:left;mso-position-horizontal-relative:text">
                <v:textbo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38125" cy="238125"/>
                                  <wp:effectExtent l="0" t="0" r="0" b="0"/>
                                  <wp:docPr id="3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3" descr=""/>
                                          <pic:cNvPicPr>
                                            <a:picLocks noChangeAspect="1" noChangeArrowheads="1"/>
                                          </pic:cNvPicPr>
                                        </pic:nvPicPr>
                                        <pic:blipFill>
                                          <a:blip r:embed="rId26"/>
                                          <a:stretch>
                                            <a:fillRect/>
                                          </a:stretch>
                                        </pic:blipFill>
                                        <pic:spPr bwMode="auto">
                                          <a:xfrm>
                                            <a:off x="0" y="0"/>
                                            <a:ext cx="238125" cy="238125"/>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3f718fd861814da79dc80fa32884b81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The markets in which we participate are highly competitive, and our failure to compete successfully would make it difficult for us to add and retain customers and would reduce or impede the growth of our business.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markets for supply chain management products are increasingly competitive and global. We expect competition to increase in the future both from existing competitors and new companies that may enter our markets. We face competition from:</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cloud-service providers that deliver business-to-business information systems using a multi-tenant approach;</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traditional on-premise software providers;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managed service providers that combine traditional on-premise software with professional technology services.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Moreover, our industry is highly fragmented, and we believe it is likely that our existing competitors will continue to consolidate or will be acquired. In addition, some of our competitors may enter into new alliances with each other or may establish or strengthen cooperative relationships with systems integrators, third-party consulting firms or other parties. New entrants not currently considered to be competitors may also enter the market through new technology offerings, acquisitions, partnerships, or other strategic relationships. Any such new offerings, consolidation, acquisition, alliance or cooperative relationship could lead to pricing pressure, loss of customers and loss of market share, and could result in one or more competitors with greater financial, technical, marketing, service and other resources, all of which could have a material adverse effect on our business, operating results and financial condition. Increased competition could reduce our market share, revenues, and operating margins, increase our costs of operations, and otherwise adversely affect our business.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To remain competitive, we will need to invest continuously in software development, marketing, customer service and support, product delivery and other cloud-based network infrastructure. However, we cannot assure you that new or established competitors will not offer products that are superior to ours or lower in price than ours, or both. We may not have sufficient resources to continue the investments in all areas of software development, marketing, customer service and support and infrastructure needed to maintain our competitive position which may diminish our market share and business prospects.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We may not be able to successfully integrate or otherwise operate newly acquired companies or businesses, which could adversely affect our financial results.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involve numerous risks including:</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incurring significantly higher than anticipated capital expenditures and operating expenses;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failing to assimilate the operations, customers, and personnel of the acquired company or business;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disrupting our ongoing business;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dissipating or distracting our management resources;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dilution to existing stockholders from the issuance of equity securities;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liabilities or other problems associated with the acquired business;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becoming subject to adverse tax consequences, substantial depreciation, or deferred compensation charges;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compliance with laws and regulations and exposure to other contingent liabilities;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retaining key management of the acquired company;</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failing to maintain uniform standards, controls, and policies;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impairing relationships with employees and customers as a result of changes in management.</w:t>
      </w:r>
    </w:p>
    <w:p>
      <w:pPr>
        <w:pStyle w:val="TextBody"/>
        <w:bidi w:val="0"/>
        <w:spacing w:before="120" w:after="283"/>
        <w:ind w:left="0" w:right="0" w:firstLine="540"/>
        <w:jc w:val="left"/>
        <w:rPr/>
      </w:pPr>
      <w:r>
        <w:rPr/>
      </w:r>
    </w:p>
    <w:p>
      <w:pPr>
        <w:pStyle w:val="TextBody"/>
        <w:bidi w:val="0"/>
        <w:spacing w:before="120" w:after="283"/>
        <w:ind w:left="0" w:right="0" w:firstLine="540"/>
        <w:jc w:val="left"/>
        <w:rPr/>
      </w:pPr>
      <w:r>
        <w:rPr/>
      </w:r>
    </w:p>
    <w:p>
      <w:pPr>
        <w:pStyle w:val="TextBody"/>
        <w:bidi w:val="0"/>
        <w:spacing w:before="120" w:after="283"/>
        <w:ind w:left="0" w:right="0" w:firstLine="540"/>
        <w:jc w:val="left"/>
        <w:rPr/>
      </w:pPr>
      <w:r>
        <w:rPr/>
      </w:r>
    </w:p>
    <w:p>
      <w:pPr>
        <w:pStyle w:val="TextBody"/>
        <w:bidi w:val="0"/>
        <w:spacing w:before="120" w:after="283"/>
        <w:ind w:left="0" w:right="0" w:firstLine="540"/>
        <w:jc w:val="left"/>
        <w:rPr/>
      </w:pPr>
      <w:r>
        <w:rPr/>
      </w:r>
    </w:p>
    <w:p>
      <w:pPr>
        <w:pStyle w:val="TextBody"/>
        <w:bidi w:val="0"/>
        <w:spacing w:before="120" w:after="283"/>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897890"/>
                <wp:effectExtent l="0" t="0" r="0" b="0"/>
                <wp:wrapNone/>
                <wp:docPr id="39" name="Frame14"/>
                <a:graphic xmlns:a="http://schemas.openxmlformats.org/drawingml/2006/main">
                  <a:graphicData uri="http://schemas.microsoft.com/office/word/2010/wordprocessingShape">
                    <wps:wsp>
                      <wps:cNvSpPr txBox="1"/>
                      <wps:spPr>
                        <a:xfrm>
                          <a:off x="0" y="0"/>
                          <a:ext cx="6480175" cy="897890"/>
                        </a:xfrm>
                        <a:prstGeom prst="rect"/>
                        <a:solidFill>
                          <a:srgbClr val="FFFFFF"/>
                        </a:solidFill>
                      </wps:spPr>
                      <wps:txb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38125" cy="238125"/>
                                        <wp:effectExtent l="0" t="0" r="0" b="0"/>
                                        <wp:docPr id="4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4" descr=""/>
                                                <pic:cNvPicPr>
                                                  <a:picLocks noChangeAspect="1" noChangeArrowheads="1"/>
                                                </pic:cNvPicPr>
                                              </pic:nvPicPr>
                                              <pic:blipFill>
                                                <a:blip r:embed="rId27"/>
                                                <a:stretch>
                                                  <a:fillRect/>
                                                </a:stretch>
                                              </pic:blipFill>
                                              <pic:spPr bwMode="auto">
                                                <a:xfrm>
                                                  <a:off x="0" y="0"/>
                                                  <a:ext cx="238125" cy="238125"/>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7pt;mso-wrap-distance-left:0pt;mso-wrap-distance-right:0pt;mso-wrap-distance-top:0pt;mso-wrap-distance-bottom:0pt;margin-top:0pt;mso-position-vertical:top;mso-position-vertical-relative:text;margin-left:0pt;mso-position-horizontal:left;mso-position-horizontal-relative:text">
                <v:textbo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38125" cy="238125"/>
                                  <wp:effectExtent l="0" t="0" r="0" b="0"/>
                                  <wp:docPr id="4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4" descr=""/>
                                          <pic:cNvPicPr>
                                            <a:picLocks noChangeAspect="1" noChangeArrowheads="1"/>
                                          </pic:cNvPicPr>
                                        </pic:nvPicPr>
                                        <pic:blipFill>
                                          <a:blip r:embed="rId28"/>
                                          <a:stretch>
                                            <a:fillRect/>
                                          </a:stretch>
                                        </pic:blipFill>
                                        <pic:spPr bwMode="auto">
                                          <a:xfrm>
                                            <a:off x="0" y="0"/>
                                            <a:ext cx="238125" cy="238125"/>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3f718fd861814da79dc80fa32884b81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Fully integrating an acquired company or business into our operations may take a significant amount of time and resources. In addition, we may only be able to conduct limited due diligence on an acquired company’s operations. Following an acquisition, we may be subject to liabilities arising from an acquired company’s past or present operations, including liabilities related to data security, encryption and privacy of customer data, and these liabilities may be greater than the warranty and indemnity limitations that we negotiate. We cannot assure you that we will be successful in overcoming these risks or any other problems encountered with acquisitions. To the extent we do not successfully avoid or overcome the risks or problems related to any acquisitions, our results of operations and financial condition could be adversely affected. Future acquisitions also could impact our financial position and capital needs and could cause substantial fluctuations in our quarterly and yearly results of operations. We also may not be able to achieve anticipated synergies or financial results post acquisition, which could negatively impact our operations and financial results. Acquisitions could include significant goodwill and intangible assets, which may result in future impairment charges that would reduce our stated earnings.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Because our long-term success depends, in part, on our ability to expand the sales of our products to customers located outside of the United States and expand operations to support such expansion, our business will be increasingly susceptible to risks associated with international operations.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limited experience in operating our business outside of the United States increases the risk that our current and any future international expansion efforts will not be successful. Expanding international sales and operations subjects us to new risks that, generally, we have not faced in the U.S., including:</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misjudging the markets and competitive landscape of foreign jurisdictions;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fluctuations in currency exchange rates;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longer accounts receivable payment cycles and difficulties in collecting accounts receivable;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difficulties in managing and staffing international operations;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differing technology standards;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potentially adverse tax consequences, including the complexities of foreign value added tax systems and restrictions on the repatriation of earnings;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localization of our products, including translation into foreign languages and associated expenses;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burdens of complying with a wide variety of foreign laws and regulations, and changes to such laws and regulations, including laws and regulations related to employment, privacy and tax;</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increased financial accounting and reporting burdens and complexities;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unexpected changes in effective tax rates due to international tax liabilities subject to allocation of expenses in differing jurisdictions;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political, social, and economic instability abroad, terrorist attacks and security concerns in general;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greater potential for corruption and bribery;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reduced or varied protection for intellectual property rights in some countries.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occurrence of any one of these risks could adversely affect our international business and, consequently, our results of operations generally. Additionally, operating in international markets also requires significant management attention and financial resources. We cannot be certain that the investment and additional resources required in establishing, acquiring, or integrating operations in other countries will produce desired levels of revenues or profitability.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operate in parts of the world that are recognized as having governmental corruption problems and where local customs and practices may not foster strict compliance with anti-corruption laws. Our continued operation and potential expansion outside the U.S. could increase the risk of such violations in the future. Despite our training and compliance programs, we cannot assure you that our internal control policies and procedures will protect us from unauthorized, reckless, or criminal acts committed by our employees or agents, including by third parties we utilize in foreign jurisdictions. In the event that we believe, or have reason to believe, that our employees or agents have or may have violated applicable anti-corruption laws, including the U.S. Foreign Corrupt Practices Act, we may be required to investigate or have outside counsel investigate the relevant facts and circumstances, which can be expensive and require significant time and attention from senior management. Violations of these laws may result in severe civil and criminal sanctions and penalties, which could disrupt our business and have a material adverse effect on our reputation, results of operations or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897890"/>
                <wp:effectExtent l="0" t="0" r="0" b="0"/>
                <wp:wrapNone/>
                <wp:docPr id="42" name="Frame15"/>
                <a:graphic xmlns:a="http://schemas.openxmlformats.org/drawingml/2006/main">
                  <a:graphicData uri="http://schemas.microsoft.com/office/word/2010/wordprocessingShape">
                    <wps:wsp>
                      <wps:cNvSpPr txBox="1"/>
                      <wps:spPr>
                        <a:xfrm>
                          <a:off x="0" y="0"/>
                          <a:ext cx="6480175" cy="897890"/>
                        </a:xfrm>
                        <a:prstGeom prst="rect"/>
                        <a:solidFill>
                          <a:srgbClr val="FFFFFF"/>
                        </a:solidFill>
                      </wps:spPr>
                      <wps:txb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38125" cy="238125"/>
                                        <wp:effectExtent l="0" t="0" r="0" b="0"/>
                                        <wp:docPr id="4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5" descr=""/>
                                                <pic:cNvPicPr>
                                                  <a:picLocks noChangeAspect="1" noChangeArrowheads="1"/>
                                                </pic:cNvPicPr>
                                              </pic:nvPicPr>
                                              <pic:blipFill>
                                                <a:blip r:embed="rId29"/>
                                                <a:stretch>
                                                  <a:fillRect/>
                                                </a:stretch>
                                              </pic:blipFill>
                                              <pic:spPr bwMode="auto">
                                                <a:xfrm>
                                                  <a:off x="0" y="0"/>
                                                  <a:ext cx="238125" cy="238125"/>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7pt;mso-wrap-distance-left:0pt;mso-wrap-distance-right:0pt;mso-wrap-distance-top:0pt;mso-wrap-distance-bottom:0pt;margin-top:0pt;mso-position-vertical:top;mso-position-vertical-relative:text;margin-left:0pt;mso-position-horizontal:left;mso-position-horizontal-relative:text">
                <v:textbo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38125" cy="238125"/>
                                  <wp:effectExtent l="0" t="0" r="0" b="0"/>
                                  <wp:docPr id="4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5" descr=""/>
                                          <pic:cNvPicPr>
                                            <a:picLocks noChangeAspect="1" noChangeArrowheads="1"/>
                                          </pic:cNvPicPr>
                                        </pic:nvPicPr>
                                        <pic:blipFill>
                                          <a:blip r:embed="rId30"/>
                                          <a:stretch>
                                            <a:fillRect/>
                                          </a:stretch>
                                        </pic:blipFill>
                                        <pic:spPr bwMode="auto">
                                          <a:xfrm>
                                            <a:off x="0" y="0"/>
                                            <a:ext cx="238125" cy="238125"/>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3f718fd861814da79dc80fa32884b81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Any unrest, military activities, or sanctions impacting our international operations, should they occur, could disrupt operations, and have a material adverse effect on our business. Any such disruption to our operations may be prolonged and require a transition to alternative workforce locations. An alternative workforce location may be more expensive to train, staff, and operate and may cause delays and shortfalls in programming deliverables and services, thus potentially harming our business. Given our significant international workforce in Ukraine and the Philippines and the potentially volatile political and civil unrest situations in both areas, including but not limited to Russian interference and civil unrest with multiple groups, respectively, we are more susceptible to disruptions there. Those potentially disruptive environments are out of our control and we cannot predict the outcome of future developments or reactions to such developments by the U.S., European, Asian, Oceanic, United Nations or other international authorities and organizations.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Our failure to raise additional capital or generate cash flows necessary to expand our operations and invest in new technologies could reduce our ability to compete successfully and adversely affect our results of operations.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may need to raise additional capital due to shortfalls in cash flow or for other reasons, and we may not be able to obtain debt or additional equity financing on favorable terms, if at all. If we raise additional equity financing, our security holders may experience significant dilution of their ownership interests and the value of shares of our common stock could decline. If we engage in debt financing, we may be required to accept terms that restrict our ability to incur additional indebtedness, force us to maintain specified liquidity or other ratios or restrict our ability to pay dividends or make acquisitions. If we need additional capital and cannot raise it on acceptable terms, we may not be able to, among other things: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develop and enhance our products;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continue to expand our technology development, sales, and marketing organizations;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acquire new or complementary technologies, products, or businesses;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hire, train and retain employees; or</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respond to competitive pressures or unanticipated working capital requirements.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inability to do any of the foregoing could reduce our ability to compete successfully and adversely affect our results of operations. </w:t>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The extent to which public health emergencies such as epidemics, pandemics, or similar outbreaks may adversely impact our business, results of operations and financial condition will depend on on-going and future developments and outcomes, which are highly uncertain and cannot be predicted.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operations and financial results may be adversely impacted by public health emergencies, such as epidemics, pandemics, and similar outbreaks. Despite our efforts to manage these impacts, their ultimate impact also depends on factors beyond our knowledge or control, including the duration and severity of any such outbreak and actions taken to contain its spread and mitigate its public health effects.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Public health emergencies could have adverse impacts on our business operations by limiting our employees' ability to work and travel, disrupting our third-party technology providers, or causing internal operational workflow to change, among other potentially unforeseen circumstances given the uncertainties related to public health emergencies.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public health emergencies may cause significant disruptions and changes in the economic or political conditions in markets in which we operate. This may cause significant volatility in demand for our services due to, among other adverse impacts, disruption and downturns in our customers’ businesses and related supply chains, an acceleration of existing customer bankruptcies, or our customers’ inability to pay for our services when due or in full. Although certain customers may have a reduced demand for our services, we also may see increased demand by certain customer segments, potentially offsetting reduced demand.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897890"/>
                <wp:effectExtent l="0" t="0" r="0" b="0"/>
                <wp:wrapNone/>
                <wp:docPr id="45" name="Frame16"/>
                <a:graphic xmlns:a="http://schemas.openxmlformats.org/drawingml/2006/main">
                  <a:graphicData uri="http://schemas.microsoft.com/office/word/2010/wordprocessingShape">
                    <wps:wsp>
                      <wps:cNvSpPr txBox="1"/>
                      <wps:spPr>
                        <a:xfrm>
                          <a:off x="0" y="0"/>
                          <a:ext cx="6480175" cy="897890"/>
                        </a:xfrm>
                        <a:prstGeom prst="rect"/>
                        <a:solidFill>
                          <a:srgbClr val="FFFFFF"/>
                        </a:solidFill>
                      </wps:spPr>
                      <wps:txb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38125" cy="238125"/>
                                        <wp:effectExtent l="0" t="0" r="0" b="0"/>
                                        <wp:docPr id="4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6" descr=""/>
                                                <pic:cNvPicPr>
                                                  <a:picLocks noChangeAspect="1" noChangeArrowheads="1"/>
                                                </pic:cNvPicPr>
                                              </pic:nvPicPr>
                                              <pic:blipFill>
                                                <a:blip r:embed="rId31"/>
                                                <a:stretch>
                                                  <a:fillRect/>
                                                </a:stretch>
                                              </pic:blipFill>
                                              <pic:spPr bwMode="auto">
                                                <a:xfrm>
                                                  <a:off x="0" y="0"/>
                                                  <a:ext cx="238125" cy="238125"/>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16</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7pt;mso-wrap-distance-left:0pt;mso-wrap-distance-right:0pt;mso-wrap-distance-top:0pt;mso-wrap-distance-bottom:0pt;margin-top:0pt;mso-position-vertical:top;mso-position-vertical-relative:text;margin-left:0pt;mso-position-horizontal:left;mso-position-horizontal-relative:text">
                <v:textbo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38125" cy="238125"/>
                                  <wp:effectExtent l="0" t="0" r="0" b="0"/>
                                  <wp:docPr id="4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6" descr=""/>
                                          <pic:cNvPicPr>
                                            <a:picLocks noChangeAspect="1" noChangeArrowheads="1"/>
                                          </pic:cNvPicPr>
                                        </pic:nvPicPr>
                                        <pic:blipFill>
                                          <a:blip r:embed="rId32"/>
                                          <a:stretch>
                                            <a:fillRect/>
                                          </a:stretch>
                                        </pic:blipFill>
                                        <pic:spPr bwMode="auto">
                                          <a:xfrm>
                                            <a:off x="0" y="0"/>
                                            <a:ext cx="238125" cy="238125"/>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16</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3f718fd861814da79dc80fa32884b81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60" w:after="283"/>
        <w:jc w:val="left"/>
        <w:rPr>
          <w:rFonts w:ascii="Times New Roman;sans-serif" w:hAnsi="Times New Roman;sans-serif"/>
          <w:b/>
          <w:i/>
          <w:color w:val="00AAE5"/>
          <w:sz w:val="20"/>
        </w:rPr>
      </w:pPr>
      <w:r>
        <w:rPr>
          <w:rFonts w:ascii="Times New Roman;sans-serif" w:hAnsi="Times New Roman;sans-serif"/>
          <w:b/>
          <w:i/>
          <w:color w:val="00AAE5"/>
          <w:sz w:val="20"/>
        </w:rPr>
        <w:t>Products and Service Offerings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Any new products and changes to existing products we pursue could fail to attract or retain customers or generate expected revenues.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retain, increase, and engage our customers and to increase our revenues depends heavily on our ability to identify, develop, and launch successful new products. We may introduce significant changes to our existing products or develop and introduce new and unproven products which include or use technologies with which we have little or no prior development or operating experience. If new or enhanced products fail to garner expected customer demand in a timely manner or at all, we may fail to generate sufficient revenues, operating margin, or other value to justify our investments and our business may be adversely affected.</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Our business is dependent on our ability to maintain and scale our technical infrastructure, and any failure to effectively maintain or scale such infrastructure could damage our reputation, result in a potential loss of revenue, and adversely affect our financial results.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reputation and ability to attract, retain and serve our customers is dependent upon the reliable performance of our cloud-based products and our underlying technical infrastructure and cloud providers. As our user base and the amount and types of information shared on our cloud-based network continue to grow, we will need an increasing amount of technical infrastructure, including network capacity and computing power, to continue to satisfy the needs of our users. It is possible that we or our cloud providers may fail to effectively maintain and scale our technical infrastructure to accommodate these increased demands. Any failure to effectively maintain and grow our technical infrastructure could result in interruptions or delays in service which may damage our reputation, result in a potential loss of customers, and adversely affect our financial results.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Our inability to adapt to rapid technological change could impair our ability to remain competitive.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industry in which we compete is characterized by rapid technological change, frequent introductions of new products, and evolving industry standards, which may include advancements in artificial intelligence. Existing products can become obsolete and unmarketable when vendors introduce products utilizing new technologies or new industry standards emerge, and as a result, it is difficult for us to predict the life cycles of our products. Our ability to attract new customers and increase revenues from customers will depend in significant part on our ability to anticipate technological changes, and the corresponding impact on customer needs, evolving requirements, and future industry standards, and to continue to enhance our existing products or introduce or acquire new products to keep pace with such technological developments. The success of our enhanced or new products depend on several factors, including the timely completion, introduction and market acceptance of the enhancement or product. Any new product we develop or acquire might not be introduced in a timely or cost-effective manner and might not achieve the broad market acceptance necessary to generate expected revenues. If any of our competitors or new market entrants implement new technologies or upgrades to existing technologies before we are able to implement them, they may be able to provide more effective products than ours at lower prices. Any delay or failure in the introduction of new or enhanced products could adversely affect our business, results of operations and financial condition.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We rely on third-party infrastructure, software and services that could take significant time, and involve a complex transition, to replace or upgrade.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rely on infrastructure, software and services licensed from third parties to offer our cloud-based supply chain management products. This infrastructure, software, and services, as well as related maintenance and updates, may not continue to be available to us on commercially reasonable terms, or at all. If we lose the right to use or upgrade any of these licenses, our customers could experience delays or be unable to access our products until we can obtain and integrate equivalent technology. There might not always be commercially reasonable alternatives to the third-party infrastructure, software, and services that we currently license. Any such alternatives could be more difficult or costly to replace than what we currently license, and integration of the alternatives into our cloud-based products could require significant work and resources and delays. Any delays or failures associated with our cloud-based products could damage our reputation with current and potential customers and have an adverse effect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897890"/>
                <wp:effectExtent l="0" t="0" r="0" b="0"/>
                <wp:wrapNone/>
                <wp:docPr id="48" name="Frame17"/>
                <a:graphic xmlns:a="http://schemas.openxmlformats.org/drawingml/2006/main">
                  <a:graphicData uri="http://schemas.microsoft.com/office/word/2010/wordprocessingShape">
                    <wps:wsp>
                      <wps:cNvSpPr txBox="1"/>
                      <wps:spPr>
                        <a:xfrm>
                          <a:off x="0" y="0"/>
                          <a:ext cx="6480175" cy="897890"/>
                        </a:xfrm>
                        <a:prstGeom prst="rect"/>
                        <a:solidFill>
                          <a:srgbClr val="FFFFFF"/>
                        </a:solidFill>
                      </wps:spPr>
                      <wps:txb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38125" cy="238125"/>
                                        <wp:effectExtent l="0" t="0" r="0" b="0"/>
                                        <wp:docPr id="4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7" descr=""/>
                                                <pic:cNvPicPr>
                                                  <a:picLocks noChangeAspect="1" noChangeArrowheads="1"/>
                                                </pic:cNvPicPr>
                                              </pic:nvPicPr>
                                              <pic:blipFill>
                                                <a:blip r:embed="rId33"/>
                                                <a:stretch>
                                                  <a:fillRect/>
                                                </a:stretch>
                                              </pic:blipFill>
                                              <pic:spPr bwMode="auto">
                                                <a:xfrm>
                                                  <a:off x="0" y="0"/>
                                                  <a:ext cx="238125" cy="238125"/>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7pt;mso-wrap-distance-left:0pt;mso-wrap-distance-right:0pt;mso-wrap-distance-top:0pt;mso-wrap-distance-bottom:0pt;margin-top:0pt;mso-position-vertical:top;mso-position-vertical-relative:text;margin-left:0pt;mso-position-horizontal:left;mso-position-horizontal-relative:text">
                <v:textbo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38125" cy="238125"/>
                                  <wp:effectExtent l="0" t="0" r="0" b="0"/>
                                  <wp:docPr id="5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7" descr=""/>
                                          <pic:cNvPicPr>
                                            <a:picLocks noChangeAspect="1" noChangeArrowheads="1"/>
                                          </pic:cNvPicPr>
                                        </pic:nvPicPr>
                                        <pic:blipFill>
                                          <a:blip r:embed="rId34"/>
                                          <a:stretch>
                                            <a:fillRect/>
                                          </a:stretch>
                                        </pic:blipFill>
                                        <pic:spPr bwMode="auto">
                                          <a:xfrm>
                                            <a:off x="0" y="0"/>
                                            <a:ext cx="238125" cy="238125"/>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3f718fd861814da79dc80fa32884b81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Interruptions or delays from third-party data centers or to the telecommunications infrastructure we use or rely on could impair the delivery of our products and our business could suffer.</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use third-party data centers, located in the U.S. and internationally, as well as provision services from cloud providers, to conduct our operations. Our ability to deliver our services depends on the development and maintenance of telecommunications infrastructure by third parties. This includes maintenance of a reliable network backbone with the necessary speed, data capacity, bandwidth capacity, and security. Our operations depend on the protection of the equipment and information we store in these third-party centers, or utilize from third-party providers, against damage or service interruptions that may be caused by fire, flood, severe storm, power loss, telecommunications failures, natural disasters, war, criminal act, military action, terrorist attack, financial failure of the service provider, and other events beyond our control. In addition, third-party malfeasance, such as intentional misconduct by computer hackers, unauthorized intrusions, computer viruses, ransomware, or denial of service attacks, may also cause substantial service disruptions. A prolonged service disruption affecting our products could damage our reputation with potential customers, cause us to lose existing customers, expose us to liability, or otherwise adversely affect our business. We may also incur significant costs for using alternative equipment or taking other actions in preparation for, or in reaction to, events that damage the data centers or infrastructure we use or rely on, including the additional expense of transitioning to substitute facilities or service providers.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A failure to protect the integrity and security of our customers’ information and prevent cyber-attacks could materially damage our reputation, expose us to claims and litigation, and lead to service disruptions and harm our business. Additionally, the growing costs to avoid or reduce the risks of such a failure could adversely affect our results of operations.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demonstrated by the frequency and sophistication of material and high-profile data security breaches within the retail industry; computer malware, viruses, computer hacking, phishing attacks, spamming, ransomware, and other cyber threats have become more prevalent in our industry. Given the interconnected nature of the retail supply chain, our significant presence in the retail industry, and the occurrence of cyber-attacks on our system in the past, we believe that we are a target for such attacks.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involves the collection and use of confidential information of our customers and their trading partners which sometimes requires our direct access to our customers’ information systems. Our security measures may be breached as a result of third-party action, including intentional misconduct by computer hackers via cyber-attacks, employee error, malfeasance, system errors or vulnerabilities, including vulnerabilities of our third-party vendors and customers, and result in someone obtaining unauthorized access to our customers’ information and information systems. Additionally, third parties may attempt to fraudulently induce employees or customers into disclosing sensitive information such as usernames, passwords, or other information in order to gain access to our customers’ data or our data or IT systems. Because the techniques used to obtain unauthorized access, or to sabotage systems, change frequently and generally are not recognized until launched against a target, we may be unable to anticipate these techniques or to implement adequate preventative measures. Malicious third parties may also conduct attacks designed to temporarily deny customers access to our services.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Any failure to maintain performance, reliability, security and availability of our cloud-based products to the satisfaction of our customers, or any unauthorized access to our customers’ information or systems may cause service disruptions, harm our reputation, impair our ability to retain existing customers and attract new customers and expose us to legal claims or government action, each of which could have a material adverse impact on our financial condition, results of operations and growth prospects. Although we are allocating more resources to address cyber threats and safeguard our products and services, including insurance in the event of a breach, we cannot assure you that these efforts to protect this confidential information and prevent unauthorized access to such information systems will be successful, and the growing costs related to these efforts could adversely affect our results of operations. In addition, because of the critical nature of information security and system access, any actual or perceived failure of our security measures could cause existing or potential customers not to use our products and harm our reputation.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897890"/>
                <wp:effectExtent l="0" t="0" r="0" b="0"/>
                <wp:wrapNone/>
                <wp:docPr id="51" name="Frame18"/>
                <a:graphic xmlns:a="http://schemas.openxmlformats.org/drawingml/2006/main">
                  <a:graphicData uri="http://schemas.microsoft.com/office/word/2010/wordprocessingShape">
                    <wps:wsp>
                      <wps:cNvSpPr txBox="1"/>
                      <wps:spPr>
                        <a:xfrm>
                          <a:off x="0" y="0"/>
                          <a:ext cx="6480175" cy="897890"/>
                        </a:xfrm>
                        <a:prstGeom prst="rect"/>
                        <a:solidFill>
                          <a:srgbClr val="FFFFFF"/>
                        </a:solidFill>
                      </wps:spPr>
                      <wps:txb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38125" cy="238125"/>
                                        <wp:effectExtent l="0" t="0" r="0" b="0"/>
                                        <wp:docPr id="5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8" descr=""/>
                                                <pic:cNvPicPr>
                                                  <a:picLocks noChangeAspect="1" noChangeArrowheads="1"/>
                                                </pic:cNvPicPr>
                                              </pic:nvPicPr>
                                              <pic:blipFill>
                                                <a:blip r:embed="rId35"/>
                                                <a:stretch>
                                                  <a:fillRect/>
                                                </a:stretch>
                                              </pic:blipFill>
                                              <pic:spPr bwMode="auto">
                                                <a:xfrm>
                                                  <a:off x="0" y="0"/>
                                                  <a:ext cx="238125" cy="238125"/>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18</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7pt;mso-wrap-distance-left:0pt;mso-wrap-distance-right:0pt;mso-wrap-distance-top:0pt;mso-wrap-distance-bottom:0pt;margin-top:0pt;mso-position-vertical:top;mso-position-vertical-relative:text;margin-left:0pt;mso-position-horizontal:left;mso-position-horizontal-relative:text">
                <v:textbo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38125" cy="238125"/>
                                  <wp:effectExtent l="0" t="0" r="0" b="0"/>
                                  <wp:docPr id="5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18" descr=""/>
                                          <pic:cNvPicPr>
                                            <a:picLocks noChangeAspect="1" noChangeArrowheads="1"/>
                                          </pic:cNvPicPr>
                                        </pic:nvPicPr>
                                        <pic:blipFill>
                                          <a:blip r:embed="rId36"/>
                                          <a:stretch>
                                            <a:fillRect/>
                                          </a:stretch>
                                        </pic:blipFill>
                                        <pic:spPr bwMode="auto">
                                          <a:xfrm>
                                            <a:off x="0" y="0"/>
                                            <a:ext cx="238125" cy="238125"/>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18</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3f718fd861814da79dc80fa32884b81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Businesses in the retail industry have experienced material sales declines after discovering data security breaches, and our business could be similarly impacted in the event of a breach or other cyber incident. Furthermore, many U.S. states and international jurisdictions have enacted laws requiring companies to notify consumers of data security breaches involving their personal data. Additionally, the SEC recently issued final rules related to cybersecurity risk management and incident disclosure, which may further increase our required disclosures and cost of compliance in such events. These mandatory disclosures regarding a data security breach or other cyber incident often lead to widespread negative publicity, which may cause our customers to lose confidence in our products and the effectiveness of our data security measures. If we fail to comply with these laws and regulations, we could be subject to enforcement action or litigation, which could harm our business.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We may experience service failures or interruptions due to defects in the hardware, software, infrastructure, third-party components or processes that comprise our existing or new products, any of which could adversely affect our business.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Technology products like ours may contain undetected defects in the hardware, software, infrastructure, third-party components or processes that are part of the products we provide. If these defects lead to service failures, we could experience delays or lost revenues, diversion of technology resources, negative media attention or increased service costs as a result of performance-based claims during the period required to correct the cause of the defects. We cannot be certain that defects will be avoided in our upgraded or new products, resulting in loss of, or delay in, market acceptance, which could have an adverse effect on our business, results of operations and financial condition.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Because customers use our cloud-based supply chain management products for critical business processes, any defect in our products, any disruption to our products or any error in execution could cause recurring revenue customers to cancel their contracts with us, cause potential customers to not join our network and harm our reputation. We could also be subject to litigation for actual or alleged losses to our customers, which may require us to spend significant time and money in litigation or arbitration or to pay significant settlements or damages. We do not currently maintain any warranty reserves. Moreover, defending a lawsuit, regardless of its merit, could be costly and divert management’s attention and could cause our business to suffer.</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insurers under our existing liability insurance policy could deny coverage of a future claim that results from an error or defect in our technology or a resulting disruption in our products, or our existing liability insurance might not be adequate to cover any or all of the damages and other costs of such a claim. Moreover, we cannot assure you that our current liability insurance coverage will continue to be available to us on acceptable terms or at all. The successful assertion against us of one or more large claims that exceeds, or is not insured by, our insurance coverage, or the occurrence of changes in our liability insurance policy, including an increase in premiums or imposition of large deductible or co-insurance requirements, could have an adverse effect on our business, financial condition, and operating results.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If open source, or other no-cost products and services, expand into enterprise application and supply chain software or products, our prices, revenues, and operating results may decline.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open source community comprises many different formal and informal groups of software developers and individuals who have created a wide variety of software and have made that software available for use, distribution, and modification, often free of charge. If developers contribute effective and scalable enterprise and supply chain application software to the open source community, or if competitors make such software or service available at no cost, we may need to lower our product pricing and alter our distribution strategy to compete successfully, and our revenues and operating results may decline as a result.</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The use of open source software in our products may expose us to additional risks and harm our intellectual property.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Some of our products use or incorporate software that is subject to one or more open source licenses. Open source software is typically licensed under terms that require making the software freely accessible, usable, and modifiable. Failure to comply with these licenses may subject us to onerous requirements, such as offering our products that incorporate the open source software for no cost or making the source code we create based upon, incorporating, or using the open source software available for modifications or derivative works. If an author or third-party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the sale of our services that contained the open source software and required to comply with the foregoing conditions, which could disrupt the distribution and sale of some of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897890"/>
                <wp:effectExtent l="0" t="0" r="0" b="0"/>
                <wp:wrapNone/>
                <wp:docPr id="54" name="Frame19"/>
                <a:graphic xmlns:a="http://schemas.openxmlformats.org/drawingml/2006/main">
                  <a:graphicData uri="http://schemas.microsoft.com/office/word/2010/wordprocessingShape">
                    <wps:wsp>
                      <wps:cNvSpPr txBox="1"/>
                      <wps:spPr>
                        <a:xfrm>
                          <a:off x="0" y="0"/>
                          <a:ext cx="6480175" cy="897890"/>
                        </a:xfrm>
                        <a:prstGeom prst="rect"/>
                        <a:solidFill>
                          <a:srgbClr val="FFFFFF"/>
                        </a:solidFill>
                      </wps:spPr>
                      <wps:txb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38125" cy="238125"/>
                                        <wp:effectExtent l="0" t="0" r="0" b="0"/>
                                        <wp:docPr id="5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19" descr=""/>
                                                <pic:cNvPicPr>
                                                  <a:picLocks noChangeAspect="1" noChangeArrowheads="1"/>
                                                </pic:cNvPicPr>
                                              </pic:nvPicPr>
                                              <pic:blipFill>
                                                <a:blip r:embed="rId37"/>
                                                <a:stretch>
                                                  <a:fillRect/>
                                                </a:stretch>
                                              </pic:blipFill>
                                              <pic:spPr bwMode="auto">
                                                <a:xfrm>
                                                  <a:off x="0" y="0"/>
                                                  <a:ext cx="238125" cy="238125"/>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19</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7pt;mso-wrap-distance-left:0pt;mso-wrap-distance-right:0pt;mso-wrap-distance-top:0pt;mso-wrap-distance-bottom:0pt;margin-top:0pt;mso-position-vertical:top;mso-position-vertical-relative:text;margin-left:0pt;mso-position-horizontal:left;mso-position-horizontal-relative:text">
                <v:textbo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38125" cy="238125"/>
                                  <wp:effectExtent l="0" t="0" r="0" b="0"/>
                                  <wp:docPr id="5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9" descr=""/>
                                          <pic:cNvPicPr>
                                            <a:picLocks noChangeAspect="1" noChangeArrowheads="1"/>
                                          </pic:cNvPicPr>
                                        </pic:nvPicPr>
                                        <pic:blipFill>
                                          <a:blip r:embed="rId38"/>
                                          <a:stretch>
                                            <a:fillRect/>
                                          </a:stretch>
                                        </pic:blipFill>
                                        <pic:spPr bwMode="auto">
                                          <a:xfrm>
                                            <a:off x="0" y="0"/>
                                            <a:ext cx="238125" cy="238125"/>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19</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3f718fd861814da79dc80fa32884b81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While we monitor the use of open source software in our products, processes and technology and work to ensure that open source software is not used in such a way as to require us to disclose the source code to the related product or products, such use could inadvertently occur. Additionally, if a third-party software provider has incorporated certain types of open source software into software we license from such third-party for our products, we could, under certain circumstances, be required to disclose the source code to our products. This could harm our intellectual property position and have a material adverse effect on our business, results of operations and financial condition.</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If we fail to protect our intellectual property and proprietary rights adequately, our business could suffer material adverse effects.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proprietary technology is essential to establishing and maintaining our leadership position. We seek to protect our intellectual property through trade secrets, copyrights, confidentiality, non-compete and nondisclosure agreements, license agreements, trademarks, domain names and other measures, some of which afford only limited protection. We do not have any registered copyrights. Despite our efforts to protect our proprietary rights, unauthorized parties may attempt to copy or reverse engineer aspects of our technology or to obtain and use information that we regard as proprietary. We cannot assure you that our means of protecting our proprietary rights will be adequate or that our competitors will not independently develop similar or superior technology or design around our intellectual property. In addition, the laws of some foreign countries do not protect our proprietary rights to the same extent as the laws of the U.S. and intellectual property protections may also be unavailable, limited or difficult to enforce in some countries, which could make it easier for competitors to capture market share. Our failure to adequately protect our intellectual property and proprietary rights could adversely affect our business, financial condition, and results of operations.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if we resort to legal proceedings to enforce our intellectual property rights or to determine the validity and scope of the intellectual property or other proprietary rights of others, the proceedings could be burdensome and expensive, even if we were to prevail. Any such legal proceedings, including litigation, that are pursued in the future could result in substantial costs and diversion of resources and could have a material adverse effect on our business, operating results, or financial condition, regardless of whether we prevail in such proceedings.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An assertion by a third-party that we are infringing its intellectual property, whether or not correct, could subject us to costly and time-consuming litigation or expensive licenses and our business might be materially harmed.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supply chain management industry and its enabling technologies are characterized by the existence of a large number of patents, copyrights, trademarks, and trade secrets and by frequent litigation based on allegations of infringement or other violations of intellectual property rights. As we seek to extend our products, we could be constrained by the intellectual property rights of others.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might not prevail in any intellectual property infringement litigation against us given, among other reasons, the complex technical issues, and inherent uncertainties in such litigation. Moreover, defending such claims, regardless of their merit, could be time-consuming and distracting to management, result in costly litigation or settlement, cause development delays, require us to enter into royalty or licensing agreements or require us to redesign our products to avoid infringement. If our products violate any third-party proprietary rights, we could be required to withdraw those products from the market, re-develop those products or seek to obtain licenses from third parties, which might not be available on reasonable terms or at all. Any efforts to re-develop our products, obtain licenses from third parties on favorable terms or license a substitute technology might be unsuccessful and, in any case, might substantially increase our costs and harm our business, financial condition and operating results. We also face risk of infringement or misappropriation claims if we hire an employee or contractor who possesses third-party proprietary information and who decides to use such information in connection with our products, services, or business processes without such third-party’s authorization. Regardless of the source of such misuse of third-party intellectual property, any resulting withdrawal of our products from the market might materially harm our business, financial condition, and operating results.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incorporate open source software into our cloud-based products. Given the nature of open source software, third parties might assert copyright and other intellectual property infringement claims against us based on our use of certain open source software programs. The terms of many open source licenses to which we are subject have not been interpreted by U.S. or foreign courts, and there is a risk that those licenses could be construed in a manner that imposes unanticipated conditions or restrictions on our ability to commercialize our products. In that event, we could be required to seek licenses from third parties in order to continue offering our products, to re-develop our products or to discontinue sales of our products, or to release our proprietary software code under the terms of an open source license, any of which could have a material adverse effect on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897890"/>
                <wp:effectExtent l="0" t="0" r="0" b="0"/>
                <wp:wrapNone/>
                <wp:docPr id="57" name="Frame20"/>
                <a:graphic xmlns:a="http://schemas.openxmlformats.org/drawingml/2006/main">
                  <a:graphicData uri="http://schemas.microsoft.com/office/word/2010/wordprocessingShape">
                    <wps:wsp>
                      <wps:cNvSpPr txBox="1"/>
                      <wps:spPr>
                        <a:xfrm>
                          <a:off x="0" y="0"/>
                          <a:ext cx="6480175" cy="897890"/>
                        </a:xfrm>
                        <a:prstGeom prst="rect"/>
                        <a:solidFill>
                          <a:srgbClr val="FFFFFF"/>
                        </a:solidFill>
                      </wps:spPr>
                      <wps:txb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38125" cy="238125"/>
                                        <wp:effectExtent l="0" t="0" r="0" b="0"/>
                                        <wp:docPr id="5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0" descr=""/>
                                                <pic:cNvPicPr>
                                                  <a:picLocks noChangeAspect="1" noChangeArrowheads="1"/>
                                                </pic:cNvPicPr>
                                              </pic:nvPicPr>
                                              <pic:blipFill>
                                                <a:blip r:embed="rId39"/>
                                                <a:stretch>
                                                  <a:fillRect/>
                                                </a:stretch>
                                              </pic:blipFill>
                                              <pic:spPr bwMode="auto">
                                                <a:xfrm>
                                                  <a:off x="0" y="0"/>
                                                  <a:ext cx="238125" cy="238125"/>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7pt;mso-wrap-distance-left:0pt;mso-wrap-distance-right:0pt;mso-wrap-distance-top:0pt;mso-wrap-distance-bottom:0pt;margin-top:0pt;mso-position-vertical:top;mso-position-vertical-relative:text;margin-left:0pt;mso-position-horizontal:left;mso-position-horizontal-relative:text">
                <v:textbo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38125" cy="238125"/>
                                  <wp:effectExtent l="0" t="0" r="0" b="0"/>
                                  <wp:docPr id="5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0" descr=""/>
                                          <pic:cNvPicPr>
                                            <a:picLocks noChangeAspect="1" noChangeArrowheads="1"/>
                                          </pic:cNvPicPr>
                                        </pic:nvPicPr>
                                        <pic:blipFill>
                                          <a:blip r:embed="rId40"/>
                                          <a:stretch>
                                            <a:fillRect/>
                                          </a:stretch>
                                        </pic:blipFill>
                                        <pic:spPr bwMode="auto">
                                          <a:xfrm>
                                            <a:off x="0" y="0"/>
                                            <a:ext cx="238125" cy="238125"/>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3f718fd861814da79dc80fa32884b81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60" w:after="283"/>
        <w:jc w:val="left"/>
        <w:rPr>
          <w:rFonts w:ascii="Times New Roman;sans-serif" w:hAnsi="Times New Roman;sans-serif"/>
          <w:b/>
          <w:i/>
          <w:color w:val="00AAE5"/>
          <w:sz w:val="20"/>
        </w:rPr>
      </w:pPr>
      <w:r>
        <w:rPr>
          <w:rFonts w:ascii="Times New Roman;sans-serif" w:hAnsi="Times New Roman;sans-serif"/>
          <w:b/>
          <w:i/>
          <w:color w:val="00AAE5"/>
          <w:sz w:val="20"/>
        </w:rPr>
        <w:t>Regulation</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Privacy concerns and laws, evolving regulation of the internet and cloud computing, cross-border data transfer restrictions and other domestic or foreign regulations may limit the use and adoption of our products and adversely affect our business.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Regulation related to the provision of services on the internet is increasing, as federal, state, and foreign governments continue to adopt new laws and regulations addressing eCommerce generally, data privacy and the collection, processing, storage and use of personal information, including but not limited to the European Union's General Data Protection Regulation. We are particularly sensitive to these risks because the internet and the collection, processing, storage, and use of personal information are critical components of our cloud-based business model. Further, laws are increasingly aimed at the use of personal information for marketing purposes, such as the European Union’s e-Privacy Directive, and the country-specific regulations that implement that directive. Such laws and regulations are subject to differing interpretations and are inconsistent among jurisdictions. These and other requirements could reduce demand for our products or restrict our ability to store and process data or, in some cases, impact our ability to offer, or develop new, services and products in certain locations.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government activity, privacy advocacy and other industry groups have established or may establish new self-regulatory standards that may place additional burdens on us. Our customers may expect us to meet voluntary certification or other standards established by third parties. If we are unable to maintain these certifications or meet these standards, it could adversely affect our ability to provide our products to certain customers and could harm our business.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costs of compliance with and other burdens imposed by laws, regulations and standards are significant and may limit the use and adoption of our services and reduce overall demand for them, or lead to material fines, penalties, or liabilities for noncompliance.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concerns regarding data privacy may cause our customers’ customers to resist providing the data necessary to allow our customers to use our service effectively. Even the perception that the privacy of personal information is not satisfactorily protected or does not meet regulatory requirements could inhibit sales and adoption of our cloud-based products.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Industry-specific regulation is evolving, and unfavorable or burdensome industry-specific laws, regulations or interpretive positions could harm our business.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customers and potential customers do business in a variety of industries. Regulators in certain industries have adopted and may in the future adopt regulations or interpretive positions regarding the use of cloud computing and other outsourced services. The costs of compliance with, and other burdens imposed by, industry-specific laws, regulations and interpretive positions may limit customers’ use and adoption of our services and reduce overall demand for our services. In addition, an inability to satisfy the standards of certain voluntary third-party certification bodies that our customers may expect may have an adverse impact on our business. If in the future we are unable to achieve or maintain these industry-specific certifications or other requirements or standards relevant to our customers, it may harm our business.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some cases, industry-specific laws, regulations, or interpretive positions may also apply directly to us as a service provider. Any failure or perceived failure by us to comply with such requirements could have an adverse impact on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i/>
          <w:color w:val="00AAE5"/>
          <w:sz w:val="20"/>
        </w:rPr>
      </w:pPr>
      <w:r>
        <w:rPr>
          <w:rFonts w:ascii="Times New Roman;sans-serif" w:hAnsi="Times New Roman;sans-serif"/>
          <w:b/>
          <w:i/>
          <w:color w:val="00AAE5"/>
          <w:sz w:val="20"/>
        </w:rPr>
        <w:t>Ownership of Our Common Stock</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Our results of operations may fluctuate in the future, which could result in volatility in our stock price.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quarterly revenues and results of operations have varied in the past and may fluctuate in the future. Fluctuations in our results of operations may be due to a number of factors, including, but not limited to, those listed below and identified throughout this “Risk Factors” section:</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ability to retain and increase sales to customers and attract new customers, including our ability to maintain and increase our number of recurring revenue customers;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timing and success of introductions of new products or upgrades by us or our competitors;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strength of the U.S. and global economy, in particular, as it affects the U.S. retail sector;</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financial condition of our customers;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changes in our pricing policies or those of our competitors;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897890"/>
                <wp:effectExtent l="0" t="0" r="0" b="0"/>
                <wp:wrapNone/>
                <wp:docPr id="60" name="Frame21"/>
                <a:graphic xmlns:a="http://schemas.openxmlformats.org/drawingml/2006/main">
                  <a:graphicData uri="http://schemas.microsoft.com/office/word/2010/wordprocessingShape">
                    <wps:wsp>
                      <wps:cNvSpPr txBox="1"/>
                      <wps:spPr>
                        <a:xfrm>
                          <a:off x="0" y="0"/>
                          <a:ext cx="6480175" cy="897890"/>
                        </a:xfrm>
                        <a:prstGeom prst="rect"/>
                        <a:solidFill>
                          <a:srgbClr val="FFFFFF"/>
                        </a:solidFill>
                      </wps:spPr>
                      <wps:txb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38125" cy="238125"/>
                                        <wp:effectExtent l="0" t="0" r="0" b="0"/>
                                        <wp:docPr id="6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1" descr=""/>
                                                <pic:cNvPicPr>
                                                  <a:picLocks noChangeAspect="1" noChangeArrowheads="1"/>
                                                </pic:cNvPicPr>
                                              </pic:nvPicPr>
                                              <pic:blipFill>
                                                <a:blip r:embed="rId41"/>
                                                <a:stretch>
                                                  <a:fillRect/>
                                                </a:stretch>
                                              </pic:blipFill>
                                              <pic:spPr bwMode="auto">
                                                <a:xfrm>
                                                  <a:off x="0" y="0"/>
                                                  <a:ext cx="238125" cy="238125"/>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21</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7pt;mso-wrap-distance-left:0pt;mso-wrap-distance-right:0pt;mso-wrap-distance-top:0pt;mso-wrap-distance-bottom:0pt;margin-top:0pt;mso-position-vertical:top;mso-position-vertical-relative:text;margin-left:0pt;mso-position-horizontal:left;mso-position-horizontal-relative:text">
                <v:textbo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38125" cy="238125"/>
                                  <wp:effectExtent l="0" t="0" r="0" b="0"/>
                                  <wp:docPr id="6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1" descr=""/>
                                          <pic:cNvPicPr>
                                            <a:picLocks noChangeAspect="1" noChangeArrowheads="1"/>
                                          </pic:cNvPicPr>
                                        </pic:nvPicPr>
                                        <pic:blipFill>
                                          <a:blip r:embed="rId42"/>
                                          <a:stretch>
                                            <a:fillRect/>
                                          </a:stretch>
                                        </pic:blipFill>
                                        <pic:spPr bwMode="auto">
                                          <a:xfrm>
                                            <a:off x="0" y="0"/>
                                            <a:ext cx="238125" cy="238125"/>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21</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3f718fd861814da79dc80fa32884b81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competition, including entry into the industry by new competitors;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amount and timing of our expenses, including stock-based compensation and expenditures related to expanding our operations, attracting and retaining talent, supporting new customers, performing research and development, or introducing new products;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changes in laws and regulations impacting our business;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regulatory compliance costs and unforeseen legal expenses, including litigation and settlement costs;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timing, size, integration and operational success of potential future acquisitions;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changes in the payment terms for our products;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system or service failures, security breaches or network downtime.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Due to the foregoing factors, and other risks, including those identified in this “Risk Factors” section, comparing our operating results on a period-to-period basis may not be meaningful. You should not rely on these comparisons of our past results of operations as an indication of our future performance.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operating results in one or more future quarters may fluctuate, fall below the expectations of securities analysts and investors, or be less than any guidance we may provide to the market. If this occurs, the trading price of our common stock could decline significantly.</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Our charter documents and Delaware law may delay, discourage, or inhibit a takeover that stockholders consider favorable.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Provisions of our certificate of incorporation and bylaws and applicable provisions of Delaware law may delay, discourage, or inhibit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and may ultimately result in the market price of our common stock being lower than it would be without these provisions. These provisions: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permit our board of directors to issue up to 5,000,000 shares of preferred stock, with any rights, preferences and privileges as our board may designate, including the right to approve an acquisition or other change in our control;</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provide that the authorized number of directors may be changed by resolution of the board of directors;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provide that all vacancies, including newly created directorships, may, except as otherwise required by law, be filled by the affirmative vote of a majority of directors then in office, even if less than a quorum;</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provide that stockholders seeking to present proposals before a meeting of stockholders or to nominate candidates for election as directors at a meeting of stockholders must provide notice in writing in a timely manner, and also specify requirements as to the form and content of a stockholder’s notice;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do not provide for cumulative voting rights.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Section 203 of the Delaware General Corporation Law generally limits our ability to engage in any business combination with certain persons who own 15% or more of our outstanding voting stock or any of our associates or affiliates who at any time in the past three years have owned 15% or more of our outstanding voting stock. These provisions may have the effect of entrenching our management team and may deprive you of the opportunity to sell your shares to potential acquirers at a premium over prevailing prices. This potential inability to obtain a control premium could reduce the price of our common stock.</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We do not intend to declare dividends on our stock in the foreseeable future.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intend to retain all future earnings for the operation and expansion of our business and, therefore, do not anticipate declaring or paying cash dividends on our common stock in the foreseeable future. Investors may need to sell all or part of their holdings of our common stock after price appreciation, which may never occur, as the only way to realize any future gains on their investment. Any payment of future cash dividends on our common stock will be at the discretion of our board of directors and will depend upon our results of operations, earnings, capital requirements, financial condition, future prospects, contractual restrictions, and other factors deemed relevant by our board of directors. Therefore, you should not expect to receive dividend income from shares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897890"/>
                <wp:effectExtent l="0" t="0" r="0" b="0"/>
                <wp:wrapNone/>
                <wp:docPr id="63" name="Frame22"/>
                <a:graphic xmlns:a="http://schemas.openxmlformats.org/drawingml/2006/main">
                  <a:graphicData uri="http://schemas.microsoft.com/office/word/2010/wordprocessingShape">
                    <wps:wsp>
                      <wps:cNvSpPr txBox="1"/>
                      <wps:spPr>
                        <a:xfrm>
                          <a:off x="0" y="0"/>
                          <a:ext cx="6480175" cy="897890"/>
                        </a:xfrm>
                        <a:prstGeom prst="rect"/>
                        <a:solidFill>
                          <a:srgbClr val="FFFFFF"/>
                        </a:solidFill>
                      </wps:spPr>
                      <wps:txb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38125" cy="238125"/>
                                        <wp:effectExtent l="0" t="0" r="0" b="0"/>
                                        <wp:docPr id="6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2" descr=""/>
                                                <pic:cNvPicPr>
                                                  <a:picLocks noChangeAspect="1" noChangeArrowheads="1"/>
                                                </pic:cNvPicPr>
                                              </pic:nvPicPr>
                                              <pic:blipFill>
                                                <a:blip r:embed="rId43"/>
                                                <a:stretch>
                                                  <a:fillRect/>
                                                </a:stretch>
                                              </pic:blipFill>
                                              <pic:spPr bwMode="auto">
                                                <a:xfrm>
                                                  <a:off x="0" y="0"/>
                                                  <a:ext cx="238125" cy="238125"/>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22</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7pt;mso-wrap-distance-left:0pt;mso-wrap-distance-right:0pt;mso-wrap-distance-top:0pt;mso-wrap-distance-bottom:0pt;margin-top:0pt;mso-position-vertical:top;mso-position-vertical-relative:text;margin-left:0pt;mso-position-horizontal:left;mso-position-horizontal-relative:text">
                <v:textbo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38125" cy="238125"/>
                                  <wp:effectExtent l="0" t="0" r="0" b="0"/>
                                  <wp:docPr id="6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22" descr=""/>
                                          <pic:cNvPicPr>
                                            <a:picLocks noChangeAspect="1" noChangeArrowheads="1"/>
                                          </pic:cNvPicPr>
                                        </pic:nvPicPr>
                                        <pic:blipFill>
                                          <a:blip r:embed="rId44"/>
                                          <a:stretch>
                                            <a:fillRect/>
                                          </a:stretch>
                                        </pic:blipFill>
                                        <pic:spPr bwMode="auto">
                                          <a:xfrm>
                                            <a:off x="0" y="0"/>
                                            <a:ext cx="238125" cy="238125"/>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22</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3f718fd861814da79dc80fa32884b81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60" w:after="283"/>
        <w:jc w:val="left"/>
        <w:rPr>
          <w:rFonts w:ascii="Times New Roman;sans-serif" w:hAnsi="Times New Roman;sans-serif"/>
          <w:b/>
          <w:i/>
          <w:color w:val="00AAE5"/>
          <w:sz w:val="20"/>
        </w:rPr>
      </w:pPr>
      <w:r>
        <w:rPr>
          <w:rFonts w:ascii="Times New Roman;sans-serif" w:hAnsi="Times New Roman;sans-serif"/>
          <w:b/>
          <w:i/>
          <w:color w:val="00AAE5"/>
          <w:sz w:val="20"/>
        </w:rPr>
        <w:t>General</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Our failure to maintain adequate internal control over financial reporting in accordance with Section 404 of the Sarbanes-Oxley Act of 2002 or to prevent or detect material misstatements in our annual or interim financial statements in the future could result in inaccurate financial reporting, or could otherwise harm our business and investor confidence in our financial reporting.</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Ensuring that we have internal financial and accounting controls and procedures adequate to produce accurate financial statements on a timely basis is a costly and time-consuming effort that needs to be re-evaluated periodically. The Sarbanes-Oxley Act requires, among other things, that we maintain effective internal control over financial reporting and disclosure controls and procedures. In particular, we are required to perform annual system and process evaluation and testing of our internal control over financial reporting to allow management and our independent registered public accounting firm to report on the effectiveness of our internal control over financial reporting, as required by Section 404 of the Sarbanes-Oxley Act. Furthermore, implementing any appropriate future changes to our internal control over financial reporting may entail substantial costs in order to modify our existing accounting systems, may take a significant period of time to complete and may distract our officers, directors, and employees from the operation of our business. If we are not able to comply with the requirements of Section 404 in the future, or if material weaknesses are identified, our business could be harmed and investor confidence in our financial reporting diminished.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ans-serif" w:hAnsi="Times New Roman;sans-serif"/>
          <w:b/>
          <w:color w:val="00AAE5"/>
          <w:sz w:val="20"/>
        </w:rPr>
      </w:pPr>
      <w:r>
        <w:rPr>
          <w:rFonts w:ascii="Times New Roman;sans-serif" w:hAnsi="Times New Roman;sans-serif"/>
          <w:b/>
          <w:color w:val="00AAE5"/>
          <w:sz w:val="20"/>
        </w:rPr>
        <w:t>Item 1B.    Unresolved Staff Comments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ans-serif" w:hAnsi="Times New Roman;sans-serif"/>
          <w:b/>
          <w:color w:val="00AAE5"/>
          <w:sz w:val="20"/>
        </w:rPr>
      </w:pPr>
      <w:r>
        <w:rPr>
          <w:rFonts w:ascii="Times New Roman;sans-serif" w:hAnsi="Times New Roman;sans-serif"/>
          <w:b/>
          <w:color w:val="00AAE5"/>
          <w:sz w:val="20"/>
        </w:rPr>
        <w:t>Item 1C.    Cybersecurity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an established security program and framework based on ISO/IEC 27001 (“Security Program”) and maintain ISO/IEC 27001:2013, SOC 1 Type 2, and SOC 2 Type 2 certifications. The Security Program has been established to allow management oversight of cybersecurity risks, institute directives and principles for information security, ensure alignment to regulatory and contractual cybersecurity obligations, and enable timely incident response and remediation.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information and security team, led by our Chief Information Security Officer (“CISO”), have implemented and continue to maintain various technical, physical, and administrative processes, policies, and standards as the foundation of our Security Program, which are designed to help us manage and mitigate risks from cybersecurity threats, including, but not limited to, incident detection and response plans, vulnerability management processes, risk assessments, disaster recovery and business continuity plans, access controls, asset management, logging and monitoring, security awareness training, and third-party risk management programs.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CISO and information security team actively monitor and evaluate our networks, systems, data, and security risk profile to identify and assess cybersecurity risks. The information security team uses a variety of methods to identify and assess these risks, including, conducting networks scans, using manual and automated tools, conducting vulnerability and maturity assessments, and subscribing to services and reports providing threat intelligence.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use a variety of third-party service providers to support and execute on our Security Program. These third parties provide cybersecurity consulting services, cybersecurity software, penetration testing, audits, and other professional services to aid us in identifying, assessing, and managing risks from cybersecurity threats.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Security Program is managed by our Executive Security Steering Committee ("ESSC"), comprised of selected members of leadership, including our CISO, which assesses and manages any material risks from cybersecurity threats. The CISO and security team provide regular updates to the ESSC on our Security Program and, in accordance with our security incident response plan, escalate applicable cybersecurity threats or incidents to the ESSC for review and management.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897890"/>
                <wp:effectExtent l="0" t="0" r="0" b="0"/>
                <wp:wrapNone/>
                <wp:docPr id="66" name="Frame23"/>
                <a:graphic xmlns:a="http://schemas.openxmlformats.org/drawingml/2006/main">
                  <a:graphicData uri="http://schemas.microsoft.com/office/word/2010/wordprocessingShape">
                    <wps:wsp>
                      <wps:cNvSpPr txBox="1"/>
                      <wps:spPr>
                        <a:xfrm>
                          <a:off x="0" y="0"/>
                          <a:ext cx="6480175" cy="897890"/>
                        </a:xfrm>
                        <a:prstGeom prst="rect"/>
                        <a:solidFill>
                          <a:srgbClr val="FFFFFF"/>
                        </a:solidFill>
                      </wps:spPr>
                      <wps:txb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38125" cy="238125"/>
                                        <wp:effectExtent l="0" t="0" r="0" b="0"/>
                                        <wp:docPr id="6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23" descr=""/>
                                                <pic:cNvPicPr>
                                                  <a:picLocks noChangeAspect="1" noChangeArrowheads="1"/>
                                                </pic:cNvPicPr>
                                              </pic:nvPicPr>
                                              <pic:blipFill>
                                                <a:blip r:embed="rId45"/>
                                                <a:stretch>
                                                  <a:fillRect/>
                                                </a:stretch>
                                              </pic:blipFill>
                                              <pic:spPr bwMode="auto">
                                                <a:xfrm>
                                                  <a:off x="0" y="0"/>
                                                  <a:ext cx="238125" cy="238125"/>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23</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7pt;mso-wrap-distance-left:0pt;mso-wrap-distance-right:0pt;mso-wrap-distance-top:0pt;mso-wrap-distance-bottom:0pt;margin-top:0pt;mso-position-vertical:top;mso-position-vertical-relative:text;margin-left:0pt;mso-position-horizontal:left;mso-position-horizontal-relative:text">
                <v:textbo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38125" cy="238125"/>
                                  <wp:effectExtent l="0" t="0" r="0" b="0"/>
                                  <wp:docPr id="6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23" descr=""/>
                                          <pic:cNvPicPr>
                                            <a:picLocks noChangeAspect="1" noChangeArrowheads="1"/>
                                          </pic:cNvPicPr>
                                        </pic:nvPicPr>
                                        <pic:blipFill>
                                          <a:blip r:embed="rId46"/>
                                          <a:stretch>
                                            <a:fillRect/>
                                          </a:stretch>
                                        </pic:blipFill>
                                        <pic:spPr bwMode="auto">
                                          <a:xfrm>
                                            <a:off x="0" y="0"/>
                                            <a:ext cx="238125" cy="238125"/>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23</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3f718fd861814da79dc80fa32884b81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Audit Committee of our board of directors oversees our risk management processes related to cybersecurity risks and is regularly informed of such risks through presentations or reports from our CISO. In addition, our security incident response plan includes reporting certain cybersecurity incidents to our Audit Committee. Finally, our board of directors reviews cybersecurity risks on an annual basis, including discussing with management and members of the ESSC our strategy surrounding prevention, detection, mitigation, and remediation of potential security threats. While we have experienced cybersecurity incidents and expect to continue to be subject to such incidents, to date, we have not experienced any cybersecurity incidents that have materially affected our business, financial condition, or results of operations. However, we are subject to ongoing risks from cybersecurity threats that could materially affect us, including our business, financial condition, or results of operations, as further described in Part I, Item 1A, "Risk Factors"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ans-serif" w:hAnsi="Times New Roman;sans-serif"/>
          <w:b/>
          <w:color w:val="00AAE5"/>
          <w:sz w:val="20"/>
        </w:rPr>
      </w:pPr>
      <w:r>
        <w:rPr>
          <w:rFonts w:ascii="Times New Roman;sans-serif" w:hAnsi="Times New Roman;sans-serif"/>
          <w:b/>
          <w:color w:val="00AAE5"/>
          <w:sz w:val="20"/>
        </w:rPr>
        <w:t>Item 2.    Properties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corporate headquarters, including our principal administrative, marketing, sales, technical support, and research and development facilities, are located in Minneapolis, Minnesota. This location includes approximately 198,000 square feet of space and is under lease through 2027. We lease other smaller facilities across the U.S. and international locations. We believe that our current facilities are suitable and adequate to meet our current needs and that suitable additional or substitute space will be available as needed to accommodate expansion of our operations. For additional information regarding obligations under operating leases, see Note I of our consolidated financial statements, included in Part II, Item 8, “Financial Statements and Supplementary Data”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ans-serif" w:hAnsi="Times New Roman;sans-serif"/>
          <w:b/>
          <w:color w:val="00AAE5"/>
          <w:sz w:val="20"/>
        </w:rPr>
      </w:pPr>
      <w:r>
        <w:rPr>
          <w:rFonts w:ascii="Times New Roman;sans-serif" w:hAnsi="Times New Roman;sans-serif"/>
          <w:b/>
          <w:color w:val="00AAE5"/>
          <w:sz w:val="20"/>
        </w:rPr>
        <w:t>Item 3.    Legal Proceedings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not currently subject to, or aware of, any claims or actions that would have a material adverse effect on our business, financial condition, or results of operations. From time to time, we may be named as a defendant in legal actions or otherwise be subject to claims arising from our normal business activities. We believe that we have obtained adequate insurance coverage and/or rights to indemnification in connection with potential legal proceedings that may arise.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ans-serif" w:hAnsi="Times New Roman;sans-serif"/>
          <w:b/>
          <w:color w:val="00AAE5"/>
          <w:sz w:val="20"/>
        </w:rPr>
      </w:pPr>
      <w:r>
        <w:rPr>
          <w:rFonts w:ascii="Times New Roman;sans-serif" w:hAnsi="Times New Roman;sans-serif"/>
          <w:b/>
          <w:color w:val="00AAE5"/>
          <w:sz w:val="20"/>
        </w:rPr>
        <w:t>Item 4.    Mine Safety Disclosures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897890"/>
                <wp:effectExtent l="0" t="0" r="0" b="0"/>
                <wp:wrapNone/>
                <wp:docPr id="69" name="Frame24"/>
                <a:graphic xmlns:a="http://schemas.openxmlformats.org/drawingml/2006/main">
                  <a:graphicData uri="http://schemas.microsoft.com/office/word/2010/wordprocessingShape">
                    <wps:wsp>
                      <wps:cNvSpPr txBox="1"/>
                      <wps:spPr>
                        <a:xfrm>
                          <a:off x="0" y="0"/>
                          <a:ext cx="6480175" cy="897890"/>
                        </a:xfrm>
                        <a:prstGeom prst="rect"/>
                        <a:solidFill>
                          <a:srgbClr val="FFFFFF"/>
                        </a:solidFill>
                      </wps:spPr>
                      <wps:txb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38125" cy="238125"/>
                                        <wp:effectExtent l="0" t="0" r="0" b="0"/>
                                        <wp:docPr id="7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4" descr=""/>
                                                <pic:cNvPicPr>
                                                  <a:picLocks noChangeAspect="1" noChangeArrowheads="1"/>
                                                </pic:cNvPicPr>
                                              </pic:nvPicPr>
                                              <pic:blipFill>
                                                <a:blip r:embed="rId47"/>
                                                <a:stretch>
                                                  <a:fillRect/>
                                                </a:stretch>
                                              </pic:blipFill>
                                              <pic:spPr bwMode="auto">
                                                <a:xfrm>
                                                  <a:off x="0" y="0"/>
                                                  <a:ext cx="238125" cy="238125"/>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24</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7pt;mso-wrap-distance-left:0pt;mso-wrap-distance-right:0pt;mso-wrap-distance-top:0pt;mso-wrap-distance-bottom:0pt;margin-top:0pt;mso-position-vertical:top;mso-position-vertical-relative:text;margin-left:0pt;mso-position-horizontal:left;mso-position-horizontal-relative:text">
                <v:textbo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38125" cy="238125"/>
                                  <wp:effectExtent l="0" t="0" r="0" b="0"/>
                                  <wp:docPr id="71"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24" descr=""/>
                                          <pic:cNvPicPr>
                                            <a:picLocks noChangeAspect="1" noChangeArrowheads="1"/>
                                          </pic:cNvPicPr>
                                        </pic:nvPicPr>
                                        <pic:blipFill>
                                          <a:blip r:embed="rId48"/>
                                          <a:stretch>
                                            <a:fillRect/>
                                          </a:stretch>
                                        </pic:blipFill>
                                        <pic:spPr bwMode="auto">
                                          <a:xfrm>
                                            <a:off x="0" y="0"/>
                                            <a:ext cx="238125" cy="238125"/>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24</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3f718fd861814da79dc80fa32884b81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60" w:after="283"/>
        <w:jc w:val="center"/>
        <w:rPr>
          <w:rFonts w:ascii="Times New Roman;sans-serif" w:hAnsi="Times New Roman;sans-serif"/>
          <w:b/>
          <w:color w:val="00AAE5"/>
          <w:sz w:val="20"/>
        </w:rPr>
      </w:pPr>
      <w:r>
        <w:rPr>
          <w:rFonts w:ascii="Times New Roman;sans-serif" w:hAnsi="Times New Roman;sans-serif"/>
          <w:b/>
          <w:color w:val="00AAE5"/>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ans-serif" w:hAnsi="Times New Roman;sans-serif"/>
          <w:b/>
          <w:color w:val="00AAE5"/>
          <w:sz w:val="20"/>
        </w:rPr>
      </w:pPr>
      <w:r>
        <w:rPr>
          <w:rFonts w:ascii="Times New Roman;sans-serif" w:hAnsi="Times New Roman;sans-serif"/>
          <w:b/>
          <w:color w:val="00AAE5"/>
          <w:sz w:val="20"/>
        </w:rPr>
        <w:t>Item 5.    Market for Registrant’s Common Equity, Related Stockholder Matters, and Issuer Purchases of Equity Securities</w:t>
      </w:r>
    </w:p>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 xml:space="preserve">Market Information - </w:t>
      </w:r>
      <w:r>
        <w:rPr>
          <w:rFonts w:ascii="Times New Roman;sans-serif" w:hAnsi="Times New Roman;sans-serif"/>
          <w:b w:val="false"/>
          <w:color w:val="000000"/>
          <w:sz w:val="20"/>
        </w:rPr>
        <w:t>Our common stock is and has been traded on the Nasdaq Global Market under the symbol “SPSC” since April 22, 2010, the date of our initial public offering.</w:t>
      </w:r>
    </w:p>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 xml:space="preserve">Stockholders of Record - </w:t>
      </w:r>
      <w:r>
        <w:rPr>
          <w:rFonts w:ascii="Times New Roman;sans-serif" w:hAnsi="Times New Roman;sans-serif"/>
          <w:b w:val="false"/>
          <w:color w:val="000000"/>
          <w:sz w:val="20"/>
        </w:rPr>
        <w:t xml:space="preserve">As </w:t>
      </w:r>
      <w:r>
        <w:rPr>
          <w:rFonts w:ascii="Times New Roman;sans-serif" w:hAnsi="Times New Roman;sans-serif"/>
          <w:b w:val="false"/>
          <w:color w:val="000000"/>
          <w:sz w:val="20"/>
          <w:shd w:fill="FFFFFF" w:val="clear"/>
        </w:rPr>
        <w:t>o</w:t>
      </w:r>
      <w:r>
        <w:rPr>
          <w:rFonts w:ascii="Times New Roman;sans-serif" w:hAnsi="Times New Roman;sans-serif"/>
          <w:b w:val="false"/>
          <w:color w:val="000000"/>
          <w:sz w:val="20"/>
        </w:rPr>
        <w:t>f February 13, 2024, we had 69 s</w:t>
      </w:r>
      <w:r>
        <w:rPr>
          <w:rFonts w:ascii="Times New Roman;sans-serif" w:hAnsi="Times New Roman;sans-serif"/>
          <w:b w:val="false"/>
          <w:color w:val="000000"/>
          <w:sz w:val="20"/>
          <w:shd w:fill="FFFFFF" w:val="clear"/>
        </w:rPr>
        <w:t>t</w:t>
      </w:r>
      <w:r>
        <w:rPr>
          <w:rFonts w:ascii="Times New Roman;sans-serif" w:hAnsi="Times New Roman;sans-serif"/>
          <w:b w:val="false"/>
          <w:color w:val="000000"/>
          <w:sz w:val="20"/>
        </w:rPr>
        <w:t>ockholders of record of our common stock, excluding holders whose stock is held either in nominee name and/or street name brokerage accounts.</w:t>
      </w:r>
    </w:p>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 xml:space="preserve">Dividends - </w:t>
      </w:r>
      <w:r>
        <w:rPr>
          <w:rFonts w:ascii="Times New Roman;sans-serif" w:hAnsi="Times New Roman;sans-serif"/>
          <w:b w:val="false"/>
          <w:color w:val="000000"/>
          <w:sz w:val="20"/>
        </w:rPr>
        <w:t>We have not declared or paid cash dividends on our common stock. We currently intend to retain our future earnings, if any, to finance the operation and expansion of our business, and, therefore, we do not expect to pay cash dividends on our common stock in the foreseeable future. Payment of future cash dividends, if any, will be at the discretion of our board of directors after taking into account various factors, including our financial condition, operating results, current and anticipated cash needs, outstanding indebtedness and plans for expansion and restrictions imposed by lenders, if 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AAE5"/>
          <w:sz w:val="20"/>
        </w:rPr>
      </w:pPr>
      <w:r>
        <w:rPr>
          <w:rFonts w:ascii="Times New Roman;sans-serif" w:hAnsi="Times New Roman;sans-serif"/>
          <w:b/>
          <w:color w:val="00AAE5"/>
          <w:sz w:val="20"/>
        </w:rPr>
        <w:t>Stock Performance Graph and Cumulative Total Return</w:t>
      </w:r>
    </w:p>
    <w:p>
      <w:pPr>
        <w:pStyle w:val="TextBody"/>
        <w:bidi w:val="0"/>
        <w:spacing w:lineRule="auto" w:line="288" w:before="12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Notwithstanding any statement to the contrary in any of our previous or future filings with the SEC, the following information relating to the price performance of our common stock shall not be deemed to be “filed” with the SEC or to be “soliciting material” under the Securities Exchange Act of 1934, as amended, (“Exchange Act”), and it shall not be deemed to be incorporated by reference into any of our filings under the Securities Act of 1933, as amended (“Securities Act”), or the Exchange Act, except to the extent we specifically incorporate it by reference into such filing.</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graph below compares the cumulative total stockholder return of our common stock with that of the Russell 1000 Index and the Nasdaq Computer Index from December 31, 2018 through December 31, 2023, utilizing the last trading day of each respective year. The return assumes that $100 was invested in shares of our common stock and the other indexes at the close of market on December 31, 2018, and that dividends, if any, were reinvested. In our Annual Report on Form 10-K for the year ended December 31, 2022, we compared our return to the Nasdaq US Benchmark TR Index. In 2023 and going forward, we will use the Russell 1000 Index as we believe it is now more reflective of the market we serve and is a more appropriate index to compare our stock performance. The comparison in this graph is based on historical data and is not intended to forecast or be indicative of future performance of our common stock.</w:t>
      </w:r>
    </w:p>
    <w:p>
      <w:pPr>
        <w:pStyle w:val="TextBody"/>
        <w:bidi w:val="0"/>
        <w:spacing w:before="120" w:after="283"/>
        <w:ind w:left="0" w:right="0" w:firstLine="540"/>
        <w:jc w:val="left"/>
        <w:rPr/>
      </w:pPr>
      <w:r>
        <w:rPr/>
      </w:r>
    </w:p>
    <w:p>
      <w:pPr>
        <w:pStyle w:val="TextBody"/>
        <w:bidi w:val="0"/>
        <w:spacing w:lineRule="auto" w:line="288" w:before="120" w:after="283"/>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Comparison of Cumulative Total Returns of SPS Commerce, Inc. to Comparable Indexes</w:t>
      </w:r>
    </w:p>
    <w:p>
      <w:pPr>
        <w:pStyle w:val="TextBody"/>
        <w:bidi w:val="0"/>
        <w:spacing w:before="120" w:after="283"/>
        <w:jc w:val="center"/>
        <w:rPr/>
      </w:pPr>
      <w:r>
        <w:rPr/>
        <w:drawing>
          <wp:inline distT="0" distB="0" distL="0" distR="0">
            <wp:extent cx="5715000" cy="2381250"/>
            <wp:effectExtent l="0" t="0" r="0" b="0"/>
            <wp:docPr id="72"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25" descr=""/>
                    <pic:cNvPicPr>
                      <a:picLocks noChangeAspect="1" noChangeArrowheads="1"/>
                    </pic:cNvPicPr>
                  </pic:nvPicPr>
                  <pic:blipFill>
                    <a:blip r:embed="rId49"/>
                    <a:stretch>
                      <a:fillRect/>
                    </a:stretch>
                  </pic:blipFill>
                  <pic:spPr bwMode="auto">
                    <a:xfrm>
                      <a:off x="0" y="0"/>
                      <a:ext cx="5715000" cy="2381250"/>
                    </a:xfrm>
                    <a:prstGeom prst="rect">
                      <a:avLst/>
                    </a:prstGeom>
                  </pic:spPr>
                </pic:pic>
              </a:graphicData>
            </a:graphic>
          </wp:inline>
        </w:drawing>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Recent Sales of Unregistered Securities; Use of Proceeds from Sales of Registered Securities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897890"/>
                <wp:effectExtent l="0" t="0" r="0" b="0"/>
                <wp:wrapNone/>
                <wp:docPr id="73" name="Frame25"/>
                <a:graphic xmlns:a="http://schemas.openxmlformats.org/drawingml/2006/main">
                  <a:graphicData uri="http://schemas.microsoft.com/office/word/2010/wordprocessingShape">
                    <wps:wsp>
                      <wps:cNvSpPr txBox="1"/>
                      <wps:spPr>
                        <a:xfrm>
                          <a:off x="0" y="0"/>
                          <a:ext cx="6480175" cy="897890"/>
                        </a:xfrm>
                        <a:prstGeom prst="rect"/>
                        <a:solidFill>
                          <a:srgbClr val="FFFFFF"/>
                        </a:solidFill>
                      </wps:spPr>
                      <wps:txb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38125" cy="238125"/>
                                        <wp:effectExtent l="0" t="0" r="0" b="0"/>
                                        <wp:docPr id="74"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26" descr=""/>
                                                <pic:cNvPicPr>
                                                  <a:picLocks noChangeAspect="1" noChangeArrowheads="1"/>
                                                </pic:cNvPicPr>
                                              </pic:nvPicPr>
                                              <pic:blipFill>
                                                <a:blip r:embed="rId50"/>
                                                <a:stretch>
                                                  <a:fillRect/>
                                                </a:stretch>
                                              </pic:blipFill>
                                              <pic:spPr bwMode="auto">
                                                <a:xfrm>
                                                  <a:off x="0" y="0"/>
                                                  <a:ext cx="238125" cy="238125"/>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25</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7pt;mso-wrap-distance-left:0pt;mso-wrap-distance-right:0pt;mso-wrap-distance-top:0pt;mso-wrap-distance-bottom:0pt;margin-top:0pt;mso-position-vertical:top;mso-position-vertical-relative:text;margin-left:0pt;mso-position-horizontal:left;mso-position-horizontal-relative:text">
                <v:textbo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38125" cy="238125"/>
                                  <wp:effectExtent l="0" t="0" r="0" b="0"/>
                                  <wp:docPr id="75"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26" descr=""/>
                                          <pic:cNvPicPr>
                                            <a:picLocks noChangeAspect="1" noChangeArrowheads="1"/>
                                          </pic:cNvPicPr>
                                        </pic:nvPicPr>
                                        <pic:blipFill>
                                          <a:blip r:embed="rId51"/>
                                          <a:stretch>
                                            <a:fillRect/>
                                          </a:stretch>
                                        </pic:blipFill>
                                        <pic:spPr bwMode="auto">
                                          <a:xfrm>
                                            <a:off x="0" y="0"/>
                                            <a:ext cx="238125" cy="238125"/>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25</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3f718fd861814da79dc80fa32884b81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Purchases of Equity Securities by the Issuer and Affiliated Purchasers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July 26, 2022 (announced July 27, 2022), our board of directors authorized a program to repurchase up to $50.0 million of our common stock. Under the program, purchases may be made from time to time in the open market or in privately negotiated purchases, or both. The new share repurchase program became effective August 26, 2022 and expires on July 26, 2024.</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We did not make any repurchases under the program during the quarter ended December 31, 2023. For more information regarding our share repurchase programs, refer to Note J to our consolidated financial statements, included in Part II Item 8, </w:t>
      </w:r>
      <w:r>
        <w:rPr>
          <w:rFonts w:ascii="Times New Roman;sans-serif" w:hAnsi="Times New Roman;sans-serif"/>
          <w:b w:val="false"/>
          <w:i/>
          <w:color w:val="000000"/>
          <w:sz w:val="20"/>
        </w:rPr>
        <w:t>"Financial Statements and Supplementary Data"</w:t>
      </w:r>
      <w:r>
        <w:rPr>
          <w:color w:val="000000"/>
        </w:rPr>
        <w:t xml:space="preserve"> </w:t>
      </w:r>
      <w:r>
        <w:rPr>
          <w:rFonts w:ascii="Times New Roman;sans-serif" w:hAnsi="Times New Roman;sans-serif"/>
          <w:b w:val="false"/>
          <w:color w:val="000000"/>
          <w:sz w:val="20"/>
        </w:rPr>
        <w:t>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ans-serif" w:hAnsi="Times New Roman;sans-serif"/>
          <w:b/>
          <w:color w:val="00AAE5"/>
          <w:sz w:val="20"/>
        </w:rPr>
      </w:pPr>
      <w:r>
        <w:rPr>
          <w:rFonts w:ascii="Times New Roman;sans-serif" w:hAnsi="Times New Roman;sans-serif"/>
          <w:b/>
          <w:color w:val="00AAE5"/>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897890"/>
                <wp:effectExtent l="0" t="0" r="0" b="0"/>
                <wp:wrapNone/>
                <wp:docPr id="76" name="Frame26"/>
                <a:graphic xmlns:a="http://schemas.openxmlformats.org/drawingml/2006/main">
                  <a:graphicData uri="http://schemas.microsoft.com/office/word/2010/wordprocessingShape">
                    <wps:wsp>
                      <wps:cNvSpPr txBox="1"/>
                      <wps:spPr>
                        <a:xfrm>
                          <a:off x="0" y="0"/>
                          <a:ext cx="6480175" cy="897890"/>
                        </a:xfrm>
                        <a:prstGeom prst="rect"/>
                        <a:solidFill>
                          <a:srgbClr val="FFFFFF"/>
                        </a:solidFill>
                      </wps:spPr>
                      <wps:txb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38125" cy="238125"/>
                                        <wp:effectExtent l="0" t="0" r="0" b="0"/>
                                        <wp:docPr id="7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27" descr=""/>
                                                <pic:cNvPicPr>
                                                  <a:picLocks noChangeAspect="1" noChangeArrowheads="1"/>
                                                </pic:cNvPicPr>
                                              </pic:nvPicPr>
                                              <pic:blipFill>
                                                <a:blip r:embed="rId52"/>
                                                <a:stretch>
                                                  <a:fillRect/>
                                                </a:stretch>
                                              </pic:blipFill>
                                              <pic:spPr bwMode="auto">
                                                <a:xfrm>
                                                  <a:off x="0" y="0"/>
                                                  <a:ext cx="238125" cy="238125"/>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26</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7pt;mso-wrap-distance-left:0pt;mso-wrap-distance-right:0pt;mso-wrap-distance-top:0pt;mso-wrap-distance-bottom:0pt;margin-top:0pt;mso-position-vertical:top;mso-position-vertical-relative:text;margin-left:0pt;mso-position-horizontal:left;mso-position-horizontal-relative:text">
                <v:textbo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38125" cy="238125"/>
                                  <wp:effectExtent l="0" t="0" r="0" b="0"/>
                                  <wp:docPr id="78"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27" descr=""/>
                                          <pic:cNvPicPr>
                                            <a:picLocks noChangeAspect="1" noChangeArrowheads="1"/>
                                          </pic:cNvPicPr>
                                        </pic:nvPicPr>
                                        <pic:blipFill>
                                          <a:blip r:embed="rId53"/>
                                          <a:stretch>
                                            <a:fillRect/>
                                          </a:stretch>
                                        </pic:blipFill>
                                        <pic:spPr bwMode="auto">
                                          <a:xfrm>
                                            <a:off x="0" y="0"/>
                                            <a:ext cx="238125" cy="238125"/>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26</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3f718fd861814da79dc80fa32884b81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60" w:after="283"/>
        <w:ind w:left="0" w:right="0" w:hanging="1080"/>
        <w:jc w:val="left"/>
        <w:rPr>
          <w:rFonts w:ascii="Times New Roman;sans-serif" w:hAnsi="Times New Roman;sans-serif"/>
          <w:b/>
          <w:color w:val="00AAE5"/>
          <w:sz w:val="20"/>
        </w:rPr>
      </w:pPr>
      <w:r>
        <w:rPr>
          <w:rFonts w:ascii="Times New Roman;sans-serif" w:hAnsi="Times New Roman;sans-serif"/>
          <w:b/>
          <w:color w:val="00AAE5"/>
          <w:sz w:val="20"/>
        </w:rPr>
        <w:t>Item 7.    Management’s Discussion and Analysis of Financial Condition and Results of Operations</w:t>
      </w:r>
    </w:p>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The following discussion and analysis of our financial condition and results of operations should be read together with our audited consolidated financial statements and related notes which are included in Part II, Item 8, “Financial Statements and Supplementary Data” of this Annual Report on Form 10-K. Our actual results could differ materially from those anticipated in the forward-looking statements included in this discussion as a result of certain factors, including, but not limited to, those discussed in Part I, Item 1A, “</w:t>
      </w:r>
      <w:hyperlink w:anchor="i3f718fd861814da79dc80fa32884b818_31">
        <w:r>
          <w:rPr>
            <w:rStyle w:val="InternetLink"/>
            <w:rFonts w:ascii="Times New Roman;sans-serif" w:hAnsi="Times New Roman;sans-serif"/>
            <w:b w:val="false"/>
            <w:i/>
            <w:color w:val="0000FF"/>
            <w:sz w:val="20"/>
            <w:u w:val="single"/>
          </w:rPr>
          <w:t>Risk Factors</w:t>
        </w:r>
      </w:hyperlink>
      <w:r>
        <w:rPr>
          <w:color w:val="000000"/>
        </w:rPr>
        <w:t xml:space="preserve">” </w:t>
      </w:r>
      <w:r>
        <w:rPr>
          <w:rFonts w:ascii="Times New Roman;sans-serif" w:hAnsi="Times New Roman;sans-serif"/>
          <w:b w:val="false"/>
          <w:i/>
          <w:color w:val="000000"/>
          <w:sz w:val="20"/>
        </w:rPr>
        <w:t>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AAE5"/>
          <w:sz w:val="20"/>
        </w:rPr>
      </w:pPr>
      <w:r>
        <w:rPr>
          <w:rFonts w:ascii="Times New Roman;sans-serif" w:hAnsi="Times New Roman;sans-serif"/>
          <w:b/>
          <w:color w:val="00AAE5"/>
          <w:sz w:val="20"/>
        </w:rPr>
        <w:t>Overview</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SPS Commerce is a leading provider of cloud-based supply chain management services across our global retail network. Our products make it easier for retailers, grocers, distributors, suppliers, and logistics firms to communicate and collaborate by simplifying how they manage and share item, inventory, order and sales data across omnichannel retail channels. We deliver our products using a full-service model, which includes industry-leading technology and a team of experts that optimize, update, and operate the technology on customers' behalf.</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products enable customers to increase supply chain performance, optimize inventory levels and sell-through, reduce operational costs, improve order visibility, and satisfy consumer demands for a seamless omnichannel experience.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plan to continue to grow our business by further penetrating the supply chain management market, increasing revenues from our customers as their businesses grow, expanding our distribution channels, expanding our international presence and, from time to time, developing new products and applications. We also intend to selectively pursue acquisitions that will add customers, allow us to expand into new regions, or allow us to offer new functionalities.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AAE5"/>
          <w:sz w:val="20"/>
        </w:rPr>
      </w:pPr>
      <w:r>
        <w:rPr>
          <w:rFonts w:ascii="Times New Roman;sans-serif" w:hAnsi="Times New Roman;sans-serif"/>
          <w:b/>
          <w:color w:val="00AAE5"/>
          <w:sz w:val="20"/>
        </w:rPr>
        <w:t>Key Financial Terms, Metrics and Non-GAAP Financial Measures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Sources of Revenues</w:t>
      </w:r>
    </w:p>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 xml:space="preserve">Fulfillment - </w:t>
      </w:r>
      <w:r>
        <w:rPr>
          <w:rFonts w:ascii="Times New Roman;sans-serif" w:hAnsi="Times New Roman;sans-serif"/>
          <w:b w:val="false"/>
          <w:color w:val="000000"/>
          <w:sz w:val="20"/>
          <w:shd w:fill="FFFFFF" w:val="clear"/>
        </w:rPr>
        <w:t>Our Fulfillment product is a full-service EDI solution that scales as a business grows. Companies can use a single system to manage orders and logistics from all sales channels, including wholesale, eCommerce, and marketplaces. Fulfillment is configurable for any trading partner, document or business system used for order management and offers a full suite of tools to help businesses efficiently manage their supply chain.</w:t>
      </w:r>
    </w:p>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Analytics -</w:t>
      </w:r>
      <w:r>
        <w:rPr>
          <w:color w:val="000000"/>
        </w:rPr>
        <w:t xml:space="preserve"> </w:t>
      </w:r>
      <w:r>
        <w:rPr>
          <w:rFonts w:ascii="Times New Roman;sans-serif" w:hAnsi="Times New Roman;sans-serif"/>
          <w:b w:val="false"/>
          <w:color w:val="000000"/>
          <w:sz w:val="20"/>
          <w:shd w:fill="FFFFFF" w:val="clear"/>
        </w:rPr>
        <w:t>Our Analytics product enables organizations to improve visibility into how products are selling through a single connection across all sales channels, including wholesale, eCommerce, and marketplaces. Analytics improves access and usage of sales and inventory data through a combination of our analytics applications, network of connections, and industry-leading expertise.</w:t>
      </w:r>
    </w:p>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 xml:space="preserve">Other Products - </w:t>
      </w:r>
      <w:r>
        <w:rPr>
          <w:rFonts w:ascii="Times New Roman;sans-serif" w:hAnsi="Times New Roman;sans-serif"/>
          <w:b w:val="false"/>
          <w:color w:val="000000"/>
          <w:sz w:val="20"/>
          <w:shd w:fill="FFFFFF" w:val="clear"/>
        </w:rPr>
        <w:t>We provide several complementary products, such as:</w:t>
      </w:r>
    </w:p>
    <w:p>
      <w:pPr>
        <w:pStyle w:val="TextBody"/>
        <w:bidi w:val="0"/>
        <w:spacing w:lineRule="auto" w:line="288" w:before="120" w:after="283"/>
        <w:ind w:left="0" w:right="0" w:hanging="540"/>
        <w:jc w:val="left"/>
        <w:rPr/>
      </w:pPr>
      <w:r>
        <w:rPr>
          <w:color w:val="000000"/>
          <w:shd w:fill="FFFFFF" w:val="clear"/>
        </w:rPr>
        <w:t>◦</w:t>
      </w:r>
      <w:r>
        <w:rPr>
          <w:rFonts w:ascii="Times New Roman;sans-serif" w:hAnsi="Times New Roman;sans-serif"/>
          <w:b w:val="false"/>
          <w:color w:val="000000"/>
          <w:sz w:val="20"/>
          <w:shd w:fill="FFFFFF" w:val="clear"/>
        </w:rPr>
        <w:t xml:space="preserve">Assortment </w:t>
      </w:r>
      <w:r>
        <w:rPr>
          <w:rFonts w:ascii="Times New Roman;sans-serif" w:hAnsi="Times New Roman;sans-serif"/>
          <w:b w:val="false"/>
          <w:i/>
          <w:color w:val="000000"/>
          <w:sz w:val="20"/>
        </w:rPr>
        <w:t>-</w:t>
      </w:r>
      <w:r>
        <w:rPr>
          <w:color w:val="000000"/>
          <w:shd w:fill="FFFFFF" w:val="clear"/>
        </w:rPr>
        <w:t xml:space="preserve"> </w:t>
      </w:r>
      <w:r>
        <w:rPr>
          <w:rFonts w:ascii="Times New Roman;sans-serif" w:hAnsi="Times New Roman;sans-serif"/>
          <w:b w:val="false"/>
          <w:color w:val="000000"/>
          <w:sz w:val="20"/>
          <w:shd w:fill="FFFFFF" w:val="clear"/>
        </w:rPr>
        <w:t>Our Assortment product simplifies the communication of robust, accurate item data by automatically translating item attributes, and hierarchies through a single connection across all sales channels.</w:t>
      </w:r>
    </w:p>
    <w:p>
      <w:pPr>
        <w:pStyle w:val="TextBody"/>
        <w:bidi w:val="0"/>
        <w:spacing w:lineRule="auto" w:line="288" w:before="120" w:after="283"/>
        <w:ind w:left="0" w:right="0" w:hanging="540"/>
        <w:jc w:val="left"/>
        <w:rPr/>
      </w:pPr>
      <w:r>
        <w:rPr>
          <w:color w:val="000000"/>
          <w:shd w:fill="FFFFFF" w:val="clear"/>
        </w:rPr>
        <w:t>◦</w:t>
      </w:r>
      <w:r>
        <w:rPr>
          <w:rFonts w:ascii="Times New Roman;sans-serif" w:hAnsi="Times New Roman;sans-serif"/>
          <w:b w:val="false"/>
          <w:color w:val="000000"/>
          <w:sz w:val="20"/>
          <w:shd w:fill="FFFFFF" w:val="clear"/>
        </w:rPr>
        <w:t xml:space="preserve">Community </w:t>
      </w:r>
      <w:r>
        <w:rPr>
          <w:rFonts w:ascii="Times New Roman;sans-serif" w:hAnsi="Times New Roman;sans-serif"/>
          <w:b w:val="false"/>
          <w:i/>
          <w:color w:val="000000"/>
          <w:sz w:val="20"/>
        </w:rPr>
        <w:t>-</w:t>
      </w:r>
      <w:r>
        <w:rPr>
          <w:color w:val="000000"/>
          <w:shd w:fill="FFFFFF" w:val="clear"/>
        </w:rPr>
        <w:t xml:space="preserve"> </w:t>
      </w:r>
      <w:r>
        <w:rPr>
          <w:rFonts w:ascii="Times New Roman;sans-serif" w:hAnsi="Times New Roman;sans-serif"/>
          <w:b w:val="false"/>
          <w:color w:val="000000"/>
          <w:sz w:val="20"/>
          <w:shd w:fill="FFFFFF" w:val="clear"/>
        </w:rPr>
        <w:t>Our Community product allows organizations to accelerate digitization of their supply chain and improve collaboration with suppliers through proven change management and onboarding programs.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Cost of Revenues and Operating Expenses</w:t>
      </w:r>
    </w:p>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 xml:space="preserve">Cost of Revenues - </w:t>
      </w:r>
      <w:r>
        <w:rPr>
          <w:rFonts w:ascii="Times New Roman;sans-serif" w:hAnsi="Times New Roman;sans-serif"/>
          <w:b w:val="false"/>
          <w:color w:val="000000"/>
          <w:sz w:val="20"/>
        </w:rPr>
        <w:t>Cost of revenues consist primarily of personnel, stock-based compensation, and technology costs for our customer success and implementation teams, customer support personnel, and application support personnel, as well as amortization related to internally developed software.</w:t>
      </w:r>
    </w:p>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 xml:space="preserve">Sales and Marketing Expenses - </w:t>
      </w:r>
      <w:r>
        <w:rPr>
          <w:rFonts w:ascii="Times New Roman;sans-serif" w:hAnsi="Times New Roman;sans-serif"/>
          <w:b w:val="false"/>
          <w:color w:val="000000"/>
          <w:sz w:val="20"/>
        </w:rPr>
        <w:t>Sales and marketing expenses consist primarily of personnel costs and stock-based compensation expense for our sales, marketing, product management teams, and commissions earned by our sales personnel and referral partners.</w:t>
      </w:r>
    </w:p>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 xml:space="preserve">Research and Development Expenses - </w:t>
      </w:r>
      <w:r>
        <w:rPr>
          <w:rFonts w:ascii="Times New Roman;sans-serif" w:hAnsi="Times New Roman;sans-serif"/>
          <w:b w:val="false"/>
          <w:color w:val="000000"/>
          <w:sz w:val="20"/>
        </w:rPr>
        <w:t>Research and development expenses consist primarily of personnel, stock-based compensation, and technology costs for development of new and maintenance of existing products, net of amounts capitalized as developed software.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897890"/>
                <wp:effectExtent l="0" t="0" r="0" b="0"/>
                <wp:wrapNone/>
                <wp:docPr id="79" name="Frame27"/>
                <a:graphic xmlns:a="http://schemas.openxmlformats.org/drawingml/2006/main">
                  <a:graphicData uri="http://schemas.microsoft.com/office/word/2010/wordprocessingShape">
                    <wps:wsp>
                      <wps:cNvSpPr txBox="1"/>
                      <wps:spPr>
                        <a:xfrm>
                          <a:off x="0" y="0"/>
                          <a:ext cx="6480175" cy="897890"/>
                        </a:xfrm>
                        <a:prstGeom prst="rect"/>
                        <a:solidFill>
                          <a:srgbClr val="FFFFFF"/>
                        </a:solidFill>
                      </wps:spPr>
                      <wps:txb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38125" cy="238125"/>
                                        <wp:effectExtent l="0" t="0" r="0" b="0"/>
                                        <wp:docPr id="8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28" descr=""/>
                                                <pic:cNvPicPr>
                                                  <a:picLocks noChangeAspect="1" noChangeArrowheads="1"/>
                                                </pic:cNvPicPr>
                                              </pic:nvPicPr>
                                              <pic:blipFill>
                                                <a:blip r:embed="rId54"/>
                                                <a:stretch>
                                                  <a:fillRect/>
                                                </a:stretch>
                                              </pic:blipFill>
                                              <pic:spPr bwMode="auto">
                                                <a:xfrm>
                                                  <a:off x="0" y="0"/>
                                                  <a:ext cx="238125" cy="238125"/>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27</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7pt;mso-wrap-distance-left:0pt;mso-wrap-distance-right:0pt;mso-wrap-distance-top:0pt;mso-wrap-distance-bottom:0pt;margin-top:0pt;mso-position-vertical:top;mso-position-vertical-relative:text;margin-left:0pt;mso-position-horizontal:left;mso-position-horizontal-relative:text">
                <v:textbo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38125" cy="238125"/>
                                  <wp:effectExtent l="0" t="0" r="0" b="0"/>
                                  <wp:docPr id="8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28" descr=""/>
                                          <pic:cNvPicPr>
                                            <a:picLocks noChangeAspect="1" noChangeArrowheads="1"/>
                                          </pic:cNvPicPr>
                                        </pic:nvPicPr>
                                        <pic:blipFill>
                                          <a:blip r:embed="rId55"/>
                                          <a:stretch>
                                            <a:fillRect/>
                                          </a:stretch>
                                        </pic:blipFill>
                                        <pic:spPr bwMode="auto">
                                          <a:xfrm>
                                            <a:off x="0" y="0"/>
                                            <a:ext cx="238125" cy="238125"/>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27</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3f718fd861814da79dc80fa32884b81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 xml:space="preserve">General and Administrative Expenses - </w:t>
      </w:r>
      <w:r>
        <w:rPr>
          <w:rFonts w:ascii="Times New Roman;sans-serif" w:hAnsi="Times New Roman;sans-serif"/>
          <w:b w:val="false"/>
          <w:color w:val="000000"/>
          <w:sz w:val="20"/>
        </w:rPr>
        <w:t>General and administrative expenses consist primarily of personnel, stock-based compensation, and technology costs for finance, human resources, and internal technology support, as well as professional services and other fees, such as bad debt expense and credit card processing fees.</w:t>
      </w:r>
    </w:p>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 xml:space="preserve">Overhead Allocation - </w:t>
      </w:r>
      <w:r>
        <w:rPr>
          <w:rFonts w:ascii="Times New Roman;sans-serif" w:hAnsi="Times New Roman;sans-serif"/>
          <w:b w:val="false"/>
          <w:color w:val="000000"/>
          <w:sz w:val="20"/>
        </w:rPr>
        <w:t>We allocate overhead expenses such as rent, certain employee benefit costs, certain software costs, and depreciation of general office assets to cost of revenues and operating expenses categories based on expense type using department headcount or salary.</w:t>
      </w:r>
    </w:p>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Amortization of Intangibles Assets</w:t>
      </w:r>
      <w:r>
        <w:rPr>
          <w:color w:val="000000"/>
        </w:rPr>
        <w:t xml:space="preserve"> </w:t>
      </w:r>
      <w:r>
        <w:rPr>
          <w:rFonts w:ascii="Times New Roman;sans-serif" w:hAnsi="Times New Roman;sans-serif"/>
          <w:b w:val="false"/>
          <w:color w:val="000000"/>
          <w:sz w:val="20"/>
        </w:rPr>
        <w:t>- Amortization expense consists of the expense recognition of acquired intangible assets over their estimated useful lives.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Other Income (Expense), net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(expense) consists primarily of realized gain (loss) from foreign currency on cash and investments held and investment income.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Income Tax Expense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consists primarily of income taxes for U.S. federal jurisdiction in addition to income taxes for various state and international jurisdictions.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Metrics and Non-GAAP Financial Measures</w:t>
      </w:r>
    </w:p>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 xml:space="preserve">Recurring Revenue Customers - </w:t>
      </w:r>
      <w:r>
        <w:rPr>
          <w:rFonts w:ascii="Times New Roman;sans-serif" w:hAnsi="Times New Roman;sans-serif"/>
          <w:b w:val="false"/>
          <w:color w:val="000000"/>
          <w:sz w:val="20"/>
        </w:rPr>
        <w:t>As of December 31, 2023, we had approximately 44,800 customers with ongoing contracts to pay us monthly fees, which we refer to as recurring revenue customers. A small portion of our recurring revenue customers consist of separate units within a larger organization and are separately invoiced. We treat each of these units, which may include divisions, departments, affiliates and franchises, as distinct recurring revenue customers.</w:t>
      </w:r>
    </w:p>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 xml:space="preserve">Wallet Share - </w:t>
      </w:r>
      <w:r>
        <w:rPr>
          <w:rFonts w:ascii="Times New Roman;sans-serif" w:hAnsi="Times New Roman;sans-serif"/>
          <w:b w:val="false"/>
          <w:color w:val="000000"/>
          <w:sz w:val="20"/>
        </w:rPr>
        <w:t>We calculate average recurring revenues per recurring revenue customer, which we also refer to as wallet share, by dividing the recurring revenues from recurring revenue customers for the period by the average of the beginning and ending number of recurring revenue customers for the period.</w:t>
      </w:r>
    </w:p>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 xml:space="preserve">Non-GAAP Financial Measures - </w:t>
      </w:r>
      <w:r>
        <w:rPr>
          <w:rFonts w:ascii="Times New Roman;sans-serif" w:hAnsi="Times New Roman;sans-serif"/>
          <w:b w:val="false"/>
          <w:color w:val="000000"/>
          <w:sz w:val="20"/>
        </w:rPr>
        <w:t>To supplement our consolidated financial statements, we provide investors with Adjusted EBITDA, Adjusted EBITDA Margin, and non-GAAP income per share, all of which are non-GAAP financial measures. We believe that these non-GAAP financial measures provide useful information to our management, board of directors, and investors regarding certain financial and business trends relating to our financial condition and results of operations.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uses these non-GAAP financial measures to compare our performance to that of prior periods for trend analyses and planning purposes. Adjusted EBITDA is also used for purposes of determining executive and senior management incentive compensation. We believe these non-GAAP financial measures are useful to an investor as they are widely used in evaluating operating performance. Adjusted EBITDA and Adjusted EBITDA Margin are used to measure operating performance without regard to items such as depreciation and amortization, which can vary depending upon accounting methods and the book value of assets, and to present a meaningful measure of corporate performance exclusive of capital structure and the method by which assets were acquired.</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These non-GAAP financial measures should not be considered a substitute for, or superior to, financial measures calculated in accordance with GAAP. These non-GAAP financial measures exclude significant expenses and income that are required by GAAP to be recorded in our consolidated financial statements and are subject to inherent limitations. Investors should review the reconciliations of non-GAAP financial measures to the comparable GAAP financial measures that are included in this “</w:t>
      </w:r>
      <w:r>
        <w:rPr>
          <w:rFonts w:ascii="Times New Roman;sans-serif" w:hAnsi="Times New Roman;sans-serif"/>
          <w:b w:val="false"/>
          <w:i/>
          <w:color w:val="000000"/>
          <w:sz w:val="20"/>
        </w:rPr>
        <w:t>Management’s Discussion and Analysis of Financial Condition and Results of Operations.</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AAE5"/>
          <w:sz w:val="20"/>
        </w:rPr>
      </w:pPr>
      <w:r>
        <w:rPr>
          <w:rFonts w:ascii="Times New Roman;sans-serif" w:hAnsi="Times New Roman;sans-serif"/>
          <w:b/>
          <w:color w:val="00AAE5"/>
          <w:sz w:val="20"/>
        </w:rPr>
        <w:t>Critical Accounting Policies and Estimates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discussion of our financial condition and results of operations is based upon our consolidated financial statements, which are prepared in accordance with GAAP. The preparation of these consolidated financial statements requires us to make estimates, judgments, and assumptions that affect the reported amounts of assets, liabilities, revenues, expenses, and related disclosures. On an ongoing basis, we evaluate our estimates, judgments, and assumptions. We base our estimates of the carrying value of certain assets and liabilities on historical experience and on various other assumptions that we believe to be reasonable. Our actual results may differ from these estimates under different assumptions or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897890"/>
                <wp:effectExtent l="0" t="0" r="0" b="0"/>
                <wp:wrapNone/>
                <wp:docPr id="82" name="Frame28"/>
                <a:graphic xmlns:a="http://schemas.openxmlformats.org/drawingml/2006/main">
                  <a:graphicData uri="http://schemas.microsoft.com/office/word/2010/wordprocessingShape">
                    <wps:wsp>
                      <wps:cNvSpPr txBox="1"/>
                      <wps:spPr>
                        <a:xfrm>
                          <a:off x="0" y="0"/>
                          <a:ext cx="6480175" cy="897890"/>
                        </a:xfrm>
                        <a:prstGeom prst="rect"/>
                        <a:solidFill>
                          <a:srgbClr val="FFFFFF"/>
                        </a:solidFill>
                      </wps:spPr>
                      <wps:txb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38125" cy="238125"/>
                                        <wp:effectExtent l="0" t="0" r="0" b="0"/>
                                        <wp:docPr id="83"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29" descr=""/>
                                                <pic:cNvPicPr>
                                                  <a:picLocks noChangeAspect="1" noChangeArrowheads="1"/>
                                                </pic:cNvPicPr>
                                              </pic:nvPicPr>
                                              <pic:blipFill>
                                                <a:blip r:embed="rId56"/>
                                                <a:stretch>
                                                  <a:fillRect/>
                                                </a:stretch>
                                              </pic:blipFill>
                                              <pic:spPr bwMode="auto">
                                                <a:xfrm>
                                                  <a:off x="0" y="0"/>
                                                  <a:ext cx="238125" cy="238125"/>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28</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7pt;mso-wrap-distance-left:0pt;mso-wrap-distance-right:0pt;mso-wrap-distance-top:0pt;mso-wrap-distance-bottom:0pt;margin-top:0pt;mso-position-vertical:top;mso-position-vertical-relative:text;margin-left:0pt;mso-position-horizontal:left;mso-position-horizontal-relative:text">
                <v:textbo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38125" cy="238125"/>
                                  <wp:effectExtent l="0" t="0" r="0" b="0"/>
                                  <wp:docPr id="84"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29" descr=""/>
                                          <pic:cNvPicPr>
                                            <a:picLocks noChangeAspect="1" noChangeArrowheads="1"/>
                                          </pic:cNvPicPr>
                                        </pic:nvPicPr>
                                        <pic:blipFill>
                                          <a:blip r:embed="rId57"/>
                                          <a:stretch>
                                            <a:fillRect/>
                                          </a:stretch>
                                        </pic:blipFill>
                                        <pic:spPr bwMode="auto">
                                          <a:xfrm>
                                            <a:off x="0" y="0"/>
                                            <a:ext cx="238125" cy="238125"/>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28</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3f718fd861814da79dc80fa32884b81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 critical accounting policy or estimate is one that is both material to the presentation of our financial statements and requires us to make difficult, subjective, or complex judgments relating to uncertain matters that could have a material effect on our financial condition and results of operations. Accordingly, we believe that our policies for revenue recognition, internally developed software, and business combinations are the most critical to fully understand and evaluate our financial condition and results of operations.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Revenues are the amount that reflects the consideration we are contractually and legally entitled to, as well as the amount we expect to collect, in exchange for those services. Set-up fees are specific for each connection a customer has with a trading partner. These nonrefundable fees are necessary for our customers to utilize our services and do not provide any standalone value. Many of our customers have connections with numerous trading partners.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Set-up fees constitute a material renewal option right that provide customers a significant future incentive that would not be otherwise available to that customer unless they entered into the contract, as the set-up fees will not be incurred again upon contract renewal. As such, set-up fees and related costs are deferred and recognized ratably, generally over two years, which is the estimated period for which a material right is present for our customers.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Internally Developed Software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Internally developed software consists of capitalized costs incurred during the application development stage, which include costs related to the design of the chosen path, coding, installation of the hardware necessary to run the software, and any testing done before the operational stage. Costs incurred during the preliminary project stage and post-implementation stage are expensed as incurred. Additionally, maintenance of internally developed software are expensed as incurred. Internally developed software is amortized over the estimated useful life, three years, commencing on the date when the asset is ready for its intended use. Amortization is computed using the straight-line method.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Business Combinations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allocate the fair value of purchase consideration to the tangible assets acquired, liabilities assumed, and intangible assets acquired based on their estimated fair values as of the acquisition date. The excess of the fair value of purchase consideration over the fair values of these identifiable assets and liabilities is recorded as goodwill. Such valuations may require us to make significant estimates and assumptions, especially with respect to intangible assets.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estimates in valuing certain intangible assets may include, but are not limited to, future expected cash flows from acquired customers and developed technology from a market participant perspective, useful lives, and discount rates. Significant estimates in valuing liabilities for contingent consideration may include, but are not limited to, discount rates, projected financial results of the acquired businesses based on our most recent internal forecasts, and factors indicating the probability of achieving the forecasted results.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estimates of fair value are based upon assumptions believed to be reasonable, but which are inherently uncertain and unpredictable and, as a result, actual results may differ from estimates. During the measurement period, which is not to exceed one year from the acquisition date, we may record adjustments to the assets acquired and liabilities assumed, with the corresponding offset to goodwill. Upon the conclusion of the measurement period, any subsequent adjustments are recorded to earnings.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897890"/>
                <wp:effectExtent l="0" t="0" r="0" b="0"/>
                <wp:wrapNone/>
                <wp:docPr id="85" name="Frame29"/>
                <a:graphic xmlns:a="http://schemas.openxmlformats.org/drawingml/2006/main">
                  <a:graphicData uri="http://schemas.microsoft.com/office/word/2010/wordprocessingShape">
                    <wps:wsp>
                      <wps:cNvSpPr txBox="1"/>
                      <wps:spPr>
                        <a:xfrm>
                          <a:off x="0" y="0"/>
                          <a:ext cx="6480175" cy="897890"/>
                        </a:xfrm>
                        <a:prstGeom prst="rect"/>
                        <a:solidFill>
                          <a:srgbClr val="FFFFFF"/>
                        </a:solidFill>
                      </wps:spPr>
                      <wps:txb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38125" cy="238125"/>
                                        <wp:effectExtent l="0" t="0" r="0" b="0"/>
                                        <wp:docPr id="86"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30" descr=""/>
                                                <pic:cNvPicPr>
                                                  <a:picLocks noChangeAspect="1" noChangeArrowheads="1"/>
                                                </pic:cNvPicPr>
                                              </pic:nvPicPr>
                                              <pic:blipFill>
                                                <a:blip r:embed="rId58"/>
                                                <a:stretch>
                                                  <a:fillRect/>
                                                </a:stretch>
                                              </pic:blipFill>
                                              <pic:spPr bwMode="auto">
                                                <a:xfrm>
                                                  <a:off x="0" y="0"/>
                                                  <a:ext cx="238125" cy="238125"/>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29</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7pt;mso-wrap-distance-left:0pt;mso-wrap-distance-right:0pt;mso-wrap-distance-top:0pt;mso-wrap-distance-bottom:0pt;margin-top:0pt;mso-position-vertical:top;mso-position-vertical-relative:text;margin-left:0pt;mso-position-horizontal:left;mso-position-horizontal-relative:text">
                <v:textbo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38125" cy="238125"/>
                                  <wp:effectExtent l="0" t="0" r="0" b="0"/>
                                  <wp:docPr id="87"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30" descr=""/>
                                          <pic:cNvPicPr>
                                            <a:picLocks noChangeAspect="1" noChangeArrowheads="1"/>
                                          </pic:cNvPicPr>
                                        </pic:nvPicPr>
                                        <pic:blipFill>
                                          <a:blip r:embed="rId59"/>
                                          <a:stretch>
                                            <a:fillRect/>
                                          </a:stretch>
                                        </pic:blipFill>
                                        <pic:spPr bwMode="auto">
                                          <a:xfrm>
                                            <a:off x="0" y="0"/>
                                            <a:ext cx="238125" cy="238125"/>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29</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3f718fd861814da79dc80fa32884b81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60" w:after="283"/>
        <w:jc w:val="left"/>
        <w:rPr>
          <w:rFonts w:ascii="Times New Roman;sans-serif" w:hAnsi="Times New Roman;sans-serif"/>
          <w:b/>
          <w:color w:val="00AAE5"/>
          <w:sz w:val="20"/>
        </w:rPr>
      </w:pPr>
      <w:r>
        <w:rPr>
          <w:rFonts w:ascii="Times New Roman;sans-serif" w:hAnsi="Times New Roman;sans-serif"/>
          <w:b/>
          <w:color w:val="00AAE5"/>
          <w:sz w:val="20"/>
        </w:rPr>
        <w:t>Results of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Year Ended December 31, 2023 Compared to Year Ended December 31, 2022</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results of operations for the periods indicated:</w:t>
      </w:r>
    </w:p>
    <w:tbl>
      <w:tblPr>
        <w:tblW w:w="10205" w:type="dxa"/>
        <w:jc w:val="center"/>
        <w:tblInd w:w="0" w:type="dxa"/>
        <w:tblLayout w:type="fixed"/>
        <w:tblCellMar>
          <w:top w:w="28" w:type="dxa"/>
          <w:left w:w="28" w:type="dxa"/>
          <w:bottom w:w="28" w:type="dxa"/>
          <w:right w:w="28" w:type="dxa"/>
        </w:tblCellMar>
      </w:tblPr>
      <w:tblGrid>
        <w:gridCol w:w="886"/>
        <w:gridCol w:w="609"/>
        <w:gridCol w:w="604"/>
        <w:gridCol w:w="211"/>
        <w:gridCol w:w="826"/>
        <w:gridCol w:w="109"/>
        <w:gridCol w:w="109"/>
        <w:gridCol w:w="109"/>
        <w:gridCol w:w="109"/>
        <w:gridCol w:w="308"/>
        <w:gridCol w:w="308"/>
        <w:gridCol w:w="538"/>
        <w:gridCol w:w="109"/>
        <w:gridCol w:w="109"/>
        <w:gridCol w:w="109"/>
        <w:gridCol w:w="211"/>
        <w:gridCol w:w="826"/>
        <w:gridCol w:w="109"/>
        <w:gridCol w:w="109"/>
        <w:gridCol w:w="109"/>
        <w:gridCol w:w="109"/>
        <w:gridCol w:w="308"/>
        <w:gridCol w:w="308"/>
        <w:gridCol w:w="538"/>
        <w:gridCol w:w="109"/>
        <w:gridCol w:w="109"/>
        <w:gridCol w:w="109"/>
        <w:gridCol w:w="211"/>
        <w:gridCol w:w="721"/>
        <w:gridCol w:w="109"/>
        <w:gridCol w:w="109"/>
        <w:gridCol w:w="109"/>
        <w:gridCol w:w="109"/>
        <w:gridCol w:w="255"/>
        <w:gridCol w:w="256"/>
        <w:gridCol w:w="319"/>
      </w:tblGrid>
      <w:tr>
        <w:trPr/>
        <w:tc>
          <w:tcPr>
            <w:tcW w:w="88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0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of revenue</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of revenue</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3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3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31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354,841 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5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297,810 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5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5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5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5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5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277,593 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5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5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5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20"/>
              </w:rPr>
              <w:t>NM</w:t>
            </w:r>
            <w:r>
              <w:rPr>
                <w:rFonts w:ascii="Times New Roman;sans-serif" w:hAnsi="Times New Roman;sans-serif"/>
                <w:b w:val="false"/>
                <w:color w:val="000000"/>
                <w:sz w:val="13"/>
              </w:rPr>
              <w:t>(2)</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5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5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5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5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31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(1) Amounts in column may not foot due to rounding</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(2) NM = "not meaningful"</w:t>
            </w:r>
          </w:p>
        </w:tc>
      </w:tr>
    </w:tbl>
    <w:p>
      <w:pPr>
        <w:pStyle w:val="TextBody"/>
        <w:bidi w:val="0"/>
        <w:spacing w:lineRule="auto" w:line="288" w:before="120" w:after="283"/>
        <w:ind w:left="0" w:right="0" w:firstLine="540"/>
        <w:jc w:val="left"/>
        <w:rPr/>
      </w:pPr>
      <w:r>
        <w:rPr>
          <w:rFonts w:ascii="Times New Roman;sans-serif" w:hAnsi="Times New Roman;sans-serif"/>
          <w:b/>
          <w:i/>
          <w:color w:val="000000"/>
          <w:sz w:val="20"/>
        </w:rPr>
        <w:t>Revenues</w:t>
      </w:r>
      <w:r>
        <w:rPr>
          <w:color w:val="000000"/>
        </w:rPr>
        <w:t xml:space="preserve"> </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Revenues increased for the 92nd consecutive quarter.</w:t>
      </w:r>
      <w:r>
        <w:rPr>
          <w:color w:val="000000"/>
        </w:rPr>
        <w:t xml:space="preserve"> </w:t>
      </w:r>
      <w:r>
        <w:rPr>
          <w:rFonts w:ascii="Times New Roman;sans-serif" w:hAnsi="Times New Roman;sans-serif"/>
          <w:b w:val="false"/>
          <w:color w:val="000000"/>
          <w:sz w:val="20"/>
        </w:rPr>
        <w:t>The increase in revenues resulted from two primary factors: the increase in recurring revenue customers, which is driven primarily by continued business growth and by business acquisitions, and the increase in average recurring revenues per recurring revenue customer, which we also refer to as wallet share.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number of recurring revenue customers increased 6% to approximately 44,800 at December 31, 2023 from approximately 42,300 at December 31, 2022 primarily due to sales and marketing efforts to acquire new customers and due to recent acquisitions.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Wallet share increased 10% to approximately $11,550 at December 31, 2023 from approximately $10,500 at December 31, 2022. This was primarily attributable to increased usage of our products by our recurring revenue customers.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Recurring revenues increased 20% to $502.0 million in 2023, as compared to 2022, and accounted for 94% and 93% of our total revenues in 2023 and 2022, respectively. We anticipate that the number of recurring revenue customers and wallet share will continue to increase as we execute our growth strategy focused on further penetrations of our market.</w:t>
      </w:r>
    </w:p>
    <w:p>
      <w:pPr>
        <w:pStyle w:val="TextBody"/>
        <w:bidi w:val="0"/>
        <w:spacing w:lineRule="auto" w:line="288" w:before="120" w:after="283"/>
        <w:ind w:left="0" w:right="0" w:firstLine="540"/>
        <w:jc w:val="left"/>
        <w:rPr/>
      </w:pPr>
      <w:r>
        <w:rPr>
          <w:rFonts w:ascii="Times New Roman;sans-serif" w:hAnsi="Times New Roman;sans-serif"/>
          <w:b/>
          <w:i/>
          <w:color w:val="000000"/>
          <w:sz w:val="20"/>
        </w:rPr>
        <w:t>Cost of Revenues</w:t>
      </w:r>
      <w:r>
        <w:rPr>
          <w:color w:val="000000"/>
        </w:rPr>
        <w:t xml:space="preserve"> </w:t>
      </w:r>
      <w:r>
        <w:rPr>
          <w:rFonts w:ascii="Times New Roman;sans-serif" w:hAnsi="Times New Roman;sans-serif"/>
          <w:b w:val="false"/>
          <w:color w:val="000000"/>
          <w:sz w:val="20"/>
        </w:rPr>
        <w:t>- The increase in cost of revenues was primarily due to increased headcount, which resulted in increases of $21.9 million in personnel-related costs and $3.0 million of software subscriptions. Additionally, the increase was due to a $1.5 million increase in stock-based compensation.</w:t>
      </w:r>
    </w:p>
    <w:p>
      <w:pPr>
        <w:pStyle w:val="TextBody"/>
        <w:bidi w:val="0"/>
        <w:spacing w:lineRule="auto" w:line="288" w:before="120" w:after="283"/>
        <w:ind w:left="0" w:right="0" w:firstLine="540"/>
        <w:jc w:val="left"/>
        <w:rPr/>
      </w:pPr>
      <w:r>
        <w:rPr>
          <w:rFonts w:ascii="Times New Roman;sans-serif" w:hAnsi="Times New Roman;sans-serif"/>
          <w:b/>
          <w:i/>
          <w:color w:val="000000"/>
          <w:sz w:val="20"/>
        </w:rPr>
        <w:t>Sales and Marketing</w:t>
      </w:r>
      <w:r>
        <w:rPr>
          <w:color w:val="000000"/>
        </w:rPr>
        <w:t xml:space="preserve"> </w:t>
      </w:r>
      <w:r>
        <w:rPr>
          <w:rFonts w:ascii="Times New Roman;sans-serif" w:hAnsi="Times New Roman;sans-serif"/>
          <w:b/>
          <w:i/>
          <w:color w:val="000000"/>
          <w:sz w:val="20"/>
        </w:rPr>
        <w:t>Expenses</w:t>
      </w:r>
      <w:r>
        <w:rPr>
          <w:color w:val="000000"/>
        </w:rPr>
        <w:t xml:space="preserve"> </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The increase in sales and marketing expense was primarily due to increased headcount, which resulted in increases of $13.8 million in personnel-related costs and $2.7 million in variable compensation earned by sales personnel and referral partners. Additionally, the increase was due to a $2.2 million increase in stock-based compensation.</w:t>
      </w:r>
    </w:p>
    <w:p>
      <w:pPr>
        <w:pStyle w:val="TextBody"/>
        <w:bidi w:val="0"/>
        <w:spacing w:lineRule="auto" w:line="288" w:before="120" w:after="283"/>
        <w:ind w:left="0" w:right="0" w:firstLine="540"/>
        <w:jc w:val="left"/>
        <w:rPr/>
      </w:pPr>
      <w:r>
        <w:rPr>
          <w:rFonts w:ascii="Times New Roman;sans-serif" w:hAnsi="Times New Roman;sans-serif"/>
          <w:b/>
          <w:i/>
          <w:color w:val="000000"/>
          <w:sz w:val="20"/>
        </w:rPr>
        <w:t>Research and Development Expenses</w:t>
      </w:r>
      <w:r>
        <w:rPr>
          <w:color w:val="000000"/>
        </w:rPr>
        <w:t xml:space="preserve"> </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The increase in research and development expense was primarily due to increased headcount, which resulted in increases of $5.3 million in personnel-related costs and $1.2 million of software subscriptions. Additionally, the increase was due to a $1.6 million increase in stock-based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897890"/>
                <wp:effectExtent l="0" t="0" r="0" b="0"/>
                <wp:wrapNone/>
                <wp:docPr id="88" name="Frame30"/>
                <a:graphic xmlns:a="http://schemas.openxmlformats.org/drawingml/2006/main">
                  <a:graphicData uri="http://schemas.microsoft.com/office/word/2010/wordprocessingShape">
                    <wps:wsp>
                      <wps:cNvSpPr txBox="1"/>
                      <wps:spPr>
                        <a:xfrm>
                          <a:off x="0" y="0"/>
                          <a:ext cx="6480175" cy="897890"/>
                        </a:xfrm>
                        <a:prstGeom prst="rect"/>
                        <a:solidFill>
                          <a:srgbClr val="FFFFFF"/>
                        </a:solidFill>
                      </wps:spPr>
                      <wps:txb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38125" cy="238125"/>
                                        <wp:effectExtent l="0" t="0" r="0" b="0"/>
                                        <wp:docPr id="89"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31" descr=""/>
                                                <pic:cNvPicPr>
                                                  <a:picLocks noChangeAspect="1" noChangeArrowheads="1"/>
                                                </pic:cNvPicPr>
                                              </pic:nvPicPr>
                                              <pic:blipFill>
                                                <a:blip r:embed="rId60"/>
                                                <a:stretch>
                                                  <a:fillRect/>
                                                </a:stretch>
                                              </pic:blipFill>
                                              <pic:spPr bwMode="auto">
                                                <a:xfrm>
                                                  <a:off x="0" y="0"/>
                                                  <a:ext cx="238125" cy="238125"/>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30</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7pt;mso-wrap-distance-left:0pt;mso-wrap-distance-right:0pt;mso-wrap-distance-top:0pt;mso-wrap-distance-bottom:0pt;margin-top:0pt;mso-position-vertical:top;mso-position-vertical-relative:text;margin-left:0pt;mso-position-horizontal:left;mso-position-horizontal-relative:text">
                <v:textbo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38125" cy="238125"/>
                                  <wp:effectExtent l="0" t="0" r="0" b="0"/>
                                  <wp:docPr id="90"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31" descr=""/>
                                          <pic:cNvPicPr>
                                            <a:picLocks noChangeAspect="1" noChangeArrowheads="1"/>
                                          </pic:cNvPicPr>
                                        </pic:nvPicPr>
                                        <pic:blipFill>
                                          <a:blip r:embed="rId61"/>
                                          <a:stretch>
                                            <a:fillRect/>
                                          </a:stretch>
                                        </pic:blipFill>
                                        <pic:spPr bwMode="auto">
                                          <a:xfrm>
                                            <a:off x="0" y="0"/>
                                            <a:ext cx="238125" cy="238125"/>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30</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3f718fd861814da79dc80fa32884b81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20" w:after="283"/>
        <w:ind w:left="0" w:right="0" w:firstLine="540"/>
        <w:jc w:val="left"/>
        <w:rPr/>
      </w:pPr>
      <w:r>
        <w:rPr>
          <w:rFonts w:ascii="Times New Roman;sans-serif" w:hAnsi="Times New Roman;sans-serif"/>
          <w:b/>
          <w:i/>
          <w:color w:val="000000"/>
          <w:sz w:val="20"/>
        </w:rPr>
        <w:t>General and Administrative Expenses</w:t>
      </w:r>
      <w:r>
        <w:rPr>
          <w:color w:val="000000"/>
        </w:rPr>
        <w:t xml:space="preserve"> </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The increase in general and administrative expense was primarily related to increased stock-based compensation of $6.9 million. Additionally, the increase was due to an increase in headcount which resulted in an increase in personnel-related costs of $6.3 million. Finally, there was an increase in bad debt expense of $2.3 million due primarily to overall business growth.</w:t>
      </w:r>
    </w:p>
    <w:p>
      <w:pPr>
        <w:pStyle w:val="TextBody"/>
        <w:bidi w:val="0"/>
        <w:spacing w:lineRule="auto" w:line="288" w:before="120" w:after="283"/>
        <w:ind w:left="0" w:right="0" w:firstLine="540"/>
        <w:jc w:val="left"/>
        <w:rPr/>
      </w:pPr>
      <w:r>
        <w:rPr>
          <w:rFonts w:ascii="Times New Roman;sans-serif" w:hAnsi="Times New Roman;sans-serif"/>
          <w:b/>
          <w:i/>
          <w:color w:val="000000"/>
          <w:sz w:val="20"/>
        </w:rPr>
        <w:t>Amortization of Intangible Assets</w:t>
      </w:r>
      <w:r>
        <w:rPr>
          <w:color w:val="000000"/>
        </w:rPr>
        <w:t xml:space="preserve"> </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The increase in amortization of intangible assets was driven by increased intangible assets related to recent business acquisitions.</w:t>
      </w:r>
    </w:p>
    <w:p>
      <w:pPr>
        <w:pStyle w:val="TextBody"/>
        <w:bidi w:val="0"/>
        <w:spacing w:lineRule="auto" w:line="288" w:before="120" w:after="283"/>
        <w:ind w:left="0" w:right="0" w:firstLine="540"/>
        <w:jc w:val="left"/>
        <w:rPr/>
      </w:pPr>
      <w:r>
        <w:rPr>
          <w:rFonts w:ascii="Times New Roman;sans-serif" w:hAnsi="Times New Roman;sans-serif"/>
          <w:b/>
          <w:i/>
          <w:color w:val="000000"/>
          <w:sz w:val="20"/>
        </w:rPr>
        <w:t>Other Income (Expense)</w:t>
      </w:r>
      <w:r>
        <w:rPr>
          <w:color w:val="000000"/>
        </w:rPr>
        <w:t xml:space="preserve"> </w:t>
      </w:r>
      <w:r>
        <w:rPr>
          <w:rFonts w:ascii="Times New Roman;sans-serif" w:hAnsi="Times New Roman;sans-serif"/>
          <w:b w:val="false"/>
          <w:color w:val="000000"/>
          <w:sz w:val="20"/>
        </w:rPr>
        <w:t>- The change was primarily due to increased investment income and favorable foreign currency exchange rate changes.</w:t>
      </w:r>
    </w:p>
    <w:p>
      <w:pPr>
        <w:pStyle w:val="TextBody"/>
        <w:bidi w:val="0"/>
        <w:spacing w:lineRule="auto" w:line="288" w:before="120" w:after="283"/>
        <w:ind w:left="0" w:right="0" w:firstLine="540"/>
        <w:jc w:val="left"/>
        <w:rPr/>
      </w:pPr>
      <w:r>
        <w:rPr>
          <w:rFonts w:ascii="Times New Roman;sans-serif" w:hAnsi="Times New Roman;sans-serif"/>
          <w:b/>
          <w:i/>
          <w:color w:val="000000"/>
          <w:sz w:val="20"/>
        </w:rPr>
        <w:t>Income Tax Expense</w:t>
      </w:r>
      <w:r>
        <w:rPr>
          <w:color w:val="000000"/>
        </w:rPr>
        <w:t xml:space="preserve"> </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The increase in income tax expense was driven by an increase in pre-tax income and an increase in nondeductible executive compensation. This was partially offset by an increase in excess tax benefits due to the current period equity award settlements. Excess tax benefits generated upon the settlement or exercise of stock awards are recognized as a reduction to income tax expense and, as a result, we expect that our annual effective income tax rate will fluctuate.</w:t>
      </w:r>
    </w:p>
    <w:p>
      <w:pPr>
        <w:pStyle w:val="TextBody"/>
        <w:bidi w:val="0"/>
        <w:spacing w:lineRule="auto" w:line="288" w:before="120" w:after="283"/>
        <w:ind w:left="0" w:right="0" w:firstLine="540"/>
        <w:jc w:val="left"/>
        <w:rPr/>
      </w:pPr>
      <w:r>
        <w:rPr>
          <w:rFonts w:ascii="Times New Roman;sans-serif" w:hAnsi="Times New Roman;sans-serif"/>
          <w:b/>
          <w:i/>
          <w:color w:val="000000"/>
          <w:sz w:val="20"/>
        </w:rPr>
        <w:t>Adjusted EBITDA</w:t>
      </w:r>
      <w:r>
        <w:rPr>
          <w:color w:val="000000"/>
        </w:rPr>
        <w:t xml:space="preserve"> </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Adjusted EBITDA consists of net income adjusted for income tax expense, depreciation and amortization expense, stock-based compensation expense, realized gain or loss from foreign currency on cash and investments held, investment income or loss, and other adjustments as necessary for a fair presentation. O</w:t>
      </w:r>
      <w:r>
        <w:rPr>
          <w:rFonts w:ascii="Times New Roman;sans-serif" w:hAnsi="Times New Roman;sans-serif"/>
          <w:b w:val="false"/>
          <w:color w:val="000000"/>
          <w:sz w:val="20"/>
          <w:shd w:fill="FFFFFF" w:val="clear"/>
        </w:rPr>
        <w:t xml:space="preserve">ther adjustments included the </w:t>
      </w:r>
      <w:r>
        <w:rPr>
          <w:rFonts w:ascii="Times New Roman;sans-serif" w:hAnsi="Times New Roman;sans-serif"/>
          <w:b w:val="false"/>
          <w:color w:val="000000"/>
          <w:sz w:val="20"/>
        </w:rPr>
        <w:t>expense impacts from acquisition-related employee severance costs and disposals of certain capitalized internally developed software. Net income is the comparable GAAP measure of financial performance.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net income to Adjusted EBITDA:</w:t>
      </w:r>
    </w:p>
    <w:tbl>
      <w:tblPr>
        <w:tblW w:w="8618" w:type="dxa"/>
        <w:jc w:val="center"/>
        <w:tblInd w:w="0" w:type="dxa"/>
        <w:tblLayout w:type="fixed"/>
        <w:tblCellMar>
          <w:top w:w="28" w:type="dxa"/>
          <w:left w:w="28" w:type="dxa"/>
          <w:bottom w:w="28" w:type="dxa"/>
          <w:right w:w="28" w:type="dxa"/>
        </w:tblCellMar>
      </w:tblPr>
      <w:tblGrid>
        <w:gridCol w:w="2154"/>
        <w:gridCol w:w="1898"/>
        <w:gridCol w:w="1902"/>
        <w:gridCol w:w="211"/>
        <w:gridCol w:w="826"/>
        <w:gridCol w:w="109"/>
        <w:gridCol w:w="109"/>
        <w:gridCol w:w="109"/>
        <w:gridCol w:w="109"/>
        <w:gridCol w:w="211"/>
        <w:gridCol w:w="826"/>
        <w:gridCol w:w="154"/>
      </w:tblGrid>
      <w:tr>
        <w:trPr/>
        <w:tc>
          <w:tcPr>
            <w:tcW w:w="2154"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9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loss from foreign currency on cash and investments held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132,268 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pPr>
      <w:r>
        <w:rPr>
          <w:rFonts w:ascii="Times New Roman;sans-serif" w:hAnsi="Times New Roman;sans-serif"/>
          <w:b/>
          <w:i/>
          <w:color w:val="000000"/>
          <w:sz w:val="20"/>
        </w:rPr>
        <w:t>Adjusted EBITDA Margin</w:t>
      </w:r>
      <w:r>
        <w:rPr>
          <w:color w:val="000000"/>
        </w:rPr>
        <w:t xml:space="preserve"> </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Adjusted EBITDA Margin consists of Adjusted EBITDA divided by revenue. Margin, the comparable GAAP measure of financial performance, consists of net income divided by revenue.</w:t>
      </w:r>
    </w:p>
    <w:p>
      <w:pPr>
        <w:pStyle w:val="TextBody"/>
        <w:bidi w:val="0"/>
        <w:spacing w:lineRule="auto" w:line="288" w:before="12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provides a comparison of Margin to Adjusted EBITDA Margin:</w:t>
      </w:r>
    </w:p>
    <w:tbl>
      <w:tblPr>
        <w:tblW w:w="7518" w:type="dxa"/>
        <w:jc w:val="center"/>
        <w:tblInd w:w="0" w:type="dxa"/>
        <w:tblLayout w:type="fixed"/>
        <w:tblCellMar>
          <w:top w:w="28" w:type="dxa"/>
          <w:left w:w="28" w:type="dxa"/>
          <w:bottom w:w="28" w:type="dxa"/>
          <w:right w:w="28" w:type="dxa"/>
        </w:tblCellMar>
      </w:tblPr>
      <w:tblGrid>
        <w:gridCol w:w="1641"/>
        <w:gridCol w:w="1442"/>
        <w:gridCol w:w="1447"/>
        <w:gridCol w:w="211"/>
        <w:gridCol w:w="826"/>
        <w:gridCol w:w="271"/>
        <w:gridCol w:w="109"/>
        <w:gridCol w:w="109"/>
        <w:gridCol w:w="109"/>
        <w:gridCol w:w="211"/>
        <w:gridCol w:w="826"/>
        <w:gridCol w:w="316"/>
      </w:tblGrid>
      <w:tr>
        <w:trPr/>
        <w:tc>
          <w:tcPr>
            <w:tcW w:w="1641"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5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Margin and Adjusted EBITDA Margin)</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536,910 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450,875 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55,134 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Margin</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132,268 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Margin</w:t>
            </w:r>
          </w:p>
        </w:tc>
        <w:tc>
          <w:tcPr>
            <w:tcW w:w="103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firstLine="540"/>
        <w:jc w:val="left"/>
        <w:rPr/>
      </w:pPr>
      <w:r>
        <w:rPr>
          <w:rFonts w:ascii="Times New Roman;sans-serif" w:hAnsi="Times New Roman;sans-serif"/>
          <w:b/>
          <w:i/>
          <w:color w:val="000000"/>
          <w:sz w:val="20"/>
        </w:rPr>
        <w:t>Non-GAAP Income per Share</w:t>
      </w:r>
      <w:r>
        <w:rPr>
          <w:color w:val="000000"/>
        </w:rPr>
        <w:t xml:space="preserve"> </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Non-GAAP income per share consists of net income adjusted for stock-based compensation expense, amortization expense related to intangible assets, realized gain or loss from foreign currency on cash and investments held, other adjustments as necessary for a fair presentation, including</w:t>
      </w:r>
      <w:r>
        <w:rPr>
          <w:color w:val="000000"/>
          <w:shd w:fill="FFFFFF" w:val="clear"/>
        </w:rPr>
        <w:t xml:space="preserve"> </w:t>
      </w:r>
      <w:r>
        <w:rPr>
          <w:rFonts w:ascii="Times New Roman;sans-serif" w:hAnsi="Times New Roman;sans-serif"/>
          <w:b w:val="false"/>
          <w:color w:val="000000"/>
          <w:sz w:val="20"/>
          <w:shd w:fill="FFFFFF" w:val="clear"/>
        </w:rPr>
        <w:t xml:space="preserve">the </w:t>
      </w:r>
      <w:r>
        <w:rPr>
          <w:rFonts w:ascii="Times New Roman;sans-serif" w:hAnsi="Times New Roman;sans-serif"/>
          <w:b w:val="false"/>
          <w:color w:val="000000"/>
          <w:sz w:val="20"/>
        </w:rPr>
        <w:t xml:space="preserve">expense impacts from acquisition-related employee severance costs and disposals of certain capitalized internally developed software, and the corresponding tax impacts of the adjustments to net income, divided by the weighted average number of shares of common and diluted stock outstanding during each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897890"/>
                <wp:effectExtent l="0" t="0" r="0" b="0"/>
                <wp:wrapNone/>
                <wp:docPr id="91" name="Frame31"/>
                <a:graphic xmlns:a="http://schemas.openxmlformats.org/drawingml/2006/main">
                  <a:graphicData uri="http://schemas.microsoft.com/office/word/2010/wordprocessingShape">
                    <wps:wsp>
                      <wps:cNvSpPr txBox="1"/>
                      <wps:spPr>
                        <a:xfrm>
                          <a:off x="0" y="0"/>
                          <a:ext cx="6480175" cy="897890"/>
                        </a:xfrm>
                        <a:prstGeom prst="rect"/>
                        <a:solidFill>
                          <a:srgbClr val="FFFFFF"/>
                        </a:solidFill>
                      </wps:spPr>
                      <wps:txb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38125" cy="238125"/>
                                        <wp:effectExtent l="0" t="0" r="0" b="0"/>
                                        <wp:docPr id="9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32" descr=""/>
                                                <pic:cNvPicPr>
                                                  <a:picLocks noChangeAspect="1" noChangeArrowheads="1"/>
                                                </pic:cNvPicPr>
                                              </pic:nvPicPr>
                                              <pic:blipFill>
                                                <a:blip r:embed="rId62"/>
                                                <a:stretch>
                                                  <a:fillRect/>
                                                </a:stretch>
                                              </pic:blipFill>
                                              <pic:spPr bwMode="auto">
                                                <a:xfrm>
                                                  <a:off x="0" y="0"/>
                                                  <a:ext cx="238125" cy="238125"/>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7pt;mso-wrap-distance-left:0pt;mso-wrap-distance-right:0pt;mso-wrap-distance-top:0pt;mso-wrap-distance-bottom:0pt;margin-top:0pt;mso-position-vertical:top;mso-position-vertical-relative:text;margin-left:0pt;mso-position-horizontal:left;mso-position-horizontal-relative:text">
                <v:textbo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38125" cy="238125"/>
                                  <wp:effectExtent l="0" t="0" r="0" b="0"/>
                                  <wp:docPr id="93"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32" descr=""/>
                                          <pic:cNvPicPr>
                                            <a:picLocks noChangeAspect="1" noChangeArrowheads="1"/>
                                          </pic:cNvPicPr>
                                        </pic:nvPicPr>
                                        <pic:blipFill>
                                          <a:blip r:embed="rId63"/>
                                          <a:stretch>
                                            <a:fillRect/>
                                          </a:stretch>
                                        </pic:blipFill>
                                        <pic:spPr bwMode="auto">
                                          <a:xfrm>
                                            <a:off x="0" y="0"/>
                                            <a:ext cx="238125" cy="238125"/>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3f718fd861814da79dc80fa32884b81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To quantify the tax effects, we recalculated income tax expense excluding the direct book and tax effects of the specific items constituting the non-GAAP adjustments. The difference between this recalculated income tax expense and GAAP income tax expense is presented as the income tax effect of the non-GAAP adjustments.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net income to non-GAAP income per share:</w:t>
      </w:r>
    </w:p>
    <w:tbl>
      <w:tblPr>
        <w:tblW w:w="8514" w:type="dxa"/>
        <w:jc w:val="center"/>
        <w:tblInd w:w="0" w:type="dxa"/>
        <w:tblLayout w:type="fixed"/>
        <w:tblCellMar>
          <w:top w:w="28" w:type="dxa"/>
          <w:left w:w="28" w:type="dxa"/>
          <w:bottom w:w="28" w:type="dxa"/>
          <w:right w:w="28" w:type="dxa"/>
        </w:tblCellMar>
      </w:tblPr>
      <w:tblGrid>
        <w:gridCol w:w="2157"/>
        <w:gridCol w:w="1896"/>
        <w:gridCol w:w="1902"/>
        <w:gridCol w:w="211"/>
        <w:gridCol w:w="826"/>
        <w:gridCol w:w="109"/>
        <w:gridCol w:w="109"/>
        <w:gridCol w:w="109"/>
        <w:gridCol w:w="109"/>
        <w:gridCol w:w="211"/>
        <w:gridCol w:w="721"/>
        <w:gridCol w:w="154"/>
      </w:tblGrid>
      <w:tr>
        <w:trPr/>
        <w:tc>
          <w:tcPr>
            <w:tcW w:w="2157"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9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 share amounts)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loss from foreign currency on cash and investments held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effects of adjustments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income</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106,937 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86,688 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used to compute net income and non-GAAP income per share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adjustments to net income per share, basic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income per share, basic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adjustments to net income per share, diluted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income per share, diluted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Year Ended December 31, 2022 Compared to Year Ended December 31, 2021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discussion of our results from operations for the year ended December 31, 2022 compared to the year ended December 31, 2021 can be found in Part II, Item 7, “Management’s Discussion and Analysis of Financial Condition and Results of Operations” in the Company’s Annual Report on Form 10-K for the year ended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AAE5"/>
          <w:sz w:val="20"/>
        </w:rPr>
      </w:pPr>
      <w:r>
        <w:rPr>
          <w:rFonts w:ascii="Times New Roman;sans-serif" w:hAnsi="Times New Roman;sans-serif"/>
          <w:b/>
          <w:color w:val="00AAE5"/>
          <w:sz w:val="20"/>
        </w:rPr>
        <w:t>Liquidity and Capital Resources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our principal sources of liquidity were cash and cash equivalents and short-term investments totaling $275.4 million, and net accounts receivable of $46.8 million. Our investments are selected in accordance with our investment policy, with a goal to preserve principal, provide liquidity, and maximize income consistent with minimizing risk of material loss. Our cash equivalents and short-term investments are held in highly liquid instruments, primarily money market funds, certificates of deposits, and commercial paper.</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summary of activity within the consolidated statements of cash flows was as follows:</w:t>
      </w:r>
    </w:p>
    <w:tbl>
      <w:tblPr>
        <w:tblW w:w="6879" w:type="dxa"/>
        <w:jc w:val="center"/>
        <w:tblInd w:w="0" w:type="dxa"/>
        <w:tblLayout w:type="fixed"/>
        <w:tblCellMar>
          <w:top w:w="28" w:type="dxa"/>
          <w:left w:w="28" w:type="dxa"/>
          <w:bottom w:w="28" w:type="dxa"/>
          <w:right w:w="28" w:type="dxa"/>
        </w:tblCellMar>
      </w:tblPr>
      <w:tblGrid>
        <w:gridCol w:w="1525"/>
        <w:gridCol w:w="1343"/>
        <w:gridCol w:w="1347"/>
        <w:gridCol w:w="211"/>
        <w:gridCol w:w="826"/>
        <w:gridCol w:w="109"/>
        <w:gridCol w:w="109"/>
        <w:gridCol w:w="109"/>
        <w:gridCol w:w="109"/>
        <w:gridCol w:w="211"/>
        <w:gridCol w:w="826"/>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2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132,298 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100,052 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Net Cash Flows from Operating Activities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cash provided by operating activities was primarily driven by changes in the amount and timing of settlement of operating assets and liabilities, in addition to increased net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897890"/>
                <wp:effectExtent l="0" t="0" r="0" b="0"/>
                <wp:wrapNone/>
                <wp:docPr id="94" name="Frame32"/>
                <a:graphic xmlns:a="http://schemas.openxmlformats.org/drawingml/2006/main">
                  <a:graphicData uri="http://schemas.microsoft.com/office/word/2010/wordprocessingShape">
                    <wps:wsp>
                      <wps:cNvSpPr txBox="1"/>
                      <wps:spPr>
                        <a:xfrm>
                          <a:off x="0" y="0"/>
                          <a:ext cx="6480175" cy="897890"/>
                        </a:xfrm>
                        <a:prstGeom prst="rect"/>
                        <a:solidFill>
                          <a:srgbClr val="FFFFFF"/>
                        </a:solidFill>
                      </wps:spPr>
                      <wps:txb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38125" cy="238125"/>
                                        <wp:effectExtent l="0" t="0" r="0" b="0"/>
                                        <wp:docPr id="95"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33" descr=""/>
                                                <pic:cNvPicPr>
                                                  <a:picLocks noChangeAspect="1" noChangeArrowheads="1"/>
                                                </pic:cNvPicPr>
                                              </pic:nvPicPr>
                                              <pic:blipFill>
                                                <a:blip r:embed="rId64"/>
                                                <a:stretch>
                                                  <a:fillRect/>
                                                </a:stretch>
                                              </pic:blipFill>
                                              <pic:spPr bwMode="auto">
                                                <a:xfrm>
                                                  <a:off x="0" y="0"/>
                                                  <a:ext cx="238125" cy="238125"/>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7pt;mso-wrap-distance-left:0pt;mso-wrap-distance-right:0pt;mso-wrap-distance-top:0pt;mso-wrap-distance-bottom:0pt;margin-top:0pt;mso-position-vertical:top;mso-position-vertical-relative:text;margin-left:0pt;mso-position-horizontal:left;mso-position-horizontal-relative:text">
                <v:textbo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38125" cy="238125"/>
                                  <wp:effectExtent l="0" t="0" r="0" b="0"/>
                                  <wp:docPr id="9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33" descr=""/>
                                          <pic:cNvPicPr>
                                            <a:picLocks noChangeAspect="1" noChangeArrowheads="1"/>
                                          </pic:cNvPicPr>
                                        </pic:nvPicPr>
                                        <pic:blipFill>
                                          <a:blip r:embed="rId65"/>
                                          <a:stretch>
                                            <a:fillRect/>
                                          </a:stretch>
                                        </pic:blipFill>
                                        <pic:spPr bwMode="auto">
                                          <a:xfrm>
                                            <a:off x="0" y="0"/>
                                            <a:ext cx="238125" cy="238125"/>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3f718fd861814da79dc80fa32884b81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Net Cash Flows from Investing Activities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net cash used in investing activities was primarily due to business acquisition activity.</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Net Cash Flows from Financing Activities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change in cash provided by (used in) financing activities was primarily due to the decrease in cash used for share repurchases.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Year Ended December 31, 2022 Compared to Year Ended December 31, 2021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discussion of our liquidity and capital resources for the year ended December 31, 2022 compared to the year ended December 31, 2021 can be found in Part II, Item 7, “Management’s Discussion and Analysis of Financial Condition and Results of Operations” in the Company’s Annual Report on Form 10-K for the year ended December 31, 2022.</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Contractual and Commercial Commitment Summary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contractual obligations and commercial commitments as of December 31, 2023 are summarized below:</w:t>
      </w:r>
    </w:p>
    <w:tbl>
      <w:tblPr>
        <w:tblW w:w="10205" w:type="dxa"/>
        <w:jc w:val="center"/>
        <w:tblInd w:w="0" w:type="dxa"/>
        <w:tblLayout w:type="fixed"/>
        <w:tblCellMar>
          <w:top w:w="28" w:type="dxa"/>
          <w:left w:w="28" w:type="dxa"/>
          <w:bottom w:w="28" w:type="dxa"/>
          <w:right w:w="28" w:type="dxa"/>
        </w:tblCellMar>
      </w:tblPr>
      <w:tblGrid>
        <w:gridCol w:w="1438"/>
        <w:gridCol w:w="1245"/>
        <w:gridCol w:w="1240"/>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68"/>
        <w:gridCol w:w="460"/>
        <w:gridCol w:w="138"/>
        <w:gridCol w:w="109"/>
        <w:gridCol w:w="109"/>
        <w:gridCol w:w="109"/>
        <w:gridCol w:w="211"/>
        <w:gridCol w:w="721"/>
        <w:gridCol w:w="158"/>
      </w:tblGrid>
      <w:tr>
        <w:trPr/>
        <w:tc>
          <w:tcPr>
            <w:tcW w:w="143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2" w:type="dxa"/>
            <w:gridSpan w:val="27"/>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Payments Due by Period</w:t>
            </w:r>
          </w:p>
        </w:tc>
      </w:tr>
      <w:tr>
        <w:trPr/>
        <w:tc>
          <w:tcPr>
            <w:tcW w:w="392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Less Than</w:t>
              <w:br/>
              <w:t>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1-3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3-5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More Than</w:t>
              <w:br/>
              <w:t>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923"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obligations, including imputed interest</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8,641 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3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14,951 </w:t>
            </w:r>
          </w:p>
        </w:tc>
        <w:tc>
          <w:tcPr>
            <w:tcW w:w="15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commitments</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35,064 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3"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19,446 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29,169 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3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50,015 </w:t>
            </w:r>
          </w:p>
        </w:tc>
        <w:tc>
          <w:tcPr>
            <w:tcW w:w="15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Future Capital Requirements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future capital requirements may vary significantly from those now planned and will depend on many factors, including: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costs to develop and implement new products and applications, if any;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sales and marketing resources needed to further penetrate our market and gain acceptance of new products and applications that we may develop;</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expansion of our operations in the U.S. and internationally;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response of competitors to our products and applications;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use of capital for acquisitions.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Historically, we have experienced increases in our expenditures consistent with the growth in our operations and personnel, and we anticipate that our expenditures will continue to increase as we expand our business.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our cash, cash equivalents, investments, and cash flows from our operations will be sufficient to meet our working capital and capital expenditure requirements for at least the next twelve months.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Off-Balance Sheet Arrangements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do not have any off-balance sheet arrangements, investments in special purpose entities or undisclosed borrowings or debt. Additionally, we are not a party to any derivative contracts or synthetic leases.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Foreign Currency Exchange and Inflation Rate Changes</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For information regarding the effect of foreign currency exchange rate changes, refer to the section entitled “</w:t>
      </w:r>
      <w:r>
        <w:rPr>
          <w:rFonts w:ascii="Times New Roman;sans-serif" w:hAnsi="Times New Roman;sans-serif"/>
          <w:b w:val="false"/>
          <w:i/>
          <w:color w:val="000000"/>
          <w:sz w:val="20"/>
        </w:rPr>
        <w:t>Foreign Currency Exchange Risk,</w:t>
      </w:r>
      <w:r>
        <w:rPr>
          <w:color w:val="000000"/>
        </w:rPr>
        <w:t xml:space="preserve">” </w:t>
      </w:r>
      <w:r>
        <w:rPr>
          <w:rFonts w:ascii="Times New Roman;sans-serif" w:hAnsi="Times New Roman;sans-serif"/>
          <w:b w:val="false"/>
          <w:color w:val="000000"/>
          <w:sz w:val="20"/>
        </w:rPr>
        <w:t xml:space="preserve">included in Part II, Item 7A, “Quantitative and Qualitative Disclosures About Market Risk” of this Annual Report on Form 10-K.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last three years, inflation and changing prices have not had a material effect on our business and we do not expect that inflation or changing prices will materially affect our business in the foreseeable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897890"/>
                <wp:effectExtent l="0" t="0" r="0" b="0"/>
                <wp:wrapNone/>
                <wp:docPr id="97" name="Frame33"/>
                <a:graphic xmlns:a="http://schemas.openxmlformats.org/drawingml/2006/main">
                  <a:graphicData uri="http://schemas.microsoft.com/office/word/2010/wordprocessingShape">
                    <wps:wsp>
                      <wps:cNvSpPr txBox="1"/>
                      <wps:spPr>
                        <a:xfrm>
                          <a:off x="0" y="0"/>
                          <a:ext cx="6480175" cy="897890"/>
                        </a:xfrm>
                        <a:prstGeom prst="rect"/>
                        <a:solidFill>
                          <a:srgbClr val="FFFFFF"/>
                        </a:solidFill>
                      </wps:spPr>
                      <wps:txb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38125" cy="238125"/>
                                        <wp:effectExtent l="0" t="0" r="0" b="0"/>
                                        <wp:docPr id="98"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34" descr=""/>
                                                <pic:cNvPicPr>
                                                  <a:picLocks noChangeAspect="1" noChangeArrowheads="1"/>
                                                </pic:cNvPicPr>
                                              </pic:nvPicPr>
                                              <pic:blipFill>
                                                <a:blip r:embed="rId66"/>
                                                <a:stretch>
                                                  <a:fillRect/>
                                                </a:stretch>
                                              </pic:blipFill>
                                              <pic:spPr bwMode="auto">
                                                <a:xfrm>
                                                  <a:off x="0" y="0"/>
                                                  <a:ext cx="238125" cy="238125"/>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33</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7pt;mso-wrap-distance-left:0pt;mso-wrap-distance-right:0pt;mso-wrap-distance-top:0pt;mso-wrap-distance-bottom:0pt;margin-top:0pt;mso-position-vertical:top;mso-position-vertical-relative:text;margin-left:0pt;mso-position-horizontal:left;mso-position-horizontal-relative:text">
                <v:textbo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38125" cy="238125"/>
                                  <wp:effectExtent l="0" t="0" r="0" b="0"/>
                                  <wp:docPr id="99"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34" descr=""/>
                                          <pic:cNvPicPr>
                                            <a:picLocks noChangeAspect="1" noChangeArrowheads="1"/>
                                          </pic:cNvPicPr>
                                        </pic:nvPicPr>
                                        <pic:blipFill>
                                          <a:blip r:embed="rId67"/>
                                          <a:stretch>
                                            <a:fillRect/>
                                          </a:stretch>
                                        </pic:blipFill>
                                        <pic:spPr bwMode="auto">
                                          <a:xfrm>
                                            <a:off x="0" y="0"/>
                                            <a:ext cx="238125" cy="238125"/>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33</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3f718fd861814da79dc80fa32884b81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60" w:after="283"/>
        <w:jc w:val="left"/>
        <w:rPr>
          <w:rFonts w:ascii="Times New Roman;sans-serif" w:hAnsi="Times New Roman;sans-serif"/>
          <w:b/>
          <w:color w:val="00AAE5"/>
          <w:sz w:val="20"/>
        </w:rPr>
      </w:pPr>
      <w:r>
        <w:rPr>
          <w:rFonts w:ascii="Times New Roman;sans-serif" w:hAnsi="Times New Roman;sans-serif"/>
          <w:b/>
          <w:color w:val="00AAE5"/>
          <w:sz w:val="20"/>
        </w:rPr>
        <w:t>Recent Accounting Pronouncements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information regarding recent accounting pronouncements, refer to Note A, General, in our Notes to Consolidated Financial Statements in the sections entitled “Accounting Pronouncements Recently Adopted” and “Accounting Pronouncements Not Yet Adopted” as applicable, included in Part II, Item 8, “Financial Statements and Supplementary Data”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ans-serif" w:hAnsi="Times New Roman;sans-serif"/>
          <w:b/>
          <w:color w:val="00AAE5"/>
          <w:sz w:val="20"/>
        </w:rPr>
      </w:pPr>
      <w:r>
        <w:rPr>
          <w:rFonts w:ascii="Times New Roman;sans-serif" w:hAnsi="Times New Roman;sans-serif"/>
          <w:b/>
          <w:color w:val="00AAE5"/>
          <w:sz w:val="20"/>
        </w:rPr>
        <w:t>Item 7A.    Quantitative and Qualitative Disclosures About Market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Interest Rate Sensitivity Risk</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principal objectives of our investment activities are to preserve principal, provide liquidity, and maximize income consistent with minimizing risk of material loss. We are exposed to market risk related to changes in interest rates. However, based on the nature and current level of our cash, cash equivalents, and investments, we believe there is no material risk exposure. We do not enter into investments for trading or speculative purposes.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did not have any variable interest rate outstanding debt as of December 31, 2023. Therefore, we do not have any material risk to interest rate fluctuations.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Foreign Currency Exchange Risk</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Due to international operations, we have revenue, expenses, assets, and liabilities that are denominated in currencies other than the U.S. dollar, primarily the Australian dollar, Canadian dollar, and Euro. Our consolidated balance sheet, results of operations, and cash flows are, therefore, subject to fluctuations due to changes in foreign currency exchange rates and may be adversely affected in the future due to changes in foreign exchange rates.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sales are primarily denominated in U.S. dollars. Our expenses are generally denominated in the local currencies in which our operations are located. As of December 31, 2023, we maintained 10% of our total cash and cash equivalents and investments in foreign currencies.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a hypothetical 10% change in foreign currency exchange rates or an inability to access foreign funds would not materially affect our ability to meet our operational needs, result in a material foreign currency loss, or have a material impact on our consolidated financial statements.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not used any forward contracts or currency borrowings to hedge our exposure to foreign currency exchange risk, although we may do so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897890"/>
                <wp:effectExtent l="0" t="0" r="0" b="0"/>
                <wp:wrapNone/>
                <wp:docPr id="100" name="Frame34"/>
                <a:graphic xmlns:a="http://schemas.openxmlformats.org/drawingml/2006/main">
                  <a:graphicData uri="http://schemas.microsoft.com/office/word/2010/wordprocessingShape">
                    <wps:wsp>
                      <wps:cNvSpPr txBox="1"/>
                      <wps:spPr>
                        <a:xfrm>
                          <a:off x="0" y="0"/>
                          <a:ext cx="6480175" cy="897890"/>
                        </a:xfrm>
                        <a:prstGeom prst="rect"/>
                        <a:solidFill>
                          <a:srgbClr val="FFFFFF"/>
                        </a:solidFill>
                      </wps:spPr>
                      <wps:txb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38125" cy="238125"/>
                                        <wp:effectExtent l="0" t="0" r="0" b="0"/>
                                        <wp:docPr id="101"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35" descr=""/>
                                                <pic:cNvPicPr>
                                                  <a:picLocks noChangeAspect="1" noChangeArrowheads="1"/>
                                                </pic:cNvPicPr>
                                              </pic:nvPicPr>
                                              <pic:blipFill>
                                                <a:blip r:embed="rId68"/>
                                                <a:stretch>
                                                  <a:fillRect/>
                                                </a:stretch>
                                              </pic:blipFill>
                                              <pic:spPr bwMode="auto">
                                                <a:xfrm>
                                                  <a:off x="0" y="0"/>
                                                  <a:ext cx="238125" cy="238125"/>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34</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7pt;mso-wrap-distance-left:0pt;mso-wrap-distance-right:0pt;mso-wrap-distance-top:0pt;mso-wrap-distance-bottom:0pt;margin-top:0pt;mso-position-vertical:top;mso-position-vertical-relative:text;margin-left:0pt;mso-position-horizontal:left;mso-position-horizontal-relative:text">
                <v:textbo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38125" cy="238125"/>
                                  <wp:effectExtent l="0" t="0" r="0" b="0"/>
                                  <wp:docPr id="102"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35" descr=""/>
                                          <pic:cNvPicPr>
                                            <a:picLocks noChangeAspect="1" noChangeArrowheads="1"/>
                                          </pic:cNvPicPr>
                                        </pic:nvPicPr>
                                        <pic:blipFill>
                                          <a:blip r:embed="rId69"/>
                                          <a:stretch>
                                            <a:fillRect/>
                                          </a:stretch>
                                        </pic:blipFill>
                                        <pic:spPr bwMode="auto">
                                          <a:xfrm>
                                            <a:off x="0" y="0"/>
                                            <a:ext cx="238125" cy="238125"/>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34</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3f718fd861814da79dc80fa32884b81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60" w:after="283"/>
        <w:ind w:left="0" w:right="0" w:hanging="1080"/>
        <w:jc w:val="left"/>
        <w:rPr>
          <w:rFonts w:ascii="Times New Roman;sans-serif" w:hAnsi="Times New Roman;sans-serif"/>
          <w:b/>
          <w:color w:val="00AAE5"/>
          <w:sz w:val="20"/>
        </w:rPr>
      </w:pPr>
      <w:r>
        <w:rPr>
          <w:rFonts w:ascii="Times New Roman;sans-serif" w:hAnsi="Times New Roman;sans-serif"/>
          <w:b/>
          <w:color w:val="00AAE5"/>
          <w:sz w:val="20"/>
        </w:rPr>
        <w:t>Item 8.    Financial Statements and Supplementary Data</w:t>
      </w:r>
    </w:p>
    <w:p>
      <w:pPr>
        <w:pStyle w:val="TextBody"/>
        <w:bidi w:val="0"/>
        <w:spacing w:lineRule="auto" w:line="288" w:before="120" w:after="283"/>
        <w:jc w:val="left"/>
        <w:rPr>
          <w:rFonts w:ascii="Times New Roman;sans-serif" w:hAnsi="Times New Roman;sans-serif"/>
          <w:b/>
          <w:color w:val="00AAE5"/>
          <w:sz w:val="20"/>
        </w:rPr>
      </w:pPr>
      <w:r>
        <w:rPr>
          <w:rFonts w:ascii="Times New Roman;sans-serif" w:hAnsi="Times New Roman;sans-serif"/>
          <w:b/>
          <w:color w:val="00AAE5"/>
          <w:sz w:val="20"/>
        </w:rPr>
        <w:t>SPS Commerce, Inc. and Subsidiaries Consolidated Financial Statements</w:t>
      </w:r>
    </w:p>
    <w:tbl>
      <w:tblPr>
        <w:tblW w:w="5307" w:type="dxa"/>
        <w:jc w:val="left"/>
        <w:tblInd w:w="0" w:type="dxa"/>
        <w:tblLayout w:type="fixed"/>
        <w:tblCellMar>
          <w:top w:w="28" w:type="dxa"/>
          <w:left w:w="28" w:type="dxa"/>
          <w:bottom w:w="28" w:type="dxa"/>
          <w:right w:w="28" w:type="dxa"/>
        </w:tblCellMar>
      </w:tblPr>
      <w:tblGrid>
        <w:gridCol w:w="1786"/>
        <w:gridCol w:w="1570"/>
        <w:gridCol w:w="1579"/>
        <w:gridCol w:w="109"/>
        <w:gridCol w:w="109"/>
        <w:gridCol w:w="154"/>
      </w:tblGrid>
      <w:tr>
        <w:trPr/>
        <w:tc>
          <w:tcPr>
            <w:tcW w:w="1786"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718fd861814da79dc80fa32884b818_112">
              <w:r>
                <w:rPr>
                  <w:rStyle w:val="InternetLink"/>
                  <w:rFonts w:ascii="Times New Roman;sans-serif" w:hAnsi="Times New Roman;sans-serif"/>
                  <w:b w:val="false"/>
                  <w:color w:val="0000FF"/>
                  <w:sz w:val="20"/>
                  <w:u w:val="single"/>
                </w:rPr>
                <w:t>Reports of Independent Registered Public Accounting Firm</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f718fd861814da79dc80fa32884b818_112">
              <w:r>
                <w:rPr>
                  <w:rStyle w:val="InternetLink"/>
                  <w:rFonts w:ascii="Times New Roman;sans-serif" w:hAnsi="Times New Roman;sans-serif"/>
                  <w:b w:val="false"/>
                  <w:strike w:val="false"/>
                  <w:dstrike w:val="false"/>
                  <w:color w:val="000000"/>
                  <w:sz w:val="20"/>
                  <w:u w:val="none"/>
                  <w:effect w:val="none"/>
                </w:rPr>
                <w:t>36</w:t>
              </w:r>
            </w:hyperlink>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718fd861814da79dc80fa32884b818_118">
              <w:r>
                <w:rPr>
                  <w:rStyle w:val="InternetLink"/>
                  <w:rFonts w:ascii="Times New Roman;sans-serif" w:hAnsi="Times New Roman;sans-serif"/>
                  <w:b w:val="false"/>
                  <w:color w:val="0000FF"/>
                  <w:sz w:val="20"/>
                  <w:u w:val="single"/>
                </w:rPr>
                <w:t>Consolidated Balance Sheets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f718fd861814da79dc80fa32884b818_118">
              <w:r>
                <w:rPr>
                  <w:rStyle w:val="InternetLink"/>
                  <w:rFonts w:ascii="Times New Roman;sans-serif" w:hAnsi="Times New Roman;sans-serif"/>
                  <w:b w:val="false"/>
                  <w:strike w:val="false"/>
                  <w:dstrike w:val="false"/>
                  <w:color w:val="000000"/>
                  <w:sz w:val="20"/>
                  <w:u w:val="none"/>
                  <w:effect w:val="none"/>
                </w:rPr>
                <w:t>39</w:t>
              </w:r>
            </w:hyperlink>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718fd861814da79dc80fa32884b818_121">
              <w:r>
                <w:rPr>
                  <w:rStyle w:val="InternetLink"/>
                  <w:rFonts w:ascii="Times New Roman;sans-serif" w:hAnsi="Times New Roman;sans-serif"/>
                  <w:b w:val="false"/>
                  <w:color w:val="0000FF"/>
                  <w:sz w:val="20"/>
                  <w:u w:val="single"/>
                </w:rPr>
                <w:t>Consolidated Statements of Comprehensive Income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f718fd861814da79dc80fa32884b818_121">
              <w:r>
                <w:rPr>
                  <w:rStyle w:val="InternetLink"/>
                  <w:rFonts w:ascii="Times New Roman;sans-serif" w:hAnsi="Times New Roman;sans-serif"/>
                  <w:b w:val="false"/>
                  <w:strike w:val="false"/>
                  <w:dstrike w:val="false"/>
                  <w:color w:val="000000"/>
                  <w:sz w:val="20"/>
                  <w:u w:val="none"/>
                  <w:effect w:val="none"/>
                </w:rPr>
                <w:t>40</w:t>
              </w:r>
            </w:hyperlink>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718fd861814da79dc80fa32884b818_124">
              <w:r>
                <w:rPr>
                  <w:rStyle w:val="InternetLink"/>
                  <w:rFonts w:ascii="Times New Roman;sans-serif" w:hAnsi="Times New Roman;sans-serif"/>
                  <w:b w:val="false"/>
                  <w:color w:val="0000FF"/>
                  <w:sz w:val="20"/>
                  <w:u w:val="single"/>
                </w:rPr>
                <w:t>Consolidated Statements of Stockholders’ Equity</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f718fd861814da79dc80fa32884b818_124">
              <w:r>
                <w:rPr>
                  <w:rStyle w:val="InternetLink"/>
                  <w:rFonts w:ascii="Times New Roman;sans-serif" w:hAnsi="Times New Roman;sans-serif"/>
                  <w:b w:val="false"/>
                  <w:strike w:val="false"/>
                  <w:dstrike w:val="false"/>
                  <w:color w:val="000000"/>
                  <w:sz w:val="20"/>
                  <w:u w:val="none"/>
                  <w:effect w:val="none"/>
                </w:rPr>
                <w:t>41</w:t>
              </w:r>
            </w:hyperlink>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718fd861814da79dc80fa32884b818_130">
              <w:r>
                <w:rPr>
                  <w:rStyle w:val="InternetLink"/>
                  <w:rFonts w:ascii="Times New Roman;sans-serif" w:hAnsi="Times New Roman;sans-serif"/>
                  <w:b w:val="false"/>
                  <w:color w:val="0000FF"/>
                  <w:sz w:val="20"/>
                  <w:u w:val="single"/>
                </w:rPr>
                <w:t>Consolidated Statements of Cash Flows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f718fd861814da79dc80fa32884b818_130">
              <w:r>
                <w:rPr>
                  <w:rStyle w:val="InternetLink"/>
                  <w:rFonts w:ascii="Times New Roman;sans-serif" w:hAnsi="Times New Roman;sans-serif"/>
                  <w:b w:val="false"/>
                  <w:strike w:val="false"/>
                  <w:dstrike w:val="false"/>
                  <w:color w:val="000000"/>
                  <w:sz w:val="20"/>
                  <w:u w:val="none"/>
                  <w:effect w:val="none"/>
                </w:rPr>
                <w:t>42</w:t>
              </w:r>
            </w:hyperlink>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718fd861814da79dc80fa32884b818_136">
              <w:r>
                <w:rPr>
                  <w:rStyle w:val="InternetLink"/>
                  <w:rFonts w:ascii="Times New Roman;sans-serif" w:hAnsi="Times New Roman;sans-serif"/>
                  <w:b w:val="false"/>
                  <w:color w:val="0000FF"/>
                  <w:sz w:val="20"/>
                  <w:u w:val="single"/>
                </w:rPr>
                <w:t>Notes to 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f718fd861814da79dc80fa32884b818_136">
              <w:r>
                <w:rPr>
                  <w:rStyle w:val="InternetLink"/>
                  <w:rFonts w:ascii="Times New Roman;sans-serif" w:hAnsi="Times New Roman;sans-serif"/>
                  <w:b w:val="false"/>
                  <w:strike w:val="false"/>
                  <w:dstrike w:val="false"/>
                  <w:color w:val="000000"/>
                  <w:sz w:val="20"/>
                  <w:u w:val="none"/>
                  <w:effect w:val="none"/>
                </w:rPr>
                <w:t>43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897890"/>
                <wp:effectExtent l="0" t="0" r="0" b="0"/>
                <wp:wrapNone/>
                <wp:docPr id="103" name="Frame35"/>
                <a:graphic xmlns:a="http://schemas.openxmlformats.org/drawingml/2006/main">
                  <a:graphicData uri="http://schemas.microsoft.com/office/word/2010/wordprocessingShape">
                    <wps:wsp>
                      <wps:cNvSpPr txBox="1"/>
                      <wps:spPr>
                        <a:xfrm>
                          <a:off x="0" y="0"/>
                          <a:ext cx="6480175" cy="897890"/>
                        </a:xfrm>
                        <a:prstGeom prst="rect"/>
                        <a:solidFill>
                          <a:srgbClr val="FFFFFF"/>
                        </a:solidFill>
                      </wps:spPr>
                      <wps:txb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38125" cy="238125"/>
                                        <wp:effectExtent l="0" t="0" r="0" b="0"/>
                                        <wp:docPr id="104"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36" descr=""/>
                                                <pic:cNvPicPr>
                                                  <a:picLocks noChangeAspect="1" noChangeArrowheads="1"/>
                                                </pic:cNvPicPr>
                                              </pic:nvPicPr>
                                              <pic:blipFill>
                                                <a:blip r:embed="rId70"/>
                                                <a:stretch>
                                                  <a:fillRect/>
                                                </a:stretch>
                                              </pic:blipFill>
                                              <pic:spPr bwMode="auto">
                                                <a:xfrm>
                                                  <a:off x="0" y="0"/>
                                                  <a:ext cx="238125" cy="238125"/>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35</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7pt;mso-wrap-distance-left:0pt;mso-wrap-distance-right:0pt;mso-wrap-distance-top:0pt;mso-wrap-distance-bottom:0pt;margin-top:0pt;mso-position-vertical:top;mso-position-vertical-relative:text;margin-left:0pt;mso-position-horizontal:left;mso-position-horizontal-relative:text">
                <v:textbo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38125" cy="238125"/>
                                  <wp:effectExtent l="0" t="0" r="0" b="0"/>
                                  <wp:docPr id="105"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36" descr=""/>
                                          <pic:cNvPicPr>
                                            <a:picLocks noChangeAspect="1" noChangeArrowheads="1"/>
                                          </pic:cNvPicPr>
                                        </pic:nvPicPr>
                                        <pic:blipFill>
                                          <a:blip r:embed="rId71"/>
                                          <a:stretch>
                                            <a:fillRect/>
                                          </a:stretch>
                                        </pic:blipFill>
                                        <pic:spPr bwMode="auto">
                                          <a:xfrm>
                                            <a:off x="0" y="0"/>
                                            <a:ext cx="238125" cy="238125"/>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35</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3f718fd861814da79dc80fa32884b81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6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Report of Independent Registered Public Accounting Firm </w:t>
      </w:r>
    </w:p>
    <w:p>
      <w:pPr>
        <w:pStyle w:val="TextBody"/>
        <w:bidi w:val="0"/>
        <w:spacing w:lineRule="auto" w:line="288" w:before="3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the Stockholders and Board of Directors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SPS Commerce, Inc.:</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Opinion on the Consolidated Financial Statements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SPS Commerce, Inc. and subsidiaries (the Company) as of December 31, 2023 and 2022, the related consolidated statements comprehensive income, stockholders’ equity, and cash flows for each of the years in the three-year period ended December 31, 2023, and the related notes (collectively, the consolidated financial statements). In our opinion, the consolidated financial statements present fairly, in all material respects, the financial position of the Company as of December 31, 2023 and 2022, and the results of its operations and its cash flows for each of the years in the three-year period ended December 31, 2023, in conformity with U.S. generally accepted accounting principles.</w:t>
      </w:r>
    </w:p>
    <w:p>
      <w:pPr>
        <w:pStyle w:val="TextBody"/>
        <w:bidi w:val="0"/>
        <w:spacing w:lineRule="auto" w:line="288" w:before="120" w:after="283"/>
        <w:jc w:val="left"/>
        <w:rPr/>
      </w:pPr>
      <w:r>
        <w:rPr>
          <w:rFonts w:ascii="Times New Roman;sans-serif" w:hAnsi="Times New Roman;sans-serif"/>
          <w:b w:val="false"/>
          <w:color w:val="000000"/>
          <w:sz w:val="20"/>
        </w:rPr>
        <w:t xml:space="preserve">We also have audited, in accordance with the standards of the Public Company Accounting Oversight Board (United States) (PCAOB), the Company’s internal control over financial reporting as of December 31, 2023,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the Committee of Sponsoring Organizations of the Treadway Commission, and our report dated February 20, 2024 expressed an unqualified opinion on the effectiveness of the Company’s internal control over financial reporting.</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Basis for Opinion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Critical Audit Matter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Assessment of the capitalized internal costs for internally developed software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discussed in Note A to the consolidated financial statements, the Company capitalizes costs incurred for internally developed software during the application development stage. Capitalized internally developed software is recorded within property and equipment and depreciated over the estimated useful life.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identified the assessment of the capitalized internal costs for internally developed software as a critical audit matter. Subjective auditor judgment was required to assess the stage of software development for new internally developed software or upgrades and enhancements for existing internally developed software, which determines when costs should be capitalized.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897890"/>
                <wp:effectExtent l="0" t="0" r="0" b="0"/>
                <wp:wrapNone/>
                <wp:docPr id="106" name="Frame36"/>
                <a:graphic xmlns:a="http://schemas.openxmlformats.org/drawingml/2006/main">
                  <a:graphicData uri="http://schemas.microsoft.com/office/word/2010/wordprocessingShape">
                    <wps:wsp>
                      <wps:cNvSpPr txBox="1"/>
                      <wps:spPr>
                        <a:xfrm>
                          <a:off x="0" y="0"/>
                          <a:ext cx="6480175" cy="897890"/>
                        </a:xfrm>
                        <a:prstGeom prst="rect"/>
                        <a:solidFill>
                          <a:srgbClr val="FFFFFF"/>
                        </a:solidFill>
                      </wps:spPr>
                      <wps:txb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38125" cy="238125"/>
                                        <wp:effectExtent l="0" t="0" r="0" b="0"/>
                                        <wp:docPr id="10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37" descr=""/>
                                                <pic:cNvPicPr>
                                                  <a:picLocks noChangeAspect="1" noChangeArrowheads="1"/>
                                                </pic:cNvPicPr>
                                              </pic:nvPicPr>
                                              <pic:blipFill>
                                                <a:blip r:embed="rId72"/>
                                                <a:stretch>
                                                  <a:fillRect/>
                                                </a:stretch>
                                              </pic:blipFill>
                                              <pic:spPr bwMode="auto">
                                                <a:xfrm>
                                                  <a:off x="0" y="0"/>
                                                  <a:ext cx="238125" cy="238125"/>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36</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7pt;mso-wrap-distance-left:0pt;mso-wrap-distance-right:0pt;mso-wrap-distance-top:0pt;mso-wrap-distance-bottom:0pt;margin-top:0pt;mso-position-vertical:top;mso-position-vertical-relative:text;margin-left:0pt;mso-position-horizontal:left;mso-position-horizontal-relative:text">
                <v:textbo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38125" cy="238125"/>
                                  <wp:effectExtent l="0" t="0" r="0" b="0"/>
                                  <wp:docPr id="108"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37" descr=""/>
                                          <pic:cNvPicPr>
                                            <a:picLocks noChangeAspect="1" noChangeArrowheads="1"/>
                                          </pic:cNvPicPr>
                                        </pic:nvPicPr>
                                        <pic:blipFill>
                                          <a:blip r:embed="rId73"/>
                                          <a:stretch>
                                            <a:fillRect/>
                                          </a:stretch>
                                        </pic:blipFill>
                                        <pic:spPr bwMode="auto">
                                          <a:xfrm>
                                            <a:off x="0" y="0"/>
                                            <a:ext cx="238125" cy="238125"/>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36</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3f718fd861814da79dc80fa32884b81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are the primary procedures we performed to address this critical audit matter. We evaluated the design and tested the operating effectiveness of certain internal controls related to the Company’s internally developed software process. This included controls related to the evaluation and approval of new internally developed software projects or upgrades and enhancements to existing internally developed software projects, monitoring of the software development stage, and capitalization of internal costs. We examined a sample of capitalized internally developed software costs to evaluate costs that were capitalized for new internally developed software or upgrades and enhancements for existing internally developed software. For each sample, we evaluated the capitalized costs and assessed the stage of software development by inspecting underlying documentation and inquiring of the Company’s technology developers performing the internally developed software activities regarding the specific nature, stage of completion, and hours incurred on the project.</w:t>
      </w:r>
    </w:p>
    <w:p>
      <w:pPr>
        <w:pStyle w:val="TextBody"/>
        <w:bidi w:val="0"/>
        <w:spacing w:lineRule="auto" w:line="288" w:before="12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/s/ KPMG LLP</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2013.</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Minneapolis, Minnesota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20, 2024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897890"/>
                <wp:effectExtent l="0" t="0" r="0" b="0"/>
                <wp:wrapNone/>
                <wp:docPr id="109" name="Frame37"/>
                <a:graphic xmlns:a="http://schemas.openxmlformats.org/drawingml/2006/main">
                  <a:graphicData uri="http://schemas.microsoft.com/office/word/2010/wordprocessingShape">
                    <wps:wsp>
                      <wps:cNvSpPr txBox="1"/>
                      <wps:spPr>
                        <a:xfrm>
                          <a:off x="0" y="0"/>
                          <a:ext cx="6480175" cy="897890"/>
                        </a:xfrm>
                        <a:prstGeom prst="rect"/>
                        <a:solidFill>
                          <a:srgbClr val="FFFFFF"/>
                        </a:solidFill>
                      </wps:spPr>
                      <wps:txb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38125" cy="238125"/>
                                        <wp:effectExtent l="0" t="0" r="0" b="0"/>
                                        <wp:docPr id="110"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38" descr=""/>
                                                <pic:cNvPicPr>
                                                  <a:picLocks noChangeAspect="1" noChangeArrowheads="1"/>
                                                </pic:cNvPicPr>
                                              </pic:nvPicPr>
                                              <pic:blipFill>
                                                <a:blip r:embed="rId74"/>
                                                <a:stretch>
                                                  <a:fillRect/>
                                                </a:stretch>
                                              </pic:blipFill>
                                              <pic:spPr bwMode="auto">
                                                <a:xfrm>
                                                  <a:off x="0" y="0"/>
                                                  <a:ext cx="238125" cy="238125"/>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37</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7pt;mso-wrap-distance-left:0pt;mso-wrap-distance-right:0pt;mso-wrap-distance-top:0pt;mso-wrap-distance-bottom:0pt;margin-top:0pt;mso-position-vertical:top;mso-position-vertical-relative:text;margin-left:0pt;mso-position-horizontal:left;mso-position-horizontal-relative:text">
                <v:textbo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38125" cy="238125"/>
                                  <wp:effectExtent l="0" t="0" r="0" b="0"/>
                                  <wp:docPr id="11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38" descr=""/>
                                          <pic:cNvPicPr>
                                            <a:picLocks noChangeAspect="1" noChangeArrowheads="1"/>
                                          </pic:cNvPicPr>
                                        </pic:nvPicPr>
                                        <pic:blipFill>
                                          <a:blip r:embed="rId75"/>
                                          <a:stretch>
                                            <a:fillRect/>
                                          </a:stretch>
                                        </pic:blipFill>
                                        <pic:spPr bwMode="auto">
                                          <a:xfrm>
                                            <a:off x="0" y="0"/>
                                            <a:ext cx="238125" cy="238125"/>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37</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3f718fd861814da79dc80fa32884b81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Report of Independent Registered Public Accounting Firm </w:t>
      </w:r>
    </w:p>
    <w:p>
      <w:pPr>
        <w:pStyle w:val="TextBody"/>
        <w:bidi w:val="0"/>
        <w:spacing w:lineRule="auto" w:line="288" w:before="3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the Stockholders and Board of Directors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SPS Commerce, Inc.:</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Opinion on Internal Control Over Financial Reporting</w:t>
      </w:r>
    </w:p>
    <w:p>
      <w:pPr>
        <w:pStyle w:val="TextBody"/>
        <w:bidi w:val="0"/>
        <w:spacing w:lineRule="auto" w:line="288" w:before="120" w:after="283"/>
        <w:jc w:val="left"/>
        <w:rPr/>
      </w:pPr>
      <w:r>
        <w:rPr>
          <w:rFonts w:ascii="Times New Roman;sans-serif" w:hAnsi="Times New Roman;sans-serif"/>
          <w:b w:val="false"/>
          <w:color w:val="000000"/>
          <w:sz w:val="20"/>
        </w:rPr>
        <w:t>We have audited SPS Commerce, Inc. and subsidiaries' (the Company) internal control over financial reporting as of December 31, 2023, based on criteria established in</w:t>
      </w:r>
      <w:r>
        <w:rPr>
          <w:color w:val="000000"/>
        </w:rPr>
        <w:t xml:space="preserve">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 xml:space="preserve">issued by the Committee of Sponsoring Organizations of the Treadway Commission. In our opinion, the Company maintained, in all material respects, effective internal control over financial reporting as of December 31, 2023,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the Committee of Sponsoring Organizations of the Treadway Commission.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consolidated balance sheets of the Company as of December 31, 2023 and 2022, the related consolidated statements of comprehensive income, stockholders’ equity, and cash flows for each of the years in the three-year period ended December 31, 2023, and the related notes (collectively, the consolidated financial statements), and our report dated February 20, 2024 expressed an unqualified opinion on those consolidated financial statements.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acquired TIE Kinetix Holding B.V. during 2023, and management excluded from its assessment of the effectiveness of the Company’s internal control over financial reporting as of December 31, 2023, TIE Kinetix Holding B.V.’s internal control over financial reporting associated with less than 5% of consolidated assets and less than 5% of consolidated revenues included in the consolidated financial statements of the Company as of and for the year ended December 31, 2023. Our audit of internal control over financial reporting of the Company also excluded an evaluation of the internal control over financial reporting of TIE Kinetix Holding B.V.</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Basis for Opinion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Definition and Limitations of Internal Control Over Financial Reporting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KPMG LLP</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Minneapolis, Minnesota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897890"/>
                <wp:effectExtent l="0" t="0" r="0" b="0"/>
                <wp:wrapNone/>
                <wp:docPr id="112" name="Frame38"/>
                <a:graphic xmlns:a="http://schemas.openxmlformats.org/drawingml/2006/main">
                  <a:graphicData uri="http://schemas.microsoft.com/office/word/2010/wordprocessingShape">
                    <wps:wsp>
                      <wps:cNvSpPr txBox="1"/>
                      <wps:spPr>
                        <a:xfrm>
                          <a:off x="0" y="0"/>
                          <a:ext cx="6480175" cy="897890"/>
                        </a:xfrm>
                        <a:prstGeom prst="rect"/>
                        <a:solidFill>
                          <a:srgbClr val="FFFFFF"/>
                        </a:solidFill>
                      </wps:spPr>
                      <wps:txb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38125" cy="238125"/>
                                        <wp:effectExtent l="0" t="0" r="0" b="0"/>
                                        <wp:docPr id="113"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39" descr=""/>
                                                <pic:cNvPicPr>
                                                  <a:picLocks noChangeAspect="1" noChangeArrowheads="1"/>
                                                </pic:cNvPicPr>
                                              </pic:nvPicPr>
                                              <pic:blipFill>
                                                <a:blip r:embed="rId76"/>
                                                <a:stretch>
                                                  <a:fillRect/>
                                                </a:stretch>
                                              </pic:blipFill>
                                              <pic:spPr bwMode="auto">
                                                <a:xfrm>
                                                  <a:off x="0" y="0"/>
                                                  <a:ext cx="238125" cy="238125"/>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38</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7pt;mso-wrap-distance-left:0pt;mso-wrap-distance-right:0pt;mso-wrap-distance-top:0pt;mso-wrap-distance-bottom:0pt;margin-top:0pt;mso-position-vertical:top;mso-position-vertical-relative:text;margin-left:0pt;mso-position-horizontal:left;mso-position-horizontal-relative:text">
                <v:textbo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38125" cy="238125"/>
                                  <wp:effectExtent l="0" t="0" r="0" b="0"/>
                                  <wp:docPr id="114"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39" descr=""/>
                                          <pic:cNvPicPr>
                                            <a:picLocks noChangeAspect="1" noChangeArrowheads="1"/>
                                          </pic:cNvPicPr>
                                        </pic:nvPicPr>
                                        <pic:blipFill>
                                          <a:blip r:embed="rId77"/>
                                          <a:stretch>
                                            <a:fillRect/>
                                          </a:stretch>
                                        </pic:blipFill>
                                        <pic:spPr bwMode="auto">
                                          <a:xfrm>
                                            <a:off x="0" y="0"/>
                                            <a:ext cx="238125" cy="238125"/>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38</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3f718fd861814da79dc80fa32884b81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AAE5"/>
          <w:sz w:val="20"/>
        </w:rPr>
      </w:pPr>
      <w:r>
        <w:rPr>
          <w:rFonts w:ascii="Times New Roman;sans-serif" w:hAnsi="Times New Roman;sans-serif"/>
          <w:b/>
          <w:color w:val="00AAE5"/>
          <w:sz w:val="20"/>
        </w:rPr>
        <w:t>SPS COMMERCE, INC. AND SUBSIDIARIES</w:t>
      </w:r>
    </w:p>
    <w:p>
      <w:pPr>
        <w:pStyle w:val="TextBody"/>
        <w:bidi w:val="0"/>
        <w:spacing w:lineRule="auto" w:line="288" w:before="0" w:after="0"/>
        <w:jc w:val="center"/>
        <w:rPr>
          <w:rFonts w:ascii="Times New Roman;sans-serif" w:hAnsi="Times New Roman;sans-serif"/>
          <w:b/>
          <w:color w:val="00AAE5"/>
          <w:sz w:val="20"/>
        </w:rPr>
      </w:pPr>
      <w:r>
        <w:rPr>
          <w:rFonts w:ascii="Times New Roman;sans-serif" w:hAnsi="Times New Roman;sans-serif"/>
          <w:b/>
          <w:color w:val="00AAE5"/>
          <w:sz w:val="20"/>
        </w:rPr>
        <w:t>CONSOLIDATED BALANCE SHEETS</w:t>
      </w:r>
    </w:p>
    <w:tbl>
      <w:tblPr>
        <w:tblW w:w="10205" w:type="dxa"/>
        <w:jc w:val="center"/>
        <w:tblInd w:w="0" w:type="dxa"/>
        <w:tblLayout w:type="fixed"/>
        <w:tblCellMar>
          <w:top w:w="28" w:type="dxa"/>
          <w:left w:w="28" w:type="dxa"/>
          <w:bottom w:w="28" w:type="dxa"/>
          <w:right w:w="28" w:type="dxa"/>
        </w:tblCellMar>
      </w:tblPr>
      <w:tblGrid>
        <w:gridCol w:w="2944"/>
        <w:gridCol w:w="2444"/>
        <w:gridCol w:w="2362"/>
        <w:gridCol w:w="196"/>
        <w:gridCol w:w="736"/>
        <w:gridCol w:w="109"/>
        <w:gridCol w:w="109"/>
        <w:gridCol w:w="109"/>
        <w:gridCol w:w="109"/>
        <w:gridCol w:w="196"/>
        <w:gridCol w:w="736"/>
        <w:gridCol w:w="155"/>
      </w:tblGrid>
      <w:tr>
        <w:trPr/>
        <w:tc>
          <w:tcPr>
            <w:tcW w:w="2944" w:type="dxa"/>
            <w:tcBorders/>
            <w:vAlign w:val="center"/>
          </w:tcPr>
          <w:p>
            <w:pPr>
              <w:pStyle w:val="TableContents"/>
              <w:bidi w:val="0"/>
              <w:spacing w:before="0" w:after="283"/>
              <w:jc w:val="left"/>
              <w:rPr>
                <w:sz w:val="4"/>
                <w:szCs w:val="4"/>
              </w:rPr>
            </w:pPr>
            <w:r>
              <w:rPr>
                <w:sz w:val="4"/>
                <w:szCs w:val="4"/>
              </w:rPr>
            </w:r>
          </w:p>
        </w:tc>
        <w:tc>
          <w:tcPr>
            <w:tcW w:w="244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7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shares)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162,893 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Allowance for credit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39,435 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401,441 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322,814 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197,284 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88,352 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costs, non-current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 non-current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672,914 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7,451 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110,642 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 non-current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non-current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 non-current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135,841 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$0.001 par value; 5,000,000 shares authorized; 0 shares issued and outstanding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$0.001 par value; 110,000,000 shares authorized; 38,971,146 and 38,309,144 shares issued; and 36,820,048 and 36,158,046 shares outstanding,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at cost; 2,151,098 shares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(128,892)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(128,892)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476,117 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193,221 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gain (loss)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667,475 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537,073 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823,844 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672,914 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See accompanying notes to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897890"/>
                <wp:effectExtent l="0" t="0" r="0" b="0"/>
                <wp:wrapNone/>
                <wp:docPr id="115" name="Frame39"/>
                <a:graphic xmlns:a="http://schemas.openxmlformats.org/drawingml/2006/main">
                  <a:graphicData uri="http://schemas.microsoft.com/office/word/2010/wordprocessingShape">
                    <wps:wsp>
                      <wps:cNvSpPr txBox="1"/>
                      <wps:spPr>
                        <a:xfrm>
                          <a:off x="0" y="0"/>
                          <a:ext cx="6480175" cy="897890"/>
                        </a:xfrm>
                        <a:prstGeom prst="rect"/>
                        <a:solidFill>
                          <a:srgbClr val="FFFFFF"/>
                        </a:solidFill>
                      </wps:spPr>
                      <wps:txb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38125" cy="238125"/>
                                        <wp:effectExtent l="0" t="0" r="0" b="0"/>
                                        <wp:docPr id="116"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40" descr=""/>
                                                <pic:cNvPicPr>
                                                  <a:picLocks noChangeAspect="1" noChangeArrowheads="1"/>
                                                </pic:cNvPicPr>
                                              </pic:nvPicPr>
                                              <pic:blipFill>
                                                <a:blip r:embed="rId78"/>
                                                <a:stretch>
                                                  <a:fillRect/>
                                                </a:stretch>
                                              </pic:blipFill>
                                              <pic:spPr bwMode="auto">
                                                <a:xfrm>
                                                  <a:off x="0" y="0"/>
                                                  <a:ext cx="238125" cy="238125"/>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39</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7pt;mso-wrap-distance-left:0pt;mso-wrap-distance-right:0pt;mso-wrap-distance-top:0pt;mso-wrap-distance-bottom:0pt;margin-top:0pt;mso-position-vertical:top;mso-position-vertical-relative:text;margin-left:0pt;mso-position-horizontal:left;mso-position-horizontal-relative:text">
                <v:textbo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38125" cy="238125"/>
                                  <wp:effectExtent l="0" t="0" r="0" b="0"/>
                                  <wp:docPr id="117"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40" descr=""/>
                                          <pic:cNvPicPr>
                                            <a:picLocks noChangeAspect="1" noChangeArrowheads="1"/>
                                          </pic:cNvPicPr>
                                        </pic:nvPicPr>
                                        <pic:blipFill>
                                          <a:blip r:embed="rId79"/>
                                          <a:stretch>
                                            <a:fillRect/>
                                          </a:stretch>
                                        </pic:blipFill>
                                        <pic:spPr bwMode="auto">
                                          <a:xfrm>
                                            <a:off x="0" y="0"/>
                                            <a:ext cx="238125" cy="238125"/>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39</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3f718fd861814da79dc80fa32884b81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AAE5"/>
          <w:sz w:val="20"/>
          <w:shd w:fill="FFFFFF" w:val="clear"/>
        </w:rPr>
      </w:pPr>
      <w:r>
        <w:rPr>
          <w:rFonts w:ascii="Times New Roman;sans-serif" w:hAnsi="Times New Roman;sans-serif"/>
          <w:b/>
          <w:color w:val="00AAE5"/>
          <w:sz w:val="20"/>
          <w:shd w:fill="FFFFFF" w:val="clear"/>
        </w:rPr>
        <w:t>SPS COMMERCE, INC. AND SUBSIDIARIES</w:t>
      </w:r>
    </w:p>
    <w:p>
      <w:pPr>
        <w:pStyle w:val="TextBody"/>
        <w:bidi w:val="0"/>
        <w:spacing w:lineRule="auto" w:line="288" w:before="0" w:after="0"/>
        <w:jc w:val="center"/>
        <w:rPr>
          <w:rFonts w:ascii="Times New Roman;sans-serif" w:hAnsi="Times New Roman;sans-serif"/>
          <w:b/>
          <w:color w:val="00AAE5"/>
          <w:sz w:val="20"/>
          <w:shd w:fill="FFFFFF" w:val="clear"/>
        </w:rPr>
      </w:pPr>
      <w:r>
        <w:rPr>
          <w:rFonts w:ascii="Times New Roman;sans-serif" w:hAnsi="Times New Roman;sans-serif"/>
          <w:b/>
          <w:color w:val="00AAE5"/>
          <w:sz w:val="20"/>
          <w:shd w:fill="FFFFFF" w:val="clear"/>
        </w:rPr>
        <w:t>CONSOLIDATED STATEMENTS OF COMPREHENSIVE INCOME</w:t>
      </w:r>
    </w:p>
    <w:tbl>
      <w:tblPr>
        <w:tblW w:w="10205" w:type="dxa"/>
        <w:jc w:val="center"/>
        <w:tblInd w:w="0" w:type="dxa"/>
        <w:tblLayout w:type="fixed"/>
        <w:tblCellMar>
          <w:top w:w="28" w:type="dxa"/>
          <w:left w:w="28" w:type="dxa"/>
          <w:bottom w:w="28" w:type="dxa"/>
          <w:right w:w="28" w:type="dxa"/>
        </w:tblCellMar>
      </w:tblPr>
      <w:tblGrid>
        <w:gridCol w:w="2331"/>
        <w:gridCol w:w="1866"/>
        <w:gridCol w:w="1870"/>
        <w:gridCol w:w="211"/>
        <w:gridCol w:w="826"/>
        <w:gridCol w:w="109"/>
        <w:gridCol w:w="109"/>
        <w:gridCol w:w="109"/>
        <w:gridCol w:w="109"/>
        <w:gridCol w:w="211"/>
        <w:gridCol w:w="826"/>
        <w:gridCol w:w="109"/>
        <w:gridCol w:w="109"/>
        <w:gridCol w:w="109"/>
        <w:gridCol w:w="109"/>
        <w:gridCol w:w="211"/>
        <w:gridCol w:w="826"/>
        <w:gridCol w:w="155"/>
      </w:tblGrid>
      <w:tr>
        <w:trPr/>
        <w:tc>
          <w:tcPr>
            <w:tcW w:w="2331"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06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138"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06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 share amounts)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450,875 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385,276 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354,841 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297,810 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253,598 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277,593 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198,513 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55,085 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53,541 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44,597 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(expense)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investments, net of tax of $644, $147, and $(34),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of (gain) loss on investments into earnings, net of tax of $(564), $(55), and $63,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 (expense)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44,171 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used to compute net income per share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36,962 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See accompanying notes to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897890"/>
                <wp:effectExtent l="0" t="0" r="0" b="0"/>
                <wp:wrapNone/>
                <wp:docPr id="118" name="Frame40"/>
                <a:graphic xmlns:a="http://schemas.openxmlformats.org/drawingml/2006/main">
                  <a:graphicData uri="http://schemas.microsoft.com/office/word/2010/wordprocessingShape">
                    <wps:wsp>
                      <wps:cNvSpPr txBox="1"/>
                      <wps:spPr>
                        <a:xfrm>
                          <a:off x="0" y="0"/>
                          <a:ext cx="6480175" cy="897890"/>
                        </a:xfrm>
                        <a:prstGeom prst="rect"/>
                        <a:solidFill>
                          <a:srgbClr val="FFFFFF"/>
                        </a:solidFill>
                      </wps:spPr>
                      <wps:txb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38125" cy="238125"/>
                                        <wp:effectExtent l="0" t="0" r="0" b="0"/>
                                        <wp:docPr id="119"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41" descr=""/>
                                                <pic:cNvPicPr>
                                                  <a:picLocks noChangeAspect="1" noChangeArrowheads="1"/>
                                                </pic:cNvPicPr>
                                              </pic:nvPicPr>
                                              <pic:blipFill>
                                                <a:blip r:embed="rId80"/>
                                                <a:stretch>
                                                  <a:fillRect/>
                                                </a:stretch>
                                              </pic:blipFill>
                                              <pic:spPr bwMode="auto">
                                                <a:xfrm>
                                                  <a:off x="0" y="0"/>
                                                  <a:ext cx="238125" cy="238125"/>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40</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7pt;mso-wrap-distance-left:0pt;mso-wrap-distance-right:0pt;mso-wrap-distance-top:0pt;mso-wrap-distance-bottom:0pt;margin-top:0pt;mso-position-vertical:top;mso-position-vertical-relative:text;margin-left:0pt;mso-position-horizontal:left;mso-position-horizontal-relative:text">
                <v:textbo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38125" cy="238125"/>
                                  <wp:effectExtent l="0" t="0" r="0" b="0"/>
                                  <wp:docPr id="120"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41" descr=""/>
                                          <pic:cNvPicPr>
                                            <a:picLocks noChangeAspect="1" noChangeArrowheads="1"/>
                                          </pic:cNvPicPr>
                                        </pic:nvPicPr>
                                        <pic:blipFill>
                                          <a:blip r:embed="rId81"/>
                                          <a:stretch>
                                            <a:fillRect/>
                                          </a:stretch>
                                        </pic:blipFill>
                                        <pic:spPr bwMode="auto">
                                          <a:xfrm>
                                            <a:off x="0" y="0"/>
                                            <a:ext cx="238125" cy="238125"/>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40</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3f718fd861814da79dc80fa32884b81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20" w:after="283"/>
        <w:jc w:val="center"/>
        <w:rPr>
          <w:rFonts w:ascii="Times New Roman;sans-serif" w:hAnsi="Times New Roman;sans-serif"/>
          <w:b/>
          <w:color w:val="00AAE5"/>
          <w:sz w:val="20"/>
        </w:rPr>
      </w:pPr>
      <w:r>
        <w:rPr>
          <w:rFonts w:ascii="Times New Roman;sans-serif" w:hAnsi="Times New Roman;sans-serif"/>
          <w:b/>
          <w:color w:val="00AAE5"/>
          <w:sz w:val="20"/>
        </w:rPr>
        <w:t>SPS COMMERCE, INC. AND SUBSIDIARIES</w:t>
      </w:r>
    </w:p>
    <w:p>
      <w:pPr>
        <w:pStyle w:val="TextBody"/>
        <w:bidi w:val="0"/>
        <w:spacing w:lineRule="auto" w:line="288" w:before="0" w:after="0"/>
        <w:jc w:val="center"/>
        <w:rPr>
          <w:rFonts w:ascii="Times New Roman;sans-serif" w:hAnsi="Times New Roman;sans-serif"/>
          <w:b/>
          <w:color w:val="00AAE5"/>
          <w:sz w:val="20"/>
        </w:rPr>
      </w:pPr>
      <w:r>
        <w:rPr>
          <w:rFonts w:ascii="Times New Roman;sans-serif" w:hAnsi="Times New Roman;sans-serif"/>
          <w:b/>
          <w:color w:val="00AAE5"/>
          <w:sz w:val="20"/>
        </w:rPr>
        <w:t>CONSOLIDATED STATEMENTS OF STOCKHOLDERS' EQUITY</w:t>
      </w:r>
    </w:p>
    <w:tbl>
      <w:tblPr>
        <w:tblW w:w="11395" w:type="dxa"/>
        <w:jc w:val="center"/>
        <w:tblInd w:w="0" w:type="dxa"/>
        <w:tblLayout w:type="fixed"/>
        <w:tblCellMar>
          <w:top w:w="28" w:type="dxa"/>
          <w:left w:w="28" w:type="dxa"/>
          <w:bottom w:w="28" w:type="dxa"/>
          <w:right w:w="28" w:type="dxa"/>
        </w:tblCellMar>
      </w:tblPr>
      <w:tblGrid>
        <w:gridCol w:w="562"/>
        <w:gridCol w:w="244"/>
        <w:gridCol w:w="245"/>
        <w:gridCol w:w="480"/>
        <w:gridCol w:w="481"/>
        <w:gridCol w:w="171"/>
        <w:gridCol w:w="109"/>
        <w:gridCol w:w="109"/>
        <w:gridCol w:w="109"/>
        <w:gridCol w:w="196"/>
        <w:gridCol w:w="331"/>
        <w:gridCol w:w="109"/>
        <w:gridCol w:w="109"/>
        <w:gridCol w:w="109"/>
        <w:gridCol w:w="109"/>
        <w:gridCol w:w="435"/>
        <w:gridCol w:w="436"/>
        <w:gridCol w:w="171"/>
        <w:gridCol w:w="109"/>
        <w:gridCol w:w="109"/>
        <w:gridCol w:w="109"/>
        <w:gridCol w:w="196"/>
        <w:gridCol w:w="751"/>
        <w:gridCol w:w="109"/>
        <w:gridCol w:w="109"/>
        <w:gridCol w:w="109"/>
        <w:gridCol w:w="109"/>
        <w:gridCol w:w="196"/>
        <w:gridCol w:w="736"/>
        <w:gridCol w:w="109"/>
        <w:gridCol w:w="109"/>
        <w:gridCol w:w="109"/>
        <w:gridCol w:w="109"/>
        <w:gridCol w:w="196"/>
        <w:gridCol w:w="736"/>
        <w:gridCol w:w="109"/>
        <w:gridCol w:w="109"/>
        <w:gridCol w:w="109"/>
        <w:gridCol w:w="109"/>
        <w:gridCol w:w="228"/>
        <w:gridCol w:w="665"/>
        <w:gridCol w:w="128"/>
        <w:gridCol w:w="109"/>
        <w:gridCol w:w="109"/>
        <w:gridCol w:w="109"/>
        <w:gridCol w:w="196"/>
        <w:gridCol w:w="736"/>
        <w:gridCol w:w="154"/>
      </w:tblGrid>
      <w:tr>
        <w:trPr/>
        <w:tc>
          <w:tcPr>
            <w:tcW w:w="56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Treasury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Retained</w:t>
              <w:br/>
              <w:t xml:space="preserve">Earnings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Other Comprehensive 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Stockholders'</w:t>
              <w:br/>
              <w:t>Equity</w:t>
            </w:r>
          </w:p>
        </w:tc>
      </w:tr>
      <w:tr>
        <w:trPr/>
        <w:tc>
          <w:tcPr>
            <w:tcW w:w="105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(in thousands, except shares)</w:t>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Balances, December 31, 2020</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35,487,217 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1,613,250 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(65,247)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393,462 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(1,021)</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420,721 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Shares issued pursuant to stock awards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642,417 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Employee stock purchase plan activity</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55,726 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Repurchases of common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(176,103)</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176,103 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44,597 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Foreign currency translation adjustments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Unrealized loss on investments, net of tax</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Reclassification of loss on investments into earnings, net of tax</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Balances, December 31, 2021</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36,009,257 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1,789,353 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(85,677)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433,258 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138,087 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(1,447)</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484,259 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Shares issued pursuant to stock awards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440,427 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Employee stock purchase plan activity</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70,107 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Repurchases of common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(361,745)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361,745 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55,134 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Foreign currency translation adjustments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(2,240)</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Unrealized gain on investments, net of tax</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Reclassification of gain on investments into earnings, net of tax</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Balances, December 31, 2022</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36,158,046 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2,151,098 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(128,892)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476,117 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(3,411)</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537,073 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Shares issued pursuant to stock awards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598,361 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Employee stock purchase plan activity</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63,641 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65,824 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Foreign currency translation adjustments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Unrealized gain on investments, net of tax</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Reclassification of gain on investments into earnings, net of tax</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(1,692)</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Balances, December 31, 2023</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36,820,048 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2,151,098 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(128,892)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537,061 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259,045 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667,475 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See accompanying notes to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847090"/>
                <wp:effectExtent l="0" t="0" r="0" b="0"/>
                <wp:wrapNone/>
                <wp:docPr id="121" name="Frame41"/>
                <a:graphic xmlns:a="http://schemas.openxmlformats.org/drawingml/2006/main">
                  <a:graphicData uri="http://schemas.microsoft.com/office/word/2010/wordprocessingShape">
                    <wps:wsp>
                      <wps:cNvSpPr txBox="1"/>
                      <wps:spPr>
                        <a:xfrm>
                          <a:off x="0" y="0"/>
                          <a:ext cx="6480175" cy="847090"/>
                        </a:xfrm>
                        <a:prstGeom prst="rect"/>
                        <a:solidFill>
                          <a:srgbClr val="FFFFFF"/>
                        </a:solidFill>
                      </wps:spPr>
                      <wps:txb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38125" cy="228600"/>
                                        <wp:effectExtent l="0" t="0" r="0" b="0"/>
                                        <wp:docPr id="12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42" descr=""/>
                                                <pic:cNvPicPr>
                                                  <a:picLocks noChangeAspect="1" noChangeArrowheads="1"/>
                                                </pic:cNvPicPr>
                                              </pic:nvPicPr>
                                              <pic:blipFill>
                                                <a:blip r:embed="rId82"/>
                                                <a:stretch>
                                                  <a:fillRect/>
                                                </a:stretch>
                                              </pic:blipFill>
                                              <pic:spPr bwMode="auto">
                                                <a:xfrm>
                                                  <a:off x="0" y="0"/>
                                                  <a:ext cx="238125" cy="228600"/>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41</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pt;mso-wrap-distance-left:0pt;mso-wrap-distance-right:0pt;mso-wrap-distance-top:0pt;mso-wrap-distance-bottom:0pt;margin-top:0pt;mso-position-vertical:top;mso-position-vertical-relative:text;margin-left:0pt;mso-position-horizontal:left;mso-position-horizontal-relative:text">
                <v:textbo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38125" cy="228600"/>
                                  <wp:effectExtent l="0" t="0" r="0" b="0"/>
                                  <wp:docPr id="123"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42" descr=""/>
                                          <pic:cNvPicPr>
                                            <a:picLocks noChangeAspect="1" noChangeArrowheads="1"/>
                                          </pic:cNvPicPr>
                                        </pic:nvPicPr>
                                        <pic:blipFill>
                                          <a:blip r:embed="rId83"/>
                                          <a:stretch>
                                            <a:fillRect/>
                                          </a:stretch>
                                        </pic:blipFill>
                                        <pic:spPr bwMode="auto">
                                          <a:xfrm>
                                            <a:off x="0" y="0"/>
                                            <a:ext cx="238125" cy="228600"/>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41</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3f718fd861814da79dc80fa32884b81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20" w:after="283"/>
        <w:jc w:val="center"/>
        <w:rPr>
          <w:rFonts w:ascii="Times New Roman;sans-serif" w:hAnsi="Times New Roman;sans-serif"/>
          <w:b/>
          <w:color w:val="00AAE5"/>
          <w:sz w:val="20"/>
        </w:rPr>
      </w:pPr>
      <w:r>
        <w:rPr>
          <w:rFonts w:ascii="Times New Roman;sans-serif" w:hAnsi="Times New Roman;sans-serif"/>
          <w:b/>
          <w:color w:val="00AAE5"/>
          <w:sz w:val="20"/>
        </w:rPr>
        <w:t>SPS COMMERCE, INC. AND SUBSIDIARIES</w:t>
      </w:r>
    </w:p>
    <w:p>
      <w:pPr>
        <w:pStyle w:val="TextBody"/>
        <w:bidi w:val="0"/>
        <w:spacing w:lineRule="auto" w:line="288" w:before="0" w:after="0"/>
        <w:jc w:val="center"/>
        <w:rPr>
          <w:rFonts w:ascii="Times New Roman;sans-serif" w:hAnsi="Times New Roman;sans-serif"/>
          <w:b/>
          <w:color w:val="00AAE5"/>
          <w:sz w:val="20"/>
        </w:rPr>
      </w:pPr>
      <w:r>
        <w:rPr>
          <w:rFonts w:ascii="Times New Roman;sans-serif" w:hAnsi="Times New Roman;sans-serif"/>
          <w:b/>
          <w:color w:val="00AAE5"/>
          <w:sz w:val="20"/>
        </w:rPr>
        <w:t>CONSOLIDATED STATEMENTS OF CASH FLOWS</w:t>
      </w:r>
    </w:p>
    <w:tbl>
      <w:tblPr>
        <w:tblW w:w="10197" w:type="dxa"/>
        <w:jc w:val="center"/>
        <w:tblInd w:w="0" w:type="dxa"/>
        <w:tblLayout w:type="fixed"/>
        <w:tblCellMar>
          <w:top w:w="28" w:type="dxa"/>
          <w:left w:w="28" w:type="dxa"/>
          <w:bottom w:w="28" w:type="dxa"/>
          <w:right w:w="28" w:type="dxa"/>
        </w:tblCellMar>
      </w:tblPr>
      <w:tblGrid>
        <w:gridCol w:w="2192"/>
        <w:gridCol w:w="1931"/>
        <w:gridCol w:w="1937"/>
        <w:gridCol w:w="211"/>
        <w:gridCol w:w="826"/>
        <w:gridCol w:w="109"/>
        <w:gridCol w:w="109"/>
        <w:gridCol w:w="109"/>
        <w:gridCol w:w="109"/>
        <w:gridCol w:w="211"/>
        <w:gridCol w:w="826"/>
        <w:gridCol w:w="109"/>
        <w:gridCol w:w="109"/>
        <w:gridCol w:w="109"/>
        <w:gridCol w:w="109"/>
        <w:gridCol w:w="211"/>
        <w:gridCol w:w="826"/>
        <w:gridCol w:w="154"/>
      </w:tblGrid>
      <w:tr>
        <w:trPr/>
        <w:tc>
          <w:tcPr>
            <w:tcW w:w="2192"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0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Reconciliation of net income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 net of effects of acquisitions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and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Maturities of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business,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(46,703)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common stock</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proceeds from exercise of options to purchase common stock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proceeds from employee stock purchase plan activity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contingent consideration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currency exchange rate changes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disclosure of cash flow information</w:t>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financing activity: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related to acquisition</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See accompanying notes to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847090"/>
                <wp:effectExtent l="0" t="0" r="0" b="0"/>
                <wp:wrapNone/>
                <wp:docPr id="124" name="Frame42"/>
                <a:graphic xmlns:a="http://schemas.openxmlformats.org/drawingml/2006/main">
                  <a:graphicData uri="http://schemas.microsoft.com/office/word/2010/wordprocessingShape">
                    <wps:wsp>
                      <wps:cNvSpPr txBox="1"/>
                      <wps:spPr>
                        <a:xfrm>
                          <a:off x="0" y="0"/>
                          <a:ext cx="6480175" cy="847090"/>
                        </a:xfrm>
                        <a:prstGeom prst="rect"/>
                        <a:solidFill>
                          <a:srgbClr val="FFFFFF"/>
                        </a:solidFill>
                      </wps:spPr>
                      <wps:txb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38125" cy="228600"/>
                                        <wp:effectExtent l="0" t="0" r="0" b="0"/>
                                        <wp:docPr id="125"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43" descr=""/>
                                                <pic:cNvPicPr>
                                                  <a:picLocks noChangeAspect="1" noChangeArrowheads="1"/>
                                                </pic:cNvPicPr>
                                              </pic:nvPicPr>
                                              <pic:blipFill>
                                                <a:blip r:embed="rId84"/>
                                                <a:stretch>
                                                  <a:fillRect/>
                                                </a:stretch>
                                              </pic:blipFill>
                                              <pic:spPr bwMode="auto">
                                                <a:xfrm>
                                                  <a:off x="0" y="0"/>
                                                  <a:ext cx="238125" cy="228600"/>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42</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pt;mso-wrap-distance-left:0pt;mso-wrap-distance-right:0pt;mso-wrap-distance-top:0pt;mso-wrap-distance-bottom:0pt;margin-top:0pt;mso-position-vertical:top;mso-position-vertical-relative:text;margin-left:0pt;mso-position-horizontal:left;mso-position-horizontal-relative:text">
                <v:textbo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38125" cy="228600"/>
                                  <wp:effectExtent l="0" t="0" r="0" b="0"/>
                                  <wp:docPr id="12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43" descr=""/>
                                          <pic:cNvPicPr>
                                            <a:picLocks noChangeAspect="1" noChangeArrowheads="1"/>
                                          </pic:cNvPicPr>
                                        </pic:nvPicPr>
                                        <pic:blipFill>
                                          <a:blip r:embed="rId85"/>
                                          <a:stretch>
                                            <a:fillRect/>
                                          </a:stretch>
                                        </pic:blipFill>
                                        <pic:spPr bwMode="auto">
                                          <a:xfrm>
                                            <a:off x="0" y="0"/>
                                            <a:ext cx="238125" cy="228600"/>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42</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3f718fd861814da79dc80fa32884b81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60" w:after="283"/>
        <w:jc w:val="center"/>
        <w:rPr>
          <w:rFonts w:ascii="Times New Roman;sans-serif" w:hAnsi="Times New Roman;sans-serif"/>
          <w:b/>
          <w:color w:val="00AAE5"/>
          <w:sz w:val="20"/>
        </w:rPr>
      </w:pPr>
      <w:r>
        <w:rPr>
          <w:rFonts w:ascii="Times New Roman;sans-serif" w:hAnsi="Times New Roman;sans-serif"/>
          <w:b/>
          <w:color w:val="00AAE5"/>
          <w:sz w:val="20"/>
        </w:rPr>
        <w:t>SPS COMMERCE, INC. AND SUBSIDIARIES</w:t>
      </w:r>
    </w:p>
    <w:p>
      <w:pPr>
        <w:pStyle w:val="TextBody"/>
        <w:bidi w:val="0"/>
        <w:spacing w:lineRule="auto" w:line="288" w:before="0" w:after="0"/>
        <w:jc w:val="center"/>
        <w:rPr>
          <w:rFonts w:ascii="Times New Roman;sans-serif" w:hAnsi="Times New Roman;sans-serif"/>
          <w:b/>
          <w:color w:val="00AAE5"/>
          <w:sz w:val="20"/>
        </w:rPr>
      </w:pPr>
      <w:r>
        <w:rPr>
          <w:rFonts w:ascii="Times New Roman;sans-serif" w:hAnsi="Times New Roman;sans-serif"/>
          <w:b/>
          <w:color w:val="00AAE5"/>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AAE5"/>
          <w:sz w:val="20"/>
        </w:rPr>
      </w:pPr>
      <w:r>
        <w:rPr>
          <w:rFonts w:ascii="Times New Roman;sans-serif" w:hAnsi="Times New Roman;sans-serif"/>
          <w:b/>
          <w:color w:val="00AAE5"/>
          <w:sz w:val="20"/>
        </w:rPr>
        <w:t>NOTE A – General</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Business Description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SPS Commerce is a leading provider of cloud-based supply chain management services across our global retail network. Our products make it easier for retailers, grocers, distributors, suppliers, and logistics firms to communicate and collaborate by simplifying how they manage and share item, inventory, order and sales data across omnichannel retail channels. We deliver our products using a full-service model, which includes industry-leading technology and a team of experts that optimize, update, and operate the technology on customers' behalf.</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products enable customers to increase supply chain performance, optimize inventory levels and sell-through, reduce operational costs, improve order visibility, and satisfy consumer demands for a seamless omnichannel experience.</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The accompanying consolidated financial statements have been prepared in conformity with accounting principles generally accepted in the United States of America (“GAAP”) and include the accounts of SPS Commerce, Inc. and its subsidiaries. All intercompany accounts and transactions have been eliminated in the consolidated financial statements.</w:t>
      </w:r>
      <w:r>
        <w:rPr>
          <w:color w:val="000000"/>
        </w:rPr>
        <w:t xml:space="preserve">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Foreign Currency Translation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functional currency of our foreign operations is generally the applicable local currency. The functional currency is translated into U.S. dollars for balance sheet accounts using current exchange rates in effect as of the balance sheet date and for revenue and expense accounts using an average exchange rate during the year. The translation adjustments are deferred as a component of other comprehensive income within the consolidated statements of comprehensive income and the consolidated statements of stockholders' equity. Gains or losses resulting from transactions denominated in foreign currencies are included in other income (expense), net in our consolidated statements of comprehensive income.</w:t>
      </w:r>
    </w:p>
    <w:p>
      <w:pPr>
        <w:pStyle w:val="TextBody"/>
        <w:bidi w:val="0"/>
        <w:spacing w:lineRule="auto" w:line="288" w:before="240" w:after="283"/>
        <w:jc w:val="left"/>
        <w:rPr>
          <w:rFonts w:ascii="Times New Roman;sans-serif" w:hAnsi="Times New Roman;sans-serif"/>
          <w:b/>
          <w:i/>
          <w:color w:val="1F282C"/>
          <w:sz w:val="20"/>
        </w:rPr>
      </w:pPr>
      <w:r>
        <w:rPr>
          <w:rFonts w:ascii="Times New Roman;sans-serif" w:hAnsi="Times New Roman;sans-serif"/>
          <w:b/>
          <w:i/>
          <w:color w:val="1F282C"/>
          <w:sz w:val="20"/>
        </w:rPr>
        <w:t>Use of Estimates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Preparing financial statements in conformity with GAAP requires management to make estimates, judgments, and assumptions that affect the reported amounts of assets and liabilities, disclosure of contingent assets and liabilities at the date of the financial statements, and the reported amounts of revenues and expenses during the reporting periods. Actual results could differ from those estimates.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Business Combinations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allocate the fair value of purchase consideration to the tangible assets acquired, liabilities assumed, and intangible assets acquired based on their estimated fair values as of the acquisition date. The excess of the fair value of purchase consideration over the fair values of these identifiable assets and liabilities is recorded as goodwill.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Assets acquired include tangible and intangible assets. We use estimates and assumptions that we believe are reasonable as a part of the purchase price allocation, which includes the process to determine the value and useful lives of purchased intangible assets and the process to determine the value of any contingent consideration liabilities. We record the acquisition-date fair value of any contingent liabilities, such as earn-out provisions, as part of the consideration transferred, if present. The unsettled earn-out liability, if any, is subsequently remeasured at each reporting date at fair value through earnings.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While we believe these estimates and assumptions are reasonable, they are inherently uncertain and subject to refinement. As a result, during the measurement period, which may be up to one year from the acquisition date, we may record adjustments to the fair value of the assets acquired and the liabilities assumed. Any such adjustments would be recorded as an offset to goodwill or a working capital purchase price adjustment as applicable. Upon the conclusion of the measurement period or final determination of the fair values, whichever comes first, any subsequent adjustments would be recorded in our consolidated statements of comprehensive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847090"/>
                <wp:effectExtent l="0" t="0" r="0" b="0"/>
                <wp:wrapNone/>
                <wp:docPr id="127" name="Frame43"/>
                <a:graphic xmlns:a="http://schemas.openxmlformats.org/drawingml/2006/main">
                  <a:graphicData uri="http://schemas.microsoft.com/office/word/2010/wordprocessingShape">
                    <wps:wsp>
                      <wps:cNvSpPr txBox="1"/>
                      <wps:spPr>
                        <a:xfrm>
                          <a:off x="0" y="0"/>
                          <a:ext cx="6480175" cy="847090"/>
                        </a:xfrm>
                        <a:prstGeom prst="rect"/>
                        <a:solidFill>
                          <a:srgbClr val="FFFFFF"/>
                        </a:solidFill>
                      </wps:spPr>
                      <wps:txb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38125" cy="228600"/>
                                        <wp:effectExtent l="0" t="0" r="0" b="0"/>
                                        <wp:docPr id="128"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44" descr=""/>
                                                <pic:cNvPicPr>
                                                  <a:picLocks noChangeAspect="1" noChangeArrowheads="1"/>
                                                </pic:cNvPicPr>
                                              </pic:nvPicPr>
                                              <pic:blipFill>
                                                <a:blip r:embed="rId86"/>
                                                <a:stretch>
                                                  <a:fillRect/>
                                                </a:stretch>
                                              </pic:blipFill>
                                              <pic:spPr bwMode="auto">
                                                <a:xfrm>
                                                  <a:off x="0" y="0"/>
                                                  <a:ext cx="238125" cy="228600"/>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43</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pt;mso-wrap-distance-left:0pt;mso-wrap-distance-right:0pt;mso-wrap-distance-top:0pt;mso-wrap-distance-bottom:0pt;margin-top:0pt;mso-position-vertical:top;mso-position-vertical-relative:text;margin-left:0pt;mso-position-horizontal:left;mso-position-horizontal-relative:text">
                <v:textbo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38125" cy="228600"/>
                                  <wp:effectExtent l="0" t="0" r="0" b="0"/>
                                  <wp:docPr id="129"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44" descr=""/>
                                          <pic:cNvPicPr>
                                            <a:picLocks noChangeAspect="1" noChangeArrowheads="1"/>
                                          </pic:cNvPicPr>
                                        </pic:nvPicPr>
                                        <pic:blipFill>
                                          <a:blip r:embed="rId87"/>
                                          <a:stretch>
                                            <a:fillRect/>
                                          </a:stretch>
                                        </pic:blipFill>
                                        <pic:spPr bwMode="auto">
                                          <a:xfrm>
                                            <a:off x="0" y="0"/>
                                            <a:ext cx="238125" cy="228600"/>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43</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3f718fd861814da79dc80fa32884b81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Segment Information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Chief Executive Officer acts as the Company’s chief operating decision maker and reviews financial information presented on a consolidated basis for purposes of allocating resources and evaluating financial performance. There are no segment managers who are held accountable by the chief operating decision maker, or anyone else, for operations, operating results and planning for levels or components below the consolidated unit level. Accordingly, we determined we have one operating and reportable segment, which is supply chain management products.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Concentration of Credit Risk</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instruments that potentially subject us to concentrations of credit risk consist principally of cash and cash equivalents in financial institutions in excess of federally insured limits, accounts receivable, and investments. Cash and cash equivalents are held with financial institutions that we believe are subject to minimal risk. Concentrations of credit risk with respect to accounts receivable are subject to the financial condition of our customers, which are routinely assessed for potential credit losses. We believe that the receivable credit risk exposure is limited. Our investment policy limits the amount of credit exposure with any one financial institution or commercial issuer and sets requirements regarding credit rating and investment maturities to safeguard liquidity and minimize risk.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consist of cash and highly liquid investments with original maturities of less than 90 days.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Investments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invest in money market funds, certificates of deposit, and/or marketable securities such as commercial paper, highly liquid debt instruments of the U.S. government, and U.S. corporate debt securities. Investments with remaining maturities of less than one year from the balance sheet date are classified as short-term investments whereas those with remaining maturities of more than one year from the balance sheet date are classified as investments, non-current.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classified as available for sale are carried at fair value and the unrealized gains and losses on these investments, net of taxes, are included in accumulated other comprehensive gain (loss) in the consolidated balance sheets. Realized gains or losses are included in other income (expense), net in the consolidated statements of comprehensive income. Certain securities accrue interest that is included in other income (expense), net. If a determination has been made that the fair value of a marketable security is below its amortized cost basis, the portion of the unrealized loss that corresponds to a credit-related factor is realized through a credit allowance on the marketable security and the equivalent expense is realized in other income (expense), net in the consolidated statements of comprehensive income.</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amounts of our short-term financial instruments, which include cash, cash equivalents, accounts receivable, and accounts payable, approximates fair value due to their short-term nature.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Recurring Fair Value Measurements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measure certain financial assets at fair value on a recurring basis based on a fair value hierarchy that requires us to maximize the use of observable inputs and minimize the use of unobservable inputs when measuring fair value. A financial instrument’s categorization within the fair value hierarchy is based upon the lowest level of input that is significant to the fair value measurement. The three levels of inputs that are used to measure fair value are: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Level 1 – quoted prices in active markets for identical assets or liabilities.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Level 2 – observable inputs other than Level 1 prices, such as (a) quoted prices for similar assets or liabilities, (b) quoted prices in markets with insufficient volume or infrequent transactions (less active markets), or (c) model-derived valuations in which all significant inputs are observable or can be derived principally from or corroborated by observable market data for substantially the full term of the assets or liabilities.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Level 3 – unobservable inputs to the valuation methodology that are significant to the measurement of fair value of assets or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847090"/>
                <wp:effectExtent l="0" t="0" r="0" b="0"/>
                <wp:wrapNone/>
                <wp:docPr id="130" name="Frame44"/>
                <a:graphic xmlns:a="http://schemas.openxmlformats.org/drawingml/2006/main">
                  <a:graphicData uri="http://schemas.microsoft.com/office/word/2010/wordprocessingShape">
                    <wps:wsp>
                      <wps:cNvSpPr txBox="1"/>
                      <wps:spPr>
                        <a:xfrm>
                          <a:off x="0" y="0"/>
                          <a:ext cx="6480175" cy="847090"/>
                        </a:xfrm>
                        <a:prstGeom prst="rect"/>
                        <a:solidFill>
                          <a:srgbClr val="FFFFFF"/>
                        </a:solidFill>
                      </wps:spPr>
                      <wps:txb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38125" cy="228600"/>
                                        <wp:effectExtent l="0" t="0" r="0" b="0"/>
                                        <wp:docPr id="131"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45" descr=""/>
                                                <pic:cNvPicPr>
                                                  <a:picLocks noChangeAspect="1" noChangeArrowheads="1"/>
                                                </pic:cNvPicPr>
                                              </pic:nvPicPr>
                                              <pic:blipFill>
                                                <a:blip r:embed="rId88"/>
                                                <a:stretch>
                                                  <a:fillRect/>
                                                </a:stretch>
                                              </pic:blipFill>
                                              <pic:spPr bwMode="auto">
                                                <a:xfrm>
                                                  <a:off x="0" y="0"/>
                                                  <a:ext cx="238125" cy="228600"/>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44</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pt;mso-wrap-distance-left:0pt;mso-wrap-distance-right:0pt;mso-wrap-distance-top:0pt;mso-wrap-distance-bottom:0pt;margin-top:0pt;mso-position-vertical:top;mso-position-vertical-relative:text;margin-left:0pt;mso-position-horizontal:left;mso-position-horizontal-relative:text">
                <v:textbo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38125" cy="228600"/>
                                  <wp:effectExtent l="0" t="0" r="0" b="0"/>
                                  <wp:docPr id="132"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45" descr=""/>
                                          <pic:cNvPicPr>
                                            <a:picLocks noChangeAspect="1" noChangeArrowheads="1"/>
                                          </pic:cNvPicPr>
                                        </pic:nvPicPr>
                                        <pic:blipFill>
                                          <a:blip r:embed="rId89"/>
                                          <a:stretch>
                                            <a:fillRect/>
                                          </a:stretch>
                                        </pic:blipFill>
                                        <pic:spPr bwMode="auto">
                                          <a:xfrm>
                                            <a:off x="0" y="0"/>
                                            <a:ext cx="238125" cy="228600"/>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44</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3f718fd861814da79dc80fa32884b81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Nonrecurring Fair Value Measurements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measure certain assets and liabilities at fair value on a nonrecurring basis, including long-lived assets, goodwill, and indefinite-lived intangible assets.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Accounts Receivable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are initially recorded upon the sale and invoicing of products to customers. Credit is granted in the normal course of business without collateral. Accounts receivable are stated net of allowances for credit losses, which represent estimated losses resulting from customers not making required payments on accounts receivables. When determining the allowance, we pool our outstanding accounts receivable invoices based on the contractual due date of payment. We take several factors into consideration for estimated credit losses by pool, primarily our historical credit losses, with additional adjustments made for current and future macro-economic conditions and retail bankruptcy trends. We write-off accounts receivable when they are determined to be uncollectible. Changes in the allowance are recorded as bad debt expense and are included in general and administrative expense in our consolidated statements of comprehensive income.</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Property and Equipment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including assets acquired under lease obligations, are stated at cost, net of accumulated depreciation and amortization. Depreciation and amortization expense is calculated using the straight-line method over the estimated useful lives, commencing on the earlier date in which the asset is placed in service or ready for its intended use.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estimated useful lives of property and equipment were as follows:</w:t>
      </w:r>
    </w:p>
    <w:tbl>
      <w:tblPr>
        <w:tblW w:w="8414" w:type="dxa"/>
        <w:jc w:val="center"/>
        <w:tblInd w:w="0" w:type="dxa"/>
        <w:tblLayout w:type="fixed"/>
        <w:tblCellMar>
          <w:top w:w="28" w:type="dxa"/>
          <w:left w:w="28" w:type="dxa"/>
          <w:bottom w:w="28" w:type="dxa"/>
          <w:right w:w="28" w:type="dxa"/>
        </w:tblCellMar>
      </w:tblPr>
      <w:tblGrid>
        <w:gridCol w:w="949"/>
        <w:gridCol w:w="837"/>
        <w:gridCol w:w="839"/>
        <w:gridCol w:w="1695"/>
        <w:gridCol w:w="1695"/>
        <w:gridCol w:w="2399"/>
      </w:tblGrid>
      <w:tr>
        <w:trPr/>
        <w:tc>
          <w:tcPr>
            <w:tcW w:w="94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2399"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Estimated Useful Life</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Internally developed software</w:t>
            </w:r>
          </w:p>
        </w:tc>
        <w:tc>
          <w:tcPr>
            <w:tcW w:w="57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 years</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578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 years</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equipment and furniture</w:t>
            </w:r>
          </w:p>
        </w:tc>
        <w:tc>
          <w:tcPr>
            <w:tcW w:w="578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 years</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57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Shorter of the useful life of the asset or the remaining term of the lease</w:t>
            </w:r>
          </w:p>
        </w:tc>
      </w:tr>
    </w:tbl>
    <w:p>
      <w:pPr>
        <w:pStyle w:val="TextBody"/>
        <w:bidi w:val="0"/>
        <w:spacing w:lineRule="auto" w:line="288" w:before="120" w:after="283"/>
        <w:ind w:left="0" w:right="0" w:firstLine="540"/>
        <w:jc w:val="left"/>
        <w:rPr/>
      </w:pPr>
      <w:r>
        <w:rPr>
          <w:rFonts w:ascii="Times New Roman;sans-serif" w:hAnsi="Times New Roman;sans-serif"/>
          <w:b w:val="false"/>
          <w:color w:val="000000"/>
          <w:sz w:val="20"/>
        </w:rPr>
        <w:t>Significant additions or improvements extending asset lives beyond one year are capitalized, while repairs and maintenance are charged to expense as incurred.</w:t>
      </w:r>
      <w:r>
        <w:rPr>
          <w:color w:val="000000"/>
        </w:rPr>
        <w:t xml:space="preserve"> </w:t>
      </w:r>
      <w:r>
        <w:rPr>
          <w:rFonts w:ascii="Times New Roman;sans-serif" w:hAnsi="Times New Roman;sans-serif"/>
          <w:b w:val="false"/>
          <w:color w:val="000000"/>
          <w:sz w:val="20"/>
        </w:rPr>
        <w:t>The assets and related accumulated depreciation and amortization are adjusted for asset retirements and disposals with the resulting gain or loss included in our consolidated statements of comprehensive income.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capitalize and amortize eligible costs to acquire or generate internally developed software that are incurred during the application development stage. Costs incurred during the preliminary project stage and post-implementation stage are expensed as incurred. Additionally, maintenance of internally developed software are expensed as incurred. The assets and related accumulated amortization are adjusted for abandoned internally developed software with the resulting loss included in our consolidated statements of comprehensive income.</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determine if an arrangement is a lease at inception. Operating leases are included in operating lease right-of-use assets, current operating lease liabilities, and non-current operating lease liabilities in our consolidated balance sheets.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Right-of-use (“ROU”)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We use the implicit interest rate when readily determinable. We estimate the discount rate for a similar collateralized asset by estimating costs of borrowing. The operating lease ROU asset also includes any lease payments made and lease incentives that have been incurred. The options to extend our leases are not recognized as part of our ROU assets and lease liabilities unless it is reasonably certain that we will exercise that option. Lease expense for lease payments is recognized on a straight-line basis over the lease term. For all leases, we combine non-lease components with the related lease components and account for it as a single lease component. The ROU assets are subject to the same impairment process as our long-lived assets. Additionally, we review our lease liabilities for remeasurement whenever there is a triggering event or when relevant facts and circumstances change.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847090"/>
                <wp:effectExtent l="0" t="0" r="0" b="0"/>
                <wp:wrapNone/>
                <wp:docPr id="133" name="Frame45"/>
                <a:graphic xmlns:a="http://schemas.openxmlformats.org/drawingml/2006/main">
                  <a:graphicData uri="http://schemas.microsoft.com/office/word/2010/wordprocessingShape">
                    <wps:wsp>
                      <wps:cNvSpPr txBox="1"/>
                      <wps:spPr>
                        <a:xfrm>
                          <a:off x="0" y="0"/>
                          <a:ext cx="6480175" cy="847090"/>
                        </a:xfrm>
                        <a:prstGeom prst="rect"/>
                        <a:solidFill>
                          <a:srgbClr val="FFFFFF"/>
                        </a:solidFill>
                      </wps:spPr>
                      <wps:txb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38125" cy="228600"/>
                                        <wp:effectExtent l="0" t="0" r="0" b="0"/>
                                        <wp:docPr id="134"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46" descr=""/>
                                                <pic:cNvPicPr>
                                                  <a:picLocks noChangeAspect="1" noChangeArrowheads="1"/>
                                                </pic:cNvPicPr>
                                              </pic:nvPicPr>
                                              <pic:blipFill>
                                                <a:blip r:embed="rId90"/>
                                                <a:stretch>
                                                  <a:fillRect/>
                                                </a:stretch>
                                              </pic:blipFill>
                                              <pic:spPr bwMode="auto">
                                                <a:xfrm>
                                                  <a:off x="0" y="0"/>
                                                  <a:ext cx="238125" cy="228600"/>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45</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pt;mso-wrap-distance-left:0pt;mso-wrap-distance-right:0pt;mso-wrap-distance-top:0pt;mso-wrap-distance-bottom:0pt;margin-top:0pt;mso-position-vertical:top;mso-position-vertical-relative:text;margin-left:0pt;mso-position-horizontal:left;mso-position-horizontal-relative:text">
                <v:textbo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38125" cy="228600"/>
                                  <wp:effectExtent l="0" t="0" r="0" b="0"/>
                                  <wp:docPr id="135"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46" descr=""/>
                                          <pic:cNvPicPr>
                                            <a:picLocks noChangeAspect="1" noChangeArrowheads="1"/>
                                          </pic:cNvPicPr>
                                        </pic:nvPicPr>
                                        <pic:blipFill>
                                          <a:blip r:embed="rId91"/>
                                          <a:stretch>
                                            <a:fillRect/>
                                          </a:stretch>
                                        </pic:blipFill>
                                        <pic:spPr bwMode="auto">
                                          <a:xfrm>
                                            <a:off x="0" y="0"/>
                                            <a:ext cx="238125" cy="228600"/>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45</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3f718fd861814da79dc80fa32884b81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costs primarily include development, maintenance, and data conversion activities related to our cloud-based supply chain management products and are expensed as incurred. Research and development costs are net of amounts capitalized as developed software.</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represents the excess of the purchase price over the fair value of identifiable net assets acquired in business combinations. Goodwill is attributed to a trained workforce and other buyer-specific value resulting from expected synergies, including long-term cost savings, which are not included in the fair values of identifiable assets.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test goodwill for impairment annually at November 30, or more frequently if events or changes in circumstances indicate that the asset might be impaired. The impairment test is conducted by comparing the fair value of the net assets with the carrying amount of the reporting unit. We determine the fair value of the reporting unit based on our market capitalization at the testing date. If the carrying amount exceeds the fair value of the reporting unit, we would recognize an impairment loss in the consolidated statements of comprehensive income, to the extent that the carrying amount exceeds fair value.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Intangible Assets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Assets acquired in business combinations may include identifiable intangible assets such as subscriber relationships and developed technology. We recognize the fair value of the identifiable intangible assets acquired separately from goodwill. We have determined the fair value and useful lives of our purchased intangible assets using certain estimates and assumptions that we believe are reasonable.</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The purchased intangible assets are being amortized on a straight-line basis over their estimated useful lives.</w:t>
      </w:r>
      <w:r>
        <w:rPr>
          <w:color w:val="000000"/>
        </w:rPr>
        <w:t xml:space="preserve">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estimated useful lives for intangible were as follows:</w:t>
      </w:r>
    </w:p>
    <w:tbl>
      <w:tblPr>
        <w:tblW w:w="3763" w:type="dxa"/>
        <w:jc w:val="center"/>
        <w:tblInd w:w="0" w:type="dxa"/>
        <w:tblLayout w:type="fixed"/>
        <w:tblCellMar>
          <w:top w:w="28" w:type="dxa"/>
          <w:left w:w="28" w:type="dxa"/>
          <w:bottom w:w="28" w:type="dxa"/>
          <w:right w:w="28" w:type="dxa"/>
        </w:tblCellMar>
      </w:tblPr>
      <w:tblGrid>
        <w:gridCol w:w="749"/>
        <w:gridCol w:w="659"/>
        <w:gridCol w:w="661"/>
        <w:gridCol w:w="496"/>
        <w:gridCol w:w="496"/>
        <w:gridCol w:w="702"/>
      </w:tblGrid>
      <w:tr>
        <w:trPr/>
        <w:tc>
          <w:tcPr>
            <w:tcW w:w="74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Estimated Useful Life</w:t>
            </w:r>
          </w:p>
        </w:tc>
      </w:tr>
      <w:tr>
        <w:trPr/>
        <w:tc>
          <w:tcPr>
            <w:tcW w:w="206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Subscriber relationships</w:t>
            </w:r>
          </w:p>
        </w:tc>
        <w:tc>
          <w:tcPr>
            <w:tcW w:w="1694" w:type="dxa"/>
            <w:gridSpan w:val="3"/>
            <w:tcBorders>
              <w:top w:val="single" w:sz="6" w:space="0" w:color="000000"/>
            </w:tcBorders>
            <w:shd w:fill="CFF0FC" w:val="clear"/>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7-10 years</w:t>
            </w:r>
          </w:p>
        </w:tc>
      </w:tr>
      <w:tr>
        <w:trPr/>
        <w:tc>
          <w:tcPr>
            <w:tcW w:w="20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5-10 years</w:t>
            </w:r>
          </w:p>
        </w:tc>
      </w:tr>
    </w:tbl>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Impairment of Long-Lived Assets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review our long-lived assets for impairment whenever events or changes in circumstances indicate that the carrying amount may not be recoverable. The carrying amount of a long-lived asset is not recoverable if the carrying amount of an asset group exceeds the sum of the undiscounted cash flows expected to result from the use and eventual disposition of the assets at the date it is tested for recoverability, whether in use or under development. An impairment loss is measured and recorded as an expense in the consolidated statements of comprehensive income as the amount by which the carrying amount of a long-lived asset exceeds its fair value.</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Revenues are the amount that reflects the consideration we are contractually and legally entitled to, as well as the amount we expect to collect, in exchange for those services.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determine revenue recognition through the following steps: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Identification of the contract, or contracts, with a customer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Identification of the performance obligations in the contract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Determination of the transaction price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Allocation of the transaction price to the performance obligations in the contract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Recognition of revenue when, or as, we satisfy a performance obligation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See Note C for further descriptions of our revenue recognition policy.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847090"/>
                <wp:effectExtent l="0" t="0" r="0" b="0"/>
                <wp:wrapNone/>
                <wp:docPr id="136" name="Frame46"/>
                <a:graphic xmlns:a="http://schemas.openxmlformats.org/drawingml/2006/main">
                  <a:graphicData uri="http://schemas.microsoft.com/office/word/2010/wordprocessingShape">
                    <wps:wsp>
                      <wps:cNvSpPr txBox="1"/>
                      <wps:spPr>
                        <a:xfrm>
                          <a:off x="0" y="0"/>
                          <a:ext cx="6480175" cy="847090"/>
                        </a:xfrm>
                        <a:prstGeom prst="rect"/>
                        <a:solidFill>
                          <a:srgbClr val="FFFFFF"/>
                        </a:solidFill>
                      </wps:spPr>
                      <wps:txb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38125" cy="228600"/>
                                        <wp:effectExtent l="0" t="0" r="0" b="0"/>
                                        <wp:docPr id="13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47" descr=""/>
                                                <pic:cNvPicPr>
                                                  <a:picLocks noChangeAspect="1" noChangeArrowheads="1"/>
                                                </pic:cNvPicPr>
                                              </pic:nvPicPr>
                                              <pic:blipFill>
                                                <a:blip r:embed="rId92"/>
                                                <a:stretch>
                                                  <a:fillRect/>
                                                </a:stretch>
                                              </pic:blipFill>
                                              <pic:spPr bwMode="auto">
                                                <a:xfrm>
                                                  <a:off x="0" y="0"/>
                                                  <a:ext cx="238125" cy="228600"/>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46</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pt;mso-wrap-distance-left:0pt;mso-wrap-distance-right:0pt;mso-wrap-distance-top:0pt;mso-wrap-distance-bottom:0pt;margin-top:0pt;mso-position-vertical:top;mso-position-vertical-relative:text;margin-left:0pt;mso-position-horizontal:left;mso-position-horizontal-relative:text">
                <v:textbo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38125" cy="228600"/>
                                  <wp:effectExtent l="0" t="0" r="0" b="0"/>
                                  <wp:docPr id="138"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47" descr=""/>
                                          <pic:cNvPicPr>
                                            <a:picLocks noChangeAspect="1" noChangeArrowheads="1"/>
                                          </pic:cNvPicPr>
                                        </pic:nvPicPr>
                                        <pic:blipFill>
                                          <a:blip r:embed="rId93"/>
                                          <a:stretch>
                                            <a:fillRect/>
                                          </a:stretch>
                                        </pic:blipFill>
                                        <pic:spPr bwMode="auto">
                                          <a:xfrm>
                                            <a:off x="0" y="0"/>
                                            <a:ext cx="238125" cy="228600"/>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46</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3f718fd861814da79dc80fa32884b81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Deferred Costs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Deferred costs are those that are incurred to fulfill or obtain customer contracts and that are considered incremental and recoverable costs. These consist primarily of customer implementation costs and certain commissions paid to sales personnel and referral partners, respectively. These costs are deferred and amortized over the expected period of benefit which we have determined primarily to be two years.</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Customer implementation costs are based on actual costs</w:t>
      </w:r>
      <w:r>
        <w:rPr>
          <w:color w:val="000000"/>
        </w:rPr>
        <w:t xml:space="preserve"> </w:t>
      </w:r>
      <w:r>
        <w:rPr>
          <w:rFonts w:ascii="Times New Roman;sans-serif" w:hAnsi="Times New Roman;sans-serif"/>
          <w:b w:val="false"/>
          <w:color w:val="000000"/>
          <w:sz w:val="20"/>
        </w:rPr>
        <w:t>incurred. Related amortization expense is included in cost of revenues in the consolidated statements of comprehensive income.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Sales commissions are calculated based on estimated annual recurring revenue to be generated over the customer’s initial contract period. Related amortization expense is included in sales and marketing expenses in the consolidated statements of comprehensive income.</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Stock-based compensation includes grants of incentive and nonqualified stock options, performance share units (“PSUs”), restricted stock awards (“RSAs”), restricted stock units (“RSUs”), deferred stock units (“DSUs”), employee stock purchase plan (“ESPP”) activity, and 401(k) stock match and is used to compensate employees, executive officers, and non-employee directors. </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We recognize the cost of all stock-based payments based on the grant date fair value of those awards. This cost is recognized over the period for which an employee is required to provide service in exchange for the award or the award performance period,</w:t>
      </w:r>
      <w:r>
        <w:rPr>
          <w:color w:val="000000"/>
        </w:rPr>
        <w:t xml:space="preserve"> </w:t>
      </w:r>
      <w:r>
        <w:rPr>
          <w:rFonts w:ascii="Times New Roman;sans-serif" w:hAnsi="Times New Roman;sans-serif"/>
          <w:b w:val="false"/>
          <w:color w:val="000000"/>
          <w:sz w:val="20"/>
        </w:rPr>
        <w:t>except for expenses relating to retirement-eligible employees that have not given their required notice, which is recognized on a pro-rata basis over the notice period prior to retirement. For all awards, we recognize forfeitures as they occur.</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RSAs result in the issuance of new shares when granted. For other stock-based awards, new shares are issued when the award is exercised, vested, or released according to the terms of the agreement.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ESPP allows participating employees to purchase shares of our common stock at a discount through payroll deductions. The plan is available to all employees subject to certain eligibility requirements. Participating employees may purchase common stock, on a voluntary after-tax basis, at a price that is the lower of 85% of the fair market value of our common stock at the beginning or end of each stock purchase period. The plan is a Type B plan, so the number of shares a participants can acquire is variable. Participants purchase more shares as the stock price decreases, up to the total amount originally elected to withhold at the beginning of the offering period. The plan consists of two six-month offering periods, beginning on January 1 and July 1 of each calendar year.</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stock options and ESPP activity is estimated using the Black-Scholes option valuation model. The fair value for RSAs, RSUs, and DSUs is the closing market value of the underlying stock on the date of grant less the purchase price (if any). The fair value of PSUs is estimated using a Monte Carlo simulation.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Judgment is required in determining the expected volatility of common stock and the expected term individuals will hold their share-based awards prior to exercising. The expected volatility of the options is based on the historical volatility of our common stock. The expected term of the options is derived from historical data on option holder exercises and post-vesting employment termination behavior.</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 valuation inputs include our expected non-issuance of future common stock dividends and the risk-free interest rate that is based on the U.S. Treasury rates at the date of grant with maturity dates approximately equaling the expected life at the grant date. For PSUs, the Monte Carlo simulation utilizes multiple input variables that determine the probability of satisfying the performance conditions stipulated in the award.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account for income taxes using the asset and liability method, which requires recognition of deferred tax assets and liabilities for the expected future tax consequences of events that have been included in the consolidated financial statements. Under this method, deferred tax assets and liabilities are determined based on the difference between the financial statement and tax basis of assets and liabilities using enacted tax rates in effect for the year in which the differences are expected to reverse. Deferred tax assets are reduced by a valuation allowance when, in our judgment, it is more likely than not that some or all of the deferred tax asset will not be realized. Deferred tax positions are net by jurisdiction on the consolidated balance sheet.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847090"/>
                <wp:effectExtent l="0" t="0" r="0" b="0"/>
                <wp:wrapNone/>
                <wp:docPr id="139" name="Frame47"/>
                <a:graphic xmlns:a="http://schemas.openxmlformats.org/drawingml/2006/main">
                  <a:graphicData uri="http://schemas.microsoft.com/office/word/2010/wordprocessingShape">
                    <wps:wsp>
                      <wps:cNvSpPr txBox="1"/>
                      <wps:spPr>
                        <a:xfrm>
                          <a:off x="0" y="0"/>
                          <a:ext cx="6480175" cy="847090"/>
                        </a:xfrm>
                        <a:prstGeom prst="rect"/>
                        <a:solidFill>
                          <a:srgbClr val="FFFFFF"/>
                        </a:solidFill>
                      </wps:spPr>
                      <wps:txb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38125" cy="228600"/>
                                        <wp:effectExtent l="0" t="0" r="0" b="0"/>
                                        <wp:docPr id="140"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48" descr=""/>
                                                <pic:cNvPicPr>
                                                  <a:picLocks noChangeAspect="1" noChangeArrowheads="1"/>
                                                </pic:cNvPicPr>
                                              </pic:nvPicPr>
                                              <pic:blipFill>
                                                <a:blip r:embed="rId94"/>
                                                <a:stretch>
                                                  <a:fillRect/>
                                                </a:stretch>
                                              </pic:blipFill>
                                              <pic:spPr bwMode="auto">
                                                <a:xfrm>
                                                  <a:off x="0" y="0"/>
                                                  <a:ext cx="238125" cy="228600"/>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47</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pt;mso-wrap-distance-left:0pt;mso-wrap-distance-right:0pt;mso-wrap-distance-top:0pt;mso-wrap-distance-bottom:0pt;margin-top:0pt;mso-position-vertical:top;mso-position-vertical-relative:text;margin-left:0pt;mso-position-horizontal:left;mso-position-horizontal-relative:text">
                <v:textbo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38125" cy="228600"/>
                                  <wp:effectExtent l="0" t="0" r="0" b="0"/>
                                  <wp:docPr id="141"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48" descr=""/>
                                          <pic:cNvPicPr>
                                            <a:picLocks noChangeAspect="1" noChangeArrowheads="1"/>
                                          </pic:cNvPicPr>
                                        </pic:nvPicPr>
                                        <pic:blipFill>
                                          <a:blip r:embed="rId95"/>
                                          <a:stretch>
                                            <a:fillRect/>
                                          </a:stretch>
                                        </pic:blipFill>
                                        <pic:spPr bwMode="auto">
                                          <a:xfrm>
                                            <a:off x="0" y="0"/>
                                            <a:ext cx="238125" cy="228600"/>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47</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3f718fd861814da79dc80fa32884b81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assess our ability to realize our deferred tax assets at the end of each reporting period. Realization of our deferred tax assets is contingent upon future taxable earnings. Accordingly, this assessment requires estimates and judgment. If the estimates of future taxable income vary from actual results, our assessment regarding the realization of these deferred tax assets could change. Future changes in the estimated amount of deferred taxes expected to be realized will be reflected in our consolidated financial statements in the period the estimate is changed, with a corresponding adjustment to our operating results.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 the financial statement benefit of a tax position only after determining that the relevant tax authority would “more likely than not” sustain the position following an audit. For tax positions meeting the “more likely than not” threshold, the amount recognized in the financial statements is the largest benefit that has a greater than 50% likelihood of being realized upon ultimate settlement with the relevant tax authority.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It is our practice to recognize interest and penalties accrued on any unrecognized tax benefits as a component of income tax expense.</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Net Income Per Share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 per share has been computed using the weighted average number of shares of common stock outstanding during each period. Diluted net income per share also includes the impact of our outstanding potential common shares. Potential common shares that are anti-dilutive are excluded from the calculation of diluted net income per share.</w:t>
      </w:r>
    </w:p>
    <w:p>
      <w:pPr>
        <w:pStyle w:val="TextBody"/>
        <w:bidi w:val="0"/>
        <w:spacing w:lineRule="auto" w:line="288" w:before="36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Accounting Pronouncements Recently Adopted</w:t>
      </w:r>
    </w:p>
    <w:tbl>
      <w:tblPr>
        <w:tblW w:w="10205" w:type="dxa"/>
        <w:jc w:val="center"/>
        <w:tblInd w:w="0" w:type="dxa"/>
        <w:tblLayout w:type="fixed"/>
        <w:tblCellMar>
          <w:top w:w="28" w:type="dxa"/>
          <w:left w:w="28" w:type="dxa"/>
          <w:bottom w:w="28" w:type="dxa"/>
          <w:right w:w="28" w:type="dxa"/>
        </w:tblCellMar>
      </w:tblPr>
      <w:tblGrid>
        <w:gridCol w:w="929"/>
        <w:gridCol w:w="816"/>
        <w:gridCol w:w="826"/>
        <w:gridCol w:w="298"/>
        <w:gridCol w:w="259"/>
        <w:gridCol w:w="260"/>
        <w:gridCol w:w="1202"/>
        <w:gridCol w:w="1202"/>
        <w:gridCol w:w="1214"/>
        <w:gridCol w:w="284"/>
        <w:gridCol w:w="284"/>
        <w:gridCol w:w="285"/>
        <w:gridCol w:w="907"/>
        <w:gridCol w:w="593"/>
        <w:gridCol w:w="846"/>
      </w:tblGrid>
      <w:tr>
        <w:trPr/>
        <w:tc>
          <w:tcPr>
            <w:tcW w:w="9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r>
      <w:tr>
        <w:trPr/>
        <w:tc>
          <w:tcPr>
            <w:tcW w:w="257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Standard</w:t>
            </w:r>
          </w:p>
        </w:tc>
        <w:tc>
          <w:tcPr>
            <w:tcW w:w="81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Date of Issuance</w:t>
            </w:r>
          </w:p>
        </w:tc>
        <w:tc>
          <w:tcPr>
            <w:tcW w:w="361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853"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Date of Adoption</w:t>
            </w:r>
          </w:p>
        </w:tc>
        <w:tc>
          <w:tcPr>
            <w:tcW w:w="23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Effect on the Financial Statements</w:t>
            </w:r>
          </w:p>
        </w:tc>
      </w:tr>
      <w:tr>
        <w:trPr/>
        <w:tc>
          <w:tcPr>
            <w:tcW w:w="2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20"/>
              </w:rPr>
              <w:t>ASU 2021-08</w:t>
            </w:r>
            <w:r>
              <w:rPr>
                <w:rFonts w:ascii="Times New Roman;sans-serif" w:hAnsi="Times New Roman;sans-serif"/>
                <w:b w:val="false"/>
                <w:color w:val="000000"/>
                <w:sz w:val="20"/>
              </w:rPr>
              <w:t>, Business Combinations (Topic 805) - Accounting for Contract Assets and Contract Liabilities from Contracts with Customers</w:t>
            </w:r>
          </w:p>
        </w:tc>
        <w:tc>
          <w:tcPr>
            <w:tcW w:w="8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2021</w:t>
            </w:r>
          </w:p>
        </w:tc>
        <w:tc>
          <w:tcPr>
            <w:tcW w:w="36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This amendment requires that an acquirer recognize and measure contract assets and contract liabilities acquired in a business combination in accordance with Topic 606, effective for all business combinations in the year of adoption and thereafter.</w:t>
            </w:r>
          </w:p>
        </w:tc>
        <w:tc>
          <w:tcPr>
            <w:tcW w:w="8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2023</w:t>
            </w:r>
          </w:p>
        </w:tc>
        <w:tc>
          <w:tcPr>
            <w:tcW w:w="23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adoption of this standard has not had a material impact on the purchase accounting for business combinations.</w:t>
            </w:r>
          </w:p>
        </w:tc>
      </w:tr>
    </w:tbl>
    <w:p>
      <w:pPr>
        <w:pStyle w:val="TextBody"/>
        <w:bidi w:val="0"/>
        <w:spacing w:lineRule="auto" w:line="288" w:before="36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Accounting Pronouncements Not Yet Adopted</w:t>
      </w:r>
    </w:p>
    <w:tbl>
      <w:tblPr>
        <w:tblW w:w="10205" w:type="dxa"/>
        <w:jc w:val="left"/>
        <w:tblInd w:w="0" w:type="dxa"/>
        <w:tblLayout w:type="fixed"/>
        <w:tblCellMar>
          <w:top w:w="28" w:type="dxa"/>
          <w:left w:w="28" w:type="dxa"/>
          <w:bottom w:w="28" w:type="dxa"/>
          <w:right w:w="28" w:type="dxa"/>
        </w:tblCellMar>
      </w:tblPr>
      <w:tblGrid>
        <w:gridCol w:w="726"/>
        <w:gridCol w:w="638"/>
        <w:gridCol w:w="644"/>
        <w:gridCol w:w="460"/>
        <w:gridCol w:w="280"/>
        <w:gridCol w:w="268"/>
        <w:gridCol w:w="1292"/>
        <w:gridCol w:w="1292"/>
        <w:gridCol w:w="1304"/>
        <w:gridCol w:w="318"/>
        <w:gridCol w:w="318"/>
        <w:gridCol w:w="319"/>
        <w:gridCol w:w="730"/>
        <w:gridCol w:w="665"/>
        <w:gridCol w:w="951"/>
      </w:tblGrid>
      <w:tr>
        <w:trPr/>
        <w:tc>
          <w:tcPr>
            <w:tcW w:w="72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00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Standard</w:t>
            </w:r>
          </w:p>
        </w:tc>
        <w:tc>
          <w:tcPr>
            <w:tcW w:w="100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Date of Issuance</w:t>
            </w:r>
          </w:p>
        </w:tc>
        <w:tc>
          <w:tcPr>
            <w:tcW w:w="388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9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Date of Required Adoption</w:t>
            </w:r>
          </w:p>
        </w:tc>
        <w:tc>
          <w:tcPr>
            <w:tcW w:w="23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Effect on the Financial Statements</w:t>
            </w:r>
          </w:p>
        </w:tc>
      </w:tr>
      <w:tr>
        <w:trPr/>
        <w:tc>
          <w:tcPr>
            <w:tcW w:w="20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20"/>
              </w:rPr>
              <w:t>ASU 2023-09</w:t>
            </w:r>
            <w:r>
              <w:rPr>
                <w:rFonts w:ascii="Times New Roman;sans-serif" w:hAnsi="Times New Roman;sans-serif"/>
                <w:b w:val="false"/>
                <w:color w:val="000000"/>
                <w:sz w:val="20"/>
              </w:rPr>
              <w:t>, Income Taxes (Topic 740) - Improvements to Income Tax Disclosures</w:t>
            </w:r>
          </w:p>
        </w:tc>
        <w:tc>
          <w:tcPr>
            <w:tcW w:w="10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2023</w:t>
            </w:r>
          </w:p>
        </w:tc>
        <w:tc>
          <w:tcPr>
            <w:tcW w:w="38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This amendment requires that an entity disclose specific categories in the effective tax rate reconciliation table as well as provide disclosure of disaggregated information related to income tax expense, income before income taxes, and income taxes paid. </w:t>
            </w:r>
          </w:p>
        </w:tc>
        <w:tc>
          <w:tcPr>
            <w:tcW w:w="9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2024</w:t>
            </w:r>
          </w:p>
        </w:tc>
        <w:tc>
          <w:tcPr>
            <w:tcW w:w="23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 are currently evaluating the adoption on our financial statements and anticipate the impact will result in additional disclosure.</w:t>
            </w:r>
          </w:p>
        </w:tc>
      </w:tr>
      <w:tr>
        <w:trPr/>
        <w:tc>
          <w:tcPr>
            <w:tcW w:w="200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20"/>
              </w:rPr>
              <w:t>ASU 2023-07</w:t>
            </w:r>
            <w:r>
              <w:rPr>
                <w:rFonts w:ascii="Times New Roman;sans-serif" w:hAnsi="Times New Roman;sans-serif"/>
                <w:b w:val="false"/>
                <w:color w:val="000000"/>
                <w:sz w:val="20"/>
              </w:rPr>
              <w:t>, Segment Reporting (Topic 280) - Improvements to Reportable Segment Disclosures</w:t>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2023</w:t>
            </w:r>
          </w:p>
        </w:tc>
        <w:tc>
          <w:tcPr>
            <w:tcW w:w="3888"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This amendment requires that an entity disclose significant segment expenses impacting profit and loss that are regularly provided to the chief operating decision maker.</w:t>
            </w:r>
          </w:p>
        </w:tc>
        <w:tc>
          <w:tcPr>
            <w:tcW w:w="9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2024</w:t>
            </w:r>
          </w:p>
        </w:tc>
        <w:tc>
          <w:tcPr>
            <w:tcW w:w="234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 are currently evaluating the adoption on our financial statements and anticipate the impact will result in additional disclosure.</w:t>
            </w:r>
          </w:p>
        </w:tc>
      </w:tr>
    </w:tbl>
    <w:p>
      <w:pPr>
        <w:pStyle w:val="TextBody"/>
        <w:bidi w:val="0"/>
        <w:spacing w:before="120" w:after="283"/>
        <w:jc w:val="left"/>
        <w:rPr/>
      </w:pPr>
      <w:r>
        <w:rPr/>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847090"/>
                <wp:effectExtent l="0" t="0" r="0" b="0"/>
                <wp:wrapNone/>
                <wp:docPr id="142" name="Frame48"/>
                <a:graphic xmlns:a="http://schemas.openxmlformats.org/drawingml/2006/main">
                  <a:graphicData uri="http://schemas.microsoft.com/office/word/2010/wordprocessingShape">
                    <wps:wsp>
                      <wps:cNvSpPr txBox="1"/>
                      <wps:spPr>
                        <a:xfrm>
                          <a:off x="0" y="0"/>
                          <a:ext cx="6480175" cy="847090"/>
                        </a:xfrm>
                        <a:prstGeom prst="rect"/>
                        <a:solidFill>
                          <a:srgbClr val="FFFFFF"/>
                        </a:solidFill>
                      </wps:spPr>
                      <wps:txb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38125" cy="228600"/>
                                        <wp:effectExtent l="0" t="0" r="0" b="0"/>
                                        <wp:docPr id="143"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49" descr=""/>
                                                <pic:cNvPicPr>
                                                  <a:picLocks noChangeAspect="1" noChangeArrowheads="1"/>
                                                </pic:cNvPicPr>
                                              </pic:nvPicPr>
                                              <pic:blipFill>
                                                <a:blip r:embed="rId96"/>
                                                <a:stretch>
                                                  <a:fillRect/>
                                                </a:stretch>
                                              </pic:blipFill>
                                              <pic:spPr bwMode="auto">
                                                <a:xfrm>
                                                  <a:off x="0" y="0"/>
                                                  <a:ext cx="238125" cy="228600"/>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48</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pt;mso-wrap-distance-left:0pt;mso-wrap-distance-right:0pt;mso-wrap-distance-top:0pt;mso-wrap-distance-bottom:0pt;margin-top:0pt;mso-position-vertical:top;mso-position-vertical-relative:text;margin-left:0pt;mso-position-horizontal:left;mso-position-horizontal-relative:text">
                <v:textbo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38125" cy="228600"/>
                                  <wp:effectExtent l="0" t="0" r="0" b="0"/>
                                  <wp:docPr id="144"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49" descr=""/>
                                          <pic:cNvPicPr>
                                            <a:picLocks noChangeAspect="1" noChangeArrowheads="1"/>
                                          </pic:cNvPicPr>
                                        </pic:nvPicPr>
                                        <pic:blipFill>
                                          <a:blip r:embed="rId97"/>
                                          <a:stretch>
                                            <a:fillRect/>
                                          </a:stretch>
                                        </pic:blipFill>
                                        <pic:spPr bwMode="auto">
                                          <a:xfrm>
                                            <a:off x="0" y="0"/>
                                            <a:ext cx="238125" cy="228600"/>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48</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3f718fd861814da79dc80fa32884b81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60" w:after="283"/>
        <w:jc w:val="left"/>
        <w:rPr>
          <w:rFonts w:ascii="Times New Roman;sans-serif" w:hAnsi="Times New Roman;sans-serif"/>
          <w:b/>
          <w:color w:val="00AAE5"/>
          <w:sz w:val="20"/>
          <w:shd w:fill="FFFFFF" w:val="clear"/>
        </w:rPr>
      </w:pPr>
      <w:r>
        <w:rPr>
          <w:rFonts w:ascii="Times New Roman;sans-serif" w:hAnsi="Times New Roman;sans-serif"/>
          <w:b/>
          <w:color w:val="00AAE5"/>
          <w:sz w:val="20"/>
          <w:shd w:fill="FFFFFF" w:val="clear"/>
        </w:rPr>
        <w:t>NOTE B – Business Acquisitions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TIE Kinetix</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Effective September 13, 2023, we acquired all of the outstanding equity ownership interests of TIE Kinetix Holding B.V. ("TIE Kinetix"), a leading provider of supply chain digitalization including EDI and e-invoicing in Europe and the United States. Pursuant to the definitive agreement, the purchase price was €63.9 million ($68.7 million at the September 13, 2023 exchange rate), net of cash acquired. The purchase accounting for the acquisition has not been finalized as of December 31, 2023; provisional amounts are primarily related to intangible assets and tax components. We expect to finalize the allocation of the purchase price within the one-year measurement period following the acquisition. The goodwill associated with the acquisition is not deductible for income tax purposes.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Purchase Price Allocation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accounted for the acquisition as a business combination. We allocated the purchase price to the tangible and identifiable intangible assets acquired and liabilities assumed based on their estimated fair values as of the acquisition date.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estimated fair values of the assets acquired and liabilities assumed at the acquisition date:</w:t>
      </w:r>
    </w:p>
    <w:tbl>
      <w:tblPr>
        <w:tblW w:w="10205" w:type="dxa"/>
        <w:jc w:val="left"/>
        <w:tblInd w:w="0" w:type="dxa"/>
        <w:tblLayout w:type="fixed"/>
        <w:tblCellMar>
          <w:top w:w="28" w:type="dxa"/>
          <w:left w:w="28" w:type="dxa"/>
          <w:bottom w:w="28" w:type="dxa"/>
          <w:right w:w="28" w:type="dxa"/>
        </w:tblCellMar>
      </w:tblPr>
      <w:tblGrid>
        <w:gridCol w:w="1205"/>
        <w:gridCol w:w="942"/>
        <w:gridCol w:w="945"/>
        <w:gridCol w:w="109"/>
        <w:gridCol w:w="109"/>
        <w:gridCol w:w="109"/>
        <w:gridCol w:w="483"/>
        <w:gridCol w:w="1653"/>
        <w:gridCol w:w="249"/>
        <w:gridCol w:w="109"/>
        <w:gridCol w:w="109"/>
        <w:gridCol w:w="109"/>
        <w:gridCol w:w="211"/>
        <w:gridCol w:w="666"/>
        <w:gridCol w:w="109"/>
        <w:gridCol w:w="109"/>
        <w:gridCol w:w="109"/>
        <w:gridCol w:w="109"/>
        <w:gridCol w:w="483"/>
        <w:gridCol w:w="1653"/>
        <w:gridCol w:w="249"/>
        <w:gridCol w:w="109"/>
        <w:gridCol w:w="109"/>
        <w:gridCol w:w="158"/>
      </w:tblGrid>
      <w:tr>
        <w:trPr/>
        <w:tc>
          <w:tcPr>
            <w:tcW w:w="1205"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5" w:type="dxa"/>
            <w:gridSpan w:val="3"/>
            <w:tcBorders/>
            <w:vAlign w:val="center"/>
          </w:tcPr>
          <w:p>
            <w:pPr>
              <w:pStyle w:val="TableContents"/>
              <w:bidi w:val="0"/>
              <w:spacing w:before="0" w:after="283"/>
              <w:jc w:val="left"/>
              <w:rPr>
                <w:sz w:val="4"/>
                <w:szCs w:val="4"/>
              </w:rPr>
            </w:pPr>
            <w:r>
              <w:rPr>
                <w:sz w:val="4"/>
                <w:szCs w:val="4"/>
              </w:rPr>
            </w:r>
          </w:p>
        </w:tc>
        <w:tc>
          <w:tcPr>
            <w:tcW w:w="4401" w:type="dxa"/>
            <w:gridSpan w:val="15"/>
            <w:tcBorders/>
          </w:tcPr>
          <w:p>
            <w:pPr>
              <w:pStyle w:val="TableContents"/>
              <w:bidi w:val="0"/>
              <w:spacing w:before="0" w:after="283"/>
              <w:jc w:val="left"/>
              <w:rPr>
                <w:sz w:val="4"/>
                <w:szCs w:val="4"/>
              </w:rPr>
            </w:pPr>
            <w:r>
              <w:rPr>
                <w:sz w:val="4"/>
                <w:szCs w:val="4"/>
              </w:rPr>
            </w:r>
          </w:p>
        </w:tc>
      </w:tr>
      <w:tr>
        <w:trPr/>
        <w:tc>
          <w:tcPr>
            <w:tcW w:w="3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74" w:type="dxa"/>
            <w:gridSpan w:val="12"/>
            <w:tcBorders/>
          </w:tcPr>
          <w:p>
            <w:pPr>
              <w:pStyle w:val="TableContents"/>
              <w:bidi w:val="0"/>
              <w:spacing w:before="0" w:after="283"/>
              <w:jc w:val="left"/>
              <w:rPr>
                <w:sz w:val="4"/>
                <w:szCs w:val="4"/>
              </w:rPr>
            </w:pPr>
            <w:r>
              <w:rPr>
                <w:sz w:val="4"/>
                <w:szCs w:val="4"/>
              </w:rPr>
            </w:r>
          </w:p>
        </w:tc>
      </w:tr>
      <w:tr>
        <w:trPr/>
        <w:tc>
          <w:tcPr>
            <w:tcW w:w="30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Acquisition Date Estimated Fair Value as of </w:t>
              <w:b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Acquisition Date Estimated Fair Value as of </w:t>
              <w:br/>
              <w:t>December 31, 2023</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73,558 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73,558 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5"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3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5"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3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5"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3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fair value of assets and liabilities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4,859 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4,859 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2,981 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Subscriber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29,320 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12,122 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7,843 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5"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30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(3,606)</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(3,838)</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(6,421)</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(6,421)</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liabilities,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(6,112)</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(7,869)</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 of assets and liabilities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23,353 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28,801 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45"/>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50,205 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44,757 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estimated useful lives for each acquired intangible asset, each of which are subject to finalization:</w:t>
      </w:r>
    </w:p>
    <w:tbl>
      <w:tblPr>
        <w:tblW w:w="3760" w:type="dxa"/>
        <w:jc w:val="left"/>
        <w:tblInd w:w="0" w:type="dxa"/>
        <w:tblLayout w:type="fixed"/>
        <w:tblCellMar>
          <w:top w:w="28" w:type="dxa"/>
          <w:left w:w="28" w:type="dxa"/>
          <w:bottom w:w="28" w:type="dxa"/>
          <w:right w:w="28" w:type="dxa"/>
        </w:tblCellMar>
      </w:tblPr>
      <w:tblGrid>
        <w:gridCol w:w="749"/>
        <w:gridCol w:w="659"/>
        <w:gridCol w:w="661"/>
        <w:gridCol w:w="262"/>
        <w:gridCol w:w="262"/>
        <w:gridCol w:w="262"/>
        <w:gridCol w:w="262"/>
        <w:gridCol w:w="262"/>
        <w:gridCol w:w="381"/>
      </w:tblGrid>
      <w:tr>
        <w:trPr/>
        <w:tc>
          <w:tcPr>
            <w:tcW w:w="74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6"/>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Estimated Useful Life</w:t>
            </w:r>
          </w:p>
        </w:tc>
      </w:tr>
      <w:tr>
        <w:trPr/>
        <w:tc>
          <w:tcPr>
            <w:tcW w:w="206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Subscriber relationships</w:t>
            </w:r>
          </w:p>
        </w:tc>
        <w:tc>
          <w:tcPr>
            <w:tcW w:w="1691"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8.0 years</w:t>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169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 years</w:t>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847090"/>
                <wp:effectExtent l="0" t="0" r="0" b="0"/>
                <wp:wrapNone/>
                <wp:docPr id="145" name="Frame49"/>
                <a:graphic xmlns:a="http://schemas.openxmlformats.org/drawingml/2006/main">
                  <a:graphicData uri="http://schemas.microsoft.com/office/word/2010/wordprocessingShape">
                    <wps:wsp>
                      <wps:cNvSpPr txBox="1"/>
                      <wps:spPr>
                        <a:xfrm>
                          <a:off x="0" y="0"/>
                          <a:ext cx="6480175" cy="847090"/>
                        </a:xfrm>
                        <a:prstGeom prst="rect"/>
                        <a:solidFill>
                          <a:srgbClr val="FFFFFF"/>
                        </a:solidFill>
                      </wps:spPr>
                      <wps:txb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38125" cy="228600"/>
                                        <wp:effectExtent l="0" t="0" r="0" b="0"/>
                                        <wp:docPr id="146"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50" descr=""/>
                                                <pic:cNvPicPr>
                                                  <a:picLocks noChangeAspect="1" noChangeArrowheads="1"/>
                                                </pic:cNvPicPr>
                                              </pic:nvPicPr>
                                              <pic:blipFill>
                                                <a:blip r:embed="rId98"/>
                                                <a:stretch>
                                                  <a:fillRect/>
                                                </a:stretch>
                                              </pic:blipFill>
                                              <pic:spPr bwMode="auto">
                                                <a:xfrm>
                                                  <a:off x="0" y="0"/>
                                                  <a:ext cx="238125" cy="228600"/>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49</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pt;mso-wrap-distance-left:0pt;mso-wrap-distance-right:0pt;mso-wrap-distance-top:0pt;mso-wrap-distance-bottom:0pt;margin-top:0pt;mso-position-vertical:top;mso-position-vertical-relative:text;margin-left:0pt;mso-position-horizontal:left;mso-position-horizontal-relative:text">
                <v:textbo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38125" cy="228600"/>
                                  <wp:effectExtent l="0" t="0" r="0" b="0"/>
                                  <wp:docPr id="147"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50" descr=""/>
                                          <pic:cNvPicPr>
                                            <a:picLocks noChangeAspect="1" noChangeArrowheads="1"/>
                                          </pic:cNvPicPr>
                                        </pic:nvPicPr>
                                        <pic:blipFill>
                                          <a:blip r:embed="rId99"/>
                                          <a:stretch>
                                            <a:fillRect/>
                                          </a:stretch>
                                        </pic:blipFill>
                                        <pic:spPr bwMode="auto">
                                          <a:xfrm>
                                            <a:off x="0" y="0"/>
                                            <a:ext cx="238125" cy="228600"/>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49</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3f718fd861814da79dc80fa32884b81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Other Acquisition Activity</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year ended December 31, 2023, we had other acquisition activity resulting in a total purchase price of $1.5 million, paid in cash. Assets acquired were primarily comprised of developed technology and customer relationships, totaling $0.9 million of estimated fair value. The remainder of the consideration transferred, $0.6 million, was allocated to goodwill.</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Effective October 4, 2022, we acquired all of the outstanding equity ownership interests of Canadian based InterTrade Systems Inc. ("InterTrade"), a leading EDI provider within the apparel and general merchandising markets. Pursuant to the definitive agreement, the purchase price was $49.1 million, including estimated post-closing adjustments. In the year ended December 31, 2023, provisional amounts were adjusted by $3.1 million, primarily relating to a $3.9 million decrease in estimated value of intangible assets and the corresponding $1.0 million change to the deferred tax position, with the offsets to goodwill. The purchase accounting was finalized in the year ended December 31, 2023.</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Effective July 19, 2022, we acquired all of the outstanding equity ownership interests of GCommerce, Inc. ("GCommerce"), a leading EDI provider within the automotive aftermarket industry. Pursuant to the definitive agreement, the purchase price was $45.1 million, including post-closing adjustments. In the year ended December 31, 2023, provisional amounts were adjusted by $1.6 million, primarily relating to a $1.5 million decrease in the estimated value of deferred income tax assets, with the corresponding offset to goodwill. The purchase accounting was finalized in the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AAE5"/>
          <w:sz w:val="20"/>
        </w:rPr>
      </w:pPr>
      <w:r>
        <w:rPr>
          <w:rFonts w:ascii="Times New Roman;sans-serif" w:hAnsi="Times New Roman;sans-serif"/>
          <w:b/>
          <w:color w:val="00AAE5"/>
          <w:sz w:val="20"/>
        </w:rPr>
        <w:t>NOTE C – Revenue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derive our revenues from the following revenue streams:</w:t>
      </w:r>
    </w:p>
    <w:tbl>
      <w:tblPr>
        <w:tblW w:w="5907" w:type="dxa"/>
        <w:jc w:val="center"/>
        <w:tblInd w:w="0" w:type="dxa"/>
        <w:tblLayout w:type="fixed"/>
        <w:tblCellMar>
          <w:top w:w="28" w:type="dxa"/>
          <w:left w:w="28" w:type="dxa"/>
          <w:bottom w:w="28" w:type="dxa"/>
          <w:right w:w="28" w:type="dxa"/>
        </w:tblCellMar>
      </w:tblPr>
      <w:tblGrid>
        <w:gridCol w:w="640"/>
        <w:gridCol w:w="564"/>
        <w:gridCol w:w="566"/>
        <w:gridCol w:w="211"/>
        <w:gridCol w:w="826"/>
        <w:gridCol w:w="109"/>
        <w:gridCol w:w="109"/>
        <w:gridCol w:w="109"/>
        <w:gridCol w:w="109"/>
        <w:gridCol w:w="211"/>
        <w:gridCol w:w="826"/>
        <w:gridCol w:w="109"/>
        <w:gridCol w:w="109"/>
        <w:gridCol w:w="109"/>
        <w:gridCol w:w="109"/>
        <w:gridCol w:w="211"/>
        <w:gridCol w:w="826"/>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7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4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Recurring revenues:</w:t>
            </w:r>
          </w:p>
        </w:tc>
        <w:tc>
          <w:tcPr>
            <w:tcW w:w="114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Fulfillment</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306,851 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Analytics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Recurring Revenues</w:t>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502,013 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419,047 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355,006 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One-time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536,910 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450,875 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385,276 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Revenues are the amount that reflects the consideration we are contractually and legally entitled to, as well as the amount we expect to collect, in exchange for those services.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Recurring Revenues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Recurring revenues consist of recurring subscriptions from customers that utilize our Fulfillment, Analytics, and Other supply chain management products. Revenue for these products is generally recognized on a ratable basis over the contract term beginning on the date that our service is made available to the customer. Our contracts with our recurring revenue customers are recurring in nature, generally ranging from monthly to annual, and generally allow the customer to cancel the contract for any reason with 30 to 90 days’ notice. Timing of billings varies by customer and by contract type and are either in advance or within 30 days of the service being performed.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Given that the recurring revenue contracts are for one year or less, we have applied the optional exemption to not disclose information about the remaining performance obligations for recurring revenue contracts.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One-time Revenues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One-time revenues consist of set-up fees and miscellaneous fees from customers.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Set- up revenues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Set-up fees are specific for each connection a customer has with a trading partner. These nonrefundable fees are necessary for our customers to utilize our services and do not provide any standalone value. Many of our customers have connections with numerous trading partners.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847090"/>
                <wp:effectExtent l="0" t="0" r="0" b="0"/>
                <wp:wrapNone/>
                <wp:docPr id="148" name="Frame50"/>
                <a:graphic xmlns:a="http://schemas.openxmlformats.org/drawingml/2006/main">
                  <a:graphicData uri="http://schemas.microsoft.com/office/word/2010/wordprocessingShape">
                    <wps:wsp>
                      <wps:cNvSpPr txBox="1"/>
                      <wps:spPr>
                        <a:xfrm>
                          <a:off x="0" y="0"/>
                          <a:ext cx="6480175" cy="847090"/>
                        </a:xfrm>
                        <a:prstGeom prst="rect"/>
                        <a:solidFill>
                          <a:srgbClr val="FFFFFF"/>
                        </a:solidFill>
                      </wps:spPr>
                      <wps:txb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38125" cy="228600"/>
                                        <wp:effectExtent l="0" t="0" r="0" b="0"/>
                                        <wp:docPr id="149"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51" descr=""/>
                                                <pic:cNvPicPr>
                                                  <a:picLocks noChangeAspect="1" noChangeArrowheads="1"/>
                                                </pic:cNvPicPr>
                                              </pic:nvPicPr>
                                              <pic:blipFill>
                                                <a:blip r:embed="rId100"/>
                                                <a:stretch>
                                                  <a:fillRect/>
                                                </a:stretch>
                                              </pic:blipFill>
                                              <pic:spPr bwMode="auto">
                                                <a:xfrm>
                                                  <a:off x="0" y="0"/>
                                                  <a:ext cx="238125" cy="228600"/>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50</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pt;mso-wrap-distance-left:0pt;mso-wrap-distance-right:0pt;mso-wrap-distance-top:0pt;mso-wrap-distance-bottom:0pt;margin-top:0pt;mso-position-vertical:top;mso-position-vertical-relative:text;margin-left:0pt;mso-position-horizontal:left;mso-position-horizontal-relative:text">
                <v:textbo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38125" cy="228600"/>
                                  <wp:effectExtent l="0" t="0" r="0" b="0"/>
                                  <wp:docPr id="150"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51" descr=""/>
                                          <pic:cNvPicPr>
                                            <a:picLocks noChangeAspect="1" noChangeArrowheads="1"/>
                                          </pic:cNvPicPr>
                                        </pic:nvPicPr>
                                        <pic:blipFill>
                                          <a:blip r:embed="rId101"/>
                                          <a:stretch>
                                            <a:fillRect/>
                                          </a:stretch>
                                        </pic:blipFill>
                                        <pic:spPr bwMode="auto">
                                          <a:xfrm>
                                            <a:off x="0" y="0"/>
                                            <a:ext cx="238125" cy="228600"/>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50</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3f718fd861814da79dc80fa32884b81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Set-up fees constitute a material renewal option right that provide customers a significant future incentive that would not be otherwise available to that customer unless they entered into the contract, as the set-up fees will not be incurred again upon contract renewal. As such, set-up fees and related costs are deferred and recognized ratably, generally over two years, which is the estimated period for which a material right is present for our customers.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presents the activity of the portion of the deferred revenue liability relating to set-up fees: </w:t>
      </w:r>
    </w:p>
    <w:tbl>
      <w:tblPr>
        <w:tblW w:w="4763" w:type="dxa"/>
        <w:jc w:val="center"/>
        <w:tblInd w:w="0" w:type="dxa"/>
        <w:tblLayout w:type="fixed"/>
        <w:tblCellMar>
          <w:top w:w="28" w:type="dxa"/>
          <w:left w:w="28" w:type="dxa"/>
          <w:bottom w:w="28" w:type="dxa"/>
          <w:right w:w="28" w:type="dxa"/>
        </w:tblCellMar>
      </w:tblPr>
      <w:tblGrid>
        <w:gridCol w:w="835"/>
        <w:gridCol w:w="736"/>
        <w:gridCol w:w="738"/>
        <w:gridCol w:w="211"/>
        <w:gridCol w:w="721"/>
        <w:gridCol w:w="109"/>
        <w:gridCol w:w="109"/>
        <w:gridCol w:w="109"/>
        <w:gridCol w:w="109"/>
        <w:gridCol w:w="211"/>
        <w:gridCol w:w="721"/>
        <w:gridCol w:w="154"/>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3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Invoiced set-up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Recognized set-up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year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entire balance of deferred set-up fees will be recognized within two years. Those that will be recognized within the next year are classified as current, whereas the remainder are classified as non-current.</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Miscellaneous fees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Miscellaneous fees primarily consist of professional services and testing and certification.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contract period for these one-time fees is for one year or less and recognized at the time service is provided. We have applied the optional exemption to not disclose information about the remaining performance obligations for miscellaneous one-time fee contracts since they have original durations of one year or less.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Deferred Revenue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year ended December 31, 2023, we recognized revenue of $57.4 million from amounts included in deferred revenue at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AAE5"/>
          <w:sz w:val="20"/>
        </w:rPr>
      </w:pPr>
      <w:r>
        <w:rPr>
          <w:rFonts w:ascii="Times New Roman;sans-serif" w:hAnsi="Times New Roman;sans-serif"/>
          <w:b/>
          <w:color w:val="00AAE5"/>
          <w:sz w:val="20"/>
        </w:rPr>
        <w:t>NOTE D – Deferred Costs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deferred costs activity was as follows:</w:t>
      </w:r>
    </w:p>
    <w:tbl>
      <w:tblPr>
        <w:tblW w:w="4763" w:type="dxa"/>
        <w:jc w:val="center"/>
        <w:tblInd w:w="0" w:type="dxa"/>
        <w:tblLayout w:type="fixed"/>
        <w:tblCellMar>
          <w:top w:w="28" w:type="dxa"/>
          <w:left w:w="28" w:type="dxa"/>
          <w:bottom w:w="28" w:type="dxa"/>
          <w:right w:w="28" w:type="dxa"/>
        </w:tblCellMar>
      </w:tblPr>
      <w:tblGrid>
        <w:gridCol w:w="835"/>
        <w:gridCol w:w="736"/>
        <w:gridCol w:w="738"/>
        <w:gridCol w:w="211"/>
        <w:gridCol w:w="721"/>
        <w:gridCol w:w="109"/>
        <w:gridCol w:w="109"/>
        <w:gridCol w:w="109"/>
        <w:gridCol w:w="109"/>
        <w:gridCol w:w="211"/>
        <w:gridCol w:w="721"/>
        <w:gridCol w:w="154"/>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3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Incurred deferred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Amortized deferred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year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70,179 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847090"/>
                <wp:effectExtent l="0" t="0" r="0" b="0"/>
                <wp:wrapNone/>
                <wp:docPr id="151" name="Frame51"/>
                <a:graphic xmlns:a="http://schemas.openxmlformats.org/drawingml/2006/main">
                  <a:graphicData uri="http://schemas.microsoft.com/office/word/2010/wordprocessingShape">
                    <wps:wsp>
                      <wps:cNvSpPr txBox="1"/>
                      <wps:spPr>
                        <a:xfrm>
                          <a:off x="0" y="0"/>
                          <a:ext cx="6480175" cy="847090"/>
                        </a:xfrm>
                        <a:prstGeom prst="rect"/>
                        <a:solidFill>
                          <a:srgbClr val="FFFFFF"/>
                        </a:solidFill>
                      </wps:spPr>
                      <wps:txb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38125" cy="228600"/>
                                        <wp:effectExtent l="0" t="0" r="0" b="0"/>
                                        <wp:docPr id="1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52" descr=""/>
                                                <pic:cNvPicPr>
                                                  <a:picLocks noChangeAspect="1" noChangeArrowheads="1"/>
                                                </pic:cNvPicPr>
                                              </pic:nvPicPr>
                                              <pic:blipFill>
                                                <a:blip r:embed="rId102"/>
                                                <a:stretch>
                                                  <a:fillRect/>
                                                </a:stretch>
                                              </pic:blipFill>
                                              <pic:spPr bwMode="auto">
                                                <a:xfrm>
                                                  <a:off x="0" y="0"/>
                                                  <a:ext cx="238125" cy="228600"/>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51</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pt;mso-wrap-distance-left:0pt;mso-wrap-distance-right:0pt;mso-wrap-distance-top:0pt;mso-wrap-distance-bottom:0pt;margin-top:0pt;mso-position-vertical:top;mso-position-vertical-relative:text;margin-left:0pt;mso-position-horizontal:left;mso-position-horizontal-relative:text">
                <v:textbo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38125" cy="228600"/>
                                  <wp:effectExtent l="0" t="0" r="0" b="0"/>
                                  <wp:docPr id="153"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52" descr=""/>
                                          <pic:cNvPicPr>
                                            <a:picLocks noChangeAspect="1" noChangeArrowheads="1"/>
                                          </pic:cNvPicPr>
                                        </pic:nvPicPr>
                                        <pic:blipFill>
                                          <a:blip r:embed="rId103"/>
                                          <a:stretch>
                                            <a:fillRect/>
                                          </a:stretch>
                                        </pic:blipFill>
                                        <pic:spPr bwMode="auto">
                                          <a:xfrm>
                                            <a:off x="0" y="0"/>
                                            <a:ext cx="238125" cy="228600"/>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51</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3f718fd861814da79dc80fa32884b81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60" w:after="283"/>
        <w:jc w:val="left"/>
        <w:rPr>
          <w:rFonts w:ascii="Times New Roman;sans-serif" w:hAnsi="Times New Roman;sans-serif"/>
          <w:b/>
          <w:color w:val="00AAE5"/>
          <w:sz w:val="20"/>
        </w:rPr>
      </w:pPr>
      <w:r>
        <w:rPr>
          <w:rFonts w:ascii="Times New Roman;sans-serif" w:hAnsi="Times New Roman;sans-serif"/>
          <w:b/>
          <w:color w:val="00AAE5"/>
          <w:sz w:val="20"/>
        </w:rPr>
        <w:t>NOTE E – Fair Value Measurements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 and investments, as measured at fair value on a recurring basis, consisted of the following:</w:t>
      </w:r>
    </w:p>
    <w:tbl>
      <w:tblPr>
        <w:tblW w:w="10387" w:type="dxa"/>
        <w:jc w:val="left"/>
        <w:tblInd w:w="0" w:type="dxa"/>
        <w:tblLayout w:type="fixed"/>
        <w:tblCellMar>
          <w:top w:w="28" w:type="dxa"/>
          <w:left w:w="28" w:type="dxa"/>
          <w:bottom w:w="28" w:type="dxa"/>
          <w:right w:w="28" w:type="dxa"/>
        </w:tblCellMar>
      </w:tblPr>
      <w:tblGrid>
        <w:gridCol w:w="457"/>
        <w:gridCol w:w="363"/>
        <w:gridCol w:w="306"/>
        <w:gridCol w:w="109"/>
        <w:gridCol w:w="109"/>
        <w:gridCol w:w="109"/>
        <w:gridCol w:w="220"/>
        <w:gridCol w:w="175"/>
        <w:gridCol w:w="176"/>
        <w:gridCol w:w="109"/>
        <w:gridCol w:w="109"/>
        <w:gridCol w:w="109"/>
        <w:gridCol w:w="211"/>
        <w:gridCol w:w="826"/>
        <w:gridCol w:w="109"/>
        <w:gridCol w:w="109"/>
        <w:gridCol w:w="109"/>
        <w:gridCol w:w="109"/>
        <w:gridCol w:w="237"/>
        <w:gridCol w:w="525"/>
        <w:gridCol w:w="124"/>
        <w:gridCol w:w="109"/>
        <w:gridCol w:w="109"/>
        <w:gridCol w:w="109"/>
        <w:gridCol w:w="211"/>
        <w:gridCol w:w="826"/>
        <w:gridCol w:w="109"/>
        <w:gridCol w:w="109"/>
        <w:gridCol w:w="109"/>
        <w:gridCol w:w="109"/>
        <w:gridCol w:w="211"/>
        <w:gridCol w:w="826"/>
        <w:gridCol w:w="109"/>
        <w:gridCol w:w="109"/>
        <w:gridCol w:w="109"/>
        <w:gridCol w:w="109"/>
        <w:gridCol w:w="237"/>
        <w:gridCol w:w="525"/>
        <w:gridCol w:w="124"/>
        <w:gridCol w:w="109"/>
        <w:gridCol w:w="109"/>
        <w:gridCol w:w="109"/>
        <w:gridCol w:w="211"/>
        <w:gridCol w:w="826"/>
        <w:gridCol w:w="154"/>
      </w:tblGrid>
      <w:tr>
        <w:trPr/>
        <w:tc>
          <w:tcPr>
            <w:tcW w:w="457"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Gains (Losses),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Gains (Losses),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112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216,898 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AAE5"/>
          <w:sz w:val="20"/>
        </w:rPr>
      </w:pPr>
      <w:r>
        <w:rPr>
          <w:rFonts w:ascii="Times New Roman;sans-serif" w:hAnsi="Times New Roman;sans-serif"/>
          <w:b/>
          <w:color w:val="00AAE5"/>
          <w:sz w:val="20"/>
        </w:rPr>
        <w:t>NOTE F – Allowance for Credit Losses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allowance for credit losses activity, included in accounts receivable, net, was as follows:</w:t>
      </w:r>
    </w:p>
    <w:tbl>
      <w:tblPr>
        <w:tblW w:w="8787" w:type="dxa"/>
        <w:jc w:val="center"/>
        <w:tblInd w:w="0" w:type="dxa"/>
        <w:tblLayout w:type="fixed"/>
        <w:tblCellMar>
          <w:top w:w="28" w:type="dxa"/>
          <w:left w:w="28" w:type="dxa"/>
          <w:bottom w:w="28" w:type="dxa"/>
          <w:right w:w="28" w:type="dxa"/>
        </w:tblCellMar>
      </w:tblPr>
      <w:tblGrid>
        <w:gridCol w:w="1909"/>
        <w:gridCol w:w="1682"/>
        <w:gridCol w:w="1689"/>
        <w:gridCol w:w="211"/>
        <w:gridCol w:w="616"/>
        <w:gridCol w:w="109"/>
        <w:gridCol w:w="109"/>
        <w:gridCol w:w="109"/>
        <w:gridCol w:w="109"/>
        <w:gridCol w:w="211"/>
        <w:gridCol w:w="616"/>
        <w:gridCol w:w="109"/>
        <w:gridCol w:w="109"/>
        <w:gridCol w:w="109"/>
        <w:gridCol w:w="109"/>
        <w:gridCol w:w="211"/>
        <w:gridCol w:w="616"/>
        <w:gridCol w:w="154"/>
      </w:tblGrid>
      <w:tr>
        <w:trPr/>
        <w:tc>
          <w:tcPr>
            <w:tcW w:w="1909"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2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 net of recoveries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Initial allowance for business combination acquired receivables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year</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AAE5"/>
          <w:sz w:val="20"/>
        </w:rPr>
      </w:pPr>
      <w:r>
        <w:rPr>
          <w:rFonts w:ascii="Times New Roman;sans-serif" w:hAnsi="Times New Roman;sans-serif"/>
          <w:b/>
          <w:color w:val="00AAE5"/>
          <w:sz w:val="20"/>
        </w:rPr>
        <w:t>NOTE G – Property and Equipment, Net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consisted of the following:</w:t>
      </w:r>
    </w:p>
    <w:tbl>
      <w:tblPr>
        <w:tblW w:w="6563" w:type="dxa"/>
        <w:jc w:val="center"/>
        <w:tblInd w:w="0" w:type="dxa"/>
        <w:tblLayout w:type="fixed"/>
        <w:tblCellMar>
          <w:top w:w="28" w:type="dxa"/>
          <w:left w:w="28" w:type="dxa"/>
          <w:bottom w:w="28" w:type="dxa"/>
          <w:right w:w="28" w:type="dxa"/>
        </w:tblCellMar>
      </w:tblPr>
      <w:tblGrid>
        <w:gridCol w:w="1486"/>
        <w:gridCol w:w="1310"/>
        <w:gridCol w:w="1313"/>
        <w:gridCol w:w="211"/>
        <w:gridCol w:w="721"/>
        <w:gridCol w:w="109"/>
        <w:gridCol w:w="109"/>
        <w:gridCol w:w="109"/>
        <w:gridCol w:w="109"/>
        <w:gridCol w:w="211"/>
        <w:gridCol w:w="721"/>
        <w:gridCol w:w="154"/>
      </w:tblGrid>
      <w:tr>
        <w:trPr/>
        <w:tc>
          <w:tcPr>
            <w:tcW w:w="1486"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1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Internally developed software</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60,396 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49,994 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equipment and furniture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cost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35,458 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of property and equipment was as follows:</w:t>
      </w:r>
    </w:p>
    <w:tbl>
      <w:tblPr>
        <w:tblW w:w="7122" w:type="dxa"/>
        <w:jc w:val="center"/>
        <w:tblInd w:w="0" w:type="dxa"/>
        <w:tblLayout w:type="fixed"/>
        <w:tblCellMar>
          <w:top w:w="28" w:type="dxa"/>
          <w:left w:w="28" w:type="dxa"/>
          <w:bottom w:w="28" w:type="dxa"/>
          <w:right w:w="28" w:type="dxa"/>
        </w:tblCellMar>
      </w:tblPr>
      <w:tblGrid>
        <w:gridCol w:w="1192"/>
        <w:gridCol w:w="1051"/>
        <w:gridCol w:w="1057"/>
        <w:gridCol w:w="211"/>
        <w:gridCol w:w="721"/>
        <w:gridCol w:w="109"/>
        <w:gridCol w:w="109"/>
        <w:gridCol w:w="109"/>
        <w:gridCol w:w="109"/>
        <w:gridCol w:w="211"/>
        <w:gridCol w:w="721"/>
        <w:gridCol w:w="109"/>
        <w:gridCol w:w="109"/>
        <w:gridCol w:w="109"/>
        <w:gridCol w:w="109"/>
        <w:gridCol w:w="211"/>
        <w:gridCol w:w="721"/>
        <w:gridCol w:w="154"/>
      </w:tblGrid>
      <w:tr>
        <w:trPr/>
        <w:tc>
          <w:tcPr>
            <w:tcW w:w="1192"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18,631 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16,421 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14,788 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847090"/>
                <wp:effectExtent l="0" t="0" r="0" b="0"/>
                <wp:wrapNone/>
                <wp:docPr id="154" name="Frame52"/>
                <a:graphic xmlns:a="http://schemas.openxmlformats.org/drawingml/2006/main">
                  <a:graphicData uri="http://schemas.microsoft.com/office/word/2010/wordprocessingShape">
                    <wps:wsp>
                      <wps:cNvSpPr txBox="1"/>
                      <wps:spPr>
                        <a:xfrm>
                          <a:off x="0" y="0"/>
                          <a:ext cx="6480175" cy="847090"/>
                        </a:xfrm>
                        <a:prstGeom prst="rect"/>
                        <a:solidFill>
                          <a:srgbClr val="FFFFFF"/>
                        </a:solidFill>
                      </wps:spPr>
                      <wps:txb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38125" cy="228600"/>
                                        <wp:effectExtent l="0" t="0" r="0" b="0"/>
                                        <wp:docPr id="155"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53" descr=""/>
                                                <pic:cNvPicPr>
                                                  <a:picLocks noChangeAspect="1" noChangeArrowheads="1"/>
                                                </pic:cNvPicPr>
                                              </pic:nvPicPr>
                                              <pic:blipFill>
                                                <a:blip r:embed="rId104"/>
                                                <a:stretch>
                                                  <a:fillRect/>
                                                </a:stretch>
                                              </pic:blipFill>
                                              <pic:spPr bwMode="auto">
                                                <a:xfrm>
                                                  <a:off x="0" y="0"/>
                                                  <a:ext cx="238125" cy="228600"/>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52</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pt;mso-wrap-distance-left:0pt;mso-wrap-distance-right:0pt;mso-wrap-distance-top:0pt;mso-wrap-distance-bottom:0pt;margin-top:0pt;mso-position-vertical:top;mso-position-vertical-relative:text;margin-left:0pt;mso-position-horizontal:left;mso-position-horizontal-relative:text">
                <v:textbo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38125" cy="228600"/>
                                  <wp:effectExtent l="0" t="0" r="0" b="0"/>
                                  <wp:docPr id="156"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53" descr=""/>
                                          <pic:cNvPicPr>
                                            <a:picLocks noChangeAspect="1" noChangeArrowheads="1"/>
                                          </pic:cNvPicPr>
                                        </pic:nvPicPr>
                                        <pic:blipFill>
                                          <a:blip r:embed="rId105"/>
                                          <a:stretch>
                                            <a:fillRect/>
                                          </a:stretch>
                                        </pic:blipFill>
                                        <pic:spPr bwMode="auto">
                                          <a:xfrm>
                                            <a:off x="0" y="0"/>
                                            <a:ext cx="238125" cy="228600"/>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52</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3f718fd861814da79dc80fa32884b81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60" w:after="283"/>
        <w:jc w:val="left"/>
        <w:rPr>
          <w:rFonts w:ascii="Times New Roman;sans-serif" w:hAnsi="Times New Roman;sans-serif"/>
          <w:b/>
          <w:color w:val="00AAE5"/>
          <w:sz w:val="20"/>
        </w:rPr>
      </w:pPr>
      <w:r>
        <w:rPr>
          <w:rFonts w:ascii="Times New Roman;sans-serif" w:hAnsi="Times New Roman;sans-serif"/>
          <w:b/>
          <w:color w:val="00AAE5"/>
          <w:sz w:val="20"/>
        </w:rPr>
        <w:t>NOTE H – Goodwill and Intangible Assets, Net</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activity in goodwill was as follows:</w:t>
      </w:r>
    </w:p>
    <w:tbl>
      <w:tblPr>
        <w:tblW w:w="7228" w:type="dxa"/>
        <w:jc w:val="center"/>
        <w:tblInd w:w="0" w:type="dxa"/>
        <w:tblLayout w:type="fixed"/>
        <w:tblCellMar>
          <w:top w:w="28" w:type="dxa"/>
          <w:left w:w="28" w:type="dxa"/>
          <w:bottom w:w="28" w:type="dxa"/>
          <w:right w:w="28" w:type="dxa"/>
        </w:tblCellMar>
      </w:tblPr>
      <w:tblGrid>
        <w:gridCol w:w="1699"/>
        <w:gridCol w:w="1497"/>
        <w:gridCol w:w="1501"/>
        <w:gridCol w:w="164"/>
        <w:gridCol w:w="164"/>
        <w:gridCol w:w="164"/>
        <w:gridCol w:w="361"/>
        <w:gridCol w:w="1415"/>
        <w:gridCol w:w="263"/>
      </w:tblGrid>
      <w:tr>
        <w:trPr/>
        <w:tc>
          <w:tcPr>
            <w:tcW w:w="1699"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4697" w:type="dxa"/>
            <w:gridSpan w:val="3"/>
            <w:tcBorders/>
            <w:tcMar>
              <w:top w:w="0" w:type="dxa"/>
              <w:left w:w="0" w:type="dxa"/>
              <w:bottom w:w="0" w:type="dxa"/>
              <w:right w:w="0" w:type="dxa"/>
            </w:tcMar>
            <w:vAlign w:val="center"/>
          </w:tcPr>
          <w:p>
            <w:pPr>
              <w:pStyle w:val="TableContents"/>
              <w:bidi w:val="0"/>
              <w:spacing w:before="0" w:after="283"/>
              <w:ind w:left="0" w:right="0" w:hanging="3600"/>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69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6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year</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197,284 </w:t>
            </w:r>
          </w:p>
        </w:tc>
        <w:tc>
          <w:tcPr>
            <w:tcW w:w="26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from business acquisitions</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45,393 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2,328 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6"/>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Remeasurement from provisional purchase accounting amount</w:t>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4,171 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year</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249,176 </w:t>
            </w:r>
          </w:p>
        </w:tc>
        <w:tc>
          <w:tcPr>
            <w:tcW w:w="263"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Intangible Assets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 consisted of the following:</w:t>
      </w:r>
    </w:p>
    <w:tbl>
      <w:tblPr>
        <w:tblW w:w="10205" w:type="dxa"/>
        <w:jc w:val="center"/>
        <w:tblInd w:w="0" w:type="dxa"/>
        <w:tblLayout w:type="fixed"/>
        <w:tblCellMar>
          <w:top w:w="28" w:type="dxa"/>
          <w:left w:w="28" w:type="dxa"/>
          <w:bottom w:w="28" w:type="dxa"/>
          <w:right w:w="28" w:type="dxa"/>
        </w:tblCellMar>
      </w:tblPr>
      <w:tblGrid>
        <w:gridCol w:w="638"/>
        <w:gridCol w:w="562"/>
        <w:gridCol w:w="525"/>
        <w:gridCol w:w="211"/>
        <w:gridCol w:w="826"/>
        <w:gridCol w:w="109"/>
        <w:gridCol w:w="109"/>
        <w:gridCol w:w="109"/>
        <w:gridCol w:w="109"/>
        <w:gridCol w:w="211"/>
        <w:gridCol w:w="786"/>
        <w:gridCol w:w="109"/>
        <w:gridCol w:w="109"/>
        <w:gridCol w:w="109"/>
        <w:gridCol w:w="109"/>
        <w:gridCol w:w="213"/>
        <w:gridCol w:w="622"/>
        <w:gridCol w:w="111"/>
        <w:gridCol w:w="109"/>
        <w:gridCol w:w="109"/>
        <w:gridCol w:w="109"/>
        <w:gridCol w:w="211"/>
        <w:gridCol w:w="826"/>
        <w:gridCol w:w="109"/>
        <w:gridCol w:w="109"/>
        <w:gridCol w:w="109"/>
        <w:gridCol w:w="109"/>
        <w:gridCol w:w="825"/>
        <w:gridCol w:w="825"/>
        <w:gridCol w:w="1178"/>
      </w:tblGrid>
      <w:tr>
        <w:trPr/>
        <w:tc>
          <w:tcPr>
            <w:tcW w:w="63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0" w:type="dxa"/>
            <w:gridSpan w:val="27"/>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7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 xml:space="preserve">Amortization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Foreign</w:t>
              <w:br/>
              <w:t xml:space="preserve">Currency </w:t>
              <w:br/>
              <w:t>Translation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Remaining Amortization Period</w:t>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Subscriber relationships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 years</w:t>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 years</w:t>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(47,766)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 years</w:t>
            </w:r>
          </w:p>
        </w:tc>
      </w:tr>
    </w:tbl>
    <w:tbl>
      <w:tblPr>
        <w:tblW w:w="10205" w:type="dxa"/>
        <w:jc w:val="center"/>
        <w:tblInd w:w="0" w:type="dxa"/>
        <w:tblLayout w:type="fixed"/>
        <w:tblCellMar>
          <w:top w:w="28" w:type="dxa"/>
          <w:left w:w="28" w:type="dxa"/>
          <w:bottom w:w="28" w:type="dxa"/>
          <w:right w:w="28" w:type="dxa"/>
        </w:tblCellMar>
      </w:tblPr>
      <w:tblGrid>
        <w:gridCol w:w="646"/>
        <w:gridCol w:w="569"/>
        <w:gridCol w:w="535"/>
        <w:gridCol w:w="211"/>
        <w:gridCol w:w="826"/>
        <w:gridCol w:w="109"/>
        <w:gridCol w:w="109"/>
        <w:gridCol w:w="109"/>
        <w:gridCol w:w="109"/>
        <w:gridCol w:w="211"/>
        <w:gridCol w:w="788"/>
        <w:gridCol w:w="109"/>
        <w:gridCol w:w="109"/>
        <w:gridCol w:w="109"/>
        <w:gridCol w:w="109"/>
        <w:gridCol w:w="249"/>
        <w:gridCol w:w="568"/>
        <w:gridCol w:w="129"/>
        <w:gridCol w:w="109"/>
        <w:gridCol w:w="109"/>
        <w:gridCol w:w="109"/>
        <w:gridCol w:w="211"/>
        <w:gridCol w:w="721"/>
        <w:gridCol w:w="109"/>
        <w:gridCol w:w="109"/>
        <w:gridCol w:w="109"/>
        <w:gridCol w:w="109"/>
        <w:gridCol w:w="848"/>
        <w:gridCol w:w="848"/>
        <w:gridCol w:w="1210"/>
      </w:tblGrid>
      <w:tr>
        <w:trPr/>
        <w:tc>
          <w:tcPr>
            <w:tcW w:w="64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r>
      <w:tr>
        <w:trPr/>
        <w:tc>
          <w:tcPr>
            <w:tcW w:w="1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5" w:type="dxa"/>
            <w:gridSpan w:val="27"/>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7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 xml:space="preserve">Amortization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Foreign</w:t>
              <w:br/>
              <w:t xml:space="preserve">Currency </w:t>
              <w:br/>
              <w:t>Translation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Remaining Amortization Period</w:t>
            </w:r>
          </w:p>
        </w:tc>
      </w:tr>
      <w:tr>
        <w:trPr/>
        <w:tc>
          <w:tcPr>
            <w:tcW w:w="1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Subscriber relationships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 years</w:t>
            </w:r>
          </w:p>
        </w:tc>
      </w:tr>
      <w:tr>
        <w:trPr/>
        <w:tc>
          <w:tcPr>
            <w:tcW w:w="1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 years</w:t>
            </w:r>
          </w:p>
        </w:tc>
      </w:tr>
      <w:tr>
        <w:trPr/>
        <w:tc>
          <w:tcPr>
            <w:tcW w:w="1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(32,189)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 years</w:t>
            </w:r>
          </w:p>
        </w:tc>
      </w:tr>
    </w:tbl>
    <w:p>
      <w:pPr>
        <w:pStyle w:val="TextBody"/>
        <w:bidi w:val="0"/>
        <w:spacing w:before="120" w:after="283"/>
        <w:jc w:val="left"/>
        <w:rPr/>
      </w:pPr>
      <w:r>
        <w:rPr/>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of intangible assets was as follows:</w:t>
      </w:r>
    </w:p>
    <w:tbl>
      <w:tblPr>
        <w:tblW w:w="5726" w:type="dxa"/>
        <w:jc w:val="left"/>
        <w:tblInd w:w="0" w:type="dxa"/>
        <w:tblLayout w:type="fixed"/>
        <w:tblCellMar>
          <w:top w:w="28" w:type="dxa"/>
          <w:left w:w="28" w:type="dxa"/>
          <w:bottom w:w="28" w:type="dxa"/>
          <w:right w:w="28" w:type="dxa"/>
        </w:tblCellMar>
      </w:tblPr>
      <w:tblGrid>
        <w:gridCol w:w="688"/>
        <w:gridCol w:w="606"/>
        <w:gridCol w:w="610"/>
        <w:gridCol w:w="211"/>
        <w:gridCol w:w="721"/>
        <w:gridCol w:w="109"/>
        <w:gridCol w:w="109"/>
        <w:gridCol w:w="109"/>
        <w:gridCol w:w="109"/>
        <w:gridCol w:w="211"/>
        <w:gridCol w:w="721"/>
        <w:gridCol w:w="109"/>
        <w:gridCol w:w="109"/>
        <w:gridCol w:w="109"/>
        <w:gridCol w:w="109"/>
        <w:gridCol w:w="211"/>
        <w:gridCol w:w="721"/>
        <w:gridCol w:w="154"/>
      </w:tblGrid>
      <w:tr>
        <w:trPr/>
        <w:tc>
          <w:tcPr>
            <w:tcW w:w="688"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9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16,116 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11,768 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10,126 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540"/>
        <w:jc w:val="left"/>
        <w:rPr/>
      </w:pPr>
      <w:r>
        <w:rPr/>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estimated future annual amortization expense related to intangible assets is as follows:</w:t>
      </w:r>
    </w:p>
    <w:tbl>
      <w:tblPr>
        <w:tblW w:w="3350" w:type="dxa"/>
        <w:jc w:val="center"/>
        <w:tblInd w:w="0" w:type="dxa"/>
        <w:tblLayout w:type="fixed"/>
        <w:tblCellMar>
          <w:top w:w="28" w:type="dxa"/>
          <w:left w:w="28" w:type="dxa"/>
          <w:bottom w:w="28" w:type="dxa"/>
          <w:right w:w="28" w:type="dxa"/>
        </w:tblCellMar>
      </w:tblPr>
      <w:tblGrid>
        <w:gridCol w:w="879"/>
        <w:gridCol w:w="639"/>
        <w:gridCol w:w="641"/>
        <w:gridCol w:w="211"/>
        <w:gridCol w:w="826"/>
        <w:gridCol w:w="154"/>
      </w:tblGrid>
      <w:tr>
        <w:trPr/>
        <w:tc>
          <w:tcPr>
            <w:tcW w:w="87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amortization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107,344 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847090"/>
                <wp:effectExtent l="0" t="0" r="0" b="0"/>
                <wp:wrapNone/>
                <wp:docPr id="157" name="Frame53"/>
                <a:graphic xmlns:a="http://schemas.openxmlformats.org/drawingml/2006/main">
                  <a:graphicData uri="http://schemas.microsoft.com/office/word/2010/wordprocessingShape">
                    <wps:wsp>
                      <wps:cNvSpPr txBox="1"/>
                      <wps:spPr>
                        <a:xfrm>
                          <a:off x="0" y="0"/>
                          <a:ext cx="6480175" cy="847090"/>
                        </a:xfrm>
                        <a:prstGeom prst="rect"/>
                        <a:solidFill>
                          <a:srgbClr val="FFFFFF"/>
                        </a:solidFill>
                      </wps:spPr>
                      <wps:txb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38125" cy="228600"/>
                                        <wp:effectExtent l="0" t="0" r="0" b="0"/>
                                        <wp:docPr id="158"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54" descr=""/>
                                                <pic:cNvPicPr>
                                                  <a:picLocks noChangeAspect="1" noChangeArrowheads="1"/>
                                                </pic:cNvPicPr>
                                              </pic:nvPicPr>
                                              <pic:blipFill>
                                                <a:blip r:embed="rId106"/>
                                                <a:stretch>
                                                  <a:fillRect/>
                                                </a:stretch>
                                              </pic:blipFill>
                                              <pic:spPr bwMode="auto">
                                                <a:xfrm>
                                                  <a:off x="0" y="0"/>
                                                  <a:ext cx="238125" cy="228600"/>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53</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pt;mso-wrap-distance-left:0pt;mso-wrap-distance-right:0pt;mso-wrap-distance-top:0pt;mso-wrap-distance-bottom:0pt;margin-top:0pt;mso-position-vertical:top;mso-position-vertical-relative:text;margin-left:0pt;mso-position-horizontal:left;mso-position-horizontal-relative:text">
                <v:textbo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38125" cy="228600"/>
                                  <wp:effectExtent l="0" t="0" r="0" b="0"/>
                                  <wp:docPr id="159"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54" descr=""/>
                                          <pic:cNvPicPr>
                                            <a:picLocks noChangeAspect="1" noChangeArrowheads="1"/>
                                          </pic:cNvPicPr>
                                        </pic:nvPicPr>
                                        <pic:blipFill>
                                          <a:blip r:embed="rId107"/>
                                          <a:stretch>
                                            <a:fillRect/>
                                          </a:stretch>
                                        </pic:blipFill>
                                        <pic:spPr bwMode="auto">
                                          <a:xfrm>
                                            <a:off x="0" y="0"/>
                                            <a:ext cx="238125" cy="228600"/>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53</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3f718fd861814da79dc80fa32884b81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60" w:after="283"/>
        <w:jc w:val="left"/>
        <w:rPr>
          <w:rFonts w:ascii="Times New Roman;sans-serif" w:hAnsi="Times New Roman;sans-serif"/>
          <w:b/>
          <w:color w:val="00AAE5"/>
          <w:sz w:val="20"/>
        </w:rPr>
      </w:pPr>
      <w:r>
        <w:rPr>
          <w:rFonts w:ascii="Times New Roman;sans-serif" w:hAnsi="Times New Roman;sans-serif"/>
          <w:b/>
          <w:color w:val="00AAE5"/>
          <w:sz w:val="20"/>
        </w:rPr>
        <w:t>NOTE I – Commitments and Contingencies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engaged in a lease agreement for our current headquarters located in Minneapolis, Minnesota where we lease approximately 198,000 square feet under an agreement that expires in 2027. The lease also has two options to extend the term for five years each at a market rate determined in accordance with the lease. We lease other smaller facilities across the U.S. and international locations.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were as follows:</w:t>
      </w:r>
    </w:p>
    <w:tbl>
      <w:tblPr>
        <w:tblW w:w="5262" w:type="dxa"/>
        <w:jc w:val="center"/>
        <w:tblInd w:w="0" w:type="dxa"/>
        <w:tblLayout w:type="fixed"/>
        <w:tblCellMar>
          <w:top w:w="28" w:type="dxa"/>
          <w:left w:w="28" w:type="dxa"/>
          <w:bottom w:w="28" w:type="dxa"/>
          <w:right w:w="28" w:type="dxa"/>
        </w:tblCellMar>
      </w:tblPr>
      <w:tblGrid>
        <w:gridCol w:w="635"/>
        <w:gridCol w:w="559"/>
        <w:gridCol w:w="561"/>
        <w:gridCol w:w="211"/>
        <w:gridCol w:w="616"/>
        <w:gridCol w:w="109"/>
        <w:gridCol w:w="109"/>
        <w:gridCol w:w="109"/>
        <w:gridCol w:w="109"/>
        <w:gridCol w:w="211"/>
        <w:gridCol w:w="616"/>
        <w:gridCol w:w="109"/>
        <w:gridCol w:w="109"/>
        <w:gridCol w:w="109"/>
        <w:gridCol w:w="109"/>
        <w:gridCol w:w="211"/>
        <w:gridCol w:w="616"/>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7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leases was as follows:</w:t>
      </w:r>
    </w:p>
    <w:tbl>
      <w:tblPr>
        <w:tblW w:w="8064" w:type="dxa"/>
        <w:jc w:val="center"/>
        <w:tblInd w:w="0" w:type="dxa"/>
        <w:tblLayout w:type="fixed"/>
        <w:tblCellMar>
          <w:top w:w="28" w:type="dxa"/>
          <w:left w:w="28" w:type="dxa"/>
          <w:bottom w:w="28" w:type="dxa"/>
          <w:right w:w="28" w:type="dxa"/>
        </w:tblCellMar>
      </w:tblPr>
      <w:tblGrid>
        <w:gridCol w:w="2100"/>
        <w:gridCol w:w="1850"/>
        <w:gridCol w:w="1870"/>
        <w:gridCol w:w="211"/>
        <w:gridCol w:w="616"/>
        <w:gridCol w:w="109"/>
        <w:gridCol w:w="109"/>
        <w:gridCol w:w="109"/>
        <w:gridCol w:w="109"/>
        <w:gridCol w:w="211"/>
        <w:gridCol w:w="616"/>
        <w:gridCol w:w="154"/>
      </w:tblGrid>
      <w:tr>
        <w:trPr/>
        <w:tc>
          <w:tcPr>
            <w:tcW w:w="210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58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8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operating lease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Supplemental balance sheet information related to operating leases was as follows: </w:t>
      </w:r>
    </w:p>
    <w:tbl>
      <w:tblPr>
        <w:tblW w:w="6702" w:type="dxa"/>
        <w:jc w:val="center"/>
        <w:tblInd w:w="0" w:type="dxa"/>
        <w:tblLayout w:type="fixed"/>
        <w:tblCellMar>
          <w:top w:w="28" w:type="dxa"/>
          <w:left w:w="28" w:type="dxa"/>
          <w:bottom w:w="28" w:type="dxa"/>
          <w:right w:w="28" w:type="dxa"/>
        </w:tblCellMar>
      </w:tblPr>
      <w:tblGrid>
        <w:gridCol w:w="1207"/>
        <w:gridCol w:w="1059"/>
        <w:gridCol w:w="1064"/>
        <w:gridCol w:w="334"/>
        <w:gridCol w:w="334"/>
        <w:gridCol w:w="832"/>
        <w:gridCol w:w="109"/>
        <w:gridCol w:w="109"/>
        <w:gridCol w:w="109"/>
        <w:gridCol w:w="314"/>
        <w:gridCol w:w="314"/>
        <w:gridCol w:w="917"/>
      </w:tblGrid>
      <w:tr>
        <w:trPr/>
        <w:tc>
          <w:tcPr>
            <w:tcW w:w="120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w:t>
            </w:r>
          </w:p>
        </w:tc>
        <w:tc>
          <w:tcPr>
            <w:tcW w:w="1500"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years</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83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91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our future minimum payments under operating leases were as follows:</w:t>
      </w:r>
    </w:p>
    <w:tbl>
      <w:tblPr>
        <w:tblW w:w="3740" w:type="dxa"/>
        <w:jc w:val="center"/>
        <w:tblInd w:w="0" w:type="dxa"/>
        <w:tblLayout w:type="fixed"/>
        <w:tblCellMar>
          <w:top w:w="28" w:type="dxa"/>
          <w:left w:w="28" w:type="dxa"/>
          <w:bottom w:w="28" w:type="dxa"/>
          <w:right w:w="28" w:type="dxa"/>
        </w:tblCellMar>
      </w:tblPr>
      <w:tblGrid>
        <w:gridCol w:w="960"/>
        <w:gridCol w:w="846"/>
        <w:gridCol w:w="848"/>
        <w:gridCol w:w="211"/>
        <w:gridCol w:w="721"/>
        <w:gridCol w:w="154"/>
      </w:tblGrid>
      <w:tr>
        <w:trPr/>
        <w:tc>
          <w:tcPr>
            <w:tcW w:w="96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gross payments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14,029 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Purchase Commitments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entered into separate noncancelable agreements with computing infrastructure, productivity software, customer relationship management, and performance and security data analytics vendors for services through 2026. At December 31, 2023, our remaining purchase commitments and estimated purchase timing were as follows: </w:t>
      </w:r>
    </w:p>
    <w:tbl>
      <w:tblPr>
        <w:tblW w:w="4416" w:type="dxa"/>
        <w:jc w:val="left"/>
        <w:tblInd w:w="0" w:type="dxa"/>
        <w:tblLayout w:type="fixed"/>
        <w:tblCellMar>
          <w:top w:w="28" w:type="dxa"/>
          <w:left w:w="28" w:type="dxa"/>
          <w:bottom w:w="28" w:type="dxa"/>
          <w:right w:w="28" w:type="dxa"/>
        </w:tblCellMar>
      </w:tblPr>
      <w:tblGrid>
        <w:gridCol w:w="1202"/>
        <w:gridCol w:w="1060"/>
        <w:gridCol w:w="1068"/>
        <w:gridCol w:w="211"/>
        <w:gridCol w:w="721"/>
        <w:gridCol w:w="154"/>
      </w:tblGrid>
      <w:tr>
        <w:trPr/>
        <w:tc>
          <w:tcPr>
            <w:tcW w:w="1202"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remaining purchase commitments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35,064 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847090"/>
                <wp:effectExtent l="0" t="0" r="0" b="0"/>
                <wp:wrapNone/>
                <wp:docPr id="160" name="Frame54"/>
                <a:graphic xmlns:a="http://schemas.openxmlformats.org/drawingml/2006/main">
                  <a:graphicData uri="http://schemas.microsoft.com/office/word/2010/wordprocessingShape">
                    <wps:wsp>
                      <wps:cNvSpPr txBox="1"/>
                      <wps:spPr>
                        <a:xfrm>
                          <a:off x="0" y="0"/>
                          <a:ext cx="6480175" cy="847090"/>
                        </a:xfrm>
                        <a:prstGeom prst="rect"/>
                        <a:solidFill>
                          <a:srgbClr val="FFFFFF"/>
                        </a:solidFill>
                      </wps:spPr>
                      <wps:txb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38125" cy="228600"/>
                                        <wp:effectExtent l="0" t="0" r="0" b="0"/>
                                        <wp:docPr id="161"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55" descr=""/>
                                                <pic:cNvPicPr>
                                                  <a:picLocks noChangeAspect="1" noChangeArrowheads="1"/>
                                                </pic:cNvPicPr>
                                              </pic:nvPicPr>
                                              <pic:blipFill>
                                                <a:blip r:embed="rId108"/>
                                                <a:stretch>
                                                  <a:fillRect/>
                                                </a:stretch>
                                              </pic:blipFill>
                                              <pic:spPr bwMode="auto">
                                                <a:xfrm>
                                                  <a:off x="0" y="0"/>
                                                  <a:ext cx="238125" cy="228600"/>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54</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pt;mso-wrap-distance-left:0pt;mso-wrap-distance-right:0pt;mso-wrap-distance-top:0pt;mso-wrap-distance-bottom:0pt;margin-top:0pt;mso-position-vertical:top;mso-position-vertical-relative:text;margin-left:0pt;mso-position-horizontal:left;mso-position-horizontal-relative:text">
                <v:textbo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38125" cy="228600"/>
                                  <wp:effectExtent l="0" t="0" r="0" b="0"/>
                                  <wp:docPr id="162"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55" descr=""/>
                                          <pic:cNvPicPr>
                                            <a:picLocks noChangeAspect="1" noChangeArrowheads="1"/>
                                          </pic:cNvPicPr>
                                        </pic:nvPicPr>
                                        <pic:blipFill>
                                          <a:blip r:embed="rId109"/>
                                          <a:stretch>
                                            <a:fillRect/>
                                          </a:stretch>
                                        </pic:blipFill>
                                        <pic:spPr bwMode="auto">
                                          <a:xfrm>
                                            <a:off x="0" y="0"/>
                                            <a:ext cx="238125" cy="228600"/>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54</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3f718fd861814da79dc80fa32884b81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Contingencies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may be involved in various claims and legal actions in the normal course of business. We believe that the outcome of any such claim or legal action is not expected to have a material adverse effect on our financial position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AAE5"/>
          <w:sz w:val="20"/>
        </w:rPr>
      </w:pPr>
      <w:r>
        <w:rPr>
          <w:rFonts w:ascii="Times New Roman;sans-serif" w:hAnsi="Times New Roman;sans-serif"/>
          <w:b/>
          <w:color w:val="00AAE5"/>
          <w:sz w:val="20"/>
        </w:rPr>
        <w:t>NOTE J – Stockholders’ Equity</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Share Repurchase Program</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board of directors has authorized multiple non-concurrent programs to repurchase our common stock. Details of the programs and activity thereunder through December 31, 2023 were as follows:</w:t>
      </w:r>
    </w:p>
    <w:tbl>
      <w:tblPr>
        <w:tblW w:w="10205" w:type="dxa"/>
        <w:jc w:val="center"/>
        <w:tblInd w:w="0" w:type="dxa"/>
        <w:tblLayout w:type="fixed"/>
        <w:tblCellMar>
          <w:top w:w="28" w:type="dxa"/>
          <w:left w:w="28" w:type="dxa"/>
          <w:bottom w:w="28" w:type="dxa"/>
          <w:right w:w="28" w:type="dxa"/>
        </w:tblCellMar>
      </w:tblPr>
      <w:tblGrid>
        <w:gridCol w:w="337"/>
        <w:gridCol w:w="297"/>
        <w:gridCol w:w="298"/>
        <w:gridCol w:w="398"/>
        <w:gridCol w:w="349"/>
        <w:gridCol w:w="299"/>
        <w:gridCol w:w="380"/>
        <w:gridCol w:w="333"/>
        <w:gridCol w:w="334"/>
        <w:gridCol w:w="109"/>
        <w:gridCol w:w="109"/>
        <w:gridCol w:w="109"/>
        <w:gridCol w:w="299"/>
        <w:gridCol w:w="1022"/>
        <w:gridCol w:w="154"/>
        <w:gridCol w:w="109"/>
        <w:gridCol w:w="109"/>
        <w:gridCol w:w="109"/>
        <w:gridCol w:w="252"/>
        <w:gridCol w:w="863"/>
        <w:gridCol w:w="130"/>
        <w:gridCol w:w="109"/>
        <w:gridCol w:w="109"/>
        <w:gridCol w:w="109"/>
        <w:gridCol w:w="309"/>
        <w:gridCol w:w="1059"/>
        <w:gridCol w:w="160"/>
        <w:gridCol w:w="109"/>
        <w:gridCol w:w="109"/>
        <w:gridCol w:w="109"/>
        <w:gridCol w:w="313"/>
        <w:gridCol w:w="1071"/>
        <w:gridCol w:w="240"/>
      </w:tblGrid>
      <w:tr>
        <w:trPr/>
        <w:tc>
          <w:tcPr>
            <w:tcW w:w="33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93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Effective Date</w:t>
            </w:r>
          </w:p>
        </w:tc>
        <w:tc>
          <w:tcPr>
            <w:tcW w:w="104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Share Value Authorized for Repurchase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Share Value 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Unused &amp; Expired Share Repurchase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Share Value Available for Future Repurchase</w:t>
            </w:r>
          </w:p>
        </w:tc>
      </w:tr>
      <w:tr>
        <w:trPr/>
        <w:tc>
          <w:tcPr>
            <w:tcW w:w="9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2019 Program</w:t>
            </w:r>
          </w:p>
        </w:tc>
        <w:tc>
          <w:tcPr>
            <w:tcW w:w="10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2019</w:t>
            </w:r>
          </w:p>
        </w:tc>
        <w:tc>
          <w:tcPr>
            <w:tcW w:w="10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9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 Program</w:t>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2021</w:t>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49,992 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9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 Program</w:t>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2022</w:t>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47,008 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share repurchase activity by period was as follows:</w:t>
      </w:r>
    </w:p>
    <w:tbl>
      <w:tblPr>
        <w:tblW w:w="7391" w:type="dxa"/>
        <w:jc w:val="center"/>
        <w:tblInd w:w="0" w:type="dxa"/>
        <w:tblLayout w:type="fixed"/>
        <w:tblCellMar>
          <w:top w:w="28" w:type="dxa"/>
          <w:left w:w="28" w:type="dxa"/>
          <w:bottom w:w="28" w:type="dxa"/>
          <w:right w:w="28" w:type="dxa"/>
        </w:tblCellMar>
      </w:tblPr>
      <w:tblGrid>
        <w:gridCol w:w="1407"/>
        <w:gridCol w:w="1236"/>
        <w:gridCol w:w="1241"/>
        <w:gridCol w:w="211"/>
        <w:gridCol w:w="406"/>
        <w:gridCol w:w="109"/>
        <w:gridCol w:w="109"/>
        <w:gridCol w:w="109"/>
        <w:gridCol w:w="109"/>
        <w:gridCol w:w="211"/>
        <w:gridCol w:w="721"/>
        <w:gridCol w:w="109"/>
        <w:gridCol w:w="109"/>
        <w:gridCol w:w="109"/>
        <w:gridCol w:w="109"/>
        <w:gridCol w:w="211"/>
        <w:gridCol w:w="721"/>
        <w:gridCol w:w="154"/>
      </w:tblGrid>
      <w:tr>
        <w:trPr/>
        <w:tc>
          <w:tcPr>
            <w:tcW w:w="1407"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8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shares and per share amounts)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shares repurchased</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repurchased cost</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price per repurchased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AAE5"/>
          <w:sz w:val="20"/>
        </w:rPr>
      </w:pPr>
      <w:r>
        <w:rPr>
          <w:rFonts w:ascii="Times New Roman;sans-serif" w:hAnsi="Times New Roman;sans-serif"/>
          <w:b/>
          <w:color w:val="00AAE5"/>
          <w:sz w:val="20"/>
        </w:rPr>
        <w:t>NOTE K – Stock-Based Compensation</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Our equity compensation plans provide for the grant of incentive and nonqualified stock options, as well as other stock-based awards including PSUs, RSAs, RSUs, and DSUs, to employees, non-employee directors and other consultants who provide services to us. We also provide an ESPP and 401(k) stock match to eligible participants.</w:t>
      </w:r>
      <w:r>
        <w:rPr>
          <w:color w:val="000000"/>
        </w:rPr>
        <w:t xml:space="preserve">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 stock-based compensation expense based on grant date award fair value. This cost is recognized over the period for which the employee is required to provide service in exchange for the award or the award performance period, except for expenses relating to retirement-eligible employees that have not given their required notice, which is recognized on a pro-rata basis over the notice period prior to retirement. At December 31, 2023 there were 12.7 million shares available for grant under approved equity compensation plans.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was allocated in the consolidated statements of comprehensive income as follows:</w:t>
      </w:r>
    </w:p>
    <w:tbl>
      <w:tblPr>
        <w:tblW w:w="6132" w:type="dxa"/>
        <w:jc w:val="center"/>
        <w:tblInd w:w="0" w:type="dxa"/>
        <w:tblLayout w:type="fixed"/>
        <w:tblCellMar>
          <w:top w:w="28" w:type="dxa"/>
          <w:left w:w="28" w:type="dxa"/>
          <w:bottom w:w="28" w:type="dxa"/>
          <w:right w:w="28" w:type="dxa"/>
        </w:tblCellMar>
      </w:tblPr>
      <w:tblGrid>
        <w:gridCol w:w="836"/>
        <w:gridCol w:w="735"/>
        <w:gridCol w:w="739"/>
        <w:gridCol w:w="211"/>
        <w:gridCol w:w="721"/>
        <w:gridCol w:w="109"/>
        <w:gridCol w:w="109"/>
        <w:gridCol w:w="109"/>
        <w:gridCol w:w="109"/>
        <w:gridCol w:w="211"/>
        <w:gridCol w:w="721"/>
        <w:gridCol w:w="109"/>
        <w:gridCol w:w="109"/>
        <w:gridCol w:w="109"/>
        <w:gridCol w:w="109"/>
        <w:gridCol w:w="211"/>
        <w:gridCol w:w="721"/>
        <w:gridCol w:w="154"/>
      </w:tblGrid>
      <w:tr>
        <w:trPr/>
        <w:tc>
          <w:tcPr>
            <w:tcW w:w="83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27,574 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847090"/>
                <wp:effectExtent l="0" t="0" r="0" b="0"/>
                <wp:wrapNone/>
                <wp:docPr id="163" name="Frame55"/>
                <a:graphic xmlns:a="http://schemas.openxmlformats.org/drawingml/2006/main">
                  <a:graphicData uri="http://schemas.microsoft.com/office/word/2010/wordprocessingShape">
                    <wps:wsp>
                      <wps:cNvSpPr txBox="1"/>
                      <wps:spPr>
                        <a:xfrm>
                          <a:off x="0" y="0"/>
                          <a:ext cx="6480175" cy="847090"/>
                        </a:xfrm>
                        <a:prstGeom prst="rect"/>
                        <a:solidFill>
                          <a:srgbClr val="FFFFFF"/>
                        </a:solidFill>
                      </wps:spPr>
                      <wps:txb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38125" cy="228600"/>
                                        <wp:effectExtent l="0" t="0" r="0" b="0"/>
                                        <wp:docPr id="164"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56" descr=""/>
                                                <pic:cNvPicPr>
                                                  <a:picLocks noChangeAspect="1" noChangeArrowheads="1"/>
                                                </pic:cNvPicPr>
                                              </pic:nvPicPr>
                                              <pic:blipFill>
                                                <a:blip r:embed="rId110"/>
                                                <a:stretch>
                                                  <a:fillRect/>
                                                </a:stretch>
                                              </pic:blipFill>
                                              <pic:spPr bwMode="auto">
                                                <a:xfrm>
                                                  <a:off x="0" y="0"/>
                                                  <a:ext cx="238125" cy="228600"/>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55</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pt;mso-wrap-distance-left:0pt;mso-wrap-distance-right:0pt;mso-wrap-distance-top:0pt;mso-wrap-distance-bottom:0pt;margin-top:0pt;mso-position-vertical:top;mso-position-vertical-relative:text;margin-left:0pt;mso-position-horizontal:left;mso-position-horizontal-relative:text">
                <v:textbo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38125" cy="228600"/>
                                  <wp:effectExtent l="0" t="0" r="0" b="0"/>
                                  <wp:docPr id="165"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56" descr=""/>
                                          <pic:cNvPicPr>
                                            <a:picLocks noChangeAspect="1" noChangeArrowheads="1"/>
                                          </pic:cNvPicPr>
                                        </pic:nvPicPr>
                                        <pic:blipFill>
                                          <a:blip r:embed="rId111"/>
                                          <a:stretch>
                                            <a:fillRect/>
                                          </a:stretch>
                                        </pic:blipFill>
                                        <pic:spPr bwMode="auto">
                                          <a:xfrm>
                                            <a:off x="0" y="0"/>
                                            <a:ext cx="238125" cy="228600"/>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55</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3f718fd861814da79dc80fa32884b81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by grant type or plan was as follows:</w:t>
      </w:r>
    </w:p>
    <w:tbl>
      <w:tblPr>
        <w:tblW w:w="5502" w:type="dxa"/>
        <w:jc w:val="center"/>
        <w:tblInd w:w="0" w:type="dxa"/>
        <w:tblLayout w:type="fixed"/>
        <w:tblCellMar>
          <w:top w:w="28" w:type="dxa"/>
          <w:left w:w="28" w:type="dxa"/>
          <w:bottom w:w="28" w:type="dxa"/>
          <w:right w:w="28" w:type="dxa"/>
        </w:tblCellMar>
      </w:tblPr>
      <w:tblGrid>
        <w:gridCol w:w="607"/>
        <w:gridCol w:w="536"/>
        <w:gridCol w:w="537"/>
        <w:gridCol w:w="211"/>
        <w:gridCol w:w="721"/>
        <w:gridCol w:w="109"/>
        <w:gridCol w:w="109"/>
        <w:gridCol w:w="109"/>
        <w:gridCol w:w="109"/>
        <w:gridCol w:w="211"/>
        <w:gridCol w:w="721"/>
        <w:gridCol w:w="109"/>
        <w:gridCol w:w="109"/>
        <w:gridCol w:w="109"/>
        <w:gridCol w:w="109"/>
        <w:gridCol w:w="211"/>
        <w:gridCol w:w="721"/>
        <w:gridCol w:w="154"/>
      </w:tblGrid>
      <w:tr>
        <w:trPr/>
        <w:tc>
          <w:tcPr>
            <w:tcW w:w="60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6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PSUs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RSUs &amp; DSUs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RSAs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ESPP</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401(k) stock match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45,508 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33,399 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27,574 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there was $52.0 million of unrecognized stock-based compensation expense under our equity compensation plans, which is expected to be recognized on a primarily straight-line basis over a weighted-average period of 2.4 years.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Options generally vest over four years and, upon vesting, the holder is given the option to purchase shares of common stock at a specific strike price until expiration, which is generally seven years from the grant date.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stock option activity was as follows:</w:t>
      </w:r>
    </w:p>
    <w:tbl>
      <w:tblPr>
        <w:tblW w:w="5696" w:type="dxa"/>
        <w:jc w:val="center"/>
        <w:tblInd w:w="0" w:type="dxa"/>
        <w:tblLayout w:type="fixed"/>
        <w:tblCellMar>
          <w:top w:w="28" w:type="dxa"/>
          <w:left w:w="28" w:type="dxa"/>
          <w:bottom w:w="28" w:type="dxa"/>
          <w:right w:w="28" w:type="dxa"/>
        </w:tblCellMar>
      </w:tblPr>
      <w:tblGrid>
        <w:gridCol w:w="1065"/>
        <w:gridCol w:w="935"/>
        <w:gridCol w:w="940"/>
        <w:gridCol w:w="309"/>
        <w:gridCol w:w="309"/>
        <w:gridCol w:w="311"/>
        <w:gridCol w:w="109"/>
        <w:gridCol w:w="109"/>
        <w:gridCol w:w="109"/>
        <w:gridCol w:w="439"/>
        <w:gridCol w:w="439"/>
        <w:gridCol w:w="622"/>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Options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br/>
              <w:t xml:space="preserve">Exercise Price </w:t>
              <w:br/>
              <w:t>($/share)</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2020</w:t>
            </w:r>
          </w:p>
        </w:tc>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944,886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36.71 </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105.53 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(311,378)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30.10 </w:t>
            </w:r>
          </w:p>
        </w:tc>
        <w:tc>
          <w:tcPr>
            <w:tcW w:w="6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68.62 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2021</w:t>
            </w:r>
          </w:p>
        </w:tc>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678,650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44.76 </w:t>
            </w:r>
          </w:p>
        </w:tc>
        <w:tc>
          <w:tcPr>
            <w:tcW w:w="6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122.59 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29.86 </w:t>
            </w:r>
          </w:p>
        </w:tc>
        <w:tc>
          <w:tcPr>
            <w:tcW w:w="6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92.48 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2022</w:t>
            </w:r>
          </w:p>
        </w:tc>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562,697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56.24 </w:t>
            </w:r>
          </w:p>
        </w:tc>
        <w:tc>
          <w:tcPr>
            <w:tcW w:w="6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152.68 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(254,353)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38.75 </w:t>
            </w:r>
          </w:p>
        </w:tc>
        <w:tc>
          <w:tcPr>
            <w:tcW w:w="6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129.43 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2023</w:t>
            </w:r>
          </w:p>
        </w:tc>
        <w:tc>
          <w:tcPr>
            <w:tcW w:w="92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346,822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80.02 </w:t>
            </w:r>
          </w:p>
        </w:tc>
        <w:tc>
          <w:tcPr>
            <w:tcW w:w="6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pPr>
      <w:r>
        <w:rPr>
          <w:rFonts w:ascii="Times New Roman;sans-serif" w:hAnsi="Times New Roman;sans-serif"/>
          <w:b w:val="false"/>
          <w:color w:val="000000"/>
          <w:sz w:val="20"/>
        </w:rPr>
        <w:t>Of the total outstanding options at December 31, 2023, 0.3 million</w:t>
      </w:r>
      <w:r>
        <w:rPr>
          <w:color w:val="000000"/>
        </w:rPr>
        <w:t xml:space="preserve"> </w:t>
      </w:r>
      <w:r>
        <w:rPr>
          <w:rFonts w:ascii="Times New Roman;sans-serif" w:hAnsi="Times New Roman;sans-serif"/>
          <w:b w:val="false"/>
          <w:color w:val="000000"/>
          <w:sz w:val="20"/>
        </w:rPr>
        <w:t>were exercisable. The outstanding and exercisable options had a weighted average exercise price of $67.07</w:t>
      </w:r>
      <w:r>
        <w:rPr>
          <w:color w:val="000000"/>
        </w:rPr>
        <w:t xml:space="preserve"> </w:t>
      </w:r>
      <w:r>
        <w:rPr>
          <w:rFonts w:ascii="Times New Roman;sans-serif" w:hAnsi="Times New Roman;sans-serif"/>
          <w:b w:val="false"/>
          <w:color w:val="000000"/>
          <w:sz w:val="20"/>
        </w:rPr>
        <w:t>per share and a weighted average remaining contractual life of 3.1 years.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additional information related to our stock options:</w:t>
      </w:r>
    </w:p>
    <w:tbl>
      <w:tblPr>
        <w:tblW w:w="8217" w:type="dxa"/>
        <w:jc w:val="center"/>
        <w:tblInd w:w="0" w:type="dxa"/>
        <w:tblLayout w:type="fixed"/>
        <w:tblCellMar>
          <w:top w:w="28" w:type="dxa"/>
          <w:left w:w="28" w:type="dxa"/>
          <w:bottom w:w="28" w:type="dxa"/>
          <w:right w:w="28" w:type="dxa"/>
        </w:tblCellMar>
      </w:tblPr>
      <w:tblGrid>
        <w:gridCol w:w="1707"/>
        <w:gridCol w:w="1499"/>
        <w:gridCol w:w="1504"/>
        <w:gridCol w:w="211"/>
        <w:gridCol w:w="616"/>
        <w:gridCol w:w="109"/>
        <w:gridCol w:w="109"/>
        <w:gridCol w:w="109"/>
        <w:gridCol w:w="109"/>
        <w:gridCol w:w="211"/>
        <w:gridCol w:w="616"/>
        <w:gridCol w:w="109"/>
        <w:gridCol w:w="109"/>
        <w:gridCol w:w="109"/>
        <w:gridCol w:w="109"/>
        <w:gridCol w:w="211"/>
        <w:gridCol w:w="616"/>
        <w:gridCol w:w="154"/>
      </w:tblGrid>
      <w:tr>
        <w:trPr/>
        <w:tc>
          <w:tcPr>
            <w:tcW w:w="1707"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7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options vested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Intrinsic value of options exercised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Intrinsic value of options outstanding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fair value per share of options granted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847090"/>
                <wp:effectExtent l="0" t="0" r="0" b="0"/>
                <wp:wrapNone/>
                <wp:docPr id="166" name="Frame56"/>
                <a:graphic xmlns:a="http://schemas.openxmlformats.org/drawingml/2006/main">
                  <a:graphicData uri="http://schemas.microsoft.com/office/word/2010/wordprocessingShape">
                    <wps:wsp>
                      <wps:cNvSpPr txBox="1"/>
                      <wps:spPr>
                        <a:xfrm>
                          <a:off x="0" y="0"/>
                          <a:ext cx="6480175" cy="847090"/>
                        </a:xfrm>
                        <a:prstGeom prst="rect"/>
                        <a:solidFill>
                          <a:srgbClr val="FFFFFF"/>
                        </a:solidFill>
                      </wps:spPr>
                      <wps:txb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38125" cy="228600"/>
                                        <wp:effectExtent l="0" t="0" r="0" b="0"/>
                                        <wp:docPr id="16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57" descr=""/>
                                                <pic:cNvPicPr>
                                                  <a:picLocks noChangeAspect="1" noChangeArrowheads="1"/>
                                                </pic:cNvPicPr>
                                              </pic:nvPicPr>
                                              <pic:blipFill>
                                                <a:blip r:embed="rId112"/>
                                                <a:stretch>
                                                  <a:fillRect/>
                                                </a:stretch>
                                              </pic:blipFill>
                                              <pic:spPr bwMode="auto">
                                                <a:xfrm>
                                                  <a:off x="0" y="0"/>
                                                  <a:ext cx="238125" cy="228600"/>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56</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pt;mso-wrap-distance-left:0pt;mso-wrap-distance-right:0pt;mso-wrap-distance-top:0pt;mso-wrap-distance-bottom:0pt;margin-top:0pt;mso-position-vertical:top;mso-position-vertical-relative:text;margin-left:0pt;mso-position-horizontal:left;mso-position-horizontal-relative:text">
                <v:textbo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38125" cy="228600"/>
                                  <wp:effectExtent l="0" t="0" r="0" b="0"/>
                                  <wp:docPr id="168"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57" descr=""/>
                                          <pic:cNvPicPr>
                                            <a:picLocks noChangeAspect="1" noChangeArrowheads="1"/>
                                          </pic:cNvPicPr>
                                        </pic:nvPicPr>
                                        <pic:blipFill>
                                          <a:blip r:embed="rId113"/>
                                          <a:stretch>
                                            <a:fillRect/>
                                          </a:stretch>
                                        </pic:blipFill>
                                        <pic:spPr bwMode="auto">
                                          <a:xfrm>
                                            <a:off x="0" y="0"/>
                                            <a:ext cx="238125" cy="228600"/>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56</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3f718fd861814da79dc80fa32884b81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values of the options granted were estimated on the date of grant using the Black-Scholes option pricing model with the following weighted-average assumptions:</w:t>
      </w:r>
    </w:p>
    <w:tbl>
      <w:tblPr>
        <w:tblW w:w="4890" w:type="dxa"/>
        <w:jc w:val="center"/>
        <w:tblInd w:w="0" w:type="dxa"/>
        <w:tblLayout w:type="fixed"/>
        <w:tblCellMar>
          <w:top w:w="28" w:type="dxa"/>
          <w:left w:w="28" w:type="dxa"/>
          <w:bottom w:w="28" w:type="dxa"/>
          <w:right w:w="28" w:type="dxa"/>
        </w:tblCellMar>
      </w:tblPr>
      <w:tblGrid>
        <w:gridCol w:w="669"/>
        <w:gridCol w:w="587"/>
        <w:gridCol w:w="589"/>
        <w:gridCol w:w="254"/>
        <w:gridCol w:w="257"/>
        <w:gridCol w:w="271"/>
        <w:gridCol w:w="109"/>
        <w:gridCol w:w="109"/>
        <w:gridCol w:w="109"/>
        <w:gridCol w:w="254"/>
        <w:gridCol w:w="257"/>
        <w:gridCol w:w="271"/>
        <w:gridCol w:w="109"/>
        <w:gridCol w:w="109"/>
        <w:gridCol w:w="109"/>
        <w:gridCol w:w="254"/>
        <w:gridCol w:w="257"/>
        <w:gridCol w:w="316"/>
      </w:tblGrid>
      <w:tr>
        <w:trPr/>
        <w:tc>
          <w:tcPr>
            <w:tcW w:w="66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Life (in years)</w:t>
            </w:r>
          </w:p>
        </w:tc>
        <w:tc>
          <w:tcPr>
            <w:tcW w:w="7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0.59 </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Performance Share Units, Restricted Stock Units and Awards, and Deferred Stock Units</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In 2023, 2022, and 2021 we granted PSU awards with certain target performance levels. These awards are earned based upon our Company’s total shareholder return as compared to an indexed total shareholder return over the course of a fiscal based three-year performance period, starting in the year of grant. Earned awards vest in the quarter following the conclusion of the performance period. Expense is recognized on a straight-line basis over the performance period, regardless of whether the market condition is satisfied as the likelihood of the market condition being met is included in the fair-value measurement of the award.</w:t>
      </w:r>
      <w:r>
        <w:rPr>
          <w:color w:val="000000"/>
          <w:shd w:fill="FFFFFF" w:val="clear"/>
        </w:rPr>
        <w:t xml:space="preserve"> </w:t>
      </w:r>
      <w:r>
        <w:rPr>
          <w:rFonts w:ascii="Times New Roman;sans-serif" w:hAnsi="Times New Roman;sans-serif"/>
          <w:b w:val="false"/>
          <w:color w:val="000000"/>
          <w:sz w:val="20"/>
          <w:shd w:fill="FFFFFF" w:val="clear"/>
        </w:rPr>
        <w:t xml:space="preserve">In </w:t>
      </w:r>
      <w:r>
        <w:rPr>
          <w:rFonts w:ascii="Times New Roman;sans-serif" w:hAnsi="Times New Roman;sans-serif"/>
          <w:b w:val="false"/>
          <w:color w:val="000000"/>
          <w:sz w:val="20"/>
        </w:rPr>
        <w:t>2023</w:t>
      </w:r>
      <w:r>
        <w:rPr>
          <w:rFonts w:ascii="Times New Roman;sans-serif" w:hAnsi="Times New Roman;sans-serif"/>
          <w:b w:val="false"/>
          <w:color w:val="000000"/>
          <w:sz w:val="20"/>
          <w:shd w:fill="FFFFFF" w:val="clear"/>
        </w:rPr>
        <w:t>, PSU awards granted in 2020 were earned and vested at the maximum performance level and less than 0.2 million shares of common stock were issued.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RSUs generally vest over four years and, upon vesting, the holder is entitled to receive shares of our common stock.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RSAs vest over one year and, upon vesting, the holder is entitled to receive shares of our common stock. In lieu of RSAs, a participant may elect to receive DSUs with one year vesting, but the participant directs delayed receipt of common shares of up to ten years after the end of service to us.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Activity for our PSUs, RSUs, RSAs, and DSUs in aggregate was as follows:</w:t>
      </w:r>
    </w:p>
    <w:tbl>
      <w:tblPr>
        <w:tblW w:w="6160" w:type="dxa"/>
        <w:jc w:val="center"/>
        <w:tblInd w:w="0" w:type="dxa"/>
        <w:tblLayout w:type="fixed"/>
        <w:tblCellMar>
          <w:top w:w="28" w:type="dxa"/>
          <w:left w:w="28" w:type="dxa"/>
          <w:bottom w:w="28" w:type="dxa"/>
          <w:right w:w="28" w:type="dxa"/>
        </w:tblCellMar>
      </w:tblPr>
      <w:tblGrid>
        <w:gridCol w:w="1065"/>
        <w:gridCol w:w="935"/>
        <w:gridCol w:w="940"/>
        <w:gridCol w:w="298"/>
        <w:gridCol w:w="298"/>
        <w:gridCol w:w="303"/>
        <w:gridCol w:w="109"/>
        <w:gridCol w:w="109"/>
        <w:gridCol w:w="109"/>
        <w:gridCol w:w="583"/>
        <w:gridCol w:w="583"/>
        <w:gridCol w:w="828"/>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Grant</w:t>
              <w:br/>
              <w:t xml:space="preserve">Date Fair Value </w:t>
              <w:br/>
              <w:t>($/share)</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2020</w:t>
            </w:r>
          </w:p>
        </w:tc>
        <w:tc>
          <w:tcPr>
            <w:tcW w:w="8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738,422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52.37 </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314,290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101.85 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common stock issued</w:t>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(331,669)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44.14 </w:t>
            </w:r>
          </w:p>
        </w:tc>
        <w:tc>
          <w:tcPr>
            <w:tcW w:w="8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66.35 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2021</w:t>
            </w:r>
          </w:p>
        </w:tc>
        <w:tc>
          <w:tcPr>
            <w:tcW w:w="8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702,160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78.03 </w:t>
            </w:r>
          </w:p>
        </w:tc>
        <w:tc>
          <w:tcPr>
            <w:tcW w:w="8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312,880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126.44 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common stock issued</w:t>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(276,872)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64.12 </w:t>
            </w:r>
          </w:p>
        </w:tc>
        <w:tc>
          <w:tcPr>
            <w:tcW w:w="8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99.37 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2022</w:t>
            </w:r>
          </w:p>
        </w:tc>
        <w:tc>
          <w:tcPr>
            <w:tcW w:w="8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712,158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103.93 </w:t>
            </w:r>
          </w:p>
        </w:tc>
        <w:tc>
          <w:tcPr>
            <w:tcW w:w="8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416,377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163.55 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common stock issued</w:t>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(344,087)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77.52 </w:t>
            </w:r>
          </w:p>
        </w:tc>
        <w:tc>
          <w:tcPr>
            <w:tcW w:w="8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122.97 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2023</w:t>
            </w:r>
          </w:p>
        </w:tc>
        <w:tc>
          <w:tcPr>
            <w:tcW w:w="89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773,414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147.50 </w:t>
            </w:r>
          </w:p>
        </w:tc>
        <w:tc>
          <w:tcPr>
            <w:tcW w:w="8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number of PSUs, RSUs, RSAs, and DSUs outstanding at December 31, 2023 included less than 0.1 million units that have vested, but the shares of common stock have not yet been issued, pursuant to the terms of the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847090"/>
                <wp:effectExtent l="0" t="0" r="0" b="0"/>
                <wp:wrapNone/>
                <wp:docPr id="169" name="Frame57"/>
                <a:graphic xmlns:a="http://schemas.openxmlformats.org/drawingml/2006/main">
                  <a:graphicData uri="http://schemas.microsoft.com/office/word/2010/wordprocessingShape">
                    <wps:wsp>
                      <wps:cNvSpPr txBox="1"/>
                      <wps:spPr>
                        <a:xfrm>
                          <a:off x="0" y="0"/>
                          <a:ext cx="6480175" cy="847090"/>
                        </a:xfrm>
                        <a:prstGeom prst="rect"/>
                        <a:solidFill>
                          <a:srgbClr val="FFFFFF"/>
                        </a:solidFill>
                      </wps:spPr>
                      <wps:txb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38125" cy="228600"/>
                                        <wp:effectExtent l="0" t="0" r="0" b="0"/>
                                        <wp:docPr id="170"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58" descr=""/>
                                                <pic:cNvPicPr>
                                                  <a:picLocks noChangeAspect="1" noChangeArrowheads="1"/>
                                                </pic:cNvPicPr>
                                              </pic:nvPicPr>
                                              <pic:blipFill>
                                                <a:blip r:embed="rId114"/>
                                                <a:stretch>
                                                  <a:fillRect/>
                                                </a:stretch>
                                              </pic:blipFill>
                                              <pic:spPr bwMode="auto">
                                                <a:xfrm>
                                                  <a:off x="0" y="0"/>
                                                  <a:ext cx="238125" cy="228600"/>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57</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pt;mso-wrap-distance-left:0pt;mso-wrap-distance-right:0pt;mso-wrap-distance-top:0pt;mso-wrap-distance-bottom:0pt;margin-top:0pt;mso-position-vertical:top;mso-position-vertical-relative:text;margin-left:0pt;mso-position-horizontal:left;mso-position-horizontal-relative:text">
                <v:textbo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38125" cy="228600"/>
                                  <wp:effectExtent l="0" t="0" r="0" b="0"/>
                                  <wp:docPr id="171"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58" descr=""/>
                                          <pic:cNvPicPr>
                                            <a:picLocks noChangeAspect="1" noChangeArrowheads="1"/>
                                          </pic:cNvPicPr>
                                        </pic:nvPicPr>
                                        <pic:blipFill>
                                          <a:blip r:embed="rId115"/>
                                          <a:stretch>
                                            <a:fillRect/>
                                          </a:stretch>
                                        </pic:blipFill>
                                        <pic:spPr bwMode="auto">
                                          <a:xfrm>
                                            <a:off x="0" y="0"/>
                                            <a:ext cx="238125" cy="228600"/>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57</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3f718fd861814da79dc80fa32884b81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ESPP activity was as follows: </w:t>
      </w:r>
    </w:p>
    <w:tbl>
      <w:tblPr>
        <w:tblW w:w="6042" w:type="dxa"/>
        <w:jc w:val="center"/>
        <w:tblInd w:w="0" w:type="dxa"/>
        <w:tblLayout w:type="fixed"/>
        <w:tblCellMar>
          <w:top w:w="28" w:type="dxa"/>
          <w:left w:w="28" w:type="dxa"/>
          <w:bottom w:w="28" w:type="dxa"/>
          <w:right w:w="28" w:type="dxa"/>
        </w:tblCellMar>
      </w:tblPr>
      <w:tblGrid>
        <w:gridCol w:w="918"/>
        <w:gridCol w:w="807"/>
        <w:gridCol w:w="810"/>
        <w:gridCol w:w="211"/>
        <w:gridCol w:w="616"/>
        <w:gridCol w:w="109"/>
        <w:gridCol w:w="109"/>
        <w:gridCol w:w="109"/>
        <w:gridCol w:w="109"/>
        <w:gridCol w:w="211"/>
        <w:gridCol w:w="616"/>
        <w:gridCol w:w="109"/>
        <w:gridCol w:w="109"/>
        <w:gridCol w:w="109"/>
        <w:gridCol w:w="109"/>
        <w:gridCol w:w="211"/>
        <w:gridCol w:w="616"/>
        <w:gridCol w:w="154"/>
      </w:tblGrid>
      <w:tr>
        <w:trPr/>
        <w:tc>
          <w:tcPr>
            <w:tcW w:w="91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share data)</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for shares purchased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purchased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 total of 1.7 million shares of common stock are remaining for issuance under the plan at December 31, 2023.</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was estimated based on the market price of our common stock at the beginning of the offering period using the following assumptions:</w:t>
      </w:r>
    </w:p>
    <w:tbl>
      <w:tblPr>
        <w:tblW w:w="4890" w:type="dxa"/>
        <w:jc w:val="center"/>
        <w:tblInd w:w="0" w:type="dxa"/>
        <w:tblLayout w:type="fixed"/>
        <w:tblCellMar>
          <w:top w:w="28" w:type="dxa"/>
          <w:left w:w="28" w:type="dxa"/>
          <w:bottom w:w="28" w:type="dxa"/>
          <w:right w:w="28" w:type="dxa"/>
        </w:tblCellMar>
      </w:tblPr>
      <w:tblGrid>
        <w:gridCol w:w="669"/>
        <w:gridCol w:w="587"/>
        <w:gridCol w:w="589"/>
        <w:gridCol w:w="254"/>
        <w:gridCol w:w="257"/>
        <w:gridCol w:w="271"/>
        <w:gridCol w:w="109"/>
        <w:gridCol w:w="109"/>
        <w:gridCol w:w="109"/>
        <w:gridCol w:w="254"/>
        <w:gridCol w:w="257"/>
        <w:gridCol w:w="271"/>
        <w:gridCol w:w="109"/>
        <w:gridCol w:w="109"/>
        <w:gridCol w:w="109"/>
        <w:gridCol w:w="254"/>
        <w:gridCol w:w="257"/>
        <w:gridCol w:w="316"/>
      </w:tblGrid>
      <w:tr>
        <w:trPr/>
        <w:tc>
          <w:tcPr>
            <w:tcW w:w="66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Life (in years)</w:t>
            </w:r>
          </w:p>
        </w:tc>
        <w:tc>
          <w:tcPr>
            <w:tcW w:w="7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AAE5"/>
          <w:sz w:val="20"/>
          <w:shd w:fill="FFFFFF" w:val="clear"/>
        </w:rPr>
      </w:pPr>
      <w:r>
        <w:rPr>
          <w:rFonts w:ascii="Times New Roman;sans-serif" w:hAnsi="Times New Roman;sans-serif"/>
          <w:b/>
          <w:color w:val="00AAE5"/>
          <w:sz w:val="20"/>
          <w:shd w:fill="FFFFFF" w:val="clear"/>
        </w:rPr>
        <w:t>Note L – Income Taxes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provision for income taxes was comprised of the following components:</w:t>
      </w:r>
    </w:p>
    <w:tbl>
      <w:tblPr>
        <w:tblW w:w="4856" w:type="dxa"/>
        <w:jc w:val="center"/>
        <w:tblInd w:w="0" w:type="dxa"/>
        <w:tblLayout w:type="fixed"/>
        <w:tblCellMar>
          <w:top w:w="28" w:type="dxa"/>
          <w:left w:w="28" w:type="dxa"/>
          <w:bottom w:w="28" w:type="dxa"/>
          <w:right w:w="28" w:type="dxa"/>
        </w:tblCellMar>
      </w:tblPr>
      <w:tblGrid>
        <w:gridCol w:w="412"/>
        <w:gridCol w:w="363"/>
        <w:gridCol w:w="364"/>
        <w:gridCol w:w="211"/>
        <w:gridCol w:w="721"/>
        <w:gridCol w:w="109"/>
        <w:gridCol w:w="109"/>
        <w:gridCol w:w="109"/>
        <w:gridCol w:w="109"/>
        <w:gridCol w:w="211"/>
        <w:gridCol w:w="721"/>
        <w:gridCol w:w="109"/>
        <w:gridCol w:w="109"/>
        <w:gridCol w:w="109"/>
        <w:gridCol w:w="109"/>
        <w:gridCol w:w="211"/>
        <w:gridCol w:w="616"/>
        <w:gridCol w:w="154"/>
      </w:tblGrid>
      <w:tr>
        <w:trPr/>
        <w:tc>
          <w:tcPr>
            <w:tcW w:w="41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income tax expense differed from the amounts computed by applying the U.S. federal income tax rate to pretax income as a result of the following:</w:t>
      </w:r>
    </w:p>
    <w:tbl>
      <w:tblPr>
        <w:tblW w:w="7048" w:type="dxa"/>
        <w:jc w:val="center"/>
        <w:tblInd w:w="0" w:type="dxa"/>
        <w:tblLayout w:type="fixed"/>
        <w:tblCellMar>
          <w:top w:w="28" w:type="dxa"/>
          <w:left w:w="28" w:type="dxa"/>
          <w:bottom w:w="28" w:type="dxa"/>
          <w:right w:w="28" w:type="dxa"/>
        </w:tblCellMar>
      </w:tblPr>
      <w:tblGrid>
        <w:gridCol w:w="1420"/>
        <w:gridCol w:w="1252"/>
        <w:gridCol w:w="1257"/>
        <w:gridCol w:w="255"/>
        <w:gridCol w:w="256"/>
        <w:gridCol w:w="271"/>
        <w:gridCol w:w="109"/>
        <w:gridCol w:w="109"/>
        <w:gridCol w:w="109"/>
        <w:gridCol w:w="255"/>
        <w:gridCol w:w="256"/>
        <w:gridCol w:w="271"/>
        <w:gridCol w:w="109"/>
        <w:gridCol w:w="109"/>
        <w:gridCol w:w="109"/>
        <w:gridCol w:w="291"/>
        <w:gridCol w:w="294"/>
        <w:gridCol w:w="316"/>
      </w:tblGrid>
      <w:tr>
        <w:trPr/>
        <w:tc>
          <w:tcPr>
            <w:tcW w:w="1420"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statutory federal income tax rate</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resulting from:</w:t>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state income taxes, net of federal tax effect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impact of stock activity</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compensation</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credit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derived intangible income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847090"/>
                <wp:effectExtent l="0" t="0" r="0" b="0"/>
                <wp:wrapNone/>
                <wp:docPr id="172" name="Frame58"/>
                <a:graphic xmlns:a="http://schemas.openxmlformats.org/drawingml/2006/main">
                  <a:graphicData uri="http://schemas.microsoft.com/office/word/2010/wordprocessingShape">
                    <wps:wsp>
                      <wps:cNvSpPr txBox="1"/>
                      <wps:spPr>
                        <a:xfrm>
                          <a:off x="0" y="0"/>
                          <a:ext cx="6480175" cy="847090"/>
                        </a:xfrm>
                        <a:prstGeom prst="rect"/>
                        <a:solidFill>
                          <a:srgbClr val="FFFFFF"/>
                        </a:solidFill>
                      </wps:spPr>
                      <wps:txb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38125" cy="228600"/>
                                        <wp:effectExtent l="0" t="0" r="0" b="0"/>
                                        <wp:docPr id="173"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59" descr=""/>
                                                <pic:cNvPicPr>
                                                  <a:picLocks noChangeAspect="1" noChangeArrowheads="1"/>
                                                </pic:cNvPicPr>
                                              </pic:nvPicPr>
                                              <pic:blipFill>
                                                <a:blip r:embed="rId116"/>
                                                <a:stretch>
                                                  <a:fillRect/>
                                                </a:stretch>
                                              </pic:blipFill>
                                              <pic:spPr bwMode="auto">
                                                <a:xfrm>
                                                  <a:off x="0" y="0"/>
                                                  <a:ext cx="238125" cy="228600"/>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58</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pt;mso-wrap-distance-left:0pt;mso-wrap-distance-right:0pt;mso-wrap-distance-top:0pt;mso-wrap-distance-bottom:0pt;margin-top:0pt;mso-position-vertical:top;mso-position-vertical-relative:text;margin-left:0pt;mso-position-horizontal:left;mso-position-horizontal-relative:text">
                <v:textbo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38125" cy="228600"/>
                                  <wp:effectExtent l="0" t="0" r="0" b="0"/>
                                  <wp:docPr id="174"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59" descr=""/>
                                          <pic:cNvPicPr>
                                            <a:picLocks noChangeAspect="1" noChangeArrowheads="1"/>
                                          </pic:cNvPicPr>
                                        </pic:nvPicPr>
                                        <pic:blipFill>
                                          <a:blip r:embed="rId117"/>
                                          <a:stretch>
                                            <a:fillRect/>
                                          </a:stretch>
                                        </pic:blipFill>
                                        <pic:spPr bwMode="auto">
                                          <a:xfrm>
                                            <a:off x="0" y="0"/>
                                            <a:ext cx="238125" cy="228600"/>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58</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3f718fd861814da79dc80fa32884b81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significant components of our deferred income tax assets and liabilities were as follows:</w:t>
      </w:r>
    </w:p>
    <w:tbl>
      <w:tblPr>
        <w:tblW w:w="6189" w:type="dxa"/>
        <w:jc w:val="left"/>
        <w:tblInd w:w="0" w:type="dxa"/>
        <w:tblLayout w:type="fixed"/>
        <w:tblCellMar>
          <w:top w:w="28" w:type="dxa"/>
          <w:left w:w="28" w:type="dxa"/>
          <w:bottom w:w="28" w:type="dxa"/>
          <w:right w:w="28" w:type="dxa"/>
        </w:tblCellMar>
      </w:tblPr>
      <w:tblGrid>
        <w:gridCol w:w="1296"/>
        <w:gridCol w:w="1143"/>
        <w:gridCol w:w="1146"/>
        <w:gridCol w:w="211"/>
        <w:gridCol w:w="796"/>
        <w:gridCol w:w="109"/>
        <w:gridCol w:w="109"/>
        <w:gridCol w:w="109"/>
        <w:gridCol w:w="109"/>
        <w:gridCol w:w="211"/>
        <w:gridCol w:w="796"/>
        <w:gridCol w:w="154"/>
      </w:tblGrid>
      <w:tr>
        <w:trPr/>
        <w:tc>
          <w:tcPr>
            <w:tcW w:w="1296"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5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assets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and credit carryforwards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capitalized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deferred income tax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deferred income tax assets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valuation allowance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deferred income tax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liabilities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costs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deferred income tax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income tax liabilities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(41,225)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income tax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pPr>
      <w:r>
        <w:rPr>
          <w:rFonts w:ascii="Times New Roman;sans-serif" w:hAnsi="Times New Roman;sans-serif"/>
          <w:b w:val="false"/>
          <w:color w:val="000000"/>
          <w:sz w:val="20"/>
        </w:rPr>
        <w:t>As of December 31, 2023, we had net operating loss carryforwards of $28.9 million for U.S. federal tax purposes, $5.6 million for state tax purposes, and $9.8 million for foreign tax purposes. If not utilized, the loss carryforwards will expire between 2024 and 2036 for federal tax purposes, between 2024 and 2043 for state tax purposes, and will not expire for foreign tax purposes.</w:t>
      </w:r>
      <w:r>
        <w:rPr>
          <w:color w:val="000000"/>
        </w:rPr>
        <w:t xml:space="preserve"> </w:t>
      </w:r>
      <w:r>
        <w:rPr>
          <w:rFonts w:ascii="Times New Roman;sans-serif" w:hAnsi="Times New Roman;sans-serif"/>
          <w:b w:val="false"/>
          <w:color w:val="000000"/>
          <w:sz w:val="20"/>
        </w:rPr>
        <w:t xml:space="preserve">Section 382 of the U.S. Internal Revenue Code generally imposes an annual limitation on the amount of net operating loss carryforwards that might be used to offset taxable income when a corporation has undergone significant changes in stock ownership. As of December 31, 2023, all $28.9 million of our federal net operating loss carryforwards are subject to Section 382 limitations, of which we believe $6.5 million will expire unused due to Section 382 limitations. Accordingly, our deferred income tax assets are reported net of the Section 382 limitations.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income taxes for U.S. federal and various state and international jurisdictions. We are generally subject to U.S. federal and state tax examinations for most prior tax years due to our net operating loss and R&amp;D credit carryforwards and the utilization of the carryforwards in years still open under statute.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AAE5"/>
          <w:sz w:val="20"/>
        </w:rPr>
      </w:pPr>
      <w:r>
        <w:rPr>
          <w:rFonts w:ascii="Times New Roman;sans-serif" w:hAnsi="Times New Roman;sans-serif"/>
          <w:b/>
          <w:color w:val="00AAE5"/>
          <w:sz w:val="20"/>
        </w:rPr>
        <w:t>NOTE M – Other Income and Expense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included the following:</w:t>
      </w:r>
    </w:p>
    <w:tbl>
      <w:tblPr>
        <w:tblW w:w="9537" w:type="dxa"/>
        <w:jc w:val="center"/>
        <w:tblInd w:w="0" w:type="dxa"/>
        <w:tblLayout w:type="fixed"/>
        <w:tblCellMar>
          <w:top w:w="28" w:type="dxa"/>
          <w:left w:w="28" w:type="dxa"/>
          <w:bottom w:w="28" w:type="dxa"/>
          <w:right w:w="28" w:type="dxa"/>
        </w:tblCellMar>
      </w:tblPr>
      <w:tblGrid>
        <w:gridCol w:w="2154"/>
        <w:gridCol w:w="1897"/>
        <w:gridCol w:w="1904"/>
        <w:gridCol w:w="211"/>
        <w:gridCol w:w="616"/>
        <w:gridCol w:w="109"/>
        <w:gridCol w:w="109"/>
        <w:gridCol w:w="109"/>
        <w:gridCol w:w="109"/>
        <w:gridCol w:w="211"/>
        <w:gridCol w:w="616"/>
        <w:gridCol w:w="109"/>
        <w:gridCol w:w="109"/>
        <w:gridCol w:w="109"/>
        <w:gridCol w:w="109"/>
        <w:gridCol w:w="211"/>
        <w:gridCol w:w="691"/>
        <w:gridCol w:w="154"/>
      </w:tblGrid>
      <w:tr>
        <w:trPr/>
        <w:tc>
          <w:tcPr>
            <w:tcW w:w="2154"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9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(loss) from foreign currency on cash and investments held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847090"/>
                <wp:effectExtent l="0" t="0" r="0" b="0"/>
                <wp:wrapNone/>
                <wp:docPr id="175" name="Frame59"/>
                <a:graphic xmlns:a="http://schemas.openxmlformats.org/drawingml/2006/main">
                  <a:graphicData uri="http://schemas.microsoft.com/office/word/2010/wordprocessingShape">
                    <wps:wsp>
                      <wps:cNvSpPr txBox="1"/>
                      <wps:spPr>
                        <a:xfrm>
                          <a:off x="0" y="0"/>
                          <a:ext cx="6480175" cy="847090"/>
                        </a:xfrm>
                        <a:prstGeom prst="rect"/>
                        <a:solidFill>
                          <a:srgbClr val="FFFFFF"/>
                        </a:solidFill>
                      </wps:spPr>
                      <wps:txb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38125" cy="228600"/>
                                        <wp:effectExtent l="0" t="0" r="0" b="0"/>
                                        <wp:docPr id="176"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60" descr=""/>
                                                <pic:cNvPicPr>
                                                  <a:picLocks noChangeAspect="1" noChangeArrowheads="1"/>
                                                </pic:cNvPicPr>
                                              </pic:nvPicPr>
                                              <pic:blipFill>
                                                <a:blip r:embed="rId118"/>
                                                <a:stretch>
                                                  <a:fillRect/>
                                                </a:stretch>
                                              </pic:blipFill>
                                              <pic:spPr bwMode="auto">
                                                <a:xfrm>
                                                  <a:off x="0" y="0"/>
                                                  <a:ext cx="238125" cy="228600"/>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59</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pt;mso-wrap-distance-left:0pt;mso-wrap-distance-right:0pt;mso-wrap-distance-top:0pt;mso-wrap-distance-bottom:0pt;margin-top:0pt;mso-position-vertical:top;mso-position-vertical-relative:text;margin-left:0pt;mso-position-horizontal:left;mso-position-horizontal-relative:text">
                <v:textbo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38125" cy="228600"/>
                                  <wp:effectExtent l="0" t="0" r="0" b="0"/>
                                  <wp:docPr id="177"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60" descr=""/>
                                          <pic:cNvPicPr>
                                            <a:picLocks noChangeAspect="1" noChangeArrowheads="1"/>
                                          </pic:cNvPicPr>
                                        </pic:nvPicPr>
                                        <pic:blipFill>
                                          <a:blip r:embed="rId119"/>
                                          <a:stretch>
                                            <a:fillRect/>
                                          </a:stretch>
                                        </pic:blipFill>
                                        <pic:spPr bwMode="auto">
                                          <a:xfrm>
                                            <a:off x="0" y="0"/>
                                            <a:ext cx="238125" cy="228600"/>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59</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3f718fd861814da79dc80fa32884b81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60" w:after="283"/>
        <w:jc w:val="left"/>
        <w:rPr>
          <w:rFonts w:ascii="Times New Roman;sans-serif" w:hAnsi="Times New Roman;sans-serif"/>
          <w:b/>
          <w:color w:val="00AAE5"/>
          <w:sz w:val="20"/>
        </w:rPr>
      </w:pPr>
      <w:r>
        <w:rPr>
          <w:rFonts w:ascii="Times New Roman;sans-serif" w:hAnsi="Times New Roman;sans-serif"/>
          <w:b/>
          <w:color w:val="00AAE5"/>
          <w:sz w:val="20"/>
        </w:rPr>
        <w:t>NOTE N – Net Income Per Share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and computation of basic and diluted net income per share were as follows:</w:t>
      </w:r>
    </w:p>
    <w:tbl>
      <w:tblPr>
        <w:tblW w:w="8396" w:type="dxa"/>
        <w:jc w:val="center"/>
        <w:tblInd w:w="0" w:type="dxa"/>
        <w:tblLayout w:type="fixed"/>
        <w:tblCellMar>
          <w:top w:w="28" w:type="dxa"/>
          <w:left w:w="28" w:type="dxa"/>
          <w:bottom w:w="28" w:type="dxa"/>
          <w:right w:w="28" w:type="dxa"/>
        </w:tblCellMar>
      </w:tblPr>
      <w:tblGrid>
        <w:gridCol w:w="1658"/>
        <w:gridCol w:w="1456"/>
        <w:gridCol w:w="1460"/>
        <w:gridCol w:w="211"/>
        <w:gridCol w:w="721"/>
        <w:gridCol w:w="109"/>
        <w:gridCol w:w="109"/>
        <w:gridCol w:w="109"/>
        <w:gridCol w:w="109"/>
        <w:gridCol w:w="211"/>
        <w:gridCol w:w="721"/>
        <w:gridCol w:w="109"/>
        <w:gridCol w:w="109"/>
        <w:gridCol w:w="109"/>
        <w:gridCol w:w="109"/>
        <w:gridCol w:w="211"/>
        <w:gridCol w:w="721"/>
        <w:gridCol w:w="154"/>
      </w:tblGrid>
      <w:tr>
        <w:trPr/>
        <w:tc>
          <w:tcPr>
            <w:tcW w:w="1658"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5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 share amounts)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basic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common stock and ESPP</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PSUs, RSUs, RSAs, and DSUs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diluted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income per share</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number of outstanding potential common shares that were excluded from the calculation of diluted net income per share as they were anti-dilutive was as follows:</w:t>
      </w:r>
    </w:p>
    <w:tbl>
      <w:tblPr>
        <w:tblW w:w="4124" w:type="dxa"/>
        <w:jc w:val="center"/>
        <w:tblInd w:w="0" w:type="dxa"/>
        <w:tblLayout w:type="fixed"/>
        <w:tblCellMar>
          <w:top w:w="28" w:type="dxa"/>
          <w:left w:w="28" w:type="dxa"/>
          <w:bottom w:w="28" w:type="dxa"/>
          <w:right w:w="28" w:type="dxa"/>
        </w:tblCellMar>
      </w:tblPr>
      <w:tblGrid>
        <w:gridCol w:w="622"/>
        <w:gridCol w:w="548"/>
        <w:gridCol w:w="554"/>
        <w:gridCol w:w="180"/>
        <w:gridCol w:w="181"/>
        <w:gridCol w:w="156"/>
        <w:gridCol w:w="132"/>
        <w:gridCol w:w="132"/>
        <w:gridCol w:w="132"/>
        <w:gridCol w:w="180"/>
        <w:gridCol w:w="181"/>
        <w:gridCol w:w="156"/>
        <w:gridCol w:w="132"/>
        <w:gridCol w:w="132"/>
        <w:gridCol w:w="132"/>
        <w:gridCol w:w="180"/>
        <w:gridCol w:w="181"/>
        <w:gridCol w:w="213"/>
      </w:tblGrid>
      <w:tr>
        <w:trPr/>
        <w:tc>
          <w:tcPr>
            <w:tcW w:w="622"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7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shares</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AAE5"/>
          <w:sz w:val="20"/>
        </w:rPr>
      </w:pPr>
      <w:r>
        <w:rPr>
          <w:rFonts w:ascii="Times New Roman;sans-serif" w:hAnsi="Times New Roman;sans-serif"/>
          <w:b/>
          <w:color w:val="00AAE5"/>
          <w:sz w:val="20"/>
        </w:rPr>
        <w:t>NOTE O – Retirement Contributions</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We sponsor a 401(k) retirement savings plan for our U.S. employees. Eligible employees can contribute up to 80% of their compensation, subject to the limits established by law, and we match 50% of the employee’s contribution up to the first 6% of pre-tax annual compensation. A portion of our match is in Company stock, which is purchased from the open market by our plan provider and immediately deposited into the employee’s 401(k) account.</w:t>
      </w:r>
      <w:r>
        <w:rPr>
          <w:color w:val="000000"/>
        </w:rPr>
        <w:t xml:space="preserve"> </w:t>
      </w:r>
      <w:r>
        <w:rPr>
          <w:rFonts w:ascii="Times New Roman;sans-serif" w:hAnsi="Times New Roman;sans-serif"/>
          <w:b w:val="false"/>
          <w:color w:val="000000"/>
          <w:sz w:val="20"/>
        </w:rPr>
        <w:t>Additionally, we make statutory contributions to retirement plans as required by local foreign government regulations.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total contributions were as follows:</w:t>
      </w:r>
    </w:p>
    <w:tbl>
      <w:tblPr>
        <w:tblW w:w="5667" w:type="dxa"/>
        <w:jc w:val="center"/>
        <w:tblInd w:w="0" w:type="dxa"/>
        <w:tblLayout w:type="fixed"/>
        <w:tblCellMar>
          <w:top w:w="28" w:type="dxa"/>
          <w:left w:w="28" w:type="dxa"/>
          <w:bottom w:w="28" w:type="dxa"/>
          <w:right w:w="28" w:type="dxa"/>
        </w:tblCellMar>
      </w:tblPr>
      <w:tblGrid>
        <w:gridCol w:w="780"/>
        <w:gridCol w:w="687"/>
        <w:gridCol w:w="693"/>
        <w:gridCol w:w="211"/>
        <w:gridCol w:w="616"/>
        <w:gridCol w:w="109"/>
        <w:gridCol w:w="109"/>
        <w:gridCol w:w="109"/>
        <w:gridCol w:w="109"/>
        <w:gridCol w:w="211"/>
        <w:gridCol w:w="616"/>
        <w:gridCol w:w="109"/>
        <w:gridCol w:w="109"/>
        <w:gridCol w:w="109"/>
        <w:gridCol w:w="109"/>
        <w:gridCol w:w="211"/>
        <w:gridCol w:w="616"/>
        <w:gridCol w:w="154"/>
      </w:tblGrid>
      <w:tr>
        <w:trPr/>
        <w:tc>
          <w:tcPr>
            <w:tcW w:w="78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1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93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Retirement contributions</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6,627 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5,386 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4,790 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AAE5"/>
          <w:sz w:val="20"/>
        </w:rPr>
      </w:pPr>
      <w:r>
        <w:rPr>
          <w:rFonts w:ascii="Times New Roman;sans-serif" w:hAnsi="Times New Roman;sans-serif"/>
          <w:b/>
          <w:color w:val="00AAE5"/>
          <w:sz w:val="20"/>
        </w:rPr>
        <w:t>NOTE P – Geographic Information</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Statements of Comprehensive Income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percentage of domestic revenue, which we define as consolidated revenue that was attributable to customers based within the U.S., and domestic income before income taxes, which we define as the percentage of consolidated income before income taxes that was attributable to our subsidiaries based in the U.S., were as follows:</w:t>
      </w:r>
    </w:p>
    <w:tbl>
      <w:tblPr>
        <w:tblW w:w="5790" w:type="dxa"/>
        <w:jc w:val="left"/>
        <w:tblInd w:w="0" w:type="dxa"/>
        <w:tblLayout w:type="fixed"/>
        <w:tblCellMar>
          <w:top w:w="28" w:type="dxa"/>
          <w:left w:w="28" w:type="dxa"/>
          <w:bottom w:w="28" w:type="dxa"/>
          <w:right w:w="28" w:type="dxa"/>
        </w:tblCellMar>
      </w:tblPr>
      <w:tblGrid>
        <w:gridCol w:w="1157"/>
        <w:gridCol w:w="1017"/>
        <w:gridCol w:w="1021"/>
        <w:gridCol w:w="180"/>
        <w:gridCol w:w="181"/>
        <w:gridCol w:w="271"/>
        <w:gridCol w:w="109"/>
        <w:gridCol w:w="109"/>
        <w:gridCol w:w="109"/>
        <w:gridCol w:w="180"/>
        <w:gridCol w:w="181"/>
        <w:gridCol w:w="271"/>
        <w:gridCol w:w="109"/>
        <w:gridCol w:w="109"/>
        <w:gridCol w:w="109"/>
        <w:gridCol w:w="180"/>
        <w:gridCol w:w="181"/>
        <w:gridCol w:w="316"/>
      </w:tblGrid>
      <w:tr>
        <w:trPr/>
        <w:tc>
          <w:tcPr>
            <w:tcW w:w="115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19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 revenue</w:t>
            </w:r>
          </w:p>
        </w:tc>
        <w:tc>
          <w:tcPr>
            <w:tcW w:w="36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27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27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 income before income taxes</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 single jurisdiction outside of the U.S. had revenues in excess of 10%.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847090"/>
                <wp:effectExtent l="0" t="0" r="0" b="0"/>
                <wp:wrapNone/>
                <wp:docPr id="178" name="Frame60"/>
                <a:graphic xmlns:a="http://schemas.openxmlformats.org/drawingml/2006/main">
                  <a:graphicData uri="http://schemas.microsoft.com/office/word/2010/wordprocessingShape">
                    <wps:wsp>
                      <wps:cNvSpPr txBox="1"/>
                      <wps:spPr>
                        <a:xfrm>
                          <a:off x="0" y="0"/>
                          <a:ext cx="6480175" cy="847090"/>
                        </a:xfrm>
                        <a:prstGeom prst="rect"/>
                        <a:solidFill>
                          <a:srgbClr val="FFFFFF"/>
                        </a:solidFill>
                      </wps:spPr>
                      <wps:txb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38125" cy="228600"/>
                                        <wp:effectExtent l="0" t="0" r="0" b="0"/>
                                        <wp:docPr id="179"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61" descr=""/>
                                                <pic:cNvPicPr>
                                                  <a:picLocks noChangeAspect="1" noChangeArrowheads="1"/>
                                                </pic:cNvPicPr>
                                              </pic:nvPicPr>
                                              <pic:blipFill>
                                                <a:blip r:embed="rId120"/>
                                                <a:stretch>
                                                  <a:fillRect/>
                                                </a:stretch>
                                              </pic:blipFill>
                                              <pic:spPr bwMode="auto">
                                                <a:xfrm>
                                                  <a:off x="0" y="0"/>
                                                  <a:ext cx="238125" cy="228600"/>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60</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pt;mso-wrap-distance-left:0pt;mso-wrap-distance-right:0pt;mso-wrap-distance-top:0pt;mso-wrap-distance-bottom:0pt;margin-top:0pt;mso-position-vertical:top;mso-position-vertical-relative:text;margin-left:0pt;mso-position-horizontal:left;mso-position-horizontal-relative:text">
                <v:textbo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38125" cy="228600"/>
                                  <wp:effectExtent l="0" t="0" r="0" b="0"/>
                                  <wp:docPr id="180"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61" descr=""/>
                                          <pic:cNvPicPr>
                                            <a:picLocks noChangeAspect="1" noChangeArrowheads="1"/>
                                          </pic:cNvPicPr>
                                        </pic:nvPicPr>
                                        <pic:blipFill>
                                          <a:blip r:embed="rId121"/>
                                          <a:stretch>
                                            <a:fillRect/>
                                          </a:stretch>
                                        </pic:blipFill>
                                        <pic:spPr bwMode="auto">
                                          <a:xfrm>
                                            <a:off x="0" y="0"/>
                                            <a:ext cx="238125" cy="228600"/>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60</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3f718fd861814da79dc80fa32884b81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Property and Equipment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located at subsidiary and office locations outside of the U.S. was as follows:</w:t>
      </w:r>
    </w:p>
    <w:tbl>
      <w:tblPr>
        <w:tblW w:w="4801" w:type="dxa"/>
        <w:jc w:val="center"/>
        <w:tblInd w:w="0" w:type="dxa"/>
        <w:tblLayout w:type="fixed"/>
        <w:tblCellMar>
          <w:top w:w="28" w:type="dxa"/>
          <w:left w:w="28" w:type="dxa"/>
          <w:bottom w:w="28" w:type="dxa"/>
          <w:right w:w="28" w:type="dxa"/>
        </w:tblCellMar>
      </w:tblPr>
      <w:tblGrid>
        <w:gridCol w:w="1146"/>
        <w:gridCol w:w="1008"/>
        <w:gridCol w:w="1011"/>
        <w:gridCol w:w="180"/>
        <w:gridCol w:w="181"/>
        <w:gridCol w:w="271"/>
        <w:gridCol w:w="109"/>
        <w:gridCol w:w="109"/>
        <w:gridCol w:w="109"/>
        <w:gridCol w:w="180"/>
        <w:gridCol w:w="181"/>
        <w:gridCol w:w="316"/>
      </w:tblGrid>
      <w:tr>
        <w:trPr/>
        <w:tc>
          <w:tcPr>
            <w:tcW w:w="11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property and equipment</w:t>
            </w:r>
          </w:p>
        </w:tc>
        <w:tc>
          <w:tcPr>
            <w:tcW w:w="36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7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1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AAE5"/>
          <w:sz w:val="20"/>
        </w:rPr>
      </w:pPr>
      <w:r>
        <w:rPr>
          <w:rFonts w:ascii="Times New Roman;sans-serif" w:hAnsi="Times New Roman;sans-serif"/>
          <w:b/>
          <w:color w:val="00AAE5"/>
          <w:sz w:val="20"/>
        </w:rPr>
        <w:t>NOTE Q– Related Party Transactions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SPS Commerce Foundation (the “Foundation”) is a Minnesota non-profit organization exempt from federal taxation under Section 501(c)(3) of the Internal Revenue Code. The Foundation was formed in 2015 to engage in, advance, support, promote and administer charitable activities. The directors of the Foundation are also our executive officers. These directors receive no compensation from the Foundation or us for the management services performed for the Foundation. The Foundation is not a subsidiary of ours and the financial results of the Foundation are not consolidated with our financial statements. We have no current legal obligations for future commitments to the Foundation. Our contributions to the Foundation were as follows:</w:t>
      </w:r>
    </w:p>
    <w:tbl>
      <w:tblPr>
        <w:tblW w:w="5712" w:type="dxa"/>
        <w:jc w:val="center"/>
        <w:tblInd w:w="0" w:type="dxa"/>
        <w:tblLayout w:type="fixed"/>
        <w:tblCellMar>
          <w:top w:w="28" w:type="dxa"/>
          <w:left w:w="28" w:type="dxa"/>
          <w:bottom w:w="28" w:type="dxa"/>
          <w:right w:w="28" w:type="dxa"/>
        </w:tblCellMar>
      </w:tblPr>
      <w:tblGrid>
        <w:gridCol w:w="796"/>
        <w:gridCol w:w="702"/>
        <w:gridCol w:w="707"/>
        <w:gridCol w:w="211"/>
        <w:gridCol w:w="616"/>
        <w:gridCol w:w="109"/>
        <w:gridCol w:w="109"/>
        <w:gridCol w:w="109"/>
        <w:gridCol w:w="109"/>
        <w:gridCol w:w="211"/>
        <w:gridCol w:w="616"/>
        <w:gridCol w:w="109"/>
        <w:gridCol w:w="109"/>
        <w:gridCol w:w="109"/>
        <w:gridCol w:w="109"/>
        <w:gridCol w:w="211"/>
        <w:gridCol w:w="616"/>
        <w:gridCol w:w="154"/>
      </w:tblGrid>
      <w:tr>
        <w:trPr/>
        <w:tc>
          <w:tcPr>
            <w:tcW w:w="7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Foundation contributions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ans-serif" w:hAnsi="Times New Roman;sans-serif"/>
          <w:b/>
          <w:color w:val="00AAE5"/>
          <w:sz w:val="20"/>
        </w:rPr>
      </w:pPr>
      <w:r>
        <w:rPr>
          <w:rFonts w:ascii="Times New Roman;sans-serif" w:hAnsi="Times New Roman;sans-serif"/>
          <w:b/>
          <w:color w:val="00AAE5"/>
          <w:sz w:val="20"/>
        </w:rPr>
        <w:t>Item 9.    Changes in and Disagreements with Accountants on Accounting and Financial Disclosure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ans-serif" w:hAnsi="Times New Roman;sans-serif"/>
          <w:b/>
          <w:color w:val="00AAE5"/>
          <w:sz w:val="20"/>
        </w:rPr>
      </w:pPr>
      <w:r>
        <w:rPr>
          <w:rFonts w:ascii="Times New Roman;sans-serif" w:hAnsi="Times New Roman;sans-serif"/>
          <w:b/>
          <w:color w:val="00AAE5"/>
          <w:sz w:val="20"/>
        </w:rPr>
        <w:t>Item 9A.    Controls and Procedures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Assessment of Disclosure Controls and Procedures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assessed the effectiveness of the design and operation of our disclosure controls and procedures as of December 31, 2023, the end of the period covered by this Annual Report on Form 10-K. This assessment was done under the supervision and with the participation of management, including our Chief Executive Officer and Chief Financial Officer. Disclosure controls and procedures means controls and other procedures that are designed to provide reasonable assurance that information required to be disclosed in the reports that we file or submit under the Exchange Act, such as this Annual Report on Form 10-K, is recorded, processed, summarized and reported within the time periods specified in the rules and forms of the SEC. Disclosure controls and procedures include, without limitation, controls and procedures designed such that information is accumulated and communicated to our management, including our Chief Executive Officer and Chief Financial Officer, as appropriate to allow timely decisions regarding required disclosure. Based on this assessment, our Chief Executive Officer and Chief Financial Officer have concluded that as of December 31, 2023, our disclosure controls and procedures were effective.</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Management’s Annual Report on Internal Control Over Financial Reporting</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establishing and maintaining adequate internal control over financial reporting. Internal control over financial reporting is defined in Rules 13a-15(f) and 15d-15(f) under the Exchange Act as a process designed by, or under the supervision of, our principal executive and principal financial officer and effected by our board of directors, management and other personnel, to provide reasonable assurance regarding the reliability of financial reporting and the preparation of consolidated financial statements for external purposes in accordance with GAAP and includes those policies and procedures that:</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pertain to the maintenance of records that in reasonable detail accurately and fairly reflect the transactions and dispositions of our assets;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provide reasonable assurance that transactions are recorded as necessary to permit preparation of financial statements in accordance with GAAP, and that our receipts and expenditures are being made only in accordance with authorizations of our management and directors;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provide reasonable assurance regarding prevention or timely detection of unauthorized acquisition, use or disposition of our assets that could have a material effect on our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847090"/>
                <wp:effectExtent l="0" t="0" r="0" b="0"/>
                <wp:wrapNone/>
                <wp:docPr id="181" name="Frame61"/>
                <a:graphic xmlns:a="http://schemas.openxmlformats.org/drawingml/2006/main">
                  <a:graphicData uri="http://schemas.microsoft.com/office/word/2010/wordprocessingShape">
                    <wps:wsp>
                      <wps:cNvSpPr txBox="1"/>
                      <wps:spPr>
                        <a:xfrm>
                          <a:off x="0" y="0"/>
                          <a:ext cx="6480175" cy="847090"/>
                        </a:xfrm>
                        <a:prstGeom prst="rect"/>
                        <a:solidFill>
                          <a:srgbClr val="FFFFFF"/>
                        </a:solidFill>
                      </wps:spPr>
                      <wps:txb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38125" cy="228600"/>
                                        <wp:effectExtent l="0" t="0" r="0" b="0"/>
                                        <wp:docPr id="18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62" descr=""/>
                                                <pic:cNvPicPr>
                                                  <a:picLocks noChangeAspect="1" noChangeArrowheads="1"/>
                                                </pic:cNvPicPr>
                                              </pic:nvPicPr>
                                              <pic:blipFill>
                                                <a:blip r:embed="rId122"/>
                                                <a:stretch>
                                                  <a:fillRect/>
                                                </a:stretch>
                                              </pic:blipFill>
                                              <pic:spPr bwMode="auto">
                                                <a:xfrm>
                                                  <a:off x="0" y="0"/>
                                                  <a:ext cx="238125" cy="228600"/>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61</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pt;mso-wrap-distance-left:0pt;mso-wrap-distance-right:0pt;mso-wrap-distance-top:0pt;mso-wrap-distance-bottom:0pt;margin-top:0pt;mso-position-vertical:top;mso-position-vertical-relative:text;margin-left:0pt;mso-position-horizontal:left;mso-position-horizontal-relative:text">
                <v:textbo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38125" cy="228600"/>
                                  <wp:effectExtent l="0" t="0" r="0" b="0"/>
                                  <wp:docPr id="183"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62" descr=""/>
                                          <pic:cNvPicPr>
                                            <a:picLocks noChangeAspect="1" noChangeArrowheads="1"/>
                                          </pic:cNvPicPr>
                                        </pic:nvPicPr>
                                        <pic:blipFill>
                                          <a:blip r:embed="rId123"/>
                                          <a:stretch>
                                            <a:fillRect/>
                                          </a:stretch>
                                        </pic:blipFill>
                                        <pic:spPr bwMode="auto">
                                          <a:xfrm>
                                            <a:off x="0" y="0"/>
                                            <a:ext cx="238125" cy="228600"/>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61</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3f718fd861814da79dc80fa32884b81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Under the supervision and with the participation of management, including our principal executive and financial officers, we assessed our internal control over financial reporting as of December 31, 2023, based on criteria for effective internal control over financial reporting established in the </w:t>
      </w:r>
      <w:r>
        <w:rPr>
          <w:rFonts w:ascii="Times New Roman;sans-serif" w:hAnsi="Times New Roman;sans-serif"/>
          <w:b w:val="false"/>
          <w:i/>
          <w:color w:val="000000"/>
          <w:sz w:val="20"/>
        </w:rPr>
        <w:t xml:space="preserve">Internal Control — Integrated Framework (2013) </w:t>
      </w:r>
      <w:r>
        <w:rPr>
          <w:rFonts w:ascii="Times New Roman;sans-serif" w:hAnsi="Times New Roman;sans-serif"/>
          <w:b w:val="false"/>
          <w:color w:val="000000"/>
          <w:sz w:val="20"/>
        </w:rPr>
        <w:t>issued by the Committee of Sponsoring Organizations of the Treadway Commission.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Based on this assessment, management concluded that we maintained effective internal control over financial reporting as of December 31, 2023 based on the specified criteria.</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SEC’s general guidance that the assessment of a recently acquired business' internal control over financial reporting may be omitted in the year of acquisition, as of December 31, 2023, our scope of the assessment of our internal control over financial reporting excluded TIE Kinetix, which was acquired in September 2023. Our assessment of the effectiveness of internal control over financial reporting as of December 31, 2024 will include TIE Kinetix.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Excluding net intangible assets and goodwill, TIE Kinetix represented less than 5% of our consolidated assets as of December 31, 2023 and less than 5% of our consolidated revenues for the year ended December 31, 2023. 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effectiveness of our internal control over financial reporting as of December 31, 2023 has been audited by KPMG LLP, our independent registered public accounting firm, as stated in their report, which is included under Item 8 of this Annual Report on Form 10-K.</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during the three months ended December 31, 2023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ans-serif" w:hAnsi="Times New Roman;sans-serif"/>
          <w:b/>
          <w:color w:val="00AAE5"/>
          <w:sz w:val="20"/>
        </w:rPr>
      </w:pPr>
      <w:r>
        <w:rPr>
          <w:rFonts w:ascii="Times New Roman;sans-serif" w:hAnsi="Times New Roman;sans-serif"/>
          <w:b/>
          <w:color w:val="00AAE5"/>
          <w:sz w:val="20"/>
        </w:rPr>
        <w:t>Item 9B.    Other Information</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Insider Adoption or Termination of Trading Arrangements</w:t>
      </w:r>
    </w:p>
    <w:p>
      <w:pPr>
        <w:pStyle w:val="TextBody"/>
        <w:bidi w:val="0"/>
        <w:spacing w:lineRule="auto" w:line="26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December 31, 2023, none of our directors or officers (as defined in Rule 16a-1(f) of the Exchange Act) adopted, modified, or terminated any contract, instruction, or written plan for the purchase or sale of our securities that was intended to satisfy the affirmative defense conditions of Rule 10b5-1(c) of the Exchange Act or any non-Rule 10b5-1 trading arrangement (as defined in Item 408(c)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ans-serif" w:hAnsi="Times New Roman;sans-serif"/>
          <w:b/>
          <w:color w:val="00AAE5"/>
          <w:sz w:val="20"/>
        </w:rPr>
      </w:pPr>
      <w:r>
        <w:rPr>
          <w:rFonts w:ascii="Times New Roman;sans-serif" w:hAnsi="Times New Roman;sans-serif"/>
          <w:b/>
          <w:color w:val="00AAE5"/>
          <w:sz w:val="20"/>
        </w:rPr>
        <w:t>Item 9C.    Disclosure Regarding Foreign Jurisdictions that Prevent Inspections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847090"/>
                <wp:effectExtent l="0" t="0" r="0" b="0"/>
                <wp:wrapNone/>
                <wp:docPr id="184" name="Frame62"/>
                <a:graphic xmlns:a="http://schemas.openxmlformats.org/drawingml/2006/main">
                  <a:graphicData uri="http://schemas.microsoft.com/office/word/2010/wordprocessingShape">
                    <wps:wsp>
                      <wps:cNvSpPr txBox="1"/>
                      <wps:spPr>
                        <a:xfrm>
                          <a:off x="0" y="0"/>
                          <a:ext cx="6480175" cy="847090"/>
                        </a:xfrm>
                        <a:prstGeom prst="rect"/>
                        <a:solidFill>
                          <a:srgbClr val="FFFFFF"/>
                        </a:solidFill>
                      </wps:spPr>
                      <wps:txb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38125" cy="228600"/>
                                        <wp:effectExtent l="0" t="0" r="0" b="0"/>
                                        <wp:docPr id="185"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63" descr=""/>
                                                <pic:cNvPicPr>
                                                  <a:picLocks noChangeAspect="1" noChangeArrowheads="1"/>
                                                </pic:cNvPicPr>
                                              </pic:nvPicPr>
                                              <pic:blipFill>
                                                <a:blip r:embed="rId124"/>
                                                <a:stretch>
                                                  <a:fillRect/>
                                                </a:stretch>
                                              </pic:blipFill>
                                              <pic:spPr bwMode="auto">
                                                <a:xfrm>
                                                  <a:off x="0" y="0"/>
                                                  <a:ext cx="238125" cy="228600"/>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62</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pt;mso-wrap-distance-left:0pt;mso-wrap-distance-right:0pt;mso-wrap-distance-top:0pt;mso-wrap-distance-bottom:0pt;margin-top:0pt;mso-position-vertical:top;mso-position-vertical-relative:text;margin-left:0pt;mso-position-horizontal:left;mso-position-horizontal-relative:text">
                <v:textbo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38125" cy="228600"/>
                                  <wp:effectExtent l="0" t="0" r="0" b="0"/>
                                  <wp:docPr id="186"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63" descr=""/>
                                          <pic:cNvPicPr>
                                            <a:picLocks noChangeAspect="1" noChangeArrowheads="1"/>
                                          </pic:cNvPicPr>
                                        </pic:nvPicPr>
                                        <pic:blipFill>
                                          <a:blip r:embed="rId125"/>
                                          <a:stretch>
                                            <a:fillRect/>
                                          </a:stretch>
                                        </pic:blipFill>
                                        <pic:spPr bwMode="auto">
                                          <a:xfrm>
                                            <a:off x="0" y="0"/>
                                            <a:ext cx="238125" cy="228600"/>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62</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3f718fd861814da79dc80fa32884b81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60" w:after="283"/>
        <w:jc w:val="center"/>
        <w:rPr>
          <w:rFonts w:ascii="Times New Roman;sans-serif" w:hAnsi="Times New Roman;sans-serif"/>
          <w:b/>
          <w:color w:val="00AAE5"/>
          <w:sz w:val="20"/>
        </w:rPr>
      </w:pPr>
      <w:r>
        <w:rPr>
          <w:rFonts w:ascii="Times New Roman;sans-serif" w:hAnsi="Times New Roman;sans-serif"/>
          <w:b/>
          <w:color w:val="00AAE5"/>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ans-serif" w:hAnsi="Times New Roman;sans-serif"/>
          <w:b/>
          <w:color w:val="00AAE5"/>
          <w:sz w:val="20"/>
        </w:rPr>
      </w:pPr>
      <w:r>
        <w:rPr>
          <w:rFonts w:ascii="Times New Roman;sans-serif" w:hAnsi="Times New Roman;sans-serif"/>
          <w:b/>
          <w:color w:val="00AAE5"/>
          <w:sz w:val="20"/>
        </w:rPr>
        <w:t>Item 10.    Directors, Executive Officers and Corporate Governance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included in the 2024 Proxy Statement under the captions “Election of Directors,” “Executive Compensation,” and “Information Regarding the Board of Directors and Corporate Governance”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ans-serif" w:hAnsi="Times New Roman;sans-serif"/>
          <w:b/>
          <w:color w:val="00AAE5"/>
          <w:sz w:val="20"/>
        </w:rPr>
      </w:pPr>
      <w:r>
        <w:rPr>
          <w:rFonts w:ascii="Times New Roman;sans-serif" w:hAnsi="Times New Roman;sans-serif"/>
          <w:b/>
          <w:color w:val="00AAE5"/>
          <w:sz w:val="20"/>
        </w:rPr>
        <w:t>Item 11.    Executive Compensation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included in the 2024 Proxy Statement under the captions “Executive Compensation,” and "Security Ownership"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ans-serif" w:hAnsi="Times New Roman;sans-serif"/>
          <w:b/>
          <w:color w:val="00AAE5"/>
          <w:sz w:val="20"/>
        </w:rPr>
      </w:pPr>
      <w:r>
        <w:rPr>
          <w:rFonts w:ascii="Times New Roman;sans-serif" w:hAnsi="Times New Roman;sans-serif"/>
          <w:b/>
          <w:color w:val="00AAE5"/>
          <w:sz w:val="20"/>
        </w:rPr>
        <w:t>Item 12.    Security Ownership of Certain Beneficial Owners and Management and Related Stockholder Matters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included in the 2024 Proxy Statement under the caption “Security Ownership”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ans-serif" w:hAnsi="Times New Roman;sans-serif"/>
          <w:b/>
          <w:color w:val="00AAE5"/>
          <w:sz w:val="20"/>
        </w:rPr>
      </w:pPr>
      <w:r>
        <w:rPr>
          <w:rFonts w:ascii="Times New Roman;sans-serif" w:hAnsi="Times New Roman;sans-serif"/>
          <w:b/>
          <w:color w:val="00AAE5"/>
          <w:sz w:val="20"/>
        </w:rPr>
        <w:t>Item 13.    Certain Relationships and Related Transactions, and Director Independence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included in the 2024 Proxy Statement under the captions “Certain Relationships and Related Transactions,” “Information Regarding the Board of Directors and Corporate Governance,” and "Election of Directors" and is incorporated herein by the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ans-serif" w:hAnsi="Times New Roman;sans-serif"/>
          <w:b/>
          <w:color w:val="00AAE5"/>
          <w:sz w:val="20"/>
        </w:rPr>
      </w:pPr>
      <w:r>
        <w:rPr>
          <w:rFonts w:ascii="Times New Roman;sans-serif" w:hAnsi="Times New Roman;sans-serif"/>
          <w:b/>
          <w:color w:val="00AAE5"/>
          <w:sz w:val="20"/>
        </w:rPr>
        <w:t>Item 14.    Principal Accounting Fees and Services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included in the 2024 Proxy Statement under the caption “Audit Committee Report and Payment of Fees to Our Independent Auditor”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ans-serif" w:hAnsi="Times New Roman;sans-serif"/>
          <w:b/>
          <w:color w:val="00AAE5"/>
          <w:sz w:val="20"/>
        </w:rPr>
      </w:pPr>
      <w:r>
        <w:rPr>
          <w:rFonts w:ascii="Times New Roman;sans-serif" w:hAnsi="Times New Roman;sans-serif"/>
          <w:b/>
          <w:color w:val="00AAE5"/>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AAE5"/>
          <w:sz w:val="20"/>
        </w:rPr>
      </w:pPr>
      <w:r>
        <w:rPr>
          <w:rFonts w:ascii="Times New Roman;sans-serif" w:hAnsi="Times New Roman;sans-serif"/>
          <w:b/>
          <w:color w:val="00AAE5"/>
          <w:sz w:val="20"/>
        </w:rPr>
        <w:t>Item 15.    Exhibits, Financial Statement Schedules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documents are filed as a part of this Annual Report on Form 10-K:</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(a)Financial Statements: The financial statements filed as a part of this report are listed in Part II, Item 8.</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(b)Financial Statement Schedules: The schedules are either not applicable or the required information is presented in the consolidated financial statements or notes thereto.</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(c)Exhibits: The exhibits incorporated by reference or filed as a part of this Annual Report on Form 10-K are listed in the Exhibit Index prior to the signatures to this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847090"/>
                <wp:effectExtent l="0" t="0" r="0" b="0"/>
                <wp:wrapNone/>
                <wp:docPr id="187" name="Frame63"/>
                <a:graphic xmlns:a="http://schemas.openxmlformats.org/drawingml/2006/main">
                  <a:graphicData uri="http://schemas.microsoft.com/office/word/2010/wordprocessingShape">
                    <wps:wsp>
                      <wps:cNvSpPr txBox="1"/>
                      <wps:spPr>
                        <a:xfrm>
                          <a:off x="0" y="0"/>
                          <a:ext cx="6480175" cy="847090"/>
                        </a:xfrm>
                        <a:prstGeom prst="rect"/>
                        <a:solidFill>
                          <a:srgbClr val="FFFFFF"/>
                        </a:solidFill>
                      </wps:spPr>
                      <wps:txb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38125" cy="228600"/>
                                        <wp:effectExtent l="0" t="0" r="0" b="0"/>
                                        <wp:docPr id="188"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64" descr=""/>
                                                <pic:cNvPicPr>
                                                  <a:picLocks noChangeAspect="1" noChangeArrowheads="1"/>
                                                </pic:cNvPicPr>
                                              </pic:nvPicPr>
                                              <pic:blipFill>
                                                <a:blip r:embed="rId126"/>
                                                <a:stretch>
                                                  <a:fillRect/>
                                                </a:stretch>
                                              </pic:blipFill>
                                              <pic:spPr bwMode="auto">
                                                <a:xfrm>
                                                  <a:off x="0" y="0"/>
                                                  <a:ext cx="238125" cy="228600"/>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63</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pt;mso-wrap-distance-left:0pt;mso-wrap-distance-right:0pt;mso-wrap-distance-top:0pt;mso-wrap-distance-bottom:0pt;margin-top:0pt;mso-position-vertical:top;mso-position-vertical-relative:text;margin-left:0pt;mso-position-horizontal:left;mso-position-horizontal-relative:text">
                <v:textbo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38125" cy="228600"/>
                                  <wp:effectExtent l="0" t="0" r="0" b="0"/>
                                  <wp:docPr id="189"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64" descr=""/>
                                          <pic:cNvPicPr>
                                            <a:picLocks noChangeAspect="1" noChangeArrowheads="1"/>
                                          </pic:cNvPicPr>
                                        </pic:nvPicPr>
                                        <pic:blipFill>
                                          <a:blip r:embed="rId127"/>
                                          <a:stretch>
                                            <a:fillRect/>
                                          </a:stretch>
                                        </pic:blipFill>
                                        <pic:spPr bwMode="auto">
                                          <a:xfrm>
                                            <a:off x="0" y="0"/>
                                            <a:ext cx="238125" cy="228600"/>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63</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3f718fd861814da79dc80fa32884b81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60" w:after="283"/>
        <w:ind w:left="0" w:right="0" w:hanging="18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INDEX</w:t>
      </w:r>
    </w:p>
    <w:tbl>
      <w:tblPr>
        <w:tblW w:w="10205" w:type="dxa"/>
        <w:jc w:val="center"/>
        <w:tblInd w:w="0" w:type="dxa"/>
        <w:tblLayout w:type="fixed"/>
        <w:tblCellMar>
          <w:top w:w="28" w:type="dxa"/>
          <w:left w:w="28" w:type="dxa"/>
          <w:bottom w:w="28" w:type="dxa"/>
          <w:right w:w="28" w:type="dxa"/>
        </w:tblCellMar>
      </w:tblPr>
      <w:tblGrid>
        <w:gridCol w:w="250"/>
        <w:gridCol w:w="220"/>
        <w:gridCol w:w="221"/>
        <w:gridCol w:w="109"/>
        <w:gridCol w:w="109"/>
        <w:gridCol w:w="109"/>
        <w:gridCol w:w="1878"/>
        <w:gridCol w:w="1700"/>
        <w:gridCol w:w="1610"/>
        <w:gridCol w:w="109"/>
        <w:gridCol w:w="109"/>
        <w:gridCol w:w="109"/>
        <w:gridCol w:w="171"/>
        <w:gridCol w:w="171"/>
        <w:gridCol w:w="172"/>
        <w:gridCol w:w="115"/>
        <w:gridCol w:w="115"/>
        <w:gridCol w:w="115"/>
        <w:gridCol w:w="225"/>
        <w:gridCol w:w="225"/>
        <w:gridCol w:w="226"/>
        <w:gridCol w:w="115"/>
        <w:gridCol w:w="115"/>
        <w:gridCol w:w="115"/>
        <w:gridCol w:w="225"/>
        <w:gridCol w:w="225"/>
        <w:gridCol w:w="226"/>
        <w:gridCol w:w="109"/>
        <w:gridCol w:w="109"/>
        <w:gridCol w:w="109"/>
        <w:gridCol w:w="228"/>
        <w:gridCol w:w="228"/>
        <w:gridCol w:w="333"/>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i/>
                <w:color w:val="000000"/>
                <w:sz w:val="16"/>
              </w:rPr>
            </w:pPr>
            <w:r>
              <w:rPr>
                <w:rFonts w:ascii="Times New Roman;sans-serif" w:hAnsi="Times New Roman;sans-serif"/>
                <w:b/>
                <w:i/>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6" w:before="0" w:after="0"/>
              <w:jc w:val="center"/>
              <w:rPr>
                <w:rFonts w:ascii="Times New Roman;sans-serif" w:hAnsi="Times New Roman;sans-serif"/>
                <w:b/>
                <w:i/>
                <w:color w:val="000000"/>
                <w:sz w:val="16"/>
              </w:rPr>
            </w:pPr>
            <w:r>
              <w:rPr>
                <w:rFonts w:ascii="Times New Roman;sans-serif" w:hAnsi="Times New Roman;sans-serif"/>
                <w:b/>
                <w:i/>
                <w:color w:val="000000"/>
                <w:sz w:val="16"/>
              </w:rPr>
              <w:t>Exhibit</w:t>
            </w:r>
          </w:p>
          <w:p>
            <w:pPr>
              <w:pStyle w:val="TableContents"/>
              <w:bidi w:val="0"/>
              <w:spacing w:lineRule="auto" w:line="276" w:before="0" w:after="0"/>
              <w:jc w:val="center"/>
              <w:rPr>
                <w:rFonts w:ascii="Times New Roman;sans-serif" w:hAnsi="Times New Roman;sans-serif"/>
                <w:b/>
                <w:i/>
                <w:color w:val="000000"/>
                <w:sz w:val="16"/>
              </w:rPr>
            </w:pPr>
            <w:r>
              <w:rPr>
                <w:rFonts w:ascii="Times New Roman;sans-serif" w:hAnsi="Times New Roman;sans-serif"/>
                <w:b/>
                <w:i/>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i/>
                <w:color w:val="000000"/>
                <w:sz w:val="16"/>
              </w:rPr>
            </w:pPr>
            <w:r>
              <w:rPr>
                <w:rFonts w:ascii="Times New Roman;sans-serif" w:hAnsi="Times New Roman;sans-serif"/>
                <w:b/>
                <w:i/>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i/>
                <w:color w:val="000000"/>
                <w:sz w:val="16"/>
              </w:rPr>
            </w:pPr>
            <w:r>
              <w:rPr>
                <w:rFonts w:ascii="Times New Roman;sans-serif" w:hAnsi="Times New Roman;sans-serif"/>
                <w:b/>
                <w:i/>
                <w:color w:val="000000"/>
                <w:sz w:val="16"/>
              </w:rPr>
              <w:t>Form</w:t>
            </w:r>
          </w:p>
        </w:tc>
        <w:tc>
          <w:tcPr>
            <w:tcW w:w="34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76" w:before="0" w:after="0"/>
              <w:jc w:val="center"/>
              <w:rPr>
                <w:rFonts w:ascii="Times New Roman;sans-serif" w:hAnsi="Times New Roman;sans-serif"/>
                <w:b/>
                <w:i/>
                <w:color w:val="000000"/>
                <w:sz w:val="16"/>
              </w:rPr>
            </w:pPr>
            <w:r>
              <w:rPr>
                <w:rFonts w:ascii="Times New Roman;sans-serif" w:hAnsi="Times New Roman;sans-serif"/>
                <w:b/>
                <w:i/>
                <w:color w:val="000000"/>
                <w:sz w:val="16"/>
              </w:rPr>
              <w:t>Date of</w:t>
            </w:r>
          </w:p>
          <w:p>
            <w:pPr>
              <w:pStyle w:val="TableContents"/>
              <w:bidi w:val="0"/>
              <w:spacing w:lineRule="auto" w:line="276" w:before="0" w:after="0"/>
              <w:jc w:val="center"/>
              <w:rPr>
                <w:rFonts w:ascii="Times New Roman;sans-serif" w:hAnsi="Times New Roman;sans-serif"/>
                <w:b/>
                <w:i/>
                <w:color w:val="000000"/>
                <w:sz w:val="16"/>
              </w:rPr>
            </w:pPr>
            <w:r>
              <w:rPr>
                <w:rFonts w:ascii="Times New Roman;sans-serif" w:hAnsi="Times New Roman;sans-serif"/>
                <w:b/>
                <w:i/>
                <w:color w:val="000000"/>
                <w:sz w:val="16"/>
              </w:rPr>
              <w:t>First</w:t>
            </w:r>
          </w:p>
          <w:p>
            <w:pPr>
              <w:pStyle w:val="TableContents"/>
              <w:bidi w:val="0"/>
              <w:spacing w:lineRule="auto" w:line="276" w:before="0" w:after="0"/>
              <w:jc w:val="center"/>
              <w:rPr>
                <w:rFonts w:ascii="Times New Roman;sans-serif" w:hAnsi="Times New Roman;sans-serif"/>
                <w:b/>
                <w:i/>
                <w:color w:val="000000"/>
                <w:sz w:val="16"/>
              </w:rPr>
            </w:pPr>
            <w:r>
              <w:rPr>
                <w:rFonts w:ascii="Times New Roman;sans-serif" w:hAnsi="Times New Roman;sans-serif"/>
                <w:b/>
                <w:i/>
                <w:color w:val="000000"/>
                <w:sz w:val="16"/>
              </w:rPr>
              <w:t>Filing</w:t>
            </w:r>
          </w:p>
        </w:tc>
        <w:tc>
          <w:tcPr>
            <w:tcW w:w="34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76" w:before="0" w:after="0"/>
              <w:jc w:val="center"/>
              <w:rPr>
                <w:rFonts w:ascii="Times New Roman;sans-serif" w:hAnsi="Times New Roman;sans-serif"/>
                <w:b/>
                <w:i/>
                <w:color w:val="000000"/>
                <w:sz w:val="16"/>
              </w:rPr>
            </w:pPr>
            <w:r>
              <w:rPr>
                <w:rFonts w:ascii="Times New Roman;sans-serif" w:hAnsi="Times New Roman;sans-serif"/>
                <w:b/>
                <w:i/>
                <w:color w:val="000000"/>
                <w:sz w:val="16"/>
              </w:rPr>
              <w:t>Exhibit</w:t>
            </w:r>
          </w:p>
          <w:p>
            <w:pPr>
              <w:pStyle w:val="TableContents"/>
              <w:bidi w:val="0"/>
              <w:spacing w:lineRule="auto" w:line="276" w:before="0" w:after="0"/>
              <w:jc w:val="center"/>
              <w:rPr>
                <w:rFonts w:ascii="Times New Roman;sans-serif" w:hAnsi="Times New Roman;sans-serif"/>
                <w:b/>
                <w:i/>
                <w:color w:val="000000"/>
                <w:sz w:val="16"/>
              </w:rPr>
            </w:pPr>
            <w:r>
              <w:rPr>
                <w:rFonts w:ascii="Times New Roman;sans-serif" w:hAnsi="Times New Roman;sans-serif"/>
                <w:b/>
                <w:i/>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jc w:val="center"/>
              <w:rPr>
                <w:rFonts w:ascii="Times New Roman;sans-serif" w:hAnsi="Times New Roman;sans-serif"/>
                <w:b/>
                <w:i/>
                <w:color w:val="000000"/>
                <w:sz w:val="16"/>
              </w:rPr>
            </w:pPr>
            <w:r>
              <w:rPr>
                <w:rFonts w:ascii="Times New Roman;sans-serif" w:hAnsi="Times New Roman;sans-serif"/>
                <w:b/>
                <w:i/>
                <w:color w:val="000000"/>
                <w:sz w:val="16"/>
              </w:rPr>
              <w:t>Filed</w:t>
            </w:r>
          </w:p>
          <w:p>
            <w:pPr>
              <w:pStyle w:val="TableContents"/>
              <w:bidi w:val="0"/>
              <w:spacing w:lineRule="auto" w:line="276" w:before="0" w:after="0"/>
              <w:jc w:val="center"/>
              <w:rPr>
                <w:rFonts w:ascii="Times New Roman;sans-serif" w:hAnsi="Times New Roman;sans-serif"/>
                <w:b/>
                <w:i/>
                <w:color w:val="000000"/>
                <w:sz w:val="16"/>
              </w:rPr>
            </w:pPr>
            <w:r>
              <w:rPr>
                <w:rFonts w:ascii="Times New Roman;sans-serif" w:hAnsi="Times New Roman;sans-serif"/>
                <w:b/>
                <w:i/>
                <w:color w:val="000000"/>
                <w:sz w:val="16"/>
              </w:rPr>
              <w:t>Herewith</w:t>
            </w:r>
          </w:p>
        </w:tc>
      </w:tr>
      <w:tr>
        <w:trPr/>
        <w:tc>
          <w:tcPr>
            <w:tcW w:w="69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28">
              <w:r>
                <w:rPr>
                  <w:rStyle w:val="InternetLink"/>
                  <w:rFonts w:ascii="Times New Roman;sans-serif" w:hAnsi="Times New Roman;sans-serif"/>
                  <w:b w:val="false"/>
                  <w:color w:val="0000EF"/>
                  <w:sz w:val="20"/>
                  <w:u w:val="single"/>
                </w:rPr>
                <w:t>Ninth Amended and Restated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05/21/2020</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29">
              <w:r>
                <w:rPr>
                  <w:rStyle w:val="InternetLink"/>
                  <w:rFonts w:ascii="Times New Roman;sans-serif" w:hAnsi="Times New Roman;sans-serif"/>
                  <w:b w:val="false"/>
                  <w:color w:val="0000FF"/>
                  <w:sz w:val="20"/>
                  <w:u w:val="single"/>
                </w:rPr>
                <w:t>Amended and Restated Bylaws, effective as of February 17,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02/21/2023</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30">
              <w:r>
                <w:rPr>
                  <w:rStyle w:val="InternetLink"/>
                  <w:rFonts w:ascii="Times New Roman;sans-serif" w:hAnsi="Times New Roman;sans-serif"/>
                  <w:b w:val="false"/>
                  <w:color w:val="0000EF"/>
                  <w:sz w:val="20"/>
                  <w:u w:val="single"/>
                </w:rPr>
                <w:t>Description of Capital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02/23/2021</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31">
              <w:r>
                <w:rPr>
                  <w:rStyle w:val="InternetLink"/>
                  <w:rFonts w:ascii="Times New Roman;sans-serif" w:hAnsi="Times New Roman;sans-serif"/>
                  <w:b w:val="false"/>
                  <w:color w:val="0000EF"/>
                  <w:sz w:val="20"/>
                  <w:u w:val="single"/>
                </w:rPr>
                <w:t>2010 Equity Incentive Plan, as amended effective October 29, 2014**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02/20/2015</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32">
              <w:r>
                <w:rPr>
                  <w:rStyle w:val="InternetLink"/>
                  <w:rFonts w:ascii="Times New Roman;sans-serif" w:hAnsi="Times New Roman;sans-serif"/>
                  <w:b w:val="false"/>
                  <w:color w:val="0000EF"/>
                  <w:sz w:val="20"/>
                  <w:u w:val="single"/>
                </w:rPr>
                <w:t>Form of Incentive Stock Option Agreement under 2010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02/17/2012</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33">
              <w:r>
                <w:rPr>
                  <w:rStyle w:val="InternetLink"/>
                  <w:rFonts w:ascii="Times New Roman;sans-serif" w:hAnsi="Times New Roman;sans-serif"/>
                  <w:b w:val="false"/>
                  <w:color w:val="0000FF"/>
                  <w:sz w:val="20"/>
                  <w:u w:val="single"/>
                </w:rPr>
                <w:t>Form of Non-Statutory Stock Option Agreement (Employee) under 2010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02/21/2023</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34">
              <w:r>
                <w:rPr>
                  <w:rStyle w:val="InternetLink"/>
                  <w:rFonts w:ascii="Times New Roman;sans-serif" w:hAnsi="Times New Roman;sans-serif"/>
                  <w:b w:val="false"/>
                  <w:color w:val="0000EF"/>
                  <w:sz w:val="20"/>
                  <w:u w:val="single"/>
                </w:rPr>
                <w:t>Form of Non-Statutory Stock Option Agreement (Director) under 2010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02/17/2012</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35">
              <w:r>
                <w:rPr>
                  <w:rStyle w:val="InternetLink"/>
                  <w:rFonts w:ascii="Times New Roman;sans-serif" w:hAnsi="Times New Roman;sans-serif"/>
                  <w:b w:val="false"/>
                  <w:color w:val="0000EF"/>
                  <w:sz w:val="20"/>
                  <w:u w:val="single"/>
                </w:rPr>
                <w:t>Form of Restricted Stock Unit Award Agreement under 2010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02/21/2023</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36">
              <w:r>
                <w:rPr>
                  <w:rStyle w:val="InternetLink"/>
                  <w:rFonts w:ascii="Times New Roman;sans-serif" w:hAnsi="Times New Roman;sans-serif"/>
                  <w:b w:val="false"/>
                  <w:color w:val="0000EF"/>
                  <w:sz w:val="20"/>
                  <w:u w:val="single"/>
                </w:rPr>
                <w:t>Form of Restricted Stock Award Agreement under 2010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05/08/2012</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37">
              <w:r>
                <w:rPr>
                  <w:rStyle w:val="InternetLink"/>
                  <w:rFonts w:ascii="Times New Roman;sans-serif" w:hAnsi="Times New Roman;sans-serif"/>
                  <w:b w:val="false"/>
                  <w:color w:val="0000EF"/>
                  <w:sz w:val="20"/>
                  <w:u w:val="single"/>
                </w:rPr>
                <w:t>Form of Performance Stock Unit Agreement under 2010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02/21/2023</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38">
              <w:r>
                <w:rPr>
                  <w:rStyle w:val="InternetLink"/>
                  <w:rFonts w:ascii="Times New Roman;sans-serif" w:hAnsi="Times New Roman;sans-serif"/>
                  <w:b w:val="false"/>
                  <w:color w:val="0000EF"/>
                  <w:sz w:val="20"/>
                  <w:u w:val="single"/>
                </w:rPr>
                <w:t>Form of Deferred Stock Unit Agreement under 2010 Equity Incentive Plan</w:t>
              </w:r>
            </w:hyperlink>
            <w:r>
              <w:rPr>
                <w:rFonts w:ascii="Times New Roman;sans-serif" w:hAnsi="Times New Roman;sans-serif"/>
                <w:b w:val="false"/>
                <w:color w:val="0000EF"/>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04/26/2019</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39">
              <w:r>
                <w:rPr>
                  <w:rStyle w:val="InternetLink"/>
                  <w:rFonts w:ascii="Times New Roman;sans-serif" w:hAnsi="Times New Roman;sans-serif"/>
                  <w:b w:val="false"/>
                  <w:color w:val="0000EF"/>
                  <w:sz w:val="20"/>
                  <w:u w:val="single"/>
                </w:rPr>
                <w:t>Form of Indemnification Agreement for Independent Directors**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01/11/2010</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40">
              <w:r>
                <w:rPr>
                  <w:rStyle w:val="InternetLink"/>
                  <w:rFonts w:ascii="Times New Roman;sans-serif" w:hAnsi="Times New Roman;sans-serif"/>
                  <w:b w:val="false"/>
                  <w:color w:val="0000EF"/>
                  <w:sz w:val="20"/>
                  <w:u w:val="single"/>
                </w:rPr>
                <w:t>Form of Indemnification Agreement for Archie C. Black**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01/11/2010</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41">
              <w:r>
                <w:rPr>
                  <w:rStyle w:val="InternetLink"/>
                  <w:rFonts w:ascii="Times New Roman;sans-serif" w:hAnsi="Times New Roman;sans-serif"/>
                  <w:b w:val="false"/>
                  <w:color w:val="0000EF"/>
                  <w:sz w:val="20"/>
                  <w:u w:val="single"/>
                </w:rPr>
                <w:t>Management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02/03/2016</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2">
              <w:r>
                <w:rPr>
                  <w:rStyle w:val="InternetLink"/>
                  <w:rFonts w:ascii="Times New Roman;sans-serif" w:hAnsi="Times New Roman;sans-serif"/>
                  <w:b w:val="false"/>
                  <w:color w:val="0000FF"/>
                  <w:sz w:val="20"/>
                  <w:u w:val="single"/>
                </w:rPr>
                <w:t>Amendment to Amended and Restated Executive Severance and Change in Control Agreement, dated as of March 1, 2023, by and between Archie C. Black and SPS Commerce,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03/02/2023</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43">
              <w:r>
                <w:rPr>
                  <w:rStyle w:val="InternetLink"/>
                  <w:rFonts w:ascii="Times New Roman;sans-serif" w:hAnsi="Times New Roman;sans-serif"/>
                  <w:b w:val="false"/>
                  <w:color w:val="0000FF"/>
                  <w:sz w:val="20"/>
                  <w:u w:val="single"/>
                </w:rPr>
                <w:t>Amended and Restated Executive Severance and Change in Control Agreement between the Company and Archie C. Black**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02/18/2020</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44">
              <w:r>
                <w:rPr>
                  <w:rStyle w:val="InternetLink"/>
                  <w:rFonts w:ascii="Times New Roman;sans-serif" w:hAnsi="Times New Roman;sans-serif"/>
                  <w:b w:val="false"/>
                  <w:color w:val="0000EF"/>
                  <w:sz w:val="20"/>
                  <w:u w:val="single"/>
                </w:rPr>
                <w:t>Form of Amended and Restated Executive Severance and Change in Control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02/18/2020</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45">
              <w:r>
                <w:rPr>
                  <w:rStyle w:val="InternetLink"/>
                  <w:rFonts w:ascii="Times New Roman;sans-serif" w:hAnsi="Times New Roman;sans-serif"/>
                  <w:b w:val="false"/>
                  <w:color w:val="0000FF"/>
                  <w:sz w:val="20"/>
                  <w:u w:val="single"/>
                </w:rPr>
                <w:t>Form of Amendment to Amended and Restated Executive Severance and Change in Control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03/02/2023</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46">
              <w:r>
                <w:rPr>
                  <w:rStyle w:val="InternetLink"/>
                  <w:rFonts w:ascii="Times New Roman;sans-serif" w:hAnsi="Times New Roman;sans-serif"/>
                  <w:b w:val="false"/>
                  <w:color w:val="000080"/>
                  <w:sz w:val="20"/>
                  <w:u w:val="single"/>
                </w:rPr>
                <w:t>Offer Letter between Chad Collins and SPS Commerce, Inc., dated as of July 6, 2023</w:t>
              </w:r>
            </w:hyperlink>
            <w:hyperlink r:id="rId147">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07/06/2023</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48">
              <w:r>
                <w:rPr>
                  <w:rStyle w:val="InternetLink"/>
                  <w:rFonts w:ascii="Times New Roman;sans-serif" w:hAnsi="Times New Roman;sans-serif"/>
                  <w:b w:val="false"/>
                  <w:color w:val="000080"/>
                  <w:sz w:val="20"/>
                  <w:u w:val="single"/>
                </w:rPr>
                <w:t>Executive Severance and Change in Control Agreement, effective as of October 2, 2023, by and between Chad Collins and SPS Commerce, Inc.</w:t>
              </w:r>
            </w:hyperlink>
            <w:hyperlink r:id="rId149">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07/06/2023</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847090"/>
                <wp:effectExtent l="0" t="0" r="0" b="0"/>
                <wp:wrapNone/>
                <wp:docPr id="190" name="Frame64"/>
                <a:graphic xmlns:a="http://schemas.openxmlformats.org/drawingml/2006/main">
                  <a:graphicData uri="http://schemas.microsoft.com/office/word/2010/wordprocessingShape">
                    <wps:wsp>
                      <wps:cNvSpPr txBox="1"/>
                      <wps:spPr>
                        <a:xfrm>
                          <a:off x="0" y="0"/>
                          <a:ext cx="6480175" cy="847090"/>
                        </a:xfrm>
                        <a:prstGeom prst="rect"/>
                        <a:solidFill>
                          <a:srgbClr val="FFFFFF"/>
                        </a:solidFill>
                      </wps:spPr>
                      <wps:txb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38125" cy="228600"/>
                                        <wp:effectExtent l="0" t="0" r="0" b="0"/>
                                        <wp:docPr id="191"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65" descr=""/>
                                                <pic:cNvPicPr>
                                                  <a:picLocks noChangeAspect="1" noChangeArrowheads="1"/>
                                                </pic:cNvPicPr>
                                              </pic:nvPicPr>
                                              <pic:blipFill>
                                                <a:blip r:embed="rId150"/>
                                                <a:stretch>
                                                  <a:fillRect/>
                                                </a:stretch>
                                              </pic:blipFill>
                                              <pic:spPr bwMode="auto">
                                                <a:xfrm>
                                                  <a:off x="0" y="0"/>
                                                  <a:ext cx="238125" cy="228600"/>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64</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pt;mso-wrap-distance-left:0pt;mso-wrap-distance-right:0pt;mso-wrap-distance-top:0pt;mso-wrap-distance-bottom:0pt;margin-top:0pt;mso-position-vertical:top;mso-position-vertical-relative:text;margin-left:0pt;mso-position-horizontal:left;mso-position-horizontal-relative:text">
                <v:textbo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38125" cy="228600"/>
                                  <wp:effectExtent l="0" t="0" r="0" b="0"/>
                                  <wp:docPr id="192"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65" descr=""/>
                                          <pic:cNvPicPr>
                                            <a:picLocks noChangeAspect="1" noChangeArrowheads="1"/>
                                          </pic:cNvPicPr>
                                        </pic:nvPicPr>
                                        <pic:blipFill>
                                          <a:blip r:embed="rId151"/>
                                          <a:stretch>
                                            <a:fillRect/>
                                          </a:stretch>
                                        </pic:blipFill>
                                        <pic:spPr bwMode="auto">
                                          <a:xfrm>
                                            <a:off x="0" y="0"/>
                                            <a:ext cx="238125" cy="228600"/>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64</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3f718fd861814da79dc80fa32884b818_7">
        <w:r>
          <w:rPr>
            <w:rStyle w:val="InternetLink"/>
            <w:rFonts w:ascii="Times New Roman;sans-serif" w:hAnsi="Times New Roman;sans-serif"/>
            <w:b w:val="false"/>
            <w:color w:val="0000FF"/>
            <w:sz w:val="16"/>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50"/>
        <w:gridCol w:w="220"/>
        <w:gridCol w:w="221"/>
        <w:gridCol w:w="109"/>
        <w:gridCol w:w="109"/>
        <w:gridCol w:w="109"/>
        <w:gridCol w:w="1819"/>
        <w:gridCol w:w="1788"/>
        <w:gridCol w:w="1715"/>
        <w:gridCol w:w="109"/>
        <w:gridCol w:w="109"/>
        <w:gridCol w:w="109"/>
        <w:gridCol w:w="165"/>
        <w:gridCol w:w="165"/>
        <w:gridCol w:w="166"/>
        <w:gridCol w:w="116"/>
        <w:gridCol w:w="116"/>
        <w:gridCol w:w="116"/>
        <w:gridCol w:w="185"/>
        <w:gridCol w:w="185"/>
        <w:gridCol w:w="186"/>
        <w:gridCol w:w="116"/>
        <w:gridCol w:w="116"/>
        <w:gridCol w:w="116"/>
        <w:gridCol w:w="225"/>
        <w:gridCol w:w="225"/>
        <w:gridCol w:w="226"/>
        <w:gridCol w:w="109"/>
        <w:gridCol w:w="109"/>
        <w:gridCol w:w="109"/>
        <w:gridCol w:w="228"/>
        <w:gridCol w:w="228"/>
        <w:gridCol w:w="331"/>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i/>
                <w:color w:val="000000"/>
                <w:sz w:val="16"/>
              </w:rPr>
            </w:pPr>
            <w:r>
              <w:rPr>
                <w:rFonts w:ascii="Times New Roman;sans-serif" w:hAnsi="Times New Roman;sans-serif"/>
                <w:b/>
                <w:i/>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6" w:before="0" w:after="0"/>
              <w:jc w:val="center"/>
              <w:rPr>
                <w:rFonts w:ascii="Times New Roman;sans-serif" w:hAnsi="Times New Roman;sans-serif"/>
                <w:b/>
                <w:i/>
                <w:color w:val="000000"/>
                <w:sz w:val="16"/>
              </w:rPr>
            </w:pPr>
            <w:r>
              <w:rPr>
                <w:rFonts w:ascii="Times New Roman;sans-serif" w:hAnsi="Times New Roman;sans-serif"/>
                <w:b/>
                <w:i/>
                <w:color w:val="000000"/>
                <w:sz w:val="16"/>
              </w:rPr>
              <w:t>Exhibit</w:t>
            </w:r>
          </w:p>
          <w:p>
            <w:pPr>
              <w:pStyle w:val="TableContents"/>
              <w:bidi w:val="0"/>
              <w:spacing w:lineRule="auto" w:line="276" w:before="0" w:after="0"/>
              <w:jc w:val="center"/>
              <w:rPr>
                <w:rFonts w:ascii="Times New Roman;sans-serif" w:hAnsi="Times New Roman;sans-serif"/>
                <w:b/>
                <w:i/>
                <w:color w:val="000000"/>
                <w:sz w:val="16"/>
              </w:rPr>
            </w:pPr>
            <w:r>
              <w:rPr>
                <w:rFonts w:ascii="Times New Roman;sans-serif" w:hAnsi="Times New Roman;sans-serif"/>
                <w:b/>
                <w:i/>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2"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i/>
                <w:color w:val="000000"/>
                <w:sz w:val="16"/>
              </w:rPr>
            </w:pPr>
            <w:r>
              <w:rPr>
                <w:rFonts w:ascii="Times New Roman;sans-serif" w:hAnsi="Times New Roman;sans-serif"/>
                <w:b/>
                <w:i/>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i/>
                <w:color w:val="000000"/>
                <w:sz w:val="16"/>
              </w:rPr>
            </w:pPr>
            <w:r>
              <w:rPr>
                <w:rFonts w:ascii="Times New Roman;sans-serif" w:hAnsi="Times New Roman;sans-serif"/>
                <w:b/>
                <w:i/>
                <w:color w:val="000000"/>
                <w:sz w:val="16"/>
              </w:rPr>
              <w:t>Form</w:t>
            </w:r>
          </w:p>
        </w:tc>
        <w:tc>
          <w:tcPr>
            <w:tcW w:w="34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76" w:before="0" w:after="0"/>
              <w:jc w:val="center"/>
              <w:rPr>
                <w:rFonts w:ascii="Times New Roman;sans-serif" w:hAnsi="Times New Roman;sans-serif"/>
                <w:b/>
                <w:i/>
                <w:color w:val="000000"/>
                <w:sz w:val="16"/>
              </w:rPr>
            </w:pPr>
            <w:r>
              <w:rPr>
                <w:rFonts w:ascii="Times New Roman;sans-serif" w:hAnsi="Times New Roman;sans-serif"/>
                <w:b/>
                <w:i/>
                <w:color w:val="000000"/>
                <w:sz w:val="16"/>
              </w:rPr>
              <w:t>Date of</w:t>
            </w:r>
          </w:p>
          <w:p>
            <w:pPr>
              <w:pStyle w:val="TableContents"/>
              <w:bidi w:val="0"/>
              <w:spacing w:lineRule="auto" w:line="276" w:before="0" w:after="0"/>
              <w:jc w:val="center"/>
              <w:rPr>
                <w:rFonts w:ascii="Times New Roman;sans-serif" w:hAnsi="Times New Roman;sans-serif"/>
                <w:b/>
                <w:i/>
                <w:color w:val="000000"/>
                <w:sz w:val="16"/>
              </w:rPr>
            </w:pPr>
            <w:r>
              <w:rPr>
                <w:rFonts w:ascii="Times New Roman;sans-serif" w:hAnsi="Times New Roman;sans-serif"/>
                <w:b/>
                <w:i/>
                <w:color w:val="000000"/>
                <w:sz w:val="16"/>
              </w:rPr>
              <w:t>First</w:t>
            </w:r>
          </w:p>
          <w:p>
            <w:pPr>
              <w:pStyle w:val="TableContents"/>
              <w:bidi w:val="0"/>
              <w:spacing w:lineRule="auto" w:line="276" w:before="0" w:after="0"/>
              <w:jc w:val="center"/>
              <w:rPr>
                <w:rFonts w:ascii="Times New Roman;sans-serif" w:hAnsi="Times New Roman;sans-serif"/>
                <w:b/>
                <w:i/>
                <w:color w:val="000000"/>
                <w:sz w:val="16"/>
              </w:rPr>
            </w:pPr>
            <w:r>
              <w:rPr>
                <w:rFonts w:ascii="Times New Roman;sans-serif" w:hAnsi="Times New Roman;sans-serif"/>
                <w:b/>
                <w:i/>
                <w:color w:val="000000"/>
                <w:sz w:val="16"/>
              </w:rPr>
              <w:t>Filing</w:t>
            </w:r>
          </w:p>
        </w:tc>
        <w:tc>
          <w:tcPr>
            <w:tcW w:w="34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76" w:before="0" w:after="0"/>
              <w:jc w:val="center"/>
              <w:rPr>
                <w:rFonts w:ascii="Times New Roman;sans-serif" w:hAnsi="Times New Roman;sans-serif"/>
                <w:b/>
                <w:i/>
                <w:color w:val="000000"/>
                <w:sz w:val="16"/>
              </w:rPr>
            </w:pPr>
            <w:r>
              <w:rPr>
                <w:rFonts w:ascii="Times New Roman;sans-serif" w:hAnsi="Times New Roman;sans-serif"/>
                <w:b/>
                <w:i/>
                <w:color w:val="000000"/>
                <w:sz w:val="16"/>
              </w:rPr>
              <w:t>Exhibit</w:t>
            </w:r>
          </w:p>
          <w:p>
            <w:pPr>
              <w:pStyle w:val="TableContents"/>
              <w:bidi w:val="0"/>
              <w:spacing w:lineRule="auto" w:line="276" w:before="0" w:after="0"/>
              <w:jc w:val="center"/>
              <w:rPr>
                <w:rFonts w:ascii="Times New Roman;sans-serif" w:hAnsi="Times New Roman;sans-serif"/>
                <w:b/>
                <w:i/>
                <w:color w:val="000000"/>
                <w:sz w:val="16"/>
              </w:rPr>
            </w:pPr>
            <w:r>
              <w:rPr>
                <w:rFonts w:ascii="Times New Roman;sans-serif" w:hAnsi="Times New Roman;sans-serif"/>
                <w:b/>
                <w:i/>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jc w:val="center"/>
              <w:rPr>
                <w:rFonts w:ascii="Times New Roman;sans-serif" w:hAnsi="Times New Roman;sans-serif"/>
                <w:b/>
                <w:i/>
                <w:color w:val="000000"/>
                <w:sz w:val="16"/>
              </w:rPr>
            </w:pPr>
            <w:r>
              <w:rPr>
                <w:rFonts w:ascii="Times New Roman;sans-serif" w:hAnsi="Times New Roman;sans-serif"/>
                <w:b/>
                <w:i/>
                <w:color w:val="000000"/>
                <w:sz w:val="16"/>
              </w:rPr>
              <w:t>Filed</w:t>
            </w:r>
          </w:p>
          <w:p>
            <w:pPr>
              <w:pStyle w:val="TableContents"/>
              <w:bidi w:val="0"/>
              <w:spacing w:lineRule="auto" w:line="276" w:before="0" w:after="0"/>
              <w:jc w:val="center"/>
              <w:rPr>
                <w:rFonts w:ascii="Times New Roman;sans-serif" w:hAnsi="Times New Roman;sans-serif"/>
                <w:b/>
                <w:i/>
                <w:color w:val="000000"/>
                <w:sz w:val="16"/>
              </w:rPr>
            </w:pPr>
            <w:r>
              <w:rPr>
                <w:rFonts w:ascii="Times New Roman;sans-serif" w:hAnsi="Times New Roman;sans-serif"/>
                <w:b/>
                <w:i/>
                <w:color w:val="000000"/>
                <w:sz w:val="16"/>
              </w:rPr>
              <w:t>Herewith</w:t>
            </w:r>
          </w:p>
        </w:tc>
      </w:tr>
      <w:tr>
        <w:trPr/>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2023_xex1018non-employeed.htm">
              <w:r>
                <w:rPr>
                  <w:rStyle w:val="InternetLink"/>
                  <w:rFonts w:ascii="Times New Roman;sans-serif" w:hAnsi="Times New Roman;sans-serif"/>
                  <w:b w:val="false"/>
                  <w:color w:val="0000EF"/>
                  <w:sz w:val="20"/>
                  <w:u w:val="single"/>
                </w:rPr>
                <w:t>Non-Employee Director Compensation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2023_xex211-subsidiarylist.htm">
              <w:r>
                <w:rPr>
                  <w:rStyle w:val="InternetLink"/>
                  <w:rFonts w:ascii="Times New Roman;sans-serif" w:hAnsi="Times New Roman;sans-serif"/>
                  <w:b w:val="false"/>
                  <w:color w:val="0000EF"/>
                  <w:sz w:val="20"/>
                  <w:u w:val="single"/>
                </w:rPr>
                <w:t>Subsidiaries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2023_xex231-consentofaudi.htm">
              <w:r>
                <w:rPr>
                  <w:rStyle w:val="InternetLink"/>
                  <w:rFonts w:ascii="Times New Roman;sans-serif" w:hAnsi="Times New Roman;sans-serif"/>
                  <w:b w:val="false"/>
                  <w:color w:val="0000EF"/>
                  <w:sz w:val="20"/>
                  <w:u w:val="single"/>
                </w:rPr>
                <w:t>Consent of KPMG LLP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EF"/>
                <w:sz w:val="20"/>
                <w:u w:val="single"/>
              </w:rPr>
            </w:pPr>
            <w:r>
              <w:rPr>
                <w:rFonts w:ascii="Times New Roman;sans-serif" w:hAnsi="Times New Roman;sans-serif"/>
                <w:b w:val="false"/>
                <w:color w:val="0000EF"/>
                <w:sz w:val="20"/>
                <w:u w:val="single"/>
              </w:rPr>
              <w:t>Power of Attorney (included on signature page)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2023_10kexhibitex311ceo.htm">
              <w:r>
                <w:rPr>
                  <w:rStyle w:val="InternetLink"/>
                  <w:rFonts w:ascii="Times New Roman;sans-serif" w:hAnsi="Times New Roman;sans-serif"/>
                  <w:b w:val="false"/>
                  <w:color w:val="0000EF"/>
                  <w:sz w:val="20"/>
                  <w:u w:val="single"/>
                </w:rPr>
                <w:t>Certification of Principal Executive Officer pursuant to Rules 13a-14(a) under the Securities Exchange Act of 1934,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2023_10kexhibitex312cfo.htm">
              <w:r>
                <w:rPr>
                  <w:rStyle w:val="InternetLink"/>
                  <w:rFonts w:ascii="Times New Roman;sans-serif" w:hAnsi="Times New Roman;sans-serif"/>
                  <w:b w:val="false"/>
                  <w:color w:val="0000EF"/>
                  <w:sz w:val="20"/>
                  <w:u w:val="single"/>
                </w:rPr>
                <w:t>Certification of Principal Financial Officer pursuant to Rules 13a-14(a) under the Securities Exchange Act of 1934,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2023_10kexhibitex321ceocfo.htm">
              <w:r>
                <w:rPr>
                  <w:rStyle w:val="InternetLink"/>
                  <w:rFonts w:ascii="Times New Roman;sans-serif" w:hAnsi="Times New Roman;sans-serif"/>
                  <w:b w:val="false"/>
                  <w:color w:val="0000EF"/>
                  <w:sz w:val="20"/>
                  <w:u w:val="single"/>
                </w:rPr>
                <w:t>Certification of Chief Executive Officer and Chief Financial Officer pursuant to 18 U.S.C. Sec.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2023_xexex97compensationr.htm">
              <w:r>
                <w:rPr>
                  <w:rStyle w:val="InternetLink"/>
                  <w:rFonts w:ascii="Times New Roman;sans-serif" w:hAnsi="Times New Roman;sans-serif"/>
                  <w:b w:val="false"/>
                  <w:color w:val="0000FF"/>
                  <w:sz w:val="20"/>
                  <w:u w:val="single"/>
                </w:rPr>
                <w:t>SPS Commerce, Inc. Required Compensation Recovery Policy, effective October 2,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Interactive Data Files Pursuant to Rule 405 of Regulation 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cover page from the Annual Report on Form 10-K for the year ended December 31, 2023, formatted in Inline XBRL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bl>
    <w:p>
      <w:pPr>
        <w:pStyle w:val="TextBody"/>
        <w:bidi w:val="0"/>
        <w:spacing w:lineRule="auto" w:line="288" w:before="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**Indicates management contract or compensatory plan or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ans-serif" w:hAnsi="Times New Roman;sans-serif"/>
          <w:b/>
          <w:color w:val="00AAE5"/>
          <w:sz w:val="20"/>
        </w:rPr>
      </w:pPr>
      <w:r>
        <w:rPr>
          <w:rFonts w:ascii="Times New Roman;sans-serif" w:hAnsi="Times New Roman;sans-serif"/>
          <w:b/>
          <w:color w:val="00AAE5"/>
          <w:sz w:val="20"/>
        </w:rPr>
        <w:t>Item 16.    Form 10-K Summary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847090"/>
                <wp:effectExtent l="0" t="0" r="0" b="0"/>
                <wp:wrapNone/>
                <wp:docPr id="193" name="Frame65"/>
                <a:graphic xmlns:a="http://schemas.openxmlformats.org/drawingml/2006/main">
                  <a:graphicData uri="http://schemas.microsoft.com/office/word/2010/wordprocessingShape">
                    <wps:wsp>
                      <wps:cNvSpPr txBox="1"/>
                      <wps:spPr>
                        <a:xfrm>
                          <a:off x="0" y="0"/>
                          <a:ext cx="6480175" cy="847090"/>
                        </a:xfrm>
                        <a:prstGeom prst="rect"/>
                        <a:solidFill>
                          <a:srgbClr val="FFFFFF"/>
                        </a:solidFill>
                      </wps:spPr>
                      <wps:txb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38125" cy="228600"/>
                                        <wp:effectExtent l="0" t="0" r="0" b="0"/>
                                        <wp:docPr id="194"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66" descr=""/>
                                                <pic:cNvPicPr>
                                                  <a:picLocks noChangeAspect="1" noChangeArrowheads="1"/>
                                                </pic:cNvPicPr>
                                              </pic:nvPicPr>
                                              <pic:blipFill>
                                                <a:blip r:embed="rId152"/>
                                                <a:stretch>
                                                  <a:fillRect/>
                                                </a:stretch>
                                              </pic:blipFill>
                                              <pic:spPr bwMode="auto">
                                                <a:xfrm>
                                                  <a:off x="0" y="0"/>
                                                  <a:ext cx="238125" cy="228600"/>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65</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pt;mso-wrap-distance-left:0pt;mso-wrap-distance-right:0pt;mso-wrap-distance-top:0pt;mso-wrap-distance-bottom:0pt;margin-top:0pt;mso-position-vertical:top;mso-position-vertical-relative:text;margin-left:0pt;mso-position-horizontal:left;mso-position-horizontal-relative:text">
                <v:textbo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38125" cy="228600"/>
                                  <wp:effectExtent l="0" t="0" r="0" b="0"/>
                                  <wp:docPr id="195"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66" descr=""/>
                                          <pic:cNvPicPr>
                                            <a:picLocks noChangeAspect="1" noChangeArrowheads="1"/>
                                          </pic:cNvPicPr>
                                        </pic:nvPicPr>
                                        <pic:blipFill>
                                          <a:blip r:embed="rId153"/>
                                          <a:stretch>
                                            <a:fillRect/>
                                          </a:stretch>
                                        </pic:blipFill>
                                        <pic:spPr bwMode="auto">
                                          <a:xfrm>
                                            <a:off x="0" y="0"/>
                                            <a:ext cx="238125" cy="228600"/>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65</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right"/>
        <w:rPr/>
      </w:pPr>
      <w:hyperlink w:anchor="i3f718fd861814da79dc80fa32884b81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60" w:after="283"/>
        <w:jc w:val="center"/>
        <w:rPr>
          <w:rFonts w:ascii="Times New Roman;sans-serif" w:hAnsi="Times New Roman;sans-serif"/>
          <w:b/>
          <w:color w:val="00AAE5"/>
          <w:sz w:val="20"/>
        </w:rPr>
      </w:pPr>
      <w:r>
        <w:rPr>
          <w:rFonts w:ascii="Times New Roman;sans-serif" w:hAnsi="Times New Roman;sans-serif"/>
          <w:b/>
          <w:color w:val="00AAE5"/>
          <w:sz w:val="20"/>
        </w:rPr>
        <w:t>SIGNATURES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5507" w:type="dxa"/>
        <w:jc w:val="center"/>
        <w:tblInd w:w="0" w:type="dxa"/>
        <w:tblLayout w:type="fixed"/>
        <w:tblCellMar>
          <w:top w:w="28" w:type="dxa"/>
          <w:left w:w="28" w:type="dxa"/>
          <w:bottom w:w="28" w:type="dxa"/>
          <w:right w:w="28" w:type="dxa"/>
        </w:tblCellMar>
      </w:tblPr>
      <w:tblGrid>
        <w:gridCol w:w="792"/>
        <w:gridCol w:w="696"/>
        <w:gridCol w:w="702"/>
        <w:gridCol w:w="341"/>
        <w:gridCol w:w="341"/>
        <w:gridCol w:w="341"/>
        <w:gridCol w:w="670"/>
        <w:gridCol w:w="670"/>
        <w:gridCol w:w="954"/>
      </w:tblGrid>
      <w:tr>
        <w:trPr/>
        <w:tc>
          <w:tcPr>
            <w:tcW w:w="7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February 20, 2024</w:t>
            </w:r>
          </w:p>
        </w:tc>
        <w:tc>
          <w:tcPr>
            <w:tcW w:w="3317"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SPS COMMERCE, INC.</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2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CHADWICK COLLINS</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Chadwick Collins</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r>
    </w:tbl>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Each of the undersigned hereby appoints Chadwick Collins and Kimberly Nelson, and each of them (with full power to act alone), as attorneys and agents for the undersigned, with full power of substitution, for and in the name, place and stead of the undersigned, to sign and file with the Securities and Exchange Commission under the Securities Exchange Act of 1934, any and all amendments and exhibits to this annual report on Form 10-K and any and all applications, instruments, and other documents to be filed with the Securities and Exchange Commission pertaining to this annual report on Form 10-K or any amendments thereto, with full power and authority to do and perform any and all acts and things whatsoever requisite and necessary or desirable. Pursuant to the requirements of the Securities Exchange Act of 1934, this report has been signed below by the following persons on behalf of the registrant and in the capacities indicated on February 20, 2024.</w:t>
      </w:r>
    </w:p>
    <w:tbl>
      <w:tblPr>
        <w:tblW w:w="7556" w:type="dxa"/>
        <w:jc w:val="center"/>
        <w:tblInd w:w="0" w:type="dxa"/>
        <w:tblLayout w:type="fixed"/>
        <w:tblCellMar>
          <w:top w:w="28" w:type="dxa"/>
          <w:left w:w="28" w:type="dxa"/>
          <w:bottom w:w="28" w:type="dxa"/>
          <w:right w:w="28" w:type="dxa"/>
        </w:tblCellMar>
      </w:tblPr>
      <w:tblGrid>
        <w:gridCol w:w="972"/>
        <w:gridCol w:w="855"/>
        <w:gridCol w:w="858"/>
        <w:gridCol w:w="109"/>
        <w:gridCol w:w="109"/>
        <w:gridCol w:w="109"/>
        <w:gridCol w:w="1321"/>
        <w:gridCol w:w="1321"/>
        <w:gridCol w:w="1902"/>
      </w:tblGrid>
      <w:tr>
        <w:trPr/>
        <w:tc>
          <w:tcPr>
            <w:tcW w:w="97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Name and 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Title</w:t>
            </w:r>
          </w:p>
        </w:tc>
      </w:tr>
      <w:tr>
        <w:trPr/>
        <w:tc>
          <w:tcPr>
            <w:tcW w:w="26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CHADWICK COLLINS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Chief Executive Officer and Director </w:t>
            </w:r>
          </w:p>
        </w:tc>
      </w:tr>
      <w:tr>
        <w:trPr/>
        <w:tc>
          <w:tcPr>
            <w:tcW w:w="2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Chadwick Collins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KIMBERLY NELSON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Executive Vice President and Chief Financial Officer </w:t>
            </w:r>
          </w:p>
        </w:tc>
      </w:tr>
      <w:tr>
        <w:trPr/>
        <w:tc>
          <w:tcPr>
            <w:tcW w:w="2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Kimberly Nelson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and accounting officer)</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ARCHIE BLACK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Director</w:t>
            </w:r>
          </w:p>
        </w:tc>
      </w:tr>
      <w:tr>
        <w:trPr/>
        <w:tc>
          <w:tcPr>
            <w:tcW w:w="2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Archie Black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JAMES RAMSEY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Director</w:t>
            </w:r>
          </w:p>
        </w:tc>
      </w:tr>
      <w:tr>
        <w:trPr/>
        <w:tc>
          <w:tcPr>
            <w:tcW w:w="2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Ramsey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MARTY RÉAUME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Director</w:t>
            </w:r>
          </w:p>
        </w:tc>
      </w:tr>
      <w:tr>
        <w:trPr/>
        <w:tc>
          <w:tcPr>
            <w:tcW w:w="2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Marty Réaume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TAMI RELLER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Director</w:t>
            </w:r>
          </w:p>
        </w:tc>
      </w:tr>
      <w:tr>
        <w:trPr/>
        <w:tc>
          <w:tcPr>
            <w:tcW w:w="2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Tami Reller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PHILIP SORAN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Director</w:t>
            </w:r>
          </w:p>
        </w:tc>
      </w:tr>
      <w:tr>
        <w:trPr/>
        <w:tc>
          <w:tcPr>
            <w:tcW w:w="2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Philip Soran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ANNE SEMPOWSKI 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Director</w:t>
            </w:r>
          </w:p>
        </w:tc>
      </w:tr>
      <w:tr>
        <w:trPr/>
        <w:tc>
          <w:tcPr>
            <w:tcW w:w="2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Anne Sempowski 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SVEN WEHRWEIN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Director</w:t>
            </w:r>
          </w:p>
        </w:tc>
      </w:tr>
      <w:tr>
        <w:trPr/>
        <w:tc>
          <w:tcPr>
            <w:tcW w:w="2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Sven Wehrwein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10.18</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847090"/>
                <wp:effectExtent l="0" t="0" r="0" b="0"/>
                <wp:wrapNone/>
                <wp:docPr id="196" name="Frame66"/>
                <a:graphic xmlns:a="http://schemas.openxmlformats.org/drawingml/2006/main">
                  <a:graphicData uri="http://schemas.microsoft.com/office/word/2010/wordprocessingShape">
                    <wps:wsp>
                      <wps:cNvSpPr txBox="1"/>
                      <wps:spPr>
                        <a:xfrm>
                          <a:off x="0" y="0"/>
                          <a:ext cx="6480175" cy="847090"/>
                        </a:xfrm>
                        <a:prstGeom prst="rect"/>
                        <a:solidFill>
                          <a:srgbClr val="FFFFFF"/>
                        </a:solidFill>
                      </wps:spPr>
                      <wps:txb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38125" cy="228600"/>
                                        <wp:effectExtent l="0" t="0" r="0" b="0"/>
                                        <wp:docPr id="19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67" descr=""/>
                                                <pic:cNvPicPr>
                                                  <a:picLocks noChangeAspect="1" noChangeArrowheads="1"/>
                                                </pic:cNvPicPr>
                                              </pic:nvPicPr>
                                              <pic:blipFill>
                                                <a:blip r:embed="rId154"/>
                                                <a:stretch>
                                                  <a:fillRect/>
                                                </a:stretch>
                                              </pic:blipFill>
                                              <pic:spPr bwMode="auto">
                                                <a:xfrm>
                                                  <a:off x="0" y="0"/>
                                                  <a:ext cx="238125" cy="228600"/>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66</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pt;mso-wrap-distance-left:0pt;mso-wrap-distance-right:0pt;mso-wrap-distance-top:0pt;mso-wrap-distance-bottom:0pt;margin-top:0pt;mso-position-vertical:top;mso-position-vertical-relative:text;margin-left:-414pt;mso-position-horizontal:left;mso-position-horizontal-relative:text">
                <v:textbox>
                  <w:txbxContent>
                    <w:tbl>
                      <w:tblPr>
                        <w:tblW w:w="587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1058"/>
                        <w:gridCol w:w="1058"/>
                        <w:gridCol w:w="149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238125" cy="228600"/>
                                  <wp:effectExtent l="0" t="0" r="0" b="0"/>
                                  <wp:docPr id="198"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67" descr=""/>
                                          <pic:cNvPicPr>
                                            <a:picLocks noChangeAspect="1" noChangeArrowheads="1"/>
                                          </pic:cNvPicPr>
                                        </pic:nvPicPr>
                                        <pic:blipFill>
                                          <a:blip r:embed="rId155"/>
                                          <a:stretch>
                                            <a:fillRect/>
                                          </a:stretch>
                                        </pic:blipFill>
                                        <pic:spPr bwMode="auto">
                                          <a:xfrm>
                                            <a:off x="0" y="0"/>
                                            <a:ext cx="238125" cy="228600"/>
                                          </a:xfrm>
                                          <a:prstGeom prst="rect">
                                            <a:avLst/>
                                          </a:prstGeom>
                                        </pic:spPr>
                                      </pic:pic>
                                    </a:graphicData>
                                  </a:graphic>
                                </wp:inline>
                              </w:drawing>
                            </w:r>
                            <w:r>
                              <w:rPr>
                                <w:color w:val="000000"/>
                              </w:rPr>
                              <w:t xml:space="preserve"> </w:t>
                            </w:r>
                            <w:r>
                              <w:rPr>
                                <w:rFonts w:ascii="Times New Roman;sans-serif" w:hAnsi="Times New Roman;sans-serif"/>
                                <w:b/>
                                <w:color w:val="000000"/>
                                <w:sz w:val="14"/>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66</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14"/>
                              </w:rPr>
                            </w:pPr>
                            <w:r>
                              <w:rPr>
                                <w:rFonts w:ascii="Times New Roman;sans-serif" w:hAnsi="Times New Roman;sans-serif"/>
                                <w:b/>
                                <w:color w:val="000000"/>
                                <w:sz w:val="14"/>
                              </w:rPr>
                              <w:t>Form 10-K for the Annual Period ended December 31,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SPS COMMERCE, INC.</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NON-EMPLOYEE DIRECTOR COMPENSATION SUMMARY</w:t>
      </w:r>
    </w:p>
    <w:p>
      <w:pPr>
        <w:pStyle w:val="TextBody"/>
        <w:bidi w:val="0"/>
        <w:spacing w:before="0" w:after="0"/>
        <w:jc w:val="center"/>
        <w:rPr/>
      </w:pPr>
      <w:r>
        <w:rPr/>
      </w:r>
    </w:p>
    <w:tbl>
      <w:tblPr>
        <w:tblW w:w="6405" w:type="dxa"/>
        <w:jc w:val="left"/>
        <w:tblInd w:w="0" w:type="dxa"/>
        <w:tblLayout w:type="fixed"/>
        <w:tblCellMar>
          <w:top w:w="28" w:type="dxa"/>
          <w:left w:w="28" w:type="dxa"/>
          <w:bottom w:w="28" w:type="dxa"/>
          <w:right w:w="28" w:type="dxa"/>
        </w:tblCellMar>
      </w:tblPr>
      <w:tblGrid>
        <w:gridCol w:w="331"/>
        <w:gridCol w:w="291"/>
        <w:gridCol w:w="292"/>
        <w:gridCol w:w="1608"/>
        <w:gridCol w:w="1608"/>
        <w:gridCol w:w="2275"/>
      </w:tblGrid>
      <w:tr>
        <w:trPr/>
        <w:tc>
          <w:tcPr>
            <w:tcW w:w="3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op w:val="single" w:sz="4" w:space="0" w:color="BFBFBF"/>
              <w:left w:val="single" w:sz="4" w:space="0" w:color="BFBFBF"/>
            </w:tcBorders>
            <w:tcMar>
              <w:top w:w="3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i/>
                <w:color w:val="000000"/>
                <w:sz w:val="20"/>
              </w:rPr>
              <w:t>Adopted</w:t>
            </w:r>
            <w:r>
              <w:rPr>
                <w:rFonts w:ascii="Times New Roman;sans-serif" w:hAnsi="Times New Roman;sans-serif"/>
                <w:b w:val="false"/>
                <w:color w:val="000000"/>
                <w:sz w:val="20"/>
              </w:rPr>
              <w:t>:</w:t>
            </w:r>
          </w:p>
        </w:tc>
        <w:tc>
          <w:tcPr>
            <w:tcW w:w="5491" w:type="dxa"/>
            <w:gridSpan w:val="3"/>
            <w:tcBorders>
              <w:top w:val="single" w:sz="4" w:space="0" w:color="BFBFBF"/>
              <w:left w:val="single" w:sz="4" w:space="0" w:color="BFBFBF"/>
              <w:right w:val="single" w:sz="4" w:space="0" w:color="BFBFBF"/>
            </w:tcBorders>
            <w:tcMar>
              <w:top w:w="30" w:type="dxa"/>
              <w:bottom w:w="0" w:type="dxa"/>
            </w:tcMar>
            <w:vAlign w:val="center"/>
          </w:tcPr>
          <w:p>
            <w:pPr>
              <w:pStyle w:val="TableContents"/>
              <w:bidi w:val="0"/>
              <w:spacing w:lineRule="auto" w:line="240" w:before="0" w:after="0"/>
              <w:ind w:left="0" w:right="0" w:firstLine="511"/>
              <w:jc w:val="left"/>
              <w:rPr>
                <w:rFonts w:ascii="Times New Roman;sans-serif" w:hAnsi="Times New Roman;sans-serif"/>
                <w:b w:val="false"/>
                <w:color w:val="000000"/>
                <w:sz w:val="20"/>
              </w:rPr>
            </w:pPr>
            <w:r>
              <w:rPr>
                <w:rFonts w:ascii="Times New Roman;sans-serif" w:hAnsi="Times New Roman;sans-serif"/>
                <w:b w:val="false"/>
                <w:color w:val="000000"/>
                <w:sz w:val="20"/>
              </w:rPr>
              <w:t>12 May 2023</w:t>
            </w:r>
          </w:p>
        </w:tc>
      </w:tr>
      <w:tr>
        <w:trPr/>
        <w:tc>
          <w:tcPr>
            <w:tcW w:w="914" w:type="dxa"/>
            <w:gridSpan w:val="3"/>
            <w:tcBorders>
              <w:top w:val="single" w:sz="4" w:space="0" w:color="BFBFBF"/>
              <w:left w:val="single" w:sz="4" w:space="0" w:color="BFBFBF"/>
              <w:bottom w:val="single" w:sz="4" w:space="0" w:color="BFBFBF"/>
            </w:tcBorders>
            <w:tcMar>
              <w:top w:w="3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i/>
                <w:color w:val="000000"/>
                <w:sz w:val="20"/>
              </w:rPr>
              <w:t>Effective</w:t>
            </w:r>
            <w:r>
              <w:rPr>
                <w:rFonts w:ascii="Times New Roman;sans-serif" w:hAnsi="Times New Roman;sans-serif"/>
                <w:b w:val="false"/>
                <w:color w:val="000000"/>
                <w:sz w:val="20"/>
              </w:rPr>
              <w:t>:</w:t>
            </w:r>
          </w:p>
        </w:tc>
        <w:tc>
          <w:tcPr>
            <w:tcW w:w="5491" w:type="dxa"/>
            <w:gridSpan w:val="3"/>
            <w:tcBorders>
              <w:top w:val="single" w:sz="4" w:space="0" w:color="BFBFBF"/>
              <w:left w:val="single" w:sz="4" w:space="0" w:color="BFBFBF"/>
              <w:bottom w:val="single" w:sz="4" w:space="0" w:color="BFBFBF"/>
              <w:right w:val="single" w:sz="4" w:space="0" w:color="BFBFBF"/>
            </w:tcBorders>
            <w:tcMar>
              <w:top w:w="30" w:type="dxa"/>
              <w:bottom w:w="30" w:type="dxa"/>
            </w:tcMar>
            <w:vAlign w:val="center"/>
          </w:tcPr>
          <w:p>
            <w:pPr>
              <w:pStyle w:val="TableContents"/>
              <w:bidi w:val="0"/>
              <w:spacing w:lineRule="auto" w:line="240" w:before="0" w:after="0"/>
              <w:ind w:left="0" w:right="0" w:firstLine="511"/>
              <w:jc w:val="left"/>
              <w:rPr>
                <w:rFonts w:ascii="Times New Roman;sans-serif" w:hAnsi="Times New Roman;sans-serif"/>
                <w:b w:val="false"/>
                <w:color w:val="000000"/>
                <w:sz w:val="20"/>
              </w:rPr>
            </w:pPr>
            <w:r>
              <w:rPr>
                <w:rFonts w:ascii="Times New Roman;sans-serif" w:hAnsi="Times New Roman;sans-serif"/>
                <w:b w:val="false"/>
                <w:color w:val="000000"/>
                <w:sz w:val="20"/>
              </w:rPr>
              <w:t>Immediately prior to 2023 Annual Meeting of Stockholders</w:t>
            </w:r>
          </w:p>
        </w:tc>
      </w:tr>
    </w:tbl>
    <w:p>
      <w:pPr>
        <w:pStyle w:val="TextBody"/>
        <w:bidi w:val="0"/>
        <w:spacing w:before="0" w:after="120"/>
        <w:jc w:val="left"/>
        <w:rPr/>
      </w:pPr>
      <w:r>
        <w:rPr/>
      </w:r>
    </w:p>
    <w:p>
      <w:pPr>
        <w:pStyle w:val="TextBody"/>
        <w:bidi w:val="0"/>
        <w:spacing w:lineRule="auto" w:line="240" w:before="0" w:after="120"/>
        <w:jc w:val="left"/>
        <w:rPr/>
      </w:pPr>
      <w:r>
        <w:rPr>
          <w:rFonts w:ascii="Times New Roman;sans-serif" w:hAnsi="Times New Roman;sans-serif"/>
          <w:b w:val="false"/>
          <w:i/>
          <w:color w:val="000000"/>
          <w:sz w:val="20"/>
        </w:rPr>
        <w:t>Director annual retainer</w:t>
      </w:r>
      <w:r>
        <w:rPr>
          <w:rFonts w:ascii="Times New Roman;sans-serif" w:hAnsi="Times New Roman;sans-serif"/>
          <w:b w:val="false"/>
          <w:color w:val="000000"/>
          <w:sz w:val="20"/>
        </w:rPr>
        <w:t>: Annual retainer, payable in cash, of $35,000 per director except for the chairperson who shall receive $61,000.</w:t>
      </w:r>
    </w:p>
    <w:p>
      <w:pPr>
        <w:pStyle w:val="TextBody"/>
        <w:bidi w:val="0"/>
        <w:spacing w:lineRule="auto" w:line="240" w:before="0" w:after="120"/>
        <w:jc w:val="left"/>
        <w:rPr/>
      </w:pPr>
      <w:r>
        <w:rPr>
          <w:rFonts w:ascii="Times New Roman;sans-serif" w:hAnsi="Times New Roman;sans-serif"/>
          <w:b w:val="false"/>
          <w:i/>
          <w:color w:val="000000"/>
          <w:sz w:val="20"/>
        </w:rPr>
        <w:t>Committee chairs annual retainer</w:t>
      </w:r>
      <w:r>
        <w:rPr>
          <w:rFonts w:ascii="Times New Roman;sans-serif" w:hAnsi="Times New Roman;sans-serif"/>
          <w:b w:val="false"/>
          <w:color w:val="000000"/>
          <w:sz w:val="20"/>
        </w:rPr>
        <w:t xml:space="preserve">: Annual retainers, payable in cash, of: </w:t>
      </w:r>
    </w:p>
    <w:tbl>
      <w:tblPr>
        <w:tblW w:w="4335" w:type="dxa"/>
        <w:jc w:val="left"/>
        <w:tblInd w:w="0" w:type="dxa"/>
        <w:tblLayout w:type="fixed"/>
        <w:tblCellMar>
          <w:top w:w="28" w:type="dxa"/>
          <w:left w:w="28" w:type="dxa"/>
          <w:bottom w:w="28" w:type="dxa"/>
          <w:right w:w="28" w:type="dxa"/>
        </w:tblCellMar>
      </w:tblPr>
      <w:tblGrid>
        <w:gridCol w:w="1256"/>
        <w:gridCol w:w="1102"/>
        <w:gridCol w:w="1106"/>
        <w:gridCol w:w="255"/>
        <w:gridCol w:w="255"/>
        <w:gridCol w:w="361"/>
      </w:tblGrid>
      <w:tr>
        <w:trPr/>
        <w:tc>
          <w:tcPr>
            <w:tcW w:w="125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Audit Committee:</w:t>
            </w:r>
          </w:p>
        </w:tc>
        <w:tc>
          <w:tcPr>
            <w:tcW w:w="871" w:type="dxa"/>
            <w:gridSpan w:val="3"/>
            <w:tcBorders/>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$ 20,000</w:t>
            </w:r>
          </w:p>
        </w:tc>
      </w:tr>
      <w:tr>
        <w:trPr/>
        <w:tc>
          <w:tcPr>
            <w:tcW w:w="346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Committee:</w:t>
            </w:r>
          </w:p>
        </w:tc>
        <w:tc>
          <w:tcPr>
            <w:tcW w:w="871" w:type="dxa"/>
            <w:gridSpan w:val="3"/>
            <w:tcBorders/>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w:t>
            </w:r>
          </w:p>
        </w:tc>
      </w:tr>
      <w:tr>
        <w:trPr/>
        <w:tc>
          <w:tcPr>
            <w:tcW w:w="346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and Strategy Committee:</w:t>
            </w:r>
          </w:p>
        </w:tc>
        <w:tc>
          <w:tcPr>
            <w:tcW w:w="871" w:type="dxa"/>
            <w:gridSpan w:val="3"/>
            <w:tcBorders/>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w:t>
            </w:r>
          </w:p>
        </w:tc>
      </w:tr>
      <w:tr>
        <w:trPr/>
        <w:tc>
          <w:tcPr>
            <w:tcW w:w="346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Governance and Nominating Committee:</w:t>
            </w:r>
          </w:p>
        </w:tc>
        <w:tc>
          <w:tcPr>
            <w:tcW w:w="871" w:type="dxa"/>
            <w:gridSpan w:val="3"/>
            <w:tcBorders/>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w:t>
            </w:r>
          </w:p>
        </w:tc>
      </w:tr>
      <w:tr>
        <w:trPr/>
        <w:tc>
          <w:tcPr>
            <w:tcW w:w="346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CEO Search Committee:</w:t>
            </w:r>
          </w:p>
        </w:tc>
        <w:tc>
          <w:tcPr>
            <w:tcW w:w="871" w:type="dxa"/>
            <w:gridSpan w:val="3"/>
            <w:tcBorders/>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w:t>
            </w:r>
          </w:p>
        </w:tc>
      </w:tr>
    </w:tbl>
    <w:p>
      <w:pPr>
        <w:pStyle w:val="TextBody"/>
        <w:bidi w:val="0"/>
        <w:spacing w:lineRule="auto" w:line="240" w:before="0" w:after="120"/>
        <w:jc w:val="left"/>
        <w:rPr/>
      </w:pPr>
      <w:r>
        <w:rPr>
          <w:rFonts w:ascii="Times New Roman;sans-serif" w:hAnsi="Times New Roman;sans-serif"/>
          <w:b w:val="false"/>
          <w:i/>
          <w:color w:val="000000"/>
          <w:sz w:val="20"/>
        </w:rPr>
        <w:t>Committee member annual retainer</w:t>
      </w:r>
      <w:r>
        <w:rPr>
          <w:rFonts w:ascii="Times New Roman;sans-serif" w:hAnsi="Times New Roman;sans-serif"/>
          <w:b w:val="false"/>
          <w:color w:val="000000"/>
          <w:sz w:val="20"/>
        </w:rPr>
        <w:t xml:space="preserve">: Annual retainers, payable in cash, of: </w:t>
      </w:r>
    </w:p>
    <w:tbl>
      <w:tblPr>
        <w:tblW w:w="4335" w:type="dxa"/>
        <w:jc w:val="left"/>
        <w:tblInd w:w="0" w:type="dxa"/>
        <w:tblLayout w:type="fixed"/>
        <w:tblCellMar>
          <w:top w:w="28" w:type="dxa"/>
          <w:left w:w="28" w:type="dxa"/>
          <w:bottom w:w="28" w:type="dxa"/>
          <w:right w:w="28" w:type="dxa"/>
        </w:tblCellMar>
      </w:tblPr>
      <w:tblGrid>
        <w:gridCol w:w="1256"/>
        <w:gridCol w:w="1102"/>
        <w:gridCol w:w="1106"/>
        <w:gridCol w:w="255"/>
        <w:gridCol w:w="255"/>
        <w:gridCol w:w="361"/>
      </w:tblGrid>
      <w:tr>
        <w:trPr/>
        <w:tc>
          <w:tcPr>
            <w:tcW w:w="125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Audit Committee:</w:t>
            </w:r>
          </w:p>
        </w:tc>
        <w:tc>
          <w:tcPr>
            <w:tcW w:w="871" w:type="dxa"/>
            <w:gridSpan w:val="3"/>
            <w:tcBorders/>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$ 10,000</w:t>
            </w:r>
          </w:p>
        </w:tc>
      </w:tr>
      <w:tr>
        <w:trPr/>
        <w:tc>
          <w:tcPr>
            <w:tcW w:w="346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Committee:</w:t>
            </w:r>
          </w:p>
        </w:tc>
        <w:tc>
          <w:tcPr>
            <w:tcW w:w="871" w:type="dxa"/>
            <w:gridSpan w:val="3"/>
            <w:tcBorders/>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w:t>
            </w:r>
          </w:p>
        </w:tc>
      </w:tr>
      <w:tr>
        <w:trPr/>
        <w:tc>
          <w:tcPr>
            <w:tcW w:w="346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and Strategy Committee:</w:t>
            </w:r>
          </w:p>
        </w:tc>
        <w:tc>
          <w:tcPr>
            <w:tcW w:w="871" w:type="dxa"/>
            <w:gridSpan w:val="3"/>
            <w:tcBorders/>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w:t>
            </w:r>
          </w:p>
        </w:tc>
      </w:tr>
      <w:tr>
        <w:trPr/>
        <w:tc>
          <w:tcPr>
            <w:tcW w:w="346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Governance and Nominating Committee:</w:t>
            </w:r>
          </w:p>
        </w:tc>
        <w:tc>
          <w:tcPr>
            <w:tcW w:w="871" w:type="dxa"/>
            <w:gridSpan w:val="3"/>
            <w:tcBorders/>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w:t>
            </w:r>
          </w:p>
        </w:tc>
      </w:tr>
      <w:tr>
        <w:trPr/>
        <w:tc>
          <w:tcPr>
            <w:tcW w:w="346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CEO Search Committee:</w:t>
            </w:r>
          </w:p>
        </w:tc>
        <w:tc>
          <w:tcPr>
            <w:tcW w:w="871" w:type="dxa"/>
            <w:gridSpan w:val="3"/>
            <w:tcBorders/>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w:t>
            </w:r>
          </w:p>
        </w:tc>
      </w:tr>
    </w:tbl>
    <w:p>
      <w:pPr>
        <w:pStyle w:val="TextBody"/>
        <w:bidi w:val="0"/>
        <w:spacing w:lineRule="auto" w:line="240" w:before="0" w:after="120"/>
        <w:jc w:val="left"/>
        <w:rPr/>
      </w:pPr>
      <w:r>
        <w:rPr>
          <w:rFonts w:ascii="Times New Roman;sans-serif" w:hAnsi="Times New Roman;sans-serif"/>
          <w:b w:val="false"/>
          <w:i/>
          <w:color w:val="000000"/>
          <w:sz w:val="20"/>
        </w:rPr>
        <w:t>Annual non-statutory stock option grants</w:t>
      </w:r>
      <w:r>
        <w:rPr>
          <w:rFonts w:ascii="Times New Roman;sans-serif" w:hAnsi="Times New Roman;sans-serif"/>
          <w:b w:val="false"/>
          <w:color w:val="000000"/>
          <w:sz w:val="20"/>
        </w:rPr>
        <w:t xml:space="preserve">: </w:t>
      </w:r>
    </w:p>
    <w:p>
      <w:pPr>
        <w:pStyle w:val="TextBody"/>
        <w:bidi w:val="0"/>
        <w:spacing w:lineRule="auto" w:line="240" w:before="0" w:after="120"/>
        <w:ind w:left="0" w:right="0" w:hanging="360"/>
        <w:jc w:val="left"/>
        <w:rPr/>
      </w:pPr>
      <w:r>
        <w:rPr>
          <w:color w:val="000000"/>
        </w:rPr>
        <w:t>•</w:t>
      </w:r>
      <w:r>
        <w:rPr>
          <w:rFonts w:ascii="Times New Roman;sans-serif" w:hAnsi="Times New Roman;sans-serif"/>
          <w:b w:val="false"/>
          <w:color w:val="000000"/>
          <w:sz w:val="20"/>
        </w:rPr>
        <w:t xml:space="preserve">To purchase up to $91,250 of common stock calculated as the grant date fair value of the stock-based awards computed in accordance with FASB ASC 718 on the date of the Company’s annual meeting of stockholders using the closing sale price for a share of the Company’s common stock on the Nasdaq Global Market on the date of the annual meeting of stockholders </w:t>
      </w:r>
    </w:p>
    <w:p>
      <w:pPr>
        <w:pStyle w:val="TextBody"/>
        <w:bidi w:val="0"/>
        <w:spacing w:lineRule="auto" w:line="240" w:before="0" w:after="120"/>
        <w:ind w:left="0" w:right="0" w:hanging="360"/>
        <w:jc w:val="left"/>
        <w:rPr/>
      </w:pPr>
      <w:r>
        <w:rPr>
          <w:color w:val="000000"/>
        </w:rPr>
        <w:t>•</w:t>
      </w:r>
      <w:r>
        <w:rPr>
          <w:rFonts w:ascii="Times New Roman;sans-serif" w:hAnsi="Times New Roman;sans-serif"/>
          <w:b w:val="false"/>
          <w:color w:val="000000"/>
          <w:sz w:val="20"/>
        </w:rPr>
        <w:t xml:space="preserve">Granted to directors who are elected to the board at the annual meeting of stockholders </w:t>
      </w:r>
    </w:p>
    <w:p>
      <w:pPr>
        <w:pStyle w:val="TextBody"/>
        <w:bidi w:val="0"/>
        <w:spacing w:lineRule="auto" w:line="240" w:before="0" w:after="120"/>
        <w:ind w:left="0" w:right="0" w:hanging="360"/>
        <w:jc w:val="left"/>
        <w:rPr/>
      </w:pPr>
      <w:r>
        <w:rPr>
          <w:color w:val="000000"/>
        </w:rPr>
        <w:t>•</w:t>
      </w:r>
      <w:r>
        <w:rPr>
          <w:rFonts w:ascii="Times New Roman;sans-serif" w:hAnsi="Times New Roman;sans-serif"/>
          <w:b w:val="false"/>
          <w:color w:val="000000"/>
          <w:sz w:val="20"/>
        </w:rPr>
        <w:t xml:space="preserve">Exercise price per share equal to the closing sales price for a share on the Nasdaq Global Market on the date of the annual meeting of stockholders </w:t>
      </w:r>
    </w:p>
    <w:p>
      <w:pPr>
        <w:pStyle w:val="TextBody"/>
        <w:bidi w:val="0"/>
        <w:spacing w:lineRule="auto" w:line="240" w:before="0" w:after="120"/>
        <w:ind w:left="0" w:right="0" w:hanging="360"/>
        <w:jc w:val="left"/>
        <w:rPr/>
      </w:pPr>
      <w:r>
        <w:rPr>
          <w:color w:val="000000"/>
        </w:rPr>
        <w:t>•</w:t>
      </w:r>
      <w:r>
        <w:rPr>
          <w:rFonts w:ascii="Times New Roman;sans-serif" w:hAnsi="Times New Roman;sans-serif"/>
          <w:b w:val="false"/>
          <w:color w:val="000000"/>
          <w:sz w:val="20"/>
        </w:rPr>
        <w:t xml:space="preserve">Vest in four equal installments on the last day of each fiscal quarter with the first vesting occurring on the fiscal quarter end next following the date of the annual meeting of stockholders, provided the recipient remains a member of the board as of the vesting date </w:t>
      </w:r>
    </w:p>
    <w:p>
      <w:pPr>
        <w:pStyle w:val="TextBody"/>
        <w:bidi w:val="0"/>
        <w:spacing w:lineRule="auto" w:line="240" w:before="0" w:after="120"/>
        <w:ind w:left="0" w:right="0" w:hanging="360"/>
        <w:jc w:val="left"/>
        <w:rPr/>
      </w:pPr>
      <w:r>
        <w:rPr>
          <w:color w:val="000000"/>
        </w:rPr>
        <w:t>•</w:t>
      </w:r>
      <w:r>
        <w:rPr>
          <w:rFonts w:ascii="Times New Roman;sans-serif" w:hAnsi="Times New Roman;sans-serif"/>
          <w:b w:val="false"/>
          <w:color w:val="000000"/>
          <w:sz w:val="20"/>
        </w:rPr>
        <w:t xml:space="preserve">Maximum term of seven years measured from the date of grant </w:t>
      </w:r>
    </w:p>
    <w:p>
      <w:pPr>
        <w:pStyle w:val="TextBody"/>
        <w:bidi w:val="0"/>
        <w:spacing w:lineRule="auto" w:line="240" w:before="0" w:after="120"/>
        <w:jc w:val="left"/>
        <w:rPr/>
      </w:pPr>
      <w:r>
        <w:rPr>
          <w:rFonts w:ascii="Times New Roman;sans-serif" w:hAnsi="Times New Roman;sans-serif"/>
          <w:b w:val="false"/>
          <w:i/>
          <w:color w:val="000000"/>
          <w:sz w:val="20"/>
        </w:rPr>
        <w:t>Annual restricted stock and/or deferred stock unit grants</w:t>
      </w:r>
      <w:r>
        <w:rPr>
          <w:rFonts w:ascii="Times New Roman;sans-serif" w:hAnsi="Times New Roman;sans-serif"/>
          <w:b w:val="false"/>
          <w:color w:val="000000"/>
          <w:sz w:val="20"/>
        </w:rPr>
        <w:t xml:space="preserve">: </w:t>
      </w:r>
    </w:p>
    <w:p>
      <w:pPr>
        <w:pStyle w:val="TextBody"/>
        <w:bidi w:val="0"/>
        <w:spacing w:lineRule="auto" w:line="240" w:before="0" w:after="120"/>
        <w:ind w:left="0" w:right="0" w:hanging="360"/>
        <w:jc w:val="left"/>
        <w:rPr/>
      </w:pPr>
      <w:r>
        <w:rPr>
          <w:color w:val="000000"/>
        </w:rPr>
        <w:t>•</w:t>
      </w:r>
      <w:r>
        <w:rPr>
          <w:rFonts w:ascii="Times New Roman;sans-serif" w:hAnsi="Times New Roman;sans-serif"/>
          <w:b w:val="false"/>
          <w:color w:val="000000"/>
          <w:sz w:val="20"/>
        </w:rPr>
        <w:t xml:space="preserve">To acquire up to $91,250 of restricted common stock or deferred stock units, or some combination of the two, at the director’s election, calculated by dividing $91,250 by the closing sale price for a share of the Company’s common stock on the Nasdaq Global Market on the date of the Company’s annual meeting of stockholders </w:t>
      </w:r>
    </w:p>
    <w:p>
      <w:pPr>
        <w:pStyle w:val="TextBody"/>
        <w:bidi w:val="0"/>
        <w:spacing w:lineRule="auto" w:line="240" w:before="0" w:after="120"/>
        <w:ind w:left="0" w:right="0" w:hanging="360"/>
        <w:jc w:val="left"/>
        <w:rPr/>
      </w:pPr>
      <w:r>
        <w:rPr>
          <w:color w:val="000000"/>
        </w:rPr>
        <w:t>•</w:t>
      </w:r>
      <w:r>
        <w:rPr>
          <w:rFonts w:ascii="Times New Roman;sans-serif" w:hAnsi="Times New Roman;sans-serif"/>
          <w:b w:val="false"/>
          <w:color w:val="000000"/>
          <w:sz w:val="20"/>
        </w:rPr>
        <w:t xml:space="preserve">Granted to directors who are elected to the board at the annual meeting of stockholders </w:t>
      </w:r>
    </w:p>
    <w:p>
      <w:pPr>
        <w:pStyle w:val="TextBody"/>
        <w:bidi w:val="0"/>
        <w:spacing w:lineRule="auto" w:line="240" w:before="0" w:after="120"/>
        <w:ind w:left="0" w:right="0" w:hanging="360"/>
        <w:jc w:val="left"/>
        <w:rPr/>
      </w:pPr>
      <w:r>
        <w:rPr>
          <w:color w:val="000000"/>
        </w:rPr>
        <w:t>•</w:t>
      </w:r>
      <w:r>
        <w:rPr>
          <w:rFonts w:ascii="Times New Roman;sans-serif" w:hAnsi="Times New Roman;sans-serif"/>
          <w:b w:val="false"/>
          <w:color w:val="000000"/>
          <w:sz w:val="20"/>
        </w:rPr>
        <w:t>Vest in four equal installments on the last day of each fiscal quarter with the first vesting occurring on the fiscal quarter end next following the date of the annual meeting of stockholders, provided the recipient remains a member of the board as of the vesting date</w:t>
      </w:r>
    </w:p>
    <w:p>
      <w:pPr>
        <w:pStyle w:val="TextBody"/>
        <w:bidi w:val="0"/>
        <w:spacing w:lineRule="auto" w:line="240" w:before="0" w:after="120"/>
        <w:ind w:left="0" w:right="0" w:hanging="360"/>
        <w:jc w:val="left"/>
        <w:rPr/>
      </w:pPr>
      <w:r>
        <w:rPr>
          <w:color w:val="000000"/>
        </w:rPr>
        <w:t>•</w:t>
      </w:r>
      <w:r>
        <w:rPr>
          <w:rFonts w:ascii="Times New Roman;sans-serif" w:hAnsi="Times New Roman;sans-serif"/>
          <w:b w:val="false"/>
          <w:color w:val="000000"/>
          <w:sz w:val="20"/>
        </w:rPr>
        <w:t>Deferred stock units must be retained until completion of the director’s service on the board, and upon completion of such service, convert into an equal number of shares of the Company’s common stock. A director may defer receipt of the shares for up to ten years after completion of service.</w:t>
      </w:r>
    </w:p>
    <w:p>
      <w:pPr>
        <w:pStyle w:val="TextBody"/>
        <w:bidi w:val="0"/>
        <w:spacing w:lineRule="auto" w:line="240" w:before="0" w:after="120"/>
        <w:jc w:val="left"/>
        <w:rPr/>
      </w:pPr>
      <w:r>
        <w:rPr>
          <w:rFonts w:ascii="Times New Roman;sans-serif" w:hAnsi="Times New Roman;sans-serif"/>
          <w:b w:val="false"/>
          <w:i/>
          <w:color w:val="000000"/>
          <w:sz w:val="20"/>
        </w:rPr>
        <w:t>Reimbursement of expenses</w:t>
      </w:r>
      <w:r>
        <w:rPr>
          <w:rFonts w:ascii="Times New Roman;sans-serif" w:hAnsi="Times New Roman;sans-serif"/>
          <w:b w:val="false"/>
          <w:color w:val="000000"/>
          <w:sz w:val="20"/>
        </w:rPr>
        <w:t xml:space="preserve">: The Company shall reimburse directors for reasonable expenses incurred in connection with attending board and committee meetings. </w:t>
      </w:r>
    </w:p>
    <w:p>
      <w:pPr>
        <w:pStyle w:val="TextBody"/>
        <w:bidi w:val="0"/>
        <w:spacing w:lineRule="auto" w:line="240" w:before="0" w:after="120"/>
        <w:jc w:val="left"/>
        <w:rPr/>
      </w:pPr>
      <w:r>
        <w:rPr>
          <w:rFonts w:ascii="Times New Roman;sans-serif" w:hAnsi="Times New Roman;sans-serif"/>
          <w:b w:val="false"/>
          <w:i/>
          <w:color w:val="000000"/>
          <w:sz w:val="20"/>
        </w:rPr>
        <w:t>Proration for appointment between annual meetings of stockholders</w:t>
      </w:r>
      <w:r>
        <w:rPr>
          <w:rFonts w:ascii="Times New Roman;sans-serif" w:hAnsi="Times New Roman;sans-serif"/>
          <w:b w:val="false"/>
          <w:color w:val="000000"/>
          <w:sz w:val="20"/>
        </w:rPr>
        <w:t xml:space="preserve">: In the event a director is elected or appointed to the board or a committee on a date other than the annual meeting of stockholders, the director shall receive the </w:t>
      </w:r>
    </w:p>
    <w:p>
      <w:pPr>
        <w:pStyle w:val="TextBody"/>
        <w:bidi w:val="0"/>
        <w:spacing w:before="0" w:after="0"/>
        <w:jc w:val="righ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99"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retainer compensation set forth above pro rated based on the days subsequent to the most recent annual meeting, but shall not receive the equity compensation awards set forth above. </w:t>
      </w:r>
    </w:p>
    <w:p>
      <w:pPr>
        <w:pStyle w:val="TextBody"/>
        <w:bidi w:val="0"/>
        <w:spacing w:lineRule="auto" w:line="240" w:before="0" w:after="120"/>
        <w:jc w:val="left"/>
        <w:rPr/>
      </w:pPr>
      <w:r>
        <w:rPr>
          <w:rFonts w:ascii="Times New Roman;sans-serif" w:hAnsi="Times New Roman;sans-serif"/>
          <w:b w:val="false"/>
          <w:i/>
          <w:color w:val="000000"/>
          <w:sz w:val="20"/>
        </w:rPr>
        <w:t>Initial non-statutory stock option grants</w:t>
      </w:r>
      <w:r>
        <w:rPr>
          <w:rFonts w:ascii="Times New Roman;sans-serif" w:hAnsi="Times New Roman;sans-serif"/>
          <w:b w:val="false"/>
          <w:color w:val="000000"/>
          <w:sz w:val="20"/>
        </w:rPr>
        <w:t>: Each director, who is initially appointed or elected to the board receives a non-statutory stock option grant to purchase up to $182,500 of common stock calculated as the grant date fair value of the stock-based awards computed in accordance with FASB ASC 718 in connection with initial appointment or election to the board. The grant is made on the fifth trading day following the Company’s first earnings release following the date of initial appointment or election to the board (the “</w:t>
      </w:r>
      <w:r>
        <w:rPr>
          <w:rFonts w:ascii="Times New Roman;sans-serif" w:hAnsi="Times New Roman;sans-serif"/>
          <w:b w:val="false"/>
          <w:i/>
          <w:color w:val="000000"/>
          <w:sz w:val="20"/>
        </w:rPr>
        <w:t>Initial Option Grant Date</w:t>
      </w:r>
      <w:r>
        <w:rPr>
          <w:color w:val="000000"/>
        </w:rPr>
        <w:t>”</w:t>
      </w:r>
      <w:r>
        <w:rPr>
          <w:rFonts w:ascii="Times New Roman;sans-serif" w:hAnsi="Times New Roman;sans-serif"/>
          <w:b w:val="false"/>
          <w:color w:val="000000"/>
          <w:sz w:val="20"/>
        </w:rPr>
        <w:t>). Exercise price per share equal to the closing sales price for a share on the Nasdaq Global Market on the Initial Option Grant Date. Vest in equal monthly installments over three years commencing on the first day of the calendar month following the initial appointment or election to the board, provided the recipient remains a member of the board as of the vesting date. Maximum term of seven years measured from the date of grant.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594360"/>
                <wp:effectExtent l="0" t="0" r="0" b="0"/>
                <wp:wrapNone/>
                <wp:docPr id="200" name="Frame68"/>
                <a:graphic xmlns:a="http://schemas.openxmlformats.org/drawingml/2006/main">
                  <a:graphicData uri="http://schemas.microsoft.com/office/word/2010/wordprocessingShape">
                    <wps:wsp>
                      <wps:cNvSpPr txBox="1"/>
                      <wps:spPr>
                        <a:xfrm>
                          <a:off x="0" y="0"/>
                          <a:ext cx="6480175" cy="59436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SPS | Non-Employee Director Compensation Summary        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SPS | Non-Employee Director Compensation Summary        Page 2</w:t>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p>
    <w:p>
      <w:pPr>
        <w:pStyle w:val="TextBody"/>
        <w:bidi w:val="0"/>
        <w:spacing w:before="0" w:after="0"/>
        <w:jc w:val="righ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List of SPS Commerce, Inc. Subsidiaries</w:t>
      </w:r>
    </w:p>
    <w:p>
      <w:pPr>
        <w:pStyle w:val="TextBody"/>
        <w:bidi w:val="0"/>
        <w:spacing w:before="0" w:after="0"/>
        <w:jc w:val="left"/>
        <w:rPr/>
      </w:pPr>
      <w:r>
        <w:rPr/>
      </w:r>
    </w:p>
    <w:tbl>
      <w:tblPr>
        <w:tblW w:w="5969" w:type="dxa"/>
        <w:jc w:val="left"/>
        <w:tblInd w:w="0" w:type="dxa"/>
        <w:tblLayout w:type="fixed"/>
        <w:tblCellMar>
          <w:top w:w="28" w:type="dxa"/>
          <w:left w:w="28" w:type="dxa"/>
          <w:bottom w:w="28" w:type="dxa"/>
          <w:right w:w="28" w:type="dxa"/>
        </w:tblCellMar>
      </w:tblPr>
      <w:tblGrid>
        <w:gridCol w:w="1210"/>
        <w:gridCol w:w="1063"/>
        <w:gridCol w:w="1072"/>
        <w:gridCol w:w="768"/>
        <w:gridCol w:w="768"/>
        <w:gridCol w:w="1088"/>
      </w:tblGrid>
      <w:tr>
        <w:trPr/>
        <w:tc>
          <w:tcPr>
            <w:tcW w:w="121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 of Company</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State or Other Jurisdiction of</w:t>
            </w:r>
          </w:p>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Incorporation/Organization</w:t>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SPS International, Inc.</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SPS Commerce Australia Pty Ltd</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SPS Commerce Canada, Ltd.</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Intertrade Systems, Inc.</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SPS Commerce Netherlands B.V.</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SPS Europe Limited</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Great Britain</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SPS Ukraine LLC</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Ukraine</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SPS Commerce Philippines Inc.</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Philippines</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 Masons Software, LLC</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Florida</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Genius Central Systems LLC</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GCommerce, Inc.</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AutoSoez Commerce, Inc.</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GCommerce Data Cloud, Inc.</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GCommerce Fulfillment Cloud, LLC</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SPS Hong Kong Limited</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Hong Kong</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TIE Commerce, Inc.</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Massachusetts</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TIE Kinetix Holding B.V.</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TIE Nederland B.V.</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TIE Product Development B.V.</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TIE MamboFive B.V.</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TIE Kinetix Europe B.V.</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Pingli B.V.</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TIE Kinetix SAS</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France</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TIE Kinetix DACH GmbH</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Performance Analytics GmbH</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TIE Kinetix, Ltd.</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Great Britain</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201"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the registration statements on Form S-3 (Nos. 333-192392, 333-182097 and 333-174026) and on Form S-8 (Nos. 333-236671, 333-229838, 333-222438, 333-222435, 333-216288, 333-209721, 333-201673, 333-193544, 333-185972, 333-182007, 333-179236, 333-172073, 333-167315 and 333-167314) of our reports dated February 20, 2024, with respect to the consolidated financial statements of SPS Commerce, Inc. and subsidiaries and the effectiveness of internal control over financial reporting.</w:t>
      </w:r>
    </w:p>
    <w:p>
      <w:pPr>
        <w:pStyle w:val="TextBody"/>
        <w:bidi w:val="0"/>
        <w:spacing w:before="40" w:after="283"/>
        <w:jc w:val="left"/>
        <w:rPr/>
      </w:pPr>
      <w:r>
        <w:rPr/>
      </w:r>
    </w:p>
    <w:p>
      <w:pPr>
        <w:pStyle w:val="TextBody"/>
        <w:bidi w:val="0"/>
        <w:spacing w:lineRule="auto" w:line="240"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KPMG LLP</w:t>
      </w:r>
    </w:p>
    <w:p>
      <w:pPr>
        <w:pStyle w:val="TextBody"/>
        <w:bidi w:val="0"/>
        <w:spacing w:before="0" w:after="0"/>
        <w:jc w:val="left"/>
        <w:rPr/>
      </w:pPr>
      <w:r>
        <w:rPr/>
      </w:r>
    </w:p>
    <w:p>
      <w:pPr>
        <w:pStyle w:val="TextBody"/>
        <w:bidi w:val="0"/>
        <w:spacing w:lineRule="auto" w:line="240"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Minneapolis, Minnesota</w:t>
      </w:r>
    </w:p>
    <w:p>
      <w:pPr>
        <w:pStyle w:val="TextBody"/>
        <w:bidi w:val="0"/>
        <w:spacing w:lineRule="auto" w:line="240"/>
        <w:jc w:val="left"/>
        <w:rPr>
          <w:rFonts w:ascii="Times New Roman;sans-serif" w:hAnsi="Times New Roman;sans-serif"/>
          <w:b w:val="false"/>
          <w:color w:val="000000"/>
          <w:sz w:val="20"/>
        </w:rPr>
      </w:pPr>
      <w:r>
        <w:rPr>
          <w:rFonts w:ascii="Times New Roman;sans-serif" w:hAnsi="Times New Roman;sans-serif"/>
          <w:b w:val="false"/>
          <w:color w:val="000000"/>
          <w:sz w:val="20"/>
        </w:rPr>
        <w:t>February 20,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202"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SECTION 302 OF THE SARBANES-OXLEY ACT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Chadwick Collins, certify that: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SPS Commerce, Inc.;</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2772" w:type="dxa"/>
        <w:jc w:val="left"/>
        <w:tblInd w:w="0" w:type="dxa"/>
        <w:tblLayout w:type="fixed"/>
        <w:tblCellMar>
          <w:top w:w="28" w:type="dxa"/>
          <w:left w:w="28" w:type="dxa"/>
          <w:bottom w:w="28" w:type="dxa"/>
          <w:right w:w="28" w:type="dxa"/>
        </w:tblCellMar>
      </w:tblPr>
      <w:tblGrid>
        <w:gridCol w:w="869"/>
        <w:gridCol w:w="763"/>
        <w:gridCol w:w="768"/>
        <w:gridCol w:w="109"/>
        <w:gridCol w:w="109"/>
        <w:gridCol w:w="154"/>
      </w:tblGrid>
      <w:tr>
        <w:trPr/>
        <w:tc>
          <w:tcPr>
            <w:tcW w:w="8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CHADWICK COLLINS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Chadwick Collins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p>
            <w:pPr>
              <w:pStyle w:val="TableContents"/>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20, 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203"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SECTION 302 OF THE SARBANES-OXLEY ACT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Kimberly Nelson, certify that: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SPS Commerce, Inc.;</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841" w:type="dxa"/>
        <w:jc w:val="left"/>
        <w:tblInd w:w="0" w:type="dxa"/>
        <w:tblLayout w:type="fixed"/>
        <w:tblCellMar>
          <w:top w:w="28" w:type="dxa"/>
          <w:left w:w="28" w:type="dxa"/>
          <w:bottom w:w="28" w:type="dxa"/>
          <w:right w:w="28" w:type="dxa"/>
        </w:tblCellMar>
      </w:tblPr>
      <w:tblGrid>
        <w:gridCol w:w="1615"/>
        <w:gridCol w:w="1422"/>
        <w:gridCol w:w="1432"/>
        <w:gridCol w:w="109"/>
        <w:gridCol w:w="109"/>
        <w:gridCol w:w="154"/>
      </w:tblGrid>
      <w:tr>
        <w:trPr/>
        <w:tc>
          <w:tcPr>
            <w:tcW w:w="1615"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KIMBERLY NELSON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Kimberly Nelson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Executive Vice President and Chief Financial Officer</w:t>
            </w:r>
          </w:p>
          <w:p>
            <w:pPr>
              <w:pStyle w:val="TableContents"/>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and accounting officer)</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20, 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204"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on Form 10-K of SPS Commerce, Inc. (the “Company”) for the period ended December 31, 2023, as filed with the Securities and Exchange Commission on the date hereof (the “Report”), the undersigned, the Chief Executive Officer and the Chief Financial Officer of the Company, hereby certify, pursuant to and for purposes of 18 U.S.C. §1350, as adopted pursuant to Section 906 of the Sarbanes-Oxley Act of 2002, that: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2772" w:type="dxa"/>
        <w:jc w:val="left"/>
        <w:tblInd w:w="0" w:type="dxa"/>
        <w:tblLayout w:type="fixed"/>
        <w:tblCellMar>
          <w:top w:w="28" w:type="dxa"/>
          <w:left w:w="28" w:type="dxa"/>
          <w:bottom w:w="28" w:type="dxa"/>
          <w:right w:w="28" w:type="dxa"/>
        </w:tblCellMar>
      </w:tblPr>
      <w:tblGrid>
        <w:gridCol w:w="869"/>
        <w:gridCol w:w="763"/>
        <w:gridCol w:w="768"/>
        <w:gridCol w:w="109"/>
        <w:gridCol w:w="109"/>
        <w:gridCol w:w="154"/>
      </w:tblGrid>
      <w:tr>
        <w:trPr/>
        <w:tc>
          <w:tcPr>
            <w:tcW w:w="8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CHADWICK COLLINS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Chadwick Collins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b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841" w:type="dxa"/>
        <w:jc w:val="left"/>
        <w:tblInd w:w="0" w:type="dxa"/>
        <w:tblLayout w:type="fixed"/>
        <w:tblCellMar>
          <w:top w:w="28" w:type="dxa"/>
          <w:left w:w="28" w:type="dxa"/>
          <w:bottom w:w="28" w:type="dxa"/>
          <w:right w:w="28" w:type="dxa"/>
        </w:tblCellMar>
      </w:tblPr>
      <w:tblGrid>
        <w:gridCol w:w="1615"/>
        <w:gridCol w:w="1422"/>
        <w:gridCol w:w="1432"/>
        <w:gridCol w:w="109"/>
        <w:gridCol w:w="109"/>
        <w:gridCol w:w="154"/>
      </w:tblGrid>
      <w:tr>
        <w:trPr/>
        <w:tc>
          <w:tcPr>
            <w:tcW w:w="1615"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KIMBERLY NELSON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Kimberly Nelson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Executive Vice President and Chief Financial Officer</w:t>
            </w:r>
          </w:p>
          <w:p>
            <w:pPr>
              <w:pStyle w:val="TableContents"/>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and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20, 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205"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97</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SPS COMMERCE,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REQUIRED COMPENSATION RECOVERY POLICY</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Effective October 2, 2023</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Policy</w:t>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The Board of Directors (the “</w:t>
      </w:r>
      <w:r>
        <w:rPr>
          <w:rFonts w:ascii="Times New Roman;sans-serif" w:hAnsi="Times New Roman;sans-serif"/>
          <w:b w:val="false"/>
          <w:color w:val="000000"/>
          <w:sz w:val="20"/>
          <w:u w:val="single"/>
        </w:rPr>
        <w:t>Board</w:t>
      </w:r>
      <w:r>
        <w:rPr>
          <w:color w:val="000000"/>
        </w:rPr>
        <w:t>”</w:t>
      </w:r>
      <w:r>
        <w:rPr>
          <w:rFonts w:ascii="Times New Roman;sans-serif" w:hAnsi="Times New Roman;sans-serif"/>
          <w:b w:val="false"/>
          <w:color w:val="000000"/>
          <w:sz w:val="20"/>
        </w:rPr>
        <w:t>) of SPS Commerce, Inc. (the “</w:t>
      </w:r>
      <w:r>
        <w:rPr>
          <w:rFonts w:ascii="Times New Roman;sans-serif" w:hAnsi="Times New Roman;sans-serif"/>
          <w:b w:val="false"/>
          <w:color w:val="000000"/>
          <w:sz w:val="20"/>
          <w:u w:val="single"/>
        </w:rPr>
        <w:t>Company</w:t>
      </w:r>
      <w:r>
        <w:rPr>
          <w:color w:val="000000"/>
        </w:rPr>
        <w:t>”</w:t>
      </w:r>
      <w:r>
        <w:rPr>
          <w:rFonts w:ascii="Times New Roman;sans-serif" w:hAnsi="Times New Roman;sans-serif"/>
          <w:b w:val="false"/>
          <w:color w:val="000000"/>
          <w:sz w:val="20"/>
        </w:rPr>
        <w:t>) has adopted this Required Compensation Recovery Policy (this “</w:t>
      </w:r>
      <w:r>
        <w:rPr>
          <w:rFonts w:ascii="Times New Roman;sans-serif" w:hAnsi="Times New Roman;sans-serif"/>
          <w:b w:val="false"/>
          <w:color w:val="000000"/>
          <w:sz w:val="20"/>
          <w:u w:val="single"/>
        </w:rPr>
        <w:t>Policy</w:t>
      </w:r>
      <w:r>
        <w:rPr>
          <w:color w:val="000000"/>
        </w:rPr>
        <w:t>”</w:t>
      </w:r>
      <w:r>
        <w:rPr>
          <w:rFonts w:ascii="Times New Roman;sans-serif" w:hAnsi="Times New Roman;sans-serif"/>
          <w:b w:val="false"/>
          <w:color w:val="000000"/>
          <w:sz w:val="20"/>
        </w:rPr>
        <w:t>) pursuant to Rule 10D-1 of the Securities and Exchange Act of 1934, as amended (the “</w:t>
      </w:r>
      <w:r>
        <w:rPr>
          <w:rFonts w:ascii="Times New Roman;sans-serif" w:hAnsi="Times New Roman;sans-serif"/>
          <w:b w:val="false"/>
          <w:color w:val="000000"/>
          <w:sz w:val="20"/>
          <w:u w:val="single"/>
        </w:rPr>
        <w:t>Exchange Act</w:t>
      </w:r>
      <w:r>
        <w:rPr>
          <w:color w:val="000000"/>
        </w:rPr>
        <w:t>”</w:t>
      </w:r>
      <w:r>
        <w:rPr>
          <w:rFonts w:ascii="Times New Roman;sans-serif" w:hAnsi="Times New Roman;sans-serif"/>
          <w:b w:val="false"/>
          <w:color w:val="000000"/>
          <w:sz w:val="20"/>
        </w:rPr>
        <w:t>), the Securities and Exchange Commission (“</w:t>
      </w:r>
      <w:r>
        <w:rPr>
          <w:rFonts w:ascii="Times New Roman;sans-serif" w:hAnsi="Times New Roman;sans-serif"/>
          <w:b w:val="false"/>
          <w:color w:val="000000"/>
          <w:sz w:val="20"/>
          <w:u w:val="single"/>
        </w:rPr>
        <w:t>SEC</w:t>
      </w:r>
      <w:r>
        <w:rPr>
          <w:color w:val="000000"/>
        </w:rPr>
        <w:t>”</w:t>
      </w:r>
      <w:r>
        <w:rPr>
          <w:rFonts w:ascii="Times New Roman;sans-serif" w:hAnsi="Times New Roman;sans-serif"/>
          <w:b w:val="false"/>
          <w:color w:val="000000"/>
          <w:sz w:val="20"/>
        </w:rPr>
        <w:t>) regulations promulgated thereunder, and applicable Nasdaq Stock Market (“</w:t>
      </w:r>
      <w:r>
        <w:rPr>
          <w:rFonts w:ascii="Times New Roman;sans-serif" w:hAnsi="Times New Roman;sans-serif"/>
          <w:b w:val="false"/>
          <w:color w:val="000000"/>
          <w:sz w:val="20"/>
          <w:u w:val="single"/>
        </w:rPr>
        <w:t>Nasdaq</w:t>
      </w:r>
      <w:r>
        <w:rPr>
          <w:color w:val="000000"/>
        </w:rPr>
        <w:t>”</w:t>
      </w:r>
      <w:r>
        <w:rPr>
          <w:rFonts w:ascii="Times New Roman;sans-serif" w:hAnsi="Times New Roman;sans-serif"/>
          <w:b w:val="false"/>
          <w:color w:val="000000"/>
          <w:sz w:val="20"/>
        </w:rPr>
        <w:t xml:space="preserve">) listing standards. Subject to and in accordance with the terms of this Policy, upon a Recoupment Event, each Covered Executive shall be obligated to return to the Company, reasonably promptly, the amount of Erroneously Awarded Compensation that was received by such Covered Executive during the Lookback Period.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Administration</w:t>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This Policy will be administered by the Compensation &amp; Talent Committee of the Board (the “</w:t>
      </w:r>
      <w:r>
        <w:rPr>
          <w:rFonts w:ascii="Times New Roman;sans-serif" w:hAnsi="Times New Roman;sans-serif"/>
          <w:b w:val="false"/>
          <w:color w:val="000000"/>
          <w:sz w:val="20"/>
          <w:u w:val="single"/>
        </w:rPr>
        <w:t>Committee</w:t>
      </w:r>
      <w:r>
        <w:rPr>
          <w:color w:val="000000"/>
        </w:rPr>
        <w:t>”</w:t>
      </w:r>
      <w:r>
        <w:rPr>
          <w:rFonts w:ascii="Times New Roman;sans-serif" w:hAnsi="Times New Roman;sans-serif"/>
          <w:b w:val="false"/>
          <w:color w:val="000000"/>
          <w:sz w:val="20"/>
        </w:rPr>
        <w:t>). Any determinations made by the Committee will be final and binding on all affected individuals.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Definitions</w:t>
      </w:r>
    </w:p>
    <w:p>
      <w:pPr>
        <w:pStyle w:val="TextBody"/>
        <w:bidi w:val="0"/>
        <w:spacing w:lineRule="auto" w:line="268" w:before="0" w:after="0"/>
        <w:ind w:left="0" w:right="0" w:firstLine="720"/>
        <w:jc w:val="left"/>
        <w:rPr/>
      </w:pPr>
      <w:r>
        <w:rPr>
          <w:color w:val="000000"/>
        </w:rPr>
        <w:t>“</w:t>
      </w:r>
      <w:r>
        <w:rPr>
          <w:rFonts w:ascii="Times New Roman;sans-serif" w:hAnsi="Times New Roman;sans-serif"/>
          <w:b w:val="false"/>
          <w:color w:val="000000"/>
          <w:sz w:val="20"/>
          <w:u w:val="single"/>
        </w:rPr>
        <w:t>Accounting Restatement</w:t>
      </w:r>
      <w:r>
        <w:rPr>
          <w:color w:val="000000"/>
        </w:rPr>
        <w:t xml:space="preserve">” </w:t>
      </w:r>
      <w:r>
        <w:rPr>
          <w:rFonts w:ascii="Times New Roman;sans-serif" w:hAnsi="Times New Roman;sans-serif"/>
          <w:b w:val="false"/>
          <w:color w:val="000000"/>
          <w:sz w:val="20"/>
        </w:rPr>
        <w:t xml:space="preserve">means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val="false"/>
          <w:color w:val="000000"/>
          <w:sz w:val="20"/>
          <w:u w:val="single"/>
        </w:rPr>
        <w:t>Covered Executive</w:t>
      </w:r>
      <w:r>
        <w:rPr>
          <w:color w:val="000000"/>
        </w:rPr>
        <w:t xml:space="preserve">” </w:t>
      </w:r>
      <w:r>
        <w:rPr>
          <w:rFonts w:ascii="Times New Roman;sans-serif" w:hAnsi="Times New Roman;sans-serif"/>
          <w:b w:val="false"/>
          <w:color w:val="000000"/>
          <w:sz w:val="20"/>
        </w:rPr>
        <w:t>means each of the Company’s current and former executive officers who is or was an “officer” of the Company within the meaning of Rule 16a-1(f) of the Exchange Act.</w:t>
      </w:r>
      <w:r>
        <w:rPr>
          <w:color w:val="000000"/>
        </w:rPr>
        <w:t xml:space="preserve">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left"/>
        <w:rPr/>
      </w:pPr>
      <w:r>
        <w:rPr>
          <w:color w:val="000000"/>
        </w:rPr>
        <w:t>“</w:t>
      </w:r>
      <w:r>
        <w:rPr>
          <w:rFonts w:ascii="Times New Roman;sans-serif" w:hAnsi="Times New Roman;sans-serif"/>
          <w:b w:val="false"/>
          <w:color w:val="000000"/>
          <w:sz w:val="20"/>
          <w:u w:val="single"/>
        </w:rPr>
        <w:t>Erroneously Awarded Compensation</w:t>
      </w:r>
      <w:r>
        <w:rPr>
          <w:color w:val="000000"/>
        </w:rPr>
        <w:t xml:space="preserve">” </w:t>
      </w:r>
      <w:r>
        <w:rPr>
          <w:rFonts w:ascii="Times New Roman;sans-serif" w:hAnsi="Times New Roman;sans-serif"/>
          <w:b w:val="false"/>
          <w:color w:val="000000"/>
          <w:sz w:val="20"/>
        </w:rPr>
        <w:t>means, with respect to each Covered Executive in connection with an Accounting Restatement, the excess of the amount of Incentive-Based Compensation received by the Covered Executive during the Lookback Period over the amount of Incentive-Based Compensation that otherwise would have been received had it been determined based on the restated amounts, computed without regard to any taxes paid. For Incentive-Based Compensation based on stock price or total shareholder return, where the amount of Erroneously Awarded Compensation is not subject to mathematical recalculation directly from the information in an Accounting Restatement: (a) the amount must be based on a reasonable estimate of the effect of the Accounting Restatement on the stock price or total shareholder return upon which the Incentive-Based Compensation was received; and (b) the Company must maintain documentation of the determination of that reasonable estimate and provide such documentation to Nasdaq.</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color w:val="000000"/>
        </w:rPr>
        <w:t>“</w:t>
      </w:r>
      <w:r>
        <w:rPr>
          <w:rFonts w:ascii="Times New Roman;sans-serif" w:hAnsi="Times New Roman;sans-serif"/>
          <w:b w:val="false"/>
          <w:color w:val="000000"/>
          <w:sz w:val="20"/>
          <w:u w:val="single"/>
        </w:rPr>
        <w:t>Financial Reporting Measures</w:t>
      </w:r>
      <w:r>
        <w:rPr>
          <w:color w:val="000000"/>
        </w:rPr>
        <w:t xml:space="preserve">” </w:t>
      </w:r>
      <w:r>
        <w:rPr>
          <w:rFonts w:ascii="Times New Roman;sans-serif" w:hAnsi="Times New Roman;sans-serif"/>
          <w:b w:val="false"/>
          <w:color w:val="000000"/>
          <w:sz w:val="20"/>
        </w:rPr>
        <w:t>are any measures that are determined and presented in accordance with the accounting principles used in preparing the Company’s financial statements, and any measures derived wholly or in part from such measures. Stock price and total shareholder return are also Financial Reporting Measures. A Financial Reporting Measure need not be presented within the financial statements or included in a filing with the SEC.</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color w:val="000000"/>
        </w:rPr>
        <w:t>“</w:t>
      </w:r>
      <w:r>
        <w:rPr>
          <w:rFonts w:ascii="Times New Roman;sans-serif" w:hAnsi="Times New Roman;sans-serif"/>
          <w:b w:val="false"/>
          <w:color w:val="000000"/>
          <w:sz w:val="20"/>
          <w:u w:val="single"/>
        </w:rPr>
        <w:t>Incentive-Based Compensation</w:t>
      </w:r>
      <w:r>
        <w:rPr>
          <w:color w:val="000000"/>
        </w:rPr>
        <w:t xml:space="preserve">” </w:t>
      </w:r>
      <w:r>
        <w:rPr>
          <w:rFonts w:ascii="Times New Roman;sans-serif" w:hAnsi="Times New Roman;sans-serif"/>
          <w:b w:val="false"/>
          <w:color w:val="000000"/>
          <w:sz w:val="20"/>
        </w:rPr>
        <w:t xml:space="preserve">is any compensation that is granted, earned, or vested based wholly or in part upon the attainment of a Financial Reporting Measure.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color w:val="000000"/>
        </w:rPr>
        <w:t>“</w:t>
      </w:r>
      <w:r>
        <w:rPr>
          <w:rFonts w:ascii="Times New Roman;sans-serif" w:hAnsi="Times New Roman;sans-serif"/>
          <w:b w:val="false"/>
          <w:color w:val="000000"/>
          <w:sz w:val="20"/>
          <w:u w:val="single"/>
        </w:rPr>
        <w:t>Lookback Period</w:t>
      </w:r>
      <w:r>
        <w:rPr>
          <w:color w:val="000000"/>
        </w:rPr>
        <w:t xml:space="preserve">” </w:t>
      </w:r>
      <w:r>
        <w:rPr>
          <w:rFonts w:ascii="Times New Roman;sans-serif" w:hAnsi="Times New Roman;sans-serif"/>
          <w:b w:val="false"/>
          <w:color w:val="000000"/>
          <w:sz w:val="20"/>
        </w:rPr>
        <w:t xml:space="preserve">means the three completed fiscal years immediately preceding the Required Restatement Date and any transition period (that results from a change in the Company’s fiscal year) of less than nine months within or immediately following those three completed fiscal years.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A “</w:t>
      </w:r>
      <w:r>
        <w:rPr>
          <w:rFonts w:ascii="Times New Roman;sans-serif" w:hAnsi="Times New Roman;sans-serif"/>
          <w:b w:val="false"/>
          <w:color w:val="000000"/>
          <w:sz w:val="20"/>
          <w:u w:val="single"/>
        </w:rPr>
        <w:t>Recoupment Event</w:t>
      </w:r>
      <w:r>
        <w:rPr>
          <w:color w:val="000000"/>
        </w:rPr>
        <w:t xml:space="preserve">” </w:t>
      </w:r>
      <w:r>
        <w:rPr>
          <w:rFonts w:ascii="Times New Roman;sans-serif" w:hAnsi="Times New Roman;sans-serif"/>
          <w:b w:val="false"/>
          <w:color w:val="000000"/>
          <w:sz w:val="20"/>
        </w:rPr>
        <w:t xml:space="preserve">occurs when the Company is required to prepare an Accounting Restatement.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color w:val="000000"/>
        </w:rPr>
        <w:t>“</w:t>
      </w:r>
      <w:r>
        <w:rPr>
          <w:rFonts w:ascii="Times New Roman;sans-serif" w:hAnsi="Times New Roman;sans-serif"/>
          <w:b w:val="false"/>
          <w:color w:val="000000"/>
          <w:sz w:val="20"/>
          <w:u w:val="single"/>
        </w:rPr>
        <w:t>Required Restatement Date</w:t>
      </w:r>
      <w:r>
        <w:rPr>
          <w:color w:val="000000"/>
        </w:rPr>
        <w:t xml:space="preserve">” </w:t>
      </w:r>
      <w:r>
        <w:rPr>
          <w:rFonts w:ascii="Times New Roman;sans-serif" w:hAnsi="Times New Roman;sans-serif"/>
          <w:b w:val="false"/>
          <w:color w:val="000000"/>
          <w:sz w:val="20"/>
        </w:rPr>
        <w:t xml:space="preserve">means the earlier to occur of: (a) the date the Company’s Board, a committee of the Board, or the officer(s) of the Company authorized to take such action if Board action is not required, concludes, or reasonably should have concluded, that the Company is required to prepare an Accounting Restatement, or (b) the date a court, regulator, or other legally authorized body directs the Company to prepare an Accounting Restatement. </w:t>
      </w:r>
    </w:p>
    <w:p>
      <w:pPr>
        <w:pStyle w:val="TextBody"/>
        <w:bidi w:val="0"/>
        <w:spacing w:before="0" w:after="0"/>
        <w:ind w:left="0" w:right="0" w:firstLine="720"/>
        <w:jc w:val="left"/>
        <w:rPr/>
      </w:pPr>
      <w:r>
        <w:rPr/>
      </w:r>
    </w:p>
    <w:p>
      <w:pPr>
        <w:pStyle w:val="TextBody"/>
        <w:bidi w:val="0"/>
        <w:spacing w:lineRule="auto" w:line="268"/>
        <w:ind w:left="0" w:right="0" w:firstLine="720"/>
        <w:jc w:val="left"/>
        <w:rPr/>
      </w:pPr>
      <w:r>
        <w:rPr>
          <w:color w:val="000000"/>
        </w:rPr>
        <w:t>“</w:t>
      </w:r>
      <w:r>
        <w:rPr>
          <w:rFonts w:ascii="Times New Roman;sans-serif" w:hAnsi="Times New Roman;sans-serif"/>
          <w:b w:val="false"/>
          <w:color w:val="000000"/>
          <w:sz w:val="20"/>
          <w:u w:val="single"/>
        </w:rPr>
        <w:t>Section 409A</w:t>
      </w:r>
      <w:r>
        <w:rPr>
          <w:color w:val="000000"/>
        </w:rPr>
        <w:t xml:space="preserve">” </w:t>
      </w:r>
      <w:r>
        <w:rPr>
          <w:rFonts w:ascii="Times New Roman;sans-serif" w:hAnsi="Times New Roman;sans-serif"/>
          <w:b w:val="false"/>
          <w:color w:val="000000"/>
          <w:sz w:val="20"/>
        </w:rPr>
        <w:t>means Section 409A of the Internal Revenue Code and the regulations and guidance promulgated thereunder.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206"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Amount Subject to Recovery</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Incentive-Based Compensation that is subject to recovery under this Policy includes such compensation that is received by a Covered Executive (i) on or after October 2, 2023 (even if such Incentive-Based Compensation was approved, awarded or granted prior to that date), (ii) after the individual began service as a Covered Executive, (iii) if the individual served as a Covered Executive at any time during the performance period for such Incentive-Based Compensation, and (iv) while the Company has a class of securities listed on a national securities exchange or national securities association.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amount of Incentive-Based Compensation subject to recovery from a Covered Executive upon a Recoupment Event is the Erroneously Awarded Compensation, which amount shall be determined by the Committee in accordance with this Policy.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purposes of this Policy, Incentive-Based Compensation is deemed “received” in the Company’s fiscal period during which the Financial Reporting Measure specified in the Incentive-Based Compensation award is attained, even if the payment or grant of the Incentive-Based Compensation occurs after the end of that period.</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Recovery of Erroneously Awarded Compensation</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Promptly following a Recoupment Event, the Committee will determine the amount of Erroneously Awarded Compensation for each Covered Executive, and the Company will provide each such Covered Executive with a written notice of such amount and a demand for repayment or return. Upon receipt of such notice, each affected Covered Executive shall promptly repay or return such Erroneously Awarded Compensation to the Company.</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such repayment or return is not made within a reasonable time, the Company shall recover Erroneously Awarded Compensation in a reasonable and prompt manner using any lawful method determined by the Committee; provided that recovery of any Erroneously Awarded Compensation must be made in compliance with Section 409A. The applicable Covered Executive shall also be required to reimburse the Company for any and all expenses (including legal fees) reasonably incurred by the Company in recovering such Erroneously Awarded Compensation in accordance with the immediately preceding sentence.</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Limited Exceptions</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Erroneously Awarded Compensation will be recovered in accordance with this Policy unless the Committee determines that recovery would be impracticable and one of the following conditions is met:</w:t>
      </w:r>
    </w:p>
    <w:p>
      <w:pPr>
        <w:pStyle w:val="TextBody"/>
        <w:bidi w:val="0"/>
        <w:spacing w:before="0" w:after="0"/>
        <w:ind w:left="0" w:right="0" w:firstLine="72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a.the direct expense paid to a third party to assist in enforcing this Policy would exceed the amount to be recovered, provided the Company has first made a reasonable effort to recover the Erroneously Awarded Compensation; or</w:t>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b.the recovery would likely cause a U.S. tax-qualified retirement plan to fail to meet the requirements of Internal Revenue Code Sections 401(a)(13) and 411(a) and the regulations thereunder.</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Reliance on any of the above exemptions will further comply with applicable listing standards, including without limitation, documenting the reason for the impracticability and providing required documentation to Nasdaq.</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No Insurance or Indemnification</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Neither the Company nor any of its affiliates or subsidiaries may indemnify any Covered Executive against the loss of any Erroneously Awarded Compensation (or related expenses incurred by the Covered Executive) pursuant to a recovery of Erroneously Awarded Compensation under this Policy, nor will the Company nor any of its affiliates or subsidiaries pay or reimburse a Covered Executive for any insurance premiums on any insurance policy obtained by the Covered Executive to protect against the forfeiture or recovery of any compensation pursuant to this Policy.</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Interpretation</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Committee is authorized to interpret and construe this Policy and to make all determinations necessary, appropriate, or advisable for the administration of this Policy. This Policy shall be applied and interpreted in a manner that is consistent with the requirements of Rule 10D-1 and any applicable regulations, rules or standards adopted by SEC or the rules of any national securities exchange or national securities association on which the Company’s securities are listed. In the event that this Policy does not meet the requirements of Rule 10D-1, the SEC regulations promulgated thereunder, or the rules of any national securities exchange or national securities association on which the Company’s securities are listed, this Policy shall be deemed to be amended to meet such requirements.</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207"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Indemnification of Policy Administrators</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Any members of the Committee who participate in the administration of this Policy shall not be personally liable for any action, determination or interpretation made with respect to this Policy and shall be fully indemnified by the Company to the fullest extent permitted under applicable law and Company governing documents and policies with respect to any such action, determination or interpretation. The foregoing shall not limit any other rights to indemnification of the members of the Committee under applicable law or Company governing documents and policies.</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Amendment; Termination</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Board or the Committee may amend this Policy in its discretion and shall amend this Policy as it deems necessary to comply with the regulations adopted by the SEC under Rule 10D-1 and the rules of any national securities exchange or national securities association on which the Company’s securities are listed. The Board or the Committee may terminate this Policy at any time. Notwithstanding anything herein to the contrary, no amendment or termination of this Policy shall be effective if that amendment or termination would cause the Company to violate any federal securities laws, SEC rules or the rules of any national securities exchange or national securities association on which the Company’s securities are listed.</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Other Recoupment Rights</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Board intends that this Policy will be applied to the fullest extent of the law. Any Incentive-Based Compensation provided for in an employment agreement, incentive compensation plan, policy, program or agreement, equity award, or similar plan, program or agreement shall, as a condition to the grant of any benefit thereunder, be subject to the terms of this Policy. Any right of recoupment under this Policy is in addition to, and not in lieu of, any other remedies or rights of recoupment that may be available to the Company pursuant to the terms of any similar provision in any employment agreement, incentive compensation plan policy, program or agreement, equity award, or similar plan, program or agreement and any other legal remedies available to the Company. This Policy is in addition to any other clawback or compensation recovery, recoupment or forfeiture policy in effect or that may be adopted by the Company from time to time, or any laws, rules or listing standards applicable to the Company, including without limitation, the Company’s right to recoup compensation subject to Section 304 of the Sarbanes-Oxley Act of 2002 and the Company’s Supplemental Compensation Recovery Policy.</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Successors</w:t>
      </w:r>
    </w:p>
    <w:p>
      <w:pPr>
        <w:pStyle w:val="TextBody"/>
        <w:bidi w:val="0"/>
        <w:spacing w:lineRule="auto" w:line="268"/>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This Policy shall be binding and enforceable against all Covered Executives and their beneficiaries, heirs, executors, administrators or other legal representatives.</w:t>
      </w:r>
    </w:p>
    <w:p>
      <w:pPr>
        <w:pStyle w:val="TextBody"/>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208"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2.jpeg"/><Relationship Id="rId11" Type="http://schemas.openxmlformats.org/officeDocument/2006/relationships/image" Target="media/image2.jpeg"/><Relationship Id="rId12" Type="http://schemas.openxmlformats.org/officeDocument/2006/relationships/image" Target="media/image2.jpeg"/><Relationship Id="rId13" Type="http://schemas.openxmlformats.org/officeDocument/2006/relationships/image" Target="media/image2.jpeg"/><Relationship Id="rId14" Type="http://schemas.openxmlformats.org/officeDocument/2006/relationships/image" Target="media/image2.jpeg"/><Relationship Id="rId15" Type="http://schemas.openxmlformats.org/officeDocument/2006/relationships/image" Target="media/image2.jpeg"/><Relationship Id="rId16" Type="http://schemas.openxmlformats.org/officeDocument/2006/relationships/image" Target="media/image2.jpeg"/><Relationship Id="rId17" Type="http://schemas.openxmlformats.org/officeDocument/2006/relationships/image" Target="media/image2.jpeg"/><Relationship Id="rId18" Type="http://schemas.openxmlformats.org/officeDocument/2006/relationships/image" Target="media/image2.jpeg"/><Relationship Id="rId19" Type="http://schemas.openxmlformats.org/officeDocument/2006/relationships/image" Target="media/image2.jpeg"/><Relationship Id="rId20" Type="http://schemas.openxmlformats.org/officeDocument/2006/relationships/image" Target="media/image2.jpeg"/><Relationship Id="rId21" Type="http://schemas.openxmlformats.org/officeDocument/2006/relationships/image" Target="media/image2.jpeg"/><Relationship Id="rId22" Type="http://schemas.openxmlformats.org/officeDocument/2006/relationships/image" Target="media/image2.jpeg"/><Relationship Id="rId23" Type="http://schemas.openxmlformats.org/officeDocument/2006/relationships/image" Target="media/image2.jpeg"/><Relationship Id="rId24" Type="http://schemas.openxmlformats.org/officeDocument/2006/relationships/image" Target="media/image2.jpeg"/><Relationship Id="rId25" Type="http://schemas.openxmlformats.org/officeDocument/2006/relationships/image" Target="media/image2.jpeg"/><Relationship Id="rId26" Type="http://schemas.openxmlformats.org/officeDocument/2006/relationships/image" Target="media/image2.jpeg"/><Relationship Id="rId27" Type="http://schemas.openxmlformats.org/officeDocument/2006/relationships/image" Target="media/image2.jpeg"/><Relationship Id="rId28" Type="http://schemas.openxmlformats.org/officeDocument/2006/relationships/image" Target="media/image2.jpeg"/><Relationship Id="rId29" Type="http://schemas.openxmlformats.org/officeDocument/2006/relationships/image" Target="media/image2.jpeg"/><Relationship Id="rId30" Type="http://schemas.openxmlformats.org/officeDocument/2006/relationships/image" Target="media/image2.jpeg"/><Relationship Id="rId31" Type="http://schemas.openxmlformats.org/officeDocument/2006/relationships/image" Target="media/image2.jpeg"/><Relationship Id="rId32" Type="http://schemas.openxmlformats.org/officeDocument/2006/relationships/image" Target="media/image2.jpeg"/><Relationship Id="rId33" Type="http://schemas.openxmlformats.org/officeDocument/2006/relationships/image" Target="media/image2.jpeg"/><Relationship Id="rId34" Type="http://schemas.openxmlformats.org/officeDocument/2006/relationships/image" Target="media/image2.jpeg"/><Relationship Id="rId35" Type="http://schemas.openxmlformats.org/officeDocument/2006/relationships/image" Target="media/image2.jpeg"/><Relationship Id="rId36" Type="http://schemas.openxmlformats.org/officeDocument/2006/relationships/image" Target="media/image2.jpeg"/><Relationship Id="rId37" Type="http://schemas.openxmlformats.org/officeDocument/2006/relationships/image" Target="media/image2.jpeg"/><Relationship Id="rId38" Type="http://schemas.openxmlformats.org/officeDocument/2006/relationships/image" Target="media/image2.jpeg"/><Relationship Id="rId39" Type="http://schemas.openxmlformats.org/officeDocument/2006/relationships/image" Target="media/image2.jpeg"/><Relationship Id="rId40" Type="http://schemas.openxmlformats.org/officeDocument/2006/relationships/image" Target="media/image2.jpeg"/><Relationship Id="rId41" Type="http://schemas.openxmlformats.org/officeDocument/2006/relationships/image" Target="media/image2.jpeg"/><Relationship Id="rId42" Type="http://schemas.openxmlformats.org/officeDocument/2006/relationships/image" Target="media/image2.jpeg"/><Relationship Id="rId43" Type="http://schemas.openxmlformats.org/officeDocument/2006/relationships/image" Target="media/image2.jpeg"/><Relationship Id="rId44" Type="http://schemas.openxmlformats.org/officeDocument/2006/relationships/image" Target="media/image2.jpeg"/><Relationship Id="rId45" Type="http://schemas.openxmlformats.org/officeDocument/2006/relationships/image" Target="media/image2.jpeg"/><Relationship Id="rId46" Type="http://schemas.openxmlformats.org/officeDocument/2006/relationships/image" Target="media/image2.jpeg"/><Relationship Id="rId47" Type="http://schemas.openxmlformats.org/officeDocument/2006/relationships/image" Target="media/image2.jpeg"/><Relationship Id="rId48" Type="http://schemas.openxmlformats.org/officeDocument/2006/relationships/image" Target="media/image2.jpeg"/><Relationship Id="rId49" Type="http://schemas.openxmlformats.org/officeDocument/2006/relationships/image" Target="media/image3.jpeg"/><Relationship Id="rId50" Type="http://schemas.openxmlformats.org/officeDocument/2006/relationships/image" Target="media/image2.jpeg"/><Relationship Id="rId51" Type="http://schemas.openxmlformats.org/officeDocument/2006/relationships/image" Target="media/image2.jpeg"/><Relationship Id="rId52" Type="http://schemas.openxmlformats.org/officeDocument/2006/relationships/image" Target="media/image2.jpeg"/><Relationship Id="rId53" Type="http://schemas.openxmlformats.org/officeDocument/2006/relationships/image" Target="media/image2.jpeg"/><Relationship Id="rId54" Type="http://schemas.openxmlformats.org/officeDocument/2006/relationships/image" Target="media/image2.jpeg"/><Relationship Id="rId55" Type="http://schemas.openxmlformats.org/officeDocument/2006/relationships/image" Target="media/image2.jpeg"/><Relationship Id="rId56" Type="http://schemas.openxmlformats.org/officeDocument/2006/relationships/image" Target="media/image2.jpeg"/><Relationship Id="rId57" Type="http://schemas.openxmlformats.org/officeDocument/2006/relationships/image" Target="media/image2.jpeg"/><Relationship Id="rId58" Type="http://schemas.openxmlformats.org/officeDocument/2006/relationships/image" Target="media/image2.jpeg"/><Relationship Id="rId59" Type="http://schemas.openxmlformats.org/officeDocument/2006/relationships/image" Target="media/image2.jpeg"/><Relationship Id="rId60" Type="http://schemas.openxmlformats.org/officeDocument/2006/relationships/image" Target="media/image2.jpeg"/><Relationship Id="rId61" Type="http://schemas.openxmlformats.org/officeDocument/2006/relationships/image" Target="media/image2.jpeg"/><Relationship Id="rId62" Type="http://schemas.openxmlformats.org/officeDocument/2006/relationships/image" Target="media/image2.jpeg"/><Relationship Id="rId63" Type="http://schemas.openxmlformats.org/officeDocument/2006/relationships/image" Target="media/image2.jpeg"/><Relationship Id="rId64" Type="http://schemas.openxmlformats.org/officeDocument/2006/relationships/image" Target="media/image2.jpeg"/><Relationship Id="rId65" Type="http://schemas.openxmlformats.org/officeDocument/2006/relationships/image" Target="media/image2.jpeg"/><Relationship Id="rId66" Type="http://schemas.openxmlformats.org/officeDocument/2006/relationships/image" Target="media/image2.jpeg"/><Relationship Id="rId67" Type="http://schemas.openxmlformats.org/officeDocument/2006/relationships/image" Target="media/image2.jpeg"/><Relationship Id="rId68" Type="http://schemas.openxmlformats.org/officeDocument/2006/relationships/image" Target="media/image2.jpeg"/><Relationship Id="rId69" Type="http://schemas.openxmlformats.org/officeDocument/2006/relationships/image" Target="media/image2.jpeg"/><Relationship Id="rId70" Type="http://schemas.openxmlformats.org/officeDocument/2006/relationships/image" Target="media/image2.jpeg"/><Relationship Id="rId71" Type="http://schemas.openxmlformats.org/officeDocument/2006/relationships/image" Target="media/image2.jpeg"/><Relationship Id="rId72" Type="http://schemas.openxmlformats.org/officeDocument/2006/relationships/image" Target="media/image2.jpeg"/><Relationship Id="rId73" Type="http://schemas.openxmlformats.org/officeDocument/2006/relationships/image" Target="media/image2.jpeg"/><Relationship Id="rId74" Type="http://schemas.openxmlformats.org/officeDocument/2006/relationships/image" Target="media/image2.jpeg"/><Relationship Id="rId75" Type="http://schemas.openxmlformats.org/officeDocument/2006/relationships/image" Target="media/image2.jpeg"/><Relationship Id="rId76" Type="http://schemas.openxmlformats.org/officeDocument/2006/relationships/image" Target="media/image2.jpeg"/><Relationship Id="rId77" Type="http://schemas.openxmlformats.org/officeDocument/2006/relationships/image" Target="media/image2.jpeg"/><Relationship Id="rId78" Type="http://schemas.openxmlformats.org/officeDocument/2006/relationships/image" Target="media/image2.jpeg"/><Relationship Id="rId79" Type="http://schemas.openxmlformats.org/officeDocument/2006/relationships/image" Target="media/image2.jpeg"/><Relationship Id="rId80" Type="http://schemas.openxmlformats.org/officeDocument/2006/relationships/image" Target="media/image2.jpeg"/><Relationship Id="rId81" Type="http://schemas.openxmlformats.org/officeDocument/2006/relationships/image" Target="media/image2.jpeg"/><Relationship Id="rId82" Type="http://schemas.openxmlformats.org/officeDocument/2006/relationships/image" Target="media/image4.jpeg"/><Relationship Id="rId83" Type="http://schemas.openxmlformats.org/officeDocument/2006/relationships/image" Target="media/image4.jpeg"/><Relationship Id="rId84" Type="http://schemas.openxmlformats.org/officeDocument/2006/relationships/image" Target="media/image4.jpeg"/><Relationship Id="rId85" Type="http://schemas.openxmlformats.org/officeDocument/2006/relationships/image" Target="media/image4.jpeg"/><Relationship Id="rId86" Type="http://schemas.openxmlformats.org/officeDocument/2006/relationships/image" Target="media/image4.jpeg"/><Relationship Id="rId87" Type="http://schemas.openxmlformats.org/officeDocument/2006/relationships/image" Target="media/image4.jpeg"/><Relationship Id="rId88" Type="http://schemas.openxmlformats.org/officeDocument/2006/relationships/image" Target="media/image4.jpeg"/><Relationship Id="rId89" Type="http://schemas.openxmlformats.org/officeDocument/2006/relationships/image" Target="media/image4.jpeg"/><Relationship Id="rId90" Type="http://schemas.openxmlformats.org/officeDocument/2006/relationships/image" Target="media/image4.jpeg"/><Relationship Id="rId91" Type="http://schemas.openxmlformats.org/officeDocument/2006/relationships/image" Target="media/image4.jpeg"/><Relationship Id="rId92" Type="http://schemas.openxmlformats.org/officeDocument/2006/relationships/image" Target="media/image4.jpeg"/><Relationship Id="rId93" Type="http://schemas.openxmlformats.org/officeDocument/2006/relationships/image" Target="media/image4.jpeg"/><Relationship Id="rId94" Type="http://schemas.openxmlformats.org/officeDocument/2006/relationships/image" Target="media/image4.jpeg"/><Relationship Id="rId95" Type="http://schemas.openxmlformats.org/officeDocument/2006/relationships/image" Target="media/image4.jpeg"/><Relationship Id="rId96" Type="http://schemas.openxmlformats.org/officeDocument/2006/relationships/image" Target="media/image4.jpeg"/><Relationship Id="rId97" Type="http://schemas.openxmlformats.org/officeDocument/2006/relationships/image" Target="media/image4.jpeg"/><Relationship Id="rId98" Type="http://schemas.openxmlformats.org/officeDocument/2006/relationships/image" Target="media/image4.jpeg"/><Relationship Id="rId99" Type="http://schemas.openxmlformats.org/officeDocument/2006/relationships/image" Target="media/image4.jpeg"/><Relationship Id="rId100" Type="http://schemas.openxmlformats.org/officeDocument/2006/relationships/image" Target="media/image4.jpeg"/><Relationship Id="rId101" Type="http://schemas.openxmlformats.org/officeDocument/2006/relationships/image" Target="media/image4.jpeg"/><Relationship Id="rId102" Type="http://schemas.openxmlformats.org/officeDocument/2006/relationships/image" Target="media/image4.jpeg"/><Relationship Id="rId103" Type="http://schemas.openxmlformats.org/officeDocument/2006/relationships/image" Target="media/image4.jpeg"/><Relationship Id="rId104" Type="http://schemas.openxmlformats.org/officeDocument/2006/relationships/image" Target="media/image4.jpeg"/><Relationship Id="rId105" Type="http://schemas.openxmlformats.org/officeDocument/2006/relationships/image" Target="media/image4.jpeg"/><Relationship Id="rId106" Type="http://schemas.openxmlformats.org/officeDocument/2006/relationships/image" Target="media/image4.jpeg"/><Relationship Id="rId107" Type="http://schemas.openxmlformats.org/officeDocument/2006/relationships/image" Target="media/image4.jpeg"/><Relationship Id="rId108" Type="http://schemas.openxmlformats.org/officeDocument/2006/relationships/image" Target="media/image4.jpeg"/><Relationship Id="rId109" Type="http://schemas.openxmlformats.org/officeDocument/2006/relationships/image" Target="media/image4.jpeg"/><Relationship Id="rId110" Type="http://schemas.openxmlformats.org/officeDocument/2006/relationships/image" Target="media/image4.jpeg"/><Relationship Id="rId111" Type="http://schemas.openxmlformats.org/officeDocument/2006/relationships/image" Target="media/image4.jpeg"/><Relationship Id="rId112" Type="http://schemas.openxmlformats.org/officeDocument/2006/relationships/image" Target="media/image4.jpeg"/><Relationship Id="rId113" Type="http://schemas.openxmlformats.org/officeDocument/2006/relationships/image" Target="media/image4.jpeg"/><Relationship Id="rId114" Type="http://schemas.openxmlformats.org/officeDocument/2006/relationships/image" Target="media/image4.jpeg"/><Relationship Id="rId115" Type="http://schemas.openxmlformats.org/officeDocument/2006/relationships/image" Target="media/image4.jpeg"/><Relationship Id="rId116" Type="http://schemas.openxmlformats.org/officeDocument/2006/relationships/image" Target="media/image4.jpeg"/><Relationship Id="rId117" Type="http://schemas.openxmlformats.org/officeDocument/2006/relationships/image" Target="media/image4.jpeg"/><Relationship Id="rId118" Type="http://schemas.openxmlformats.org/officeDocument/2006/relationships/image" Target="media/image4.jpeg"/><Relationship Id="rId119" Type="http://schemas.openxmlformats.org/officeDocument/2006/relationships/image" Target="media/image4.jpeg"/><Relationship Id="rId120" Type="http://schemas.openxmlformats.org/officeDocument/2006/relationships/image" Target="media/image4.jpeg"/><Relationship Id="rId121" Type="http://schemas.openxmlformats.org/officeDocument/2006/relationships/image" Target="media/image4.jpeg"/><Relationship Id="rId122" Type="http://schemas.openxmlformats.org/officeDocument/2006/relationships/image" Target="media/image4.jpeg"/><Relationship Id="rId123" Type="http://schemas.openxmlformats.org/officeDocument/2006/relationships/image" Target="media/image4.jpeg"/><Relationship Id="rId124" Type="http://schemas.openxmlformats.org/officeDocument/2006/relationships/image" Target="media/image4.jpeg"/><Relationship Id="rId125" Type="http://schemas.openxmlformats.org/officeDocument/2006/relationships/image" Target="media/image4.jpeg"/><Relationship Id="rId126" Type="http://schemas.openxmlformats.org/officeDocument/2006/relationships/image" Target="media/image4.jpeg"/><Relationship Id="rId127" Type="http://schemas.openxmlformats.org/officeDocument/2006/relationships/image" Target="media/image4.jpeg"/><Relationship Id="rId128" Type="http://schemas.openxmlformats.org/officeDocument/2006/relationships/hyperlink" Target="http://www.sec.gov/Archives/edgar/data/1092699/000119312520148645/d833455dex32.htm" TargetMode="External"/><Relationship Id="rId129" Type="http://schemas.openxmlformats.org/officeDocument/2006/relationships/hyperlink" Target="https://www.sec.gov/Archives/edgar/data/1092699/000109269923000006/a2022_10kxex32-bylawsclean.htm" TargetMode="External"/><Relationship Id="rId130" Type="http://schemas.openxmlformats.org/officeDocument/2006/relationships/hyperlink" Target="http://www.sec.gov/Archives/edgar/data/1092699/000156459021007614/spsc-ex41_8.htm" TargetMode="External"/><Relationship Id="rId131" Type="http://schemas.openxmlformats.org/officeDocument/2006/relationships/hyperlink" Target="http://www.sec.gov/Archives/edgar/data/1092699/000119312515056499/d845442dex106.htm" TargetMode="External"/><Relationship Id="rId132" Type="http://schemas.openxmlformats.org/officeDocument/2006/relationships/hyperlink" Target="http://www.sec.gov/Archives/edgar/data/1092699/000119312512067639/d303784dex102.htm" TargetMode="External"/><Relationship Id="rId133" Type="http://schemas.openxmlformats.org/officeDocument/2006/relationships/hyperlink" Target="https://www.sec.gov/Archives/edgar/data/1092699/000109269923000006/sps_ex103optionagreementem.htm" TargetMode="External"/><Relationship Id="rId134" Type="http://schemas.openxmlformats.org/officeDocument/2006/relationships/hyperlink" Target="http://www.sec.gov/Archives/edgar/data/1092699/000119312512067639/d303784dex104.htm" TargetMode="External"/><Relationship Id="rId135" Type="http://schemas.openxmlformats.org/officeDocument/2006/relationships/hyperlink" Target="https://www.sec.gov/Archives/edgar/data/1092699/000109269923000006/a2022_10kxex105rsuagreement.htm" TargetMode="External"/><Relationship Id="rId136" Type="http://schemas.openxmlformats.org/officeDocument/2006/relationships/hyperlink" Target="https://www.sec.gov/Archives/edgar/data/1092699/000119312512218022/d343890dex106.htm" TargetMode="External"/><Relationship Id="rId137" Type="http://schemas.openxmlformats.org/officeDocument/2006/relationships/hyperlink" Target="https://www.sec.gov/Archives/edgar/data/1092699/000109269923000006/a2022_10kxex107psuagreement.htm" TargetMode="External"/><Relationship Id="rId138" Type="http://schemas.openxmlformats.org/officeDocument/2006/relationships/hyperlink" Target="http://www.sec.gov/Archives/edgar/data/1092699/000156459019013342/spsc-ex102_266.htm" TargetMode="External"/><Relationship Id="rId139" Type="http://schemas.openxmlformats.org/officeDocument/2006/relationships/hyperlink" Target="http://www.sec.gov/Archives/edgar/data/1092699/000095012310001751/c54716a1exv10w18.htm" TargetMode="External"/><Relationship Id="rId140" Type="http://schemas.openxmlformats.org/officeDocument/2006/relationships/hyperlink" Target="http://www.sec.gov/Archives/edgar/data/1092699/000095012310001751/c54716a1exv10w19.htm" TargetMode="External"/><Relationship Id="rId141" Type="http://schemas.openxmlformats.org/officeDocument/2006/relationships/hyperlink" Target="http://www.sec.gov/Archives/edgar/data/1092699/000119312516449360/d113029dex102.htm" TargetMode="External"/><Relationship Id="rId142" Type="http://schemas.openxmlformats.org/officeDocument/2006/relationships/hyperlink" Target="https://www.sec.gov/Archives/edgar/data/1092699/000109269923000011/a101-ablackamendmenttoseve.htm" TargetMode="External"/><Relationship Id="rId143" Type="http://schemas.openxmlformats.org/officeDocument/2006/relationships/hyperlink" Target="https://www.sec.gov/Archives/edgar/data/1092699/000119312520040291/d890301dex101.htm" TargetMode="External"/><Relationship Id="rId144" Type="http://schemas.openxmlformats.org/officeDocument/2006/relationships/hyperlink" Target="http://www.sec.gov/Archives/edgar/data/0001092699/000119312520040291/d890301dex102.htm" TargetMode="External"/><Relationship Id="rId145" Type="http://schemas.openxmlformats.org/officeDocument/2006/relationships/hyperlink" Target="https://www.sec.gov/Archives/edgar/data/1092699/000109269923000011/a103-formexecutiveamendmen.htm" TargetMode="External"/><Relationship Id="rId146" Type="http://schemas.openxmlformats.org/officeDocument/2006/relationships/hyperlink" Target="https://www.sec.gov/Archives/edgar/data/1092699/000109269923000047/a101-ex1xcollins_offerlett.htm" TargetMode="External"/><Relationship Id="rId147" Type="http://schemas.openxmlformats.org/officeDocument/2006/relationships/hyperlink" Target="https://www.sec.gov/Archives/edgar/data/1092699/000109269923000047/a101-ex1xcollins_offerlett.htm" TargetMode="External"/><Relationship Id="rId148" Type="http://schemas.openxmlformats.org/officeDocument/2006/relationships/hyperlink" Target="https://www.sec.gov/Archives/edgar/data/1092699/000109269923000047/a102-ex2xexecutiveseveranc.htm" TargetMode="External"/><Relationship Id="rId149" Type="http://schemas.openxmlformats.org/officeDocument/2006/relationships/hyperlink" Target="https://www.sec.gov/Archives/edgar/data/1092699/000109269923000047/a102-ex2xexecutiveseveranc.htm" TargetMode="External"/><Relationship Id="rId150" Type="http://schemas.openxmlformats.org/officeDocument/2006/relationships/image" Target="media/image4.jpeg"/><Relationship Id="rId151" Type="http://schemas.openxmlformats.org/officeDocument/2006/relationships/image" Target="media/image4.jpeg"/><Relationship Id="rId152" Type="http://schemas.openxmlformats.org/officeDocument/2006/relationships/image" Target="media/image4.jpeg"/><Relationship Id="rId153" Type="http://schemas.openxmlformats.org/officeDocument/2006/relationships/image" Target="media/image4.jpeg"/><Relationship Id="rId154" Type="http://schemas.openxmlformats.org/officeDocument/2006/relationships/image" Target="media/image4.jpeg"/><Relationship Id="rId155" Type="http://schemas.openxmlformats.org/officeDocument/2006/relationships/image" Target="media/image4.jpeg"/><Relationship Id="rId156" Type="http://schemas.openxmlformats.org/officeDocument/2006/relationships/fontTable" Target="fontTable.xml"/><Relationship Id="rId15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36670</Words>
  <Characters>208936</Characters>
  <CharactersWithSpaces>243511</CharactersWithSpaces>
  <Paragraphs>3527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