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FORM 10-K</w:t>
      </w:r>
    </w:p>
    <w:p>
      <w:pPr>
        <w:pStyle w:val="TextBody"/>
        <w:bidi w:val="0"/>
        <w:spacing w:lineRule="auto" w:line="288" w:before="80" w:after="283"/>
        <w:jc w:val="left"/>
        <w:rPr>
          <w:rFonts w:ascii="Times New Roman;serif" w:hAnsi="Times New Roman;serif"/>
          <w:b/>
          <w:color w:val="000000"/>
          <w:sz w:val="15"/>
        </w:rPr>
      </w:pPr>
      <w:r>
        <w:rPr>
          <w:rFonts w:ascii="Times New Roman;serif" w:hAnsi="Times New Roman;serif"/>
          <w:b/>
          <w:color w:val="000000"/>
          <w:sz w:val="15"/>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Transition Period from_______to_______</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Commission file number 001-34702</w:t>
      </w:r>
    </w:p>
    <w:p>
      <w:pPr>
        <w:pStyle w:val="TextBody"/>
        <w:bidi w:val="0"/>
        <w:spacing w:lineRule="auto" w:line="288" w:before="40" w:after="283"/>
        <w:jc w:val="center"/>
        <w:rPr>
          <w:rFonts w:ascii="Times New Roman;serif" w:hAnsi="Times New Roman;serif"/>
          <w:b/>
          <w:color w:val="000000"/>
          <w:sz w:val="38"/>
        </w:rPr>
      </w:pPr>
      <w:r>
        <w:rPr>
          <w:rFonts w:ascii="Times New Roman;serif" w:hAnsi="Times New Roman;serif"/>
          <w:b/>
          <w:color w:val="000000"/>
          <w:sz w:val="38"/>
        </w:rPr>
        <w:t>SPS COMMERCE, INC.</w:t>
      </w:r>
    </w:p>
    <w:p>
      <w:pPr>
        <w:pStyle w:val="TextBody"/>
        <w:bidi w:val="0"/>
        <w:spacing w:before="40" w:after="283"/>
        <w:jc w:val="center"/>
        <w:rPr/>
      </w:pPr>
      <w:r>
        <w:rPr/>
        <w:drawing>
          <wp:inline distT="0" distB="0" distL="0" distR="0">
            <wp:extent cx="6381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096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(Exact Name of Registrant as Specified in its Charter)</w:t>
      </w:r>
    </w:p>
    <w:tbl>
      <w:tblPr>
        <w:tblW w:w="4091" w:type="dxa"/>
        <w:jc w:val="center"/>
        <w:tblInd w:w="0" w:type="dxa"/>
        <w:tblLayout w:type="fixed"/>
        <w:tblCellMar>
          <w:top w:w="28" w:type="dxa"/>
          <w:left w:w="28" w:type="dxa"/>
          <w:bottom w:w="28" w:type="dxa"/>
          <w:right w:w="28" w:type="dxa"/>
        </w:tblCellMar>
      </w:tblPr>
      <w:tblGrid>
        <w:gridCol w:w="837"/>
        <w:gridCol w:w="733"/>
        <w:gridCol w:w="740"/>
        <w:gridCol w:w="109"/>
        <w:gridCol w:w="109"/>
        <w:gridCol w:w="109"/>
        <w:gridCol w:w="423"/>
        <w:gridCol w:w="423"/>
        <w:gridCol w:w="60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41-2015127</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333 South Seventh Street, Suite 1000, Minneapolis, MN 55402</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Including Zip Code)</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(612) 435-9400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Securities registered pursuant to Section 12(b) of the Act:</w:t>
      </w:r>
    </w:p>
    <w:tbl>
      <w:tblPr>
        <w:tblW w:w="8107" w:type="dxa"/>
        <w:jc w:val="center"/>
        <w:tblInd w:w="0" w:type="dxa"/>
        <w:tblLayout w:type="fixed"/>
        <w:tblCellMar>
          <w:top w:w="28" w:type="dxa"/>
          <w:left w:w="28" w:type="dxa"/>
          <w:bottom w:w="28" w:type="dxa"/>
          <w:right w:w="28" w:type="dxa"/>
        </w:tblCellMar>
      </w:tblPr>
      <w:tblGrid>
        <w:gridCol w:w="991"/>
        <w:gridCol w:w="873"/>
        <w:gridCol w:w="880"/>
        <w:gridCol w:w="109"/>
        <w:gridCol w:w="109"/>
        <w:gridCol w:w="109"/>
        <w:gridCol w:w="394"/>
        <w:gridCol w:w="394"/>
        <w:gridCol w:w="396"/>
        <w:gridCol w:w="109"/>
        <w:gridCol w:w="109"/>
        <w:gridCol w:w="109"/>
        <w:gridCol w:w="1031"/>
        <w:gridCol w:w="1031"/>
        <w:gridCol w:w="1463"/>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Name of exchange on which registered</w:t>
            </w:r>
          </w:p>
        </w:tc>
      </w:tr>
      <w:tr>
        <w:trPr/>
        <w:tc>
          <w:tcPr>
            <w:tcW w:w="27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5"/>
              </w:rPr>
            </w:pPr>
            <w:r>
              <w:rPr>
                <w:rFonts w:ascii="Times New Roman;serif" w:hAnsi="Times New Roman;serif"/>
                <w:b w:val="false"/>
                <w:color w:val="000000"/>
                <w:sz w:val="15"/>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5"/>
              </w:rPr>
            </w:pPr>
            <w:r>
              <w:rPr>
                <w:rFonts w:ascii="Times New Roman;serif" w:hAnsi="Times New Roman;serif"/>
                <w:b w:val="false"/>
                <w:color w:val="000000"/>
                <w:sz w:val="15"/>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5"/>
              </w:rPr>
            </w:pPr>
            <w:r>
              <w:rPr>
                <w:rFonts w:ascii="Times New Roman;serif" w:hAnsi="Times New Roman;serif"/>
                <w:b w:val="false"/>
                <w:color w:val="000000"/>
                <w:sz w:val="15"/>
              </w:rPr>
              <w:t>The Nasdaq Stock Market LLC (Nasdaq Global Market)</w:t>
            </w:r>
          </w:p>
        </w:tc>
      </w:tr>
    </w:tbl>
    <w:p>
      <w:pPr>
        <w:pStyle w:val="TextBody"/>
        <w:bidi w:val="0"/>
        <w:spacing w:lineRule="auto" w:line="288" w:before="80" w:after="283"/>
        <w:jc w:val="center"/>
        <w:rPr>
          <w:rFonts w:ascii="Times New Roman;serif" w:hAnsi="Times New Roman;serif"/>
          <w:b/>
          <w:color w:val="000000"/>
          <w:sz w:val="15"/>
        </w:rPr>
      </w:pPr>
      <w:r>
        <w:rPr>
          <w:rFonts w:ascii="Times New Roman;serif" w:hAnsi="Times New Roman;serif"/>
          <w:b/>
          <w:color w:val="000000"/>
          <w:sz w:val="15"/>
        </w:rPr>
        <w:t>Securities registered pursuant to Section 12(g) of the Act:</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None </w:t>
      </w:r>
    </w:p>
    <w:p>
      <w:pPr>
        <w:pStyle w:val="TextBody"/>
        <w:bidi w:val="0"/>
        <w:spacing w:lineRule="auto" w:line="288" w:before="8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8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24"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4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aggregate market value of shares of the registrant’s common stock held by non-affiliates of the registrant (based upon the closing sale price of $136.09 per share on the Nasdaq Global Market on such date) was approximately $5.2 billion.</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par value $0.001 per share, outstanding as of February 12, 2026 was 37,390,873 shares.</w:t>
      </w:r>
    </w:p>
    <w:p>
      <w:pPr>
        <w:pStyle w:val="TextBody"/>
        <w:bidi w:val="0"/>
        <w:spacing w:lineRule="auto" w:line="288" w:before="8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Portions of the Company’s definitive Proxy Statement for the Annual Meeting of Stockholders to be held on May 28, 2026 (the “2026 Proxy Statement”), which is expected to be filed within 120 days after the end of the fiscal year covered by this Annual Report on Form 10-K, are incorporated by reference in Part III of this Annual Report on Form 10-K. </w:t>
      </w:r>
    </w:p>
    <w:tbl>
      <w:tblPr>
        <w:tblW w:w="6478" w:type="dxa"/>
        <w:jc w:val="left"/>
        <w:tblInd w:w="0" w:type="dxa"/>
        <w:tblLayout w:type="fixed"/>
        <w:tblCellMar>
          <w:top w:w="28" w:type="dxa"/>
          <w:left w:w="28" w:type="dxa"/>
          <w:bottom w:w="28" w:type="dxa"/>
          <w:right w:w="28" w:type="dxa"/>
        </w:tblCellMar>
      </w:tblPr>
      <w:tblGrid>
        <w:gridCol w:w="461"/>
        <w:gridCol w:w="405"/>
        <w:gridCol w:w="409"/>
        <w:gridCol w:w="125"/>
        <w:gridCol w:w="125"/>
        <w:gridCol w:w="126"/>
        <w:gridCol w:w="379"/>
        <w:gridCol w:w="379"/>
        <w:gridCol w:w="381"/>
        <w:gridCol w:w="324"/>
        <w:gridCol w:w="324"/>
        <w:gridCol w:w="326"/>
        <w:gridCol w:w="449"/>
        <w:gridCol w:w="449"/>
        <w:gridCol w:w="451"/>
        <w:gridCol w:w="399"/>
        <w:gridCol w:w="399"/>
        <w:gridCol w:w="567"/>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Auditor Firm Id:</w:t>
            </w:r>
          </w:p>
        </w:tc>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185</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Auditor Name:</w:t>
            </w:r>
          </w:p>
        </w:tc>
        <w:tc>
          <w:tcPr>
            <w:tcW w:w="9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KPMG, LLP</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Auditor Location:</w:t>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Minneapolis, MN</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ANNUAL REPORT ON FORM 10-K</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3">
              <w:r>
                <w:rPr>
                  <w:rStyle w:val="InternetLink"/>
                  <w:rFonts w:ascii="Times New Roman;serif" w:hAnsi="Times New Roman;serif"/>
                  <w:b/>
                  <w:color w:val="0000FF"/>
                  <w:sz w:val="20"/>
                  <w:u w:val="single"/>
                </w:rPr>
                <w:t>PART 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6">
              <w:r>
                <w:rPr>
                  <w:rStyle w:val="InternetLink"/>
                  <w:rFonts w:ascii="Times New Roman;serif" w:hAnsi="Times New Roman;serif"/>
                  <w:b w:val="false"/>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9">
              <w:r>
                <w:rPr>
                  <w:rStyle w:val="InternetLink"/>
                  <w:rFonts w:ascii="Times New Roman;serif" w:hAnsi="Times New Roman;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9">
              <w:r>
                <w:rPr>
                  <w:rStyle w:val="InternetLink"/>
                  <w:rFonts w:ascii="Times New Roman;serif" w:hAnsi="Times New Roman;serif"/>
                  <w:b w:val="false"/>
                  <w:strike w:val="false"/>
                  <w:dstrike w:val="false"/>
                  <w:color w:val="000000"/>
                  <w:sz w:val="20"/>
                  <w:u w:val="none"/>
                  <w:effect w:val="none"/>
                </w:rPr>
                <w:t>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8">
              <w:r>
                <w:rPr>
                  <w:rStyle w:val="InternetLink"/>
                  <w:rFonts w:ascii="Times New Roman;serif" w:hAnsi="Times New Roman;serif"/>
                  <w:b w:val="false"/>
                  <w:strike w:val="false"/>
                  <w:dstrike w:val="false"/>
                  <w:color w:val="000000"/>
                  <w:sz w:val="20"/>
                  <w:u w:val="none"/>
                  <w:effect w:val="none"/>
                </w:rPr>
                <w:t>Item 1A.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8">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8">
              <w:r>
                <w:rPr>
                  <w:rStyle w:val="InternetLink"/>
                  <w:rFonts w:ascii="Times New Roman;serif" w:hAnsi="Times New Roman;serif"/>
                  <w:b w:val="false"/>
                  <w:strike w:val="false"/>
                  <w:dstrike w:val="false"/>
                  <w:color w:val="000000"/>
                  <w:sz w:val="20"/>
                  <w:u w:val="none"/>
                  <w:effect w:val="none"/>
                </w:rPr>
                <w:t>10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46">
              <w:r>
                <w:rPr>
                  <w:rStyle w:val="InternetLink"/>
                  <w:rFonts w:ascii="Times New Roman;serif" w:hAnsi="Times New Roman;serif"/>
                  <w:b w:val="false"/>
                  <w:strike w:val="false"/>
                  <w:dstrike w:val="false"/>
                  <w:color w:val="000000"/>
                  <w:sz w:val="20"/>
                  <w:u w:val="none"/>
                  <w:effect w:val="none"/>
                </w:rPr>
                <w:t>Item 1B.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46">
              <w:r>
                <w:rPr>
                  <w:rStyle w:val="InternetLink"/>
                  <w:rFonts w:ascii="Times New Roman;serif" w:hAnsi="Times New Roman;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46">
              <w:r>
                <w:rPr>
                  <w:rStyle w:val="InternetLink"/>
                  <w:rFonts w:ascii="Times New Roman;serif" w:hAnsi="Times New Roman;serif"/>
                  <w:b w:val="false"/>
                  <w:strike w:val="false"/>
                  <w:dstrike w:val="false"/>
                  <w:color w:val="000000"/>
                  <w:sz w:val="20"/>
                  <w:u w:val="none"/>
                  <w:effect w:val="none"/>
                </w:rPr>
                <w:t>22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46">
              <w:r>
                <w:rPr>
                  <w:rStyle w:val="InternetLink"/>
                  <w:rFonts w:ascii="Times New Roman;serif" w:hAnsi="Times New Roman;serif"/>
                  <w:b w:val="false"/>
                  <w:strike w:val="false"/>
                  <w:dstrike w:val="false"/>
                  <w:color w:val="000000"/>
                  <w:sz w:val="20"/>
                  <w:u w:val="none"/>
                  <w:effect w:val="none"/>
                </w:rPr>
                <w:t>Item 1C.</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49">
              <w:r>
                <w:rPr>
                  <w:rStyle w:val="InternetLink"/>
                  <w:rFonts w:ascii="Times New Roman;serif" w:hAnsi="Times New Roman;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49">
              <w:r>
                <w:rPr>
                  <w:rStyle w:val="InternetLink"/>
                  <w:rFonts w:ascii="Times New Roman;serif" w:hAnsi="Times New Roman;serif"/>
                  <w:b w:val="false"/>
                  <w:strike w:val="false"/>
                  <w:dstrike w:val="false"/>
                  <w:color w:val="000000"/>
                  <w:sz w:val="20"/>
                  <w:u w:val="none"/>
                  <w:effect w:val="none"/>
                </w:rPr>
                <w:t>22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2">
              <w:r>
                <w:rPr>
                  <w:rStyle w:val="InternetLink"/>
                  <w:rFonts w:ascii="Times New Roman;serif" w:hAnsi="Times New Roman;serif"/>
                  <w:b w:val="false"/>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2">
              <w:r>
                <w:rPr>
                  <w:rStyle w:val="InternetLink"/>
                  <w:rFonts w:ascii="Times New Roman;serif" w:hAnsi="Times New Roman;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52">
              <w:r>
                <w:rPr>
                  <w:rStyle w:val="InternetLink"/>
                  <w:rFonts w:ascii="Times New Roman;serif" w:hAnsi="Times New Roman;serif"/>
                  <w:b w:val="false"/>
                  <w:strike w:val="false"/>
                  <w:dstrike w:val="false"/>
                  <w:color w:val="000000"/>
                  <w:sz w:val="20"/>
                  <w:u w:val="none"/>
                  <w:effect w:val="non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5">
              <w:r>
                <w:rPr>
                  <w:rStyle w:val="InternetLink"/>
                  <w:rFonts w:ascii="Times New Roman;serif" w:hAnsi="Times New Roman;serif"/>
                  <w:b w:val="false"/>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5">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55">
              <w:r>
                <w:rPr>
                  <w:rStyle w:val="InternetLink"/>
                  <w:rFonts w:ascii="Times New Roman;serif" w:hAnsi="Times New Roman;serif"/>
                  <w:b w:val="false"/>
                  <w:strike w:val="false"/>
                  <w:dstrike w:val="false"/>
                  <w:color w:val="000000"/>
                  <w:sz w:val="20"/>
                  <w:u w:val="none"/>
                  <w:effect w:val="non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8">
              <w:r>
                <w:rPr>
                  <w:rStyle w:val="InternetLink"/>
                  <w:rFonts w:ascii="Times New Roman;serif" w:hAnsi="Times New Roman;serif"/>
                  <w:b w:val="false"/>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58">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58">
              <w:r>
                <w:rPr>
                  <w:rStyle w:val="InternetLink"/>
                  <w:rFonts w:ascii="Times New Roman;serif" w:hAnsi="Times New Roman;serif"/>
                  <w:b w:val="false"/>
                  <w:strike w:val="false"/>
                  <w:dstrike w:val="false"/>
                  <w:color w:val="000000"/>
                  <w:sz w:val="20"/>
                  <w:u w:val="none"/>
                  <w:effect w:val="none"/>
                </w:rPr>
                <w:t>23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61">
              <w:r>
                <w:rPr>
                  <w:rStyle w:val="InternetLink"/>
                  <w:rFonts w:ascii="Times New Roman;serif" w:hAnsi="Times New Roman;serif"/>
                  <w:b/>
                  <w:color w:val="0000FF"/>
                  <w:sz w:val="20"/>
                  <w:u w:val="single"/>
                </w:rPr>
                <w:t>PART 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64">
              <w:r>
                <w:rPr>
                  <w:rStyle w:val="InternetLink"/>
                  <w:rFonts w:ascii="Times New Roman;serif" w:hAnsi="Times New Roman;serif"/>
                  <w:b w:val="false"/>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64">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64">
              <w:r>
                <w:rPr>
                  <w:rStyle w:val="InternetLink"/>
                  <w:rFonts w:ascii="Times New Roman;serif" w:hAnsi="Times New Roman;serif"/>
                  <w:b w:val="false"/>
                  <w:strike w:val="false"/>
                  <w:dstrike w:val="false"/>
                  <w:color w:val="000000"/>
                  <w:sz w:val="20"/>
                  <w:u w:val="none"/>
                  <w:effect w:val="none"/>
                </w:rPr>
                <w:t>24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76">
              <w:r>
                <w:rPr>
                  <w:rStyle w:val="InternetLink"/>
                  <w:rFonts w:ascii="Times New Roman;serif" w:hAnsi="Times New Roman;serif"/>
                  <w:b w:val="false"/>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76">
              <w:r>
                <w:rPr>
                  <w:rStyle w:val="InternetLink"/>
                  <w:rFonts w:ascii="Times New Roman;serif" w:hAnsi="Times New Roman;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76">
              <w:r>
                <w:rPr>
                  <w:rStyle w:val="InternetLink"/>
                  <w:rFonts w:ascii="Times New Roman;serif" w:hAnsi="Times New Roman;serif"/>
                  <w:b w:val="false"/>
                  <w:strike w:val="false"/>
                  <w:dstrike w:val="false"/>
                  <w:color w:val="000000"/>
                  <w:sz w:val="20"/>
                  <w:u w:val="none"/>
                  <w:effect w:val="none"/>
                </w:rPr>
                <w:t>25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79">
              <w:r>
                <w:rPr>
                  <w:rStyle w:val="InternetLink"/>
                  <w:rFonts w:ascii="Times New Roman;serif" w:hAnsi="Times New Roman;serif"/>
                  <w:b w:val="false"/>
                  <w:strike w:val="false"/>
                  <w:dstrike w:val="false"/>
                  <w:color w:val="000000"/>
                  <w:sz w:val="20"/>
                  <w:u w:val="none"/>
                  <w:effect w:val="none"/>
                </w:rPr>
                <w:t>Item 7.</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79">
              <w:r>
                <w:rPr>
                  <w:rStyle w:val="InternetLink"/>
                  <w:rFonts w:ascii="Times New Roman;serif" w:hAnsi="Times New Roman;serif"/>
                  <w:b w:val="false"/>
                  <w:strike w:val="false"/>
                  <w:dstrike w:val="false"/>
                  <w:color w:val="000000"/>
                  <w:sz w:val="20"/>
                  <w:u w:val="none"/>
                  <w:effect w:val="none"/>
                </w:rPr>
                <w:t>26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03">
              <w:r>
                <w:rPr>
                  <w:rStyle w:val="InternetLink"/>
                  <w:rFonts w:ascii="Times New Roman;serif" w:hAnsi="Times New Roman;serif"/>
                  <w:b w:val="false"/>
                  <w:strike w:val="false"/>
                  <w:dstrike w:val="false"/>
                  <w:color w:val="000000"/>
                  <w:sz w:val="20"/>
                  <w:u w:val="none"/>
                  <w:effect w:val="none"/>
                </w:rPr>
                <w:t>Item 7A.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03">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03">
              <w:r>
                <w:rPr>
                  <w:rStyle w:val="InternetLink"/>
                  <w:rFonts w:ascii="Times New Roman;serif" w:hAnsi="Times New Roman;serif"/>
                  <w:b w:val="false"/>
                  <w:strike w:val="false"/>
                  <w:dstrike w:val="false"/>
                  <w:color w:val="000000"/>
                  <w:sz w:val="20"/>
                  <w:u w:val="none"/>
                  <w:effect w:val="non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12">
              <w:r>
                <w:rPr>
                  <w:rStyle w:val="InternetLink"/>
                  <w:rFonts w:ascii="Times New Roman;serif" w:hAnsi="Times New Roman;serif"/>
                  <w:b w:val="false"/>
                  <w:strike w:val="false"/>
                  <w:dstrike w:val="false"/>
                  <w:color w:val="000000"/>
                  <w:sz w:val="20"/>
                  <w:u w:val="none"/>
                  <w:effect w:val="none"/>
                </w:rPr>
                <w:t>Item 8.</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12">
              <w:r>
                <w:rPr>
                  <w:rStyle w:val="InternetLink"/>
                  <w:rFonts w:ascii="Times New Roman;serif" w:hAnsi="Times New Roman;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12">
              <w:r>
                <w:rPr>
                  <w:rStyle w:val="InternetLink"/>
                  <w:rFonts w:ascii="Times New Roman;serif" w:hAnsi="Times New Roman;serif"/>
                  <w:b w:val="false"/>
                  <w:strike w:val="false"/>
                  <w:dstrike w:val="false"/>
                  <w:color w:val="000000"/>
                  <w:sz w:val="20"/>
                  <w:u w:val="none"/>
                  <w:effect w:val="none"/>
                </w:rPr>
                <w:t>35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99">
              <w:r>
                <w:rPr>
                  <w:rStyle w:val="InternetLink"/>
                  <w:rFonts w:ascii="Times New Roman;serif" w:hAnsi="Times New Roman;serif"/>
                  <w:b w:val="false"/>
                  <w:strike w:val="false"/>
                  <w:dstrike w:val="false"/>
                  <w:color w:val="000000"/>
                  <w:sz w:val="20"/>
                  <w:u w:val="none"/>
                  <w:effect w:val="none"/>
                </w:rPr>
                <w:t>Item 9.</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9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99">
              <w:r>
                <w:rPr>
                  <w:rStyle w:val="InternetLink"/>
                  <w:rFonts w:ascii="Times New Roman;serif" w:hAnsi="Times New Roman;serif"/>
                  <w:b w:val="false"/>
                  <w:strike w:val="false"/>
                  <w:dstrike w:val="false"/>
                  <w:color w:val="000000"/>
                  <w:sz w:val="20"/>
                  <w:u w:val="none"/>
                  <w:effect w:val="none"/>
                </w:rPr>
                <w:t>65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02">
              <w:r>
                <w:rPr>
                  <w:rStyle w:val="InternetLink"/>
                  <w:rFonts w:ascii="Times New Roman;serif" w:hAnsi="Times New Roman;serif"/>
                  <w:b w:val="false"/>
                  <w:strike w:val="false"/>
                  <w:dstrike w:val="false"/>
                  <w:color w:val="000000"/>
                  <w:sz w:val="20"/>
                  <w:u w:val="none"/>
                  <w:effect w:val="none"/>
                </w:rPr>
                <w:t>Item 9A</w:t>
              </w:r>
            </w:hyperlink>
            <w:r>
              <w:rPr>
                <w:rFonts w:ascii="Times New Roman;serif" w:hAnsi="Times New Roman;serif"/>
                <w:b w:val="false"/>
                <w:color w:val="000000"/>
                <w:sz w:val="20"/>
              </w:rPr>
              <w:t>.</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02">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02">
              <w:r>
                <w:rPr>
                  <w:rStyle w:val="InternetLink"/>
                  <w:rFonts w:ascii="Times New Roman;serif" w:hAnsi="Times New Roman;serif"/>
                  <w:b w:val="false"/>
                  <w:strike w:val="false"/>
                  <w:dstrike w:val="false"/>
                  <w:color w:val="000000"/>
                  <w:sz w:val="20"/>
                  <w:u w:val="none"/>
                  <w:effect w:val="none"/>
                </w:rPr>
                <w:t>65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05">
              <w:r>
                <w:rPr>
                  <w:rStyle w:val="InternetLink"/>
                  <w:rFonts w:ascii="Times New Roman;serif" w:hAnsi="Times New Roman;serif"/>
                  <w:b w:val="false"/>
                  <w:strike w:val="false"/>
                  <w:dstrike w:val="false"/>
                  <w:color w:val="000000"/>
                  <w:sz w:val="20"/>
                  <w:u w:val="none"/>
                  <w:effect w:val="none"/>
                </w:rPr>
                <w:t>Item 9B.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05">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05">
              <w:r>
                <w:rPr>
                  <w:rStyle w:val="InternetLink"/>
                  <w:rFonts w:ascii="Times New Roman;serif" w:hAnsi="Times New Roman;serif"/>
                  <w:b w:val="false"/>
                  <w:strike w:val="false"/>
                  <w:dstrike w:val="false"/>
                  <w:color w:val="000000"/>
                  <w:sz w:val="20"/>
                  <w:u w:val="none"/>
                  <w:effect w:val="none"/>
                </w:rPr>
                <w:t>67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11">
              <w:r>
                <w:rPr>
                  <w:rStyle w:val="InternetLink"/>
                  <w:rFonts w:ascii="Times New Roman;serif" w:hAnsi="Times New Roman;serif"/>
                  <w:b w:val="false"/>
                  <w:strike w:val="false"/>
                  <w:dstrike w:val="false"/>
                  <w:color w:val="000000"/>
                  <w:sz w:val="20"/>
                  <w:u w:val="none"/>
                  <w:effect w:val="none"/>
                </w:rPr>
                <w:t>Item 9C.</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11">
              <w:r>
                <w:rPr>
                  <w:rStyle w:val="InternetLink"/>
                  <w:rFonts w:ascii="Times New Roman;serif" w:hAnsi="Times New Roman;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11">
              <w:r>
                <w:rPr>
                  <w:rStyle w:val="InternetLink"/>
                  <w:rFonts w:ascii="Times New Roman;serif" w:hAnsi="Times New Roman;serif"/>
                  <w:b w:val="false"/>
                  <w:strike w:val="false"/>
                  <w:dstrike w:val="false"/>
                  <w:color w:val="000000"/>
                  <w:sz w:val="20"/>
                  <w:u w:val="none"/>
                  <w:effect w:val="none"/>
                </w:rPr>
                <w:t>67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14">
              <w:r>
                <w:rPr>
                  <w:rStyle w:val="InternetLink"/>
                  <w:rFonts w:ascii="Times New Roman;serif" w:hAnsi="Times New Roman;serif"/>
                  <w:b/>
                  <w:color w:val="0000FF"/>
                  <w:sz w:val="20"/>
                  <w:u w:val="single"/>
                </w:rPr>
                <w:t>PART III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17">
              <w:r>
                <w:rPr>
                  <w:rStyle w:val="InternetLink"/>
                  <w:rFonts w:ascii="Times New Roman;serif" w:hAnsi="Times New Roman;serif"/>
                  <w:b w:val="false"/>
                  <w:strike w:val="false"/>
                  <w:dstrike w:val="false"/>
                  <w:color w:val="000000"/>
                  <w:sz w:val="20"/>
                  <w:u w:val="none"/>
                  <w:effect w:val="none"/>
                </w:rPr>
                <w:t>Item 10.</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17">
              <w:r>
                <w:rPr>
                  <w:rStyle w:val="InternetLink"/>
                  <w:rFonts w:ascii="Times New Roman;serif" w:hAnsi="Times New Roman;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17">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0">
              <w:r>
                <w:rPr>
                  <w:rStyle w:val="InternetLink"/>
                  <w:rFonts w:ascii="Times New Roman;serif" w:hAnsi="Times New Roman;serif"/>
                  <w:b w:val="false"/>
                  <w:strike w:val="false"/>
                  <w:dstrike w:val="false"/>
                  <w:color w:val="000000"/>
                  <w:sz w:val="20"/>
                  <w:u w:val="none"/>
                  <w:effect w:val="none"/>
                </w:rPr>
                <w:t>Item 11.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0">
              <w:r>
                <w:rPr>
                  <w:rStyle w:val="InternetLink"/>
                  <w:rFonts w:ascii="Times New Roman;serif" w:hAnsi="Times New Roman;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20">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3">
              <w:r>
                <w:rPr>
                  <w:rStyle w:val="InternetLink"/>
                  <w:rFonts w:ascii="Times New Roman;serif" w:hAnsi="Times New Roman;serif"/>
                  <w:b w:val="false"/>
                  <w:strike w:val="false"/>
                  <w:dstrike w:val="false"/>
                  <w:color w:val="000000"/>
                  <w:sz w:val="20"/>
                  <w:u w:val="none"/>
                  <w:effect w:val="none"/>
                </w:rPr>
                <w:t>Item 12.</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23">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6">
              <w:r>
                <w:rPr>
                  <w:rStyle w:val="InternetLink"/>
                  <w:rFonts w:ascii="Times New Roman;serif" w:hAnsi="Times New Roman;serif"/>
                  <w:b w:val="false"/>
                  <w:strike w:val="false"/>
                  <w:dstrike w:val="false"/>
                  <w:color w:val="000000"/>
                  <w:sz w:val="20"/>
                  <w:u w:val="none"/>
                  <w:effect w:val="none"/>
                </w:rPr>
                <w:t>Item 13.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6">
              <w:r>
                <w:rPr>
                  <w:rStyle w:val="InternetLink"/>
                  <w:rFonts w:ascii="Times New Roman;serif" w:hAnsi="Times New Roman;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26">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9">
              <w:r>
                <w:rPr>
                  <w:rStyle w:val="InternetLink"/>
                  <w:rFonts w:ascii="Times New Roman;serif" w:hAnsi="Times New Roman;serif"/>
                  <w:b w:val="false"/>
                  <w:strike w:val="false"/>
                  <w:dstrike w:val="false"/>
                  <w:color w:val="000000"/>
                  <w:sz w:val="20"/>
                  <w:u w:val="none"/>
                  <w:effect w:val="none"/>
                </w:rPr>
                <w:t>Item 14.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29">
              <w:r>
                <w:rPr>
                  <w:rStyle w:val="InternetLink"/>
                  <w:rFonts w:ascii="Times New Roman;serif" w:hAnsi="Times New Roman;serif"/>
                  <w:b w:val="false"/>
                  <w:color w:val="0000FF"/>
                  <w:sz w:val="20"/>
                  <w:u w:val="single"/>
                </w:rPr>
                <w:t>Principal Accounting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29">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32">
              <w:r>
                <w:rPr>
                  <w:rStyle w:val="InternetLink"/>
                  <w:rFonts w:ascii="Times New Roman;serif" w:hAnsi="Times New Roman;serif"/>
                  <w:b/>
                  <w:color w:val="0000FF"/>
                  <w:sz w:val="20"/>
                  <w:u w:val="single"/>
                </w:rPr>
                <w:t>PART IV</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38">
              <w:r>
                <w:rPr>
                  <w:rStyle w:val="InternetLink"/>
                  <w:rFonts w:ascii="Times New Roman;serif" w:hAnsi="Times New Roman;serif"/>
                  <w:b w:val="false"/>
                  <w:strike w:val="false"/>
                  <w:dstrike w:val="false"/>
                  <w:color w:val="000000"/>
                  <w:sz w:val="20"/>
                  <w:u w:val="none"/>
                  <w:effect w:val="none"/>
                </w:rPr>
                <w:t>Item 15.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35">
              <w:r>
                <w:rPr>
                  <w:rStyle w:val="InternetLink"/>
                  <w:rFonts w:ascii="Times New Roman;serif" w:hAnsi="Times New Roman;serif"/>
                  <w:b w:val="false"/>
                  <w:color w:val="0000FF"/>
                  <w:sz w:val="20"/>
                  <w:u w:val="single"/>
                </w:rPr>
                <w:t>Exhibits,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35">
              <w:r>
                <w:rPr>
                  <w:rStyle w:val="InternetLink"/>
                  <w:rFonts w:ascii="Times New Roman;serif" w:hAnsi="Times New Roman;serif"/>
                  <w:b w:val="false"/>
                  <w:strike w:val="false"/>
                  <w:dstrike w:val="false"/>
                  <w:color w:val="000000"/>
                  <w:sz w:val="20"/>
                  <w:u w:val="none"/>
                  <w:effect w:val="none"/>
                </w:rPr>
                <w:t>68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38">
              <w:r>
                <w:rPr>
                  <w:rStyle w:val="InternetLink"/>
                  <w:rFonts w:ascii="Times New Roman;serif" w:hAnsi="Times New Roman;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38">
              <w:r>
                <w:rPr>
                  <w:rStyle w:val="InternetLink"/>
                  <w:rFonts w:ascii="Times New Roman;serif" w:hAnsi="Times New Roman;serif"/>
                  <w:b w:val="false"/>
                  <w:strike w:val="false"/>
                  <w:dstrike w:val="false"/>
                  <w:color w:val="000000"/>
                  <w:sz w:val="20"/>
                  <w:u w:val="none"/>
                  <w:effect w:val="none"/>
                </w:rPr>
                <w:t>70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241">
              <w:r>
                <w:rPr>
                  <w:rStyle w:val="InternetLink"/>
                  <w:rFonts w:ascii="Times New Roman;serif" w:hAnsi="Times New Roman;serif"/>
                  <w:b/>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241">
              <w:r>
                <w:rPr>
                  <w:rStyle w:val="InternetLink"/>
                  <w:rFonts w:ascii="Times New Roman;serif" w:hAnsi="Times New Roman;serif"/>
                  <w:b w:val="false"/>
                  <w:strike w:val="false"/>
                  <w:dstrike w:val="false"/>
                  <w:color w:val="000000"/>
                  <w:sz w:val="20"/>
                  <w:u w:val="none"/>
                  <w:effect w:val="none"/>
                </w:rPr>
                <w:t>71</w:t>
              </w:r>
            </w:hyperlink>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for purposes of the Annual Report on Form 10-K,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916940"/>
                <wp:effectExtent l="0" t="0" r="0" b="0"/>
                <wp:wrapNone/>
                <wp:docPr id="3" name="Frame2"/>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 cy="257175"/>
                                                </a:xfrm>
                                                <a:prstGeom prst="rect">
                                                  <a:avLst/>
                                                </a:prstGeom>
                                              </pic:spPr>
                                            </pic:pic>
                                          </a:graphicData>
                                        </a:graphic>
                                      </wp:inline>
                                    </w:drawing>
                                  </w:r>
                                  <w:bookmarkStart w:id="1" w:name="i-2"/>
                                  <w:bookmarkEnd w:id="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66700" cy="257175"/>
                                          </a:xfrm>
                                          <a:prstGeom prst="rect">
                                            <a:avLst/>
                                          </a:prstGeom>
                                        </pic:spPr>
                                      </pic:pic>
                                    </a:graphicData>
                                  </a:graphic>
                                </wp:inline>
                              </w:drawing>
                            </w:r>
                            <w:bookmarkStart w:id="2" w:name="i-2"/>
                            <w:bookmarkEnd w:id="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INFORMATION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This Annual Report on Form 10-K contains forward-looking statements</w:t>
      </w:r>
      <w:r>
        <w:rPr>
          <w:color w:val="000000"/>
        </w:rPr>
        <w:t xml:space="preserve"> </w:t>
      </w:r>
      <w:r>
        <w:rPr>
          <w:rFonts w:ascii="Times New Roman;serif" w:hAnsi="Times New Roman;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in Part I, Item IA, “Risk Factors” of this Annual Report on Form 10-K for the year ended December 31, 2025,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U.S. Securities and Exchange Commission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916940"/>
                <wp:effectExtent l="0" t="0" r="0" b="0"/>
                <wp:wrapNone/>
                <wp:docPr id="6" name="Frame3"/>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66700" cy="257175"/>
                                                </a:xfrm>
                                                <a:prstGeom prst="rect">
                                                  <a:avLst/>
                                                </a:prstGeom>
                                              </pic:spPr>
                                            </pic:pic>
                                          </a:graphicData>
                                        </a:graphic>
                                      </wp:inline>
                                    </w:drawing>
                                  </w:r>
                                  <w:bookmarkStart w:id="3" w:name="i-3"/>
                                  <w:bookmarkEnd w:id="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66700" cy="257175"/>
                                          </a:xfrm>
                                          <a:prstGeom prst="rect">
                                            <a:avLst/>
                                          </a:prstGeom>
                                        </pic:spPr>
                                      </pic:pic>
                                    </a:graphicData>
                                  </a:graphic>
                                </wp:inline>
                              </w:drawing>
                            </w:r>
                            <w:bookmarkStart w:id="4" w:name="i-3"/>
                            <w:bookmarkEnd w:id="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AAE5"/>
          <w:sz w:val="20"/>
        </w:rPr>
      </w:pPr>
      <w:r>
        <w:rPr>
          <w:rFonts w:ascii="Times New Roman;serif" w:hAnsi="Times New Roman;serif"/>
          <w:b/>
          <w:color w:val="00AAE5"/>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AAE5"/>
          <w:sz w:val="20"/>
        </w:rPr>
      </w:pPr>
      <w:r>
        <w:rPr>
          <w:rFonts w:ascii="Times New Roman;serif" w:hAnsi="Times New Roman;serif"/>
          <w:b/>
          <w:color w:val="00AAE5"/>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a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120" w:after="283"/>
        <w:ind w:left="0" w:right="0" w:firstLine="540"/>
        <w:jc w:val="both"/>
        <w:rPr/>
      </w:pPr>
      <w:r>
        <w:rPr>
          <w:rFonts w:ascii="Times New Roman;serif" w:hAnsi="Times New Roman;serif"/>
          <w:b w:val="false"/>
          <w:color w:val="000000"/>
          <w:sz w:val="20"/>
        </w:rPr>
        <w:t>For the years ended December 31, 2025, 2024, and 2023, we generated revenues of $751.5 million, $637.8 million, and $536.9 million, respectively. Our quarter ended December 31, 2025 represented our 100th consecutive quarter of revenue gr</w:t>
      </w:r>
      <w:r>
        <w:rPr>
          <w:rFonts w:ascii="Times New Roman;serif" w:hAnsi="Times New Roman;serif"/>
          <w:b w:val="false"/>
          <w:color w:val="000000"/>
          <w:sz w:val="20"/>
          <w:shd w:fill="FFFFFF" w:val="clear"/>
        </w:rPr>
        <w:t>owth. Recurring revenues from recurring revenue customers acc</w:t>
      </w:r>
      <w:r>
        <w:rPr>
          <w:rFonts w:ascii="Times New Roman;serif" w:hAnsi="Times New Roman;serif"/>
          <w:b w:val="false"/>
          <w:color w:val="000000"/>
          <w:sz w:val="20"/>
        </w:rPr>
        <w:t>ounted for 96%, 94%, and 94% of our total revenues for the years ended December 31, 2025, 2024, and 2023, respectively. Our revenues are not concentrated with any customer, as our largest customer represented less than 1% of total revenues for the years ended December 31, 2025, 2024, and 2023.</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Increasing Demand for a Supply Chain Network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Global commerce is constantly evolving, and consumer expectations continue to rise, accelerating the need for </w:t>
      </w:r>
      <w:r>
        <w:rPr>
          <w:rFonts w:ascii="Times New Roman;serif" w:hAnsi="Times New Roman;serif"/>
          <w:b w:val="false"/>
          <w:color w:val="000000"/>
          <w:sz w:val="20"/>
          <w:shd w:fill="FFFFFF" w:val="clear"/>
        </w:rPr>
        <w:t>automated, coordinated supply chain operations. To navigate disruptions and meet growing demands, companies across the commerce ecosystem must orchestrate operations across wholesale, eCommerce, marketplace, and direct-to-consumer channels simultaneously. These channels no longer operate independently, and consumers expect a seamless experience regardless of how or where they shop. Managing this complexity across multiple trading partners, fulfillment models, and compliance requirements creates operational burden that most companies cannot efficiently handle on their own.</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Our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operates a global supply chain network where companies connect once and can immediately transact with thousands of trading partners across any channel. We maintain the compliance rules, connection protocols, and data standards while our teams handle onboarding, monitor transactions, resolve exceptions, and optimize operations continuously.</w:t>
      </w:r>
    </w:p>
    <w:p>
      <w:pPr>
        <w:pStyle w:val="TextBody"/>
        <w:bidi w:val="0"/>
        <w:spacing w:lineRule="auto" w:line="417"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products include:</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i/>
          <w:color w:val="000000"/>
          <w:sz w:val="20"/>
          <w:shd w:fill="FFFFFF" w:val="clear"/>
        </w:rPr>
        <w:t xml:space="preserve">Fulfillment - </w:t>
      </w:r>
      <w:r>
        <w:rPr>
          <w:rFonts w:ascii="Times New Roman;serif" w:hAnsi="Times New Roman;serif"/>
          <w:b w:val="false"/>
          <w:color w:val="000000"/>
          <w:sz w:val="20"/>
          <w:shd w:fill="FFFFFF" w:val="clear"/>
        </w:rPr>
        <w:t xml:space="preserve">Our Fulfillment product offers a comprehensive solution designed to streamline supply chain operations. Our connections empower </w:t>
      </w:r>
      <w:r>
        <w:rPr>
          <w:rFonts w:ascii="Times New Roman;serif" w:hAnsi="Times New Roman;serif"/>
          <w:b w:val="false"/>
          <w:color w:val="000000"/>
          <w:sz w:val="20"/>
        </w:rPr>
        <w:t>retailers, brands, distributors, manufacturers, and logistics providers</w:t>
      </w:r>
      <w:r>
        <w:rPr>
          <w:color w:val="000000"/>
          <w:shd w:fill="FFFFFF" w:val="clear"/>
        </w:rPr>
        <w:t xml:space="preserve"> </w:t>
      </w:r>
      <w:r>
        <w:rPr>
          <w:rFonts w:ascii="Times New Roman;serif" w:hAnsi="Times New Roman;serif"/>
          <w:b w:val="false"/>
          <w:color w:val="000000"/>
          <w:sz w:val="20"/>
          <w:shd w:fill="FFFFFF" w:val="clear"/>
        </w:rPr>
        <w:t>to efficiently send and receive order data, ensuring accurate execution of required processes from order to invoicing and revenue recovery through fully automated operations. By integrating seamlessly with existing systems, Fulfillment enhances day-to-day efficiency, reduces errors, and provides real-time visibility across all of our customers' order channels.</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i/>
          <w:color w:val="000000"/>
          <w:sz w:val="20"/>
          <w:shd w:fill="FFFFFF" w:val="clear"/>
        </w:rPr>
        <w:t>Analytics</w:t>
      </w:r>
      <w:r>
        <w:rPr>
          <w:color w:val="000000"/>
          <w:shd w:fill="FFFFFF" w:val="clear"/>
        </w:rPr>
        <w:t xml:space="preserve"> </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Our Analytics product simplifies managing sell-through data from our customers’ business partners. We handle data acquisition, cleansing, normalization, and delivery. Our pre-built dashboards create custom reports, or integrate data with existing tools, to gain insights to enhance product performance, forecasting, pricing, and inventory management.</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i/>
          <w:color w:val="000000"/>
          <w:sz w:val="20"/>
          <w:shd w:fill="FFFFFF" w:val="clear"/>
        </w:rPr>
        <w:t>Other Products -</w:t>
      </w:r>
      <w:r>
        <w:rPr>
          <w:color w:val="000000"/>
          <w:shd w:fill="FFFFFF" w:val="clear"/>
        </w:rPr>
        <w:t xml:space="preserve"> </w:t>
      </w:r>
      <w:r>
        <w:rPr>
          <w:rFonts w:ascii="Times New Roman;serif" w:hAnsi="Times New Roman;serif"/>
          <w:b w:val="false"/>
          <w:color w:val="000000"/>
          <w:sz w:val="20"/>
          <w:shd w:fill="FFFFFF" w:val="clear"/>
        </w:rPr>
        <w:t>We also have other complementary products, including:</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 xml:space="preserve">Assortment </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Our Assortment product simplifies the communication of robust, accurate item data by automatically translating item attributes and hierarchies through a single connection across all sales channels.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 xml:space="preserve">Relationship Management </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Our Relationship Management product (formerly known as Community) allows organizations to accelerate digitization of their supply chain and improve collaboration with suppliers through proven change management, onboarding programs, and supplier score carding.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916940"/>
                <wp:effectExtent l="0" t="0" r="0" b="0"/>
                <wp:wrapNone/>
                <wp:docPr id="9" name="Frame4"/>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66700" cy="257175"/>
                                                </a:xfrm>
                                                <a:prstGeom prst="rect">
                                                  <a:avLst/>
                                                </a:prstGeom>
                                              </pic:spPr>
                                            </pic:pic>
                                          </a:graphicData>
                                        </a:graphic>
                                      </wp:inline>
                                    </w:drawing>
                                  </w:r>
                                  <w:bookmarkStart w:id="5" w:name="i-4"/>
                                  <w:bookmarkEnd w:id="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66700" cy="257175"/>
                                          </a:xfrm>
                                          <a:prstGeom prst="rect">
                                            <a:avLst/>
                                          </a:prstGeom>
                                        </pic:spPr>
                                      </pic:pic>
                                    </a:graphicData>
                                  </a:graphic>
                                </wp:inline>
                              </w:drawing>
                            </w:r>
                            <w:bookmarkStart w:id="6" w:name="i-4"/>
                            <w:bookmarkEnd w:id="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embedding expertise, proven processes, and compliance logic into the network itself, we enable companies to participate in modern omnichannel commerce without building or managing the infrastructure themselves. Our recurring revenue customers use the network to expand and optimize their trading relationships while we handle the operational complexity.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these offerings, we also provide one-time services such as professional services as well as testing and certification.</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Growing Our Network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one of the largest providers of cloud-based services for supply chain management, SPS Commerce enables trading partner relationships among retailers, grocers, distributors, suppliers, manufacturers, and logistics firms that naturally lead to new customer acquisition opportunities.</w:t>
      </w:r>
    </w:p>
    <w:p>
      <w:pPr>
        <w:pStyle w:val="TextBody"/>
        <w:bidi w:val="0"/>
        <w:spacing w:lineRule="auto" w:line="288" w:before="360" w:after="283"/>
        <w:jc w:val="both"/>
        <w:rPr>
          <w:color w:val="000000"/>
        </w:rPr>
      </w:pPr>
      <w:r>
        <w:rPr>
          <w:color w:val="000000"/>
        </w:rPr>
        <w:t>“</w:t>
      </w:r>
      <w:r>
        <w:rPr>
          <w:rFonts w:ascii="Times New Roman;serif" w:hAnsi="Times New Roman;serif"/>
          <w:b/>
          <w:i/>
          <w:color w:val="000000"/>
          <w:sz w:val="20"/>
        </w:rPr>
        <w:t>Network Effect”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value of our network increases exponentially with scale. After joining, customers typically discover that many of their existing or prospective trading partners are already connected, enabling immediate transaction capability. Each new participant can instantly communicate with our existing network of global connections, and existing participants gain access to transact with each new addition.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network effect creates significant opportunity for participants to realize incremental business. Suppliers can more easily onboard new retail customers. Retailers can more quickly activate new suppliers. Logistics providers can seamlessly integrate with new fulfillment relationships. As transaction volume grows among network participants through these expanded relationships, we earn additional revenue from increased activity across the network. Our customers grow their business relationships more efficiently, and we grow alongside them.</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Customer Acquisition Sources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Relationship Management - </w:t>
      </w:r>
      <w:r>
        <w:rPr>
          <w:rFonts w:ascii="Times New Roman;serif" w:hAnsi="Times New Roman;serif"/>
          <w:b w:val="false"/>
          <w:color w:val="000000"/>
          <w:sz w:val="20"/>
        </w:rPr>
        <w:t>As retailers and suppliers reshape how they do business in an omnichannel landscape, they need to bring new capabilities and services to their trading partner networks. Our Relationship Management product is designed to manage this process and bring suppliers into compliance with new requirements. For instance, a supplier may wish to collaborate with their retailers around point-of-sale analytics data, or a retailer may decide to change the workflow or protocol by which it interacts with its suppliers. In each case, the supplier and retailer may engage us to work with their trading partner base to enable the new capability. Performing these programs on behalf of retailers and suppliers generates supplier sales leads for us.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Referrals from Our Customers - </w:t>
      </w:r>
      <w:r>
        <w:rPr>
          <w:rFonts w:ascii="Times New Roman;serif" w:hAnsi="Times New Roman;serif"/>
          <w:b w:val="false"/>
          <w:color w:val="000000"/>
          <w:sz w:val="20"/>
        </w:rPr>
        <w:t>We also receive sales leads from our customers seeking to communicate electronically with their trading partners. For example, a supplier may refer a third-party logistics provider or manufacturer, which is not in our network, to us.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Direct Marketing - </w:t>
      </w:r>
      <w:r>
        <w:rPr>
          <w:rFonts w:ascii="Times New Roman;serif" w:hAnsi="Times New Roman;serif"/>
          <w:b w:val="false"/>
          <w:color w:val="000000"/>
          <w:sz w:val="20"/>
        </w:rPr>
        <w:t>We employ various marketing strategies. Our marketing programs include a variety of lead generating activities including digital marketing, account-based marketing, conferences and trade shows, sponsored events, and public relations activities targeted at key decision makers within our prospective customers.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Channel Partners - </w:t>
      </w:r>
      <w:r>
        <w:rPr>
          <w:rFonts w:ascii="Times New Roman;serif" w:hAnsi="Times New Roman;serif"/>
          <w:b w:val="false"/>
          <w:color w:val="000000"/>
          <w:sz w:val="20"/>
        </w:rPr>
        <w:t>In addition to the customer acquisition sources identified above, we market and sell our products through a variety of channel 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products as part of their service offerings</w:t>
      </w:r>
      <w:r>
        <w:rPr>
          <w:rFonts w:ascii="Times New Roman;serif" w:hAnsi="Times New Roman;serif"/>
          <w:b w:val="false"/>
          <w:i/>
          <w:color w:val="000000"/>
          <w:sz w:val="20"/>
        </w:rPr>
        <w:t>.</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Our Growth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objective is to be the leading global supply chain network and provider of supply chain management products. Key elements of our strategy include:</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Further Penetrate Our Current Market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believe the global supply chain management market is underpenetrated. As the retail industry continues to respond to the changing requirements of the omnichannel marketplace, and as the supply chain ecosystem becomes more complex and geographically dispersed,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916940"/>
                <wp:effectExtent l="0" t="0" r="0" b="0"/>
                <wp:wrapNone/>
                <wp:docPr id="12" name="Frame5"/>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66700" cy="257175"/>
                                                </a:xfrm>
                                                <a:prstGeom prst="rect">
                                                  <a:avLst/>
                                                </a:prstGeom>
                                              </pic:spPr>
                                            </pic:pic>
                                          </a:graphicData>
                                        </a:graphic>
                                      </wp:inline>
                                    </w:drawing>
                                  </w:r>
                                  <w:bookmarkStart w:id="7" w:name="i-5"/>
                                  <w:bookmarkEnd w:id="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66700" cy="257175"/>
                                          </a:xfrm>
                                          <a:prstGeom prst="rect">
                                            <a:avLst/>
                                          </a:prstGeom>
                                        </pic:spPr>
                                      </pic:pic>
                                    </a:graphicData>
                                  </a:graphic>
                                </wp:inline>
                              </w:drawing>
                            </w:r>
                            <w:bookmarkStart w:id="8" w:name="i-5"/>
                            <w:bookmarkEnd w:id="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believe the demand for supply chain management solutions will increase. We intend to continue leveraging our relationships with customers and their trading partners to obtain new sales leads.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Increase Revenues from Our Customer Base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believe our overall customer satisfaction is strong and will lead our customers to further expand their use of our products they have purchased, as well as purchase additional products to continue improving the performance of their trading partner relationships, generating additional revenues for us. We also expect to introduce new products to sell to our customers. We believe our position as the incumbent supply chain management solution provider to our customers, our integration into our recurring revenue customers’ business systems, and the modular nature of our cloud-based products are conducive to deploying additional products with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Expand Our Distribution Channels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intend to grow our business by expanding our sales capacity to gain new customers. We also believe there are valuable opportunities to promote and sell our products through collaboration with other providers.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Expand Our International Presence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believe our presence in Asia Pacific and Europe has created a foundation to expand our global presence. We plan to increase our global sales efforts to obtain new customers around the world. We intend to leverage our current global presence to increase the number of integrations we have with retailers in foreign markets to make our products more valuable to their trading partners based overseas.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Enhance and Expand Our Services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intend to further improve and develop the functionality and features of our cloud-based products, including, from time to time, developing new offerings and applications.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Selectively Pursue Strategic Acquisitions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nature of our market provides an opportunity for selective acquisitions. We plan to continue to evaluate potential acquisitions based on the number of new customers, revenue, functionality, or geographic reach the acquisition would provide relative to the purchase price, and our ability to integrate and operate the acquired business. In 2025, we acquired Carbon6 Technologies Inc. ("Carbon6"),</w:t>
      </w:r>
      <w:r>
        <w:rPr>
          <w:color w:val="000000"/>
          <w:shd w:fill="FFFFFF" w:val="clear"/>
        </w:rPr>
        <w:t xml:space="preserve"> </w:t>
      </w:r>
      <w:r>
        <w:rPr>
          <w:rFonts w:ascii="Times New Roman;serif" w:hAnsi="Times New Roman;serif"/>
          <w:b w:val="false"/>
          <w:color w:val="000000"/>
          <w:sz w:val="20"/>
          <w:shd w:fill="FFFFFF" w:val="clear"/>
        </w:rPr>
        <w:t>a provider of software tools to Amazon.com, Inc. sellers, including specialized offerings for revenue recovery for both first-party ("1P") and third-party ("3P") suppliers.</w:t>
      </w:r>
      <w:r>
        <w:rPr>
          <w:color w:val="000000"/>
        </w:rPr>
        <w:t xml:space="preserve"> </w:t>
      </w:r>
      <w:r>
        <w:rPr>
          <w:rFonts w:ascii="Times New Roman;serif" w:hAnsi="Times New Roman;serif"/>
          <w:b w:val="false"/>
          <w:color w:val="000000"/>
          <w:sz w:val="20"/>
        </w:rPr>
        <w:t>This acquisition further extends the capabilities of our network and added new customers and technology.</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Our Market Opportunity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have a significant market opportunity to help organizations accelerate their omnichannel retail strategies with our supply chain network and supply chain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Omnichannel retail requires new connections/transactions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Each sales channel (wholesale, eCommerce, and marketplaces) brings new trading partners to the supply chain process. As customers expand their business, the SPS Commerce supply chain network is a core part of their omnichannel strategy. Each additional channel brings more reliance and volume to the network and increases customer revenue.</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Retail needs automation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With increased retail store openings and closings, labor shortages, supply chain disruptions, and new buying patterns, retailers are demanding more from their trading partners as they need to be agile and transition their businesses as markets change. Businesses using SPS Commerce products to automate supply chain functions with their trading partners can pivot quickly to new delivery models and capture market share. The visibility into orders, shipments, and inventory gained by automating trading relationships on the SPS Commerce supply chain network is critical to their success and offers a competitive advantage.</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Consumers want new products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Retail assortments are ever-changing with seasonality shifts and new product introductions from companies of all sizes. Consumers want the latest products and retailers are continually chasing trends, offering differentiated items, and introducing new products and suppliers to their supply chains. As retailers evolve, their trading partner relationships must support any new product introductions or new suppliers to achieve their merchandising goals. The SPS Commerce supply chain network automates these relationships to quickly secure product details, initiate orders, and track performance to help keep operations running smoothly.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916940"/>
                <wp:effectExtent l="0" t="0" r="0" b="0"/>
                <wp:wrapNone/>
                <wp:docPr id="15" name="Frame6"/>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66700" cy="257175"/>
                                                </a:xfrm>
                                                <a:prstGeom prst="rect">
                                                  <a:avLst/>
                                                </a:prstGeom>
                                              </pic:spPr>
                                            </pic:pic>
                                          </a:graphicData>
                                        </a:graphic>
                                      </wp:inline>
                                    </w:drawing>
                                  </w:r>
                                  <w:bookmarkStart w:id="9" w:name="i-6"/>
                                  <w:bookmarkEnd w:id="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66700" cy="257175"/>
                                          </a:xfrm>
                                          <a:prstGeom prst="rect">
                                            <a:avLst/>
                                          </a:prstGeom>
                                        </pic:spPr>
                                      </pic:pic>
                                    </a:graphicData>
                                  </a:graphic>
                                </wp:inline>
                              </w:drawing>
                            </w:r>
                            <w:bookmarkStart w:id="10" w:name="i-6"/>
                            <w:bookmarkEnd w:id="1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Technology, Development and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Technology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was an early provider of cloud-services to the supply chain management industry, launching the first version of what would become our current services in 1997. We use commercially available hardware and cloud-services with a combination of proprietary and commercially available software.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cloud-service model treats all customers as logically separate tenants within a shared virtual infrastructure. As a result, we spread the cost of delivering our products across our customer base. Because we do not manage thousands of distinct applications with their own business logic and database schemas, we can scale our business faster than traditional software vendors, even those that modified their products to be accessible over the internet.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focus on maintaining, improving, and enhancing our existing products, as well as developing new products and applications. Our multi-tenant products serve all of our customers, which allows us to maintain relatively low research and development expenses and release software updates more frequently compared to traditional on-premise licensed software products that support multiple versions. Our development efforts take place at our United States ("U.S.") locations in Minnesota, Arkansas, and New Jersey, as well as in Melbourne, Australia; Toronto, Canada; Breukelen, Netherlands; Warsaw, Poland; and Kyiv, Ukraine.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our infrastructure in third-party data centers located throughout North America, Europe, and Australia, as well as provisioned services with cloud providers. In most cases, infrastructure and services are managed by 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internal and third-party monitoring software that continually checks the status of services and underlying infrastructure for availability and performance, helping ensure that the network is always available and providing desired service levels. We have a technology team that includes system provisioning, management, maintenance, monitoring, and back-up.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a service architecture using industry best practices to ensure multiple points of redundancy, high availability, and scale as needed. Our databases are replicated between locations with a defined recovery point objective.</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Sales &amp; Marketing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sell our products through an employed global sales force that focuses on retailers, grocers, distributors, suppliers, and logistics firms.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marketing teams focus on driving awareness and demand for our products through the following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Demand Generation</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Engages with target audiences using the latest digital marketing strategies to bring opportunities to our sales teams.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Communications</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Manages our brand and public relations, as well as provides go-to-market support.</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Product Marketing</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Equips our sales teams, performs market studies, and promotes the unique capabilities of each of our products using our go-to-market strategies.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Events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Highlights our presence at industry trade shows and orchestrates virtual and in-person events.</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Customer Success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Customer Success team includes retail and technology experts who implement our products on our customers' behalf, provide ongoing support, and collaborate with accounts to identify opportunities for added value from their existing products. This team focuses on delivering services that build customer satisfaction and result in high customer retention rates.</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Competition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Vendors in the supply chain management industry offer products through three delivery methods: traditional on-premise software, managed services, and cloud-based full-service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916940"/>
                <wp:effectExtent l="0" t="0" r="0" b="0"/>
                <wp:wrapNone/>
                <wp:docPr id="18" name="Frame7"/>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66700" cy="257175"/>
                                                </a:xfrm>
                                                <a:prstGeom prst="rect">
                                                  <a:avLst/>
                                                </a:prstGeom>
                                              </pic:spPr>
                                            </pic:pic>
                                          </a:graphicData>
                                        </a:graphic>
                                      </wp:inline>
                                    </w:drawing>
                                  </w:r>
                                  <w:bookmarkStart w:id="11" w:name="i-7"/>
                                  <w:bookmarkEnd w:id="1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66700" cy="257175"/>
                                          </a:xfrm>
                                          <a:prstGeom prst="rect">
                                            <a:avLst/>
                                          </a:prstGeom>
                                        </pic:spPr>
                                      </pic:pic>
                                    </a:graphicData>
                                  </a:graphic>
                                </wp:inline>
                              </w:drawing>
                            </w:r>
                            <w:bookmarkStart w:id="12" w:name="i-7"/>
                            <w:bookmarkEnd w:id="1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cloud-based supply chain management products is fragmented and rapidly evolving. Cloud-service vendors compete directly with each other based mainly on the following: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breadth of pre-built network connections to retailers, third-party logistics providers, and other trading partners;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history of establishing and maintaining reliable connections with trading partners;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reputation of the cloud-service vendor in the supply chain management industry;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price;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specialization in a customer market segment;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speed and quality with which the cloud-service vendor can integrate its customers to their trading partners;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functionality of the cloud-service product, such as the ability to integrate the product with a customer’s business systems;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breadth of complementary supply chain management products the cloud-service vendor offers;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training and customer support services provided during and after a customer’s initial integration.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Cloud-service vendors also compete with traditional on-premise software companies. Traditional on-premise software uses a single-tenant approach in which information maps to retailers are built for and used by one supplier, as compared to cloud-service products that allow multiple customers to share information maps with a retailer. Traditional on-premise requires customers to purchase, install, and manage specialized software, hardware, and value-added networks for their supply chain integration needs. Additionally, customers are required to make significant upfront and ongoing investments to purchase, operate, and maintain the software. As such, a customer may be less willing to abandon their traditional on-premise product in favor of a cloud-service product.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Managed service providers focused on the supply chain management market offer a cloud-based product in which they develop and maintain the core technology, while the customer’s internal staff is responsible for the day-to-day customization, optimization, and operations of the technology.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contrast, full-service providers, including SPS Commerce, offer cloud-based products and expert resources that customize, optimize, and operate the technology. This approach offloads the time-intensive process of managing these products, which is not a core competency for most businesses. Full-service cloud-based vendors compete with both managed service providers and traditional on-premise software products based on the total cost of ownership and flexibility.</w:t>
      </w: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Intellectual Property and Proprietary Content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SPS Commerce relies on a combination of copyright, trademark, patent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U.S. and certain foreign countries.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have a number of patents acquired through acquisitions. Our trade secrets consist primarily of the software we have developed for our SPS Commerce cloud-based products and network. Our software is also protected under copyright law, but we do not have any registered copyrights.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shd w:fill="FFFFFF" w:val="clear"/>
        </w:rPr>
      </w:pPr>
      <w:r>
        <w:rPr>
          <w:rFonts w:ascii="Times New Roman;serif" w:hAnsi="Times New Roman;serif"/>
          <w:b/>
          <w:color w:val="00AAE5"/>
          <w:sz w:val="20"/>
          <w:shd w:fill="FFFFFF" w:val="clear"/>
        </w:rPr>
        <w:t>Human Capital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HR Strategy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SPS, our ability to execute our mission - to power the connections that move the world of commerce forward - is fundamentally dependent on the quality, expertise, and velocity of our human capital. Our strategy is built on the principle that to sustain and grow the world’s largest supply chain network, we must invest in our people who possess the specific competencies required to maintain the reliability and scale of our cloud-based platform, accelerate our customers' adoption of omnichannel commerce, and navigate the increasingly complex global supply chain compliance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916940"/>
                <wp:effectExtent l="0" t="0" r="0" b="0"/>
                <wp:wrapNone/>
                <wp:docPr id="21" name="Frame8"/>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66700" cy="257175"/>
                                                </a:xfrm>
                                                <a:prstGeom prst="rect">
                                                  <a:avLst/>
                                                </a:prstGeom>
                                              </pic:spPr>
                                            </pic:pic>
                                          </a:graphicData>
                                        </a:graphic>
                                      </wp:inline>
                                    </w:drawing>
                                  </w:r>
                                  <w:bookmarkStart w:id="13" w:name="i-8"/>
                                  <w:bookmarkEnd w:id="1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66700" cy="257175"/>
                                          </a:xfrm>
                                          <a:prstGeom prst="rect">
                                            <a:avLst/>
                                          </a:prstGeom>
                                        </pic:spPr>
                                      </pic:pic>
                                    </a:graphicData>
                                  </a:graphic>
                                </wp:inline>
                              </w:drawing>
                            </w:r>
                            <w:bookmarkStart w:id="14" w:name="i-8"/>
                            <w:bookmarkEnd w:id="1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focus positions our human capital as a long-term competitive asset, directly enabling customer success and driving profitable growth.</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People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As of December 31, 2025, our total workforce has increased to 2,948 worldwi</w:t>
      </w:r>
      <w:r>
        <w:rPr>
          <w:rFonts w:ascii="Times New Roman;serif" w:hAnsi="Times New Roman;serif"/>
          <w:b w:val="false"/>
          <w:color w:val="000000"/>
          <w:sz w:val="20"/>
          <w:shd w:fill="FFFFFF" w:val="clear"/>
        </w:rPr>
        <w:t>de. 39% of our global workforce identifies as female and 2% did not specify their gender. Within the U.S. 13% of our employees self-identified as members of an underrepresented group. Our executive team is comprised of 7 individuals, of which 43% are women.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78% of our workforce is based in North America, we continue to build critical skills and capabilities in Europe and Asia Pacific. In addition to having statutory obligations for employee representation in certain countries, we are keenly focused on our delivered employee experience.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Talent Acquisition, Learning and Development, Belonging, Engagement &amp; Retention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implemented a more formalized strategic workforce planning methodology building plans across the enterprise to recruit, develop and deploy the talent needed to build the solutions and services that will power SPS’s future growth.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SPS strengthened its global talent pipeline in 2025, attracting and retaining critical skills aligned to our strategic capabilities - including technology, customer success, and go-to-market execution. 90% of hires supported these priority areas. We invested in employer branding, global recruiting infrastructure, and early-career programs to expand reach and help SPS continue to attract top talent to drive business growth.</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as part of a multi-year learning culture transformation, we introduced a new Learning and Development strategy, one that builds a learning culture, delivers learning experiences in the flow of work and empowers employees to take ownership of their professional and career growth. In furtherance of that strategy, we deployed an artificial intelligence ("AI")-enabled learning platform that provides our employees with visibility to in-demand skills and offers personalized learning content supporting their professional development and helping SPS develop the skills and capabilities key to driving our business strategy.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SPS we maintain a strong commitment to Belonging, helping everyone feel accepted, valued, and empowered to make a meaningful impact. Our company’s core value of “Employees First” clearly states our commitment and we are measuring employee perceptions related to Belonging through our employee listening program. That commitment is evident in our workforce, recruiting efforts and our community engagement. SPS has actively engaged Employee Resources Groups, each sponsored by a business executive and open to all employees, providing employees a forum to share their ideas to continually improve the employee experience and build community bridges. We have relationships with the Wallin Education Partners and a Diverse Scholar Program that supports diverse college students pursuing careers in technology. In addition to receiving funding for their education, participants are offered internships, have access to mentorship and are connected to business professionals across our organization. In 2025, we strengthened our community engagement by launching Commerce with Purpose, an inclusive sourcing and community impact initiative focused on building partnerships with diverse vendors operating in the communities where we live and work. We also launched Let’s Chat SPS in 2025, a global employee connection program to foster meaningful relationships across Team SPS. These actions continue to build on our Belonging@SPS program and strengthen our foundation for sustainable growth.</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retain the talent we work hard to attract, we regularly survey our employees. The insights we gain deepen our understanding of their perspectives and our opportunities to improve their experience. In 2025, we conducted an Organizational Health and Culture survey focused on both the employee experience and organization culture. We see both as critical enablers of our business strategy, our ability to meet the needs of our customers, and our ability to attract and retain the necessary talent.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strong company culture and focus on providing meaningful work, professional development, flexible work options, competitive pay and benefits, as well as our commitment to belonging, our 2025 employee retention rate was 88%.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916940"/>
                <wp:effectExtent l="0" t="0" r="0" b="0"/>
                <wp:wrapNone/>
                <wp:docPr id="24" name="Frame9"/>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66700" cy="257175"/>
                                                </a:xfrm>
                                                <a:prstGeom prst="rect">
                                                  <a:avLst/>
                                                </a:prstGeom>
                                              </pic:spPr>
                                            </pic:pic>
                                          </a:graphicData>
                                        </a:graphic>
                                      </wp:inline>
                                    </w:drawing>
                                  </w:r>
                                  <w:bookmarkStart w:id="15" w:name="i-9"/>
                                  <w:bookmarkEnd w:id="1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66700" cy="257175"/>
                                          </a:xfrm>
                                          <a:prstGeom prst="rect">
                                            <a:avLst/>
                                          </a:prstGeom>
                                        </pic:spPr>
                                      </pic:pic>
                                    </a:graphicData>
                                  </a:graphic>
                                </wp:inline>
                              </w:drawing>
                            </w:r>
                            <w:bookmarkStart w:id="16" w:name="i-9"/>
                            <w:bookmarkEnd w:id="1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Total Rewards, Governance &amp; Oversight and Well-Being</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Well-Being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SPS, we believe that a sense of well-being is the result of our employees feeling balanced, resilient and energized resulting in high performance and critical talent retention. We understand that work is only one part of life, so we offer benefit plans, programs and culture that supports and enables the full spectrum of employees’ career, financial, mental, physical and social needs of our global workforce.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committed to equitable pay practices, ensuring employees are compensated fairly regardless of gender, race, or ethnicity. To uphold this commitment, we regularly review pay data for fairness and equity.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Succession and Governance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Annually, our Chief Human Resources Officer works with our Board of Directors to review SPS’s critical leadership roles and maintain a robust plan for ready-now successors. Those plans are the culmination of a rigorous talent review process executed company-wide based on the SPS Leadership Model that lays out clear expectations of both performance and behaviors distinguishing our high potential leadership talent.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Social Responsibility and Sustainability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SPS Commerce, our commitment to positive change extends well beyond advancing commerce. A key pillar of our Environmental, Social, and Governance ("ESG") strategy is fostering a culture of giving, where employees are empowered to make meaning contributions to their communities. One of our core values, “Give Back,” reflects our belief that generosity and compassion can create lasting impact. This is demonstrated through the work of the SPS Foundation, our corporate donations and sponsorships, and the numerous volunteer initiatives we support, which plays a crucial role in shaping the future of our communities. Together, these efforts exemplify our dedication to making a difference in the communities where we live and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Available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provide free access to various reports that we file with or furnish to the SEC through our website at www.spscommerce.com,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www.sec.gov. Stockholders may also request copies of these documents by writing to us at the address above, with attention to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consolidated financial statements and related notes.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916940"/>
                <wp:effectExtent l="0" t="0" r="0" b="0"/>
                <wp:wrapNone/>
                <wp:docPr id="27" name="Frame10"/>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66700" cy="257175"/>
                                                </a:xfrm>
                                                <a:prstGeom prst="rect">
                                                  <a:avLst/>
                                                </a:prstGeom>
                                              </pic:spPr>
                                            </pic:pic>
                                          </a:graphicData>
                                        </a:graphic>
                                      </wp:inline>
                                    </w:drawing>
                                  </w:r>
                                  <w:bookmarkStart w:id="17" w:name="i-10"/>
                                  <w:bookmarkEnd w:id="1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66700" cy="257175"/>
                                          </a:xfrm>
                                          <a:prstGeom prst="rect">
                                            <a:avLst/>
                                          </a:prstGeom>
                                        </pic:spPr>
                                      </pic:pic>
                                    </a:graphicData>
                                  </a:graphic>
                                </wp:inline>
                              </w:drawing>
                            </w:r>
                            <w:bookmarkStart w:id="18" w:name="i-10"/>
                            <w:bookmarkEnd w:id="1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AAE5"/>
          <w:sz w:val="20"/>
        </w:rPr>
      </w:pPr>
      <w:r>
        <w:rPr>
          <w:rFonts w:ascii="Times New Roman;serif" w:hAnsi="Times New Roman;serif"/>
          <w:b/>
          <w:i/>
          <w:color w:val="00AAE5"/>
          <w:sz w:val="20"/>
        </w:rPr>
        <w:t>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If we are unable to attract new customers, or sell additional products to existing customers, or if our customers do not increase their use of our products, our revenue growth and profitability will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increase our revenue and achieve and maintain profitability, we believe that we must regularly add new customers, sell additional products to existing customers, and our customers must increase their use of the products for which they currently subscribe. We intend to grow our business by retaining and attracting talent, developing strategic relationships with channel partners,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products to be of sufficiently high value and quality, we might not be able to increase sales and our operating results will be adversely affected. If we fail to sell our products to existing or new customers, we will not generate anticipated revenues from these products, our operating results will suffer, and we will not be able to grow our revenues or maintain profitability as planned.</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do not have long-term contracts with most of our recurring revenue customers, and therefore a lack of success in maintaining or improving forecasted renewal rates will have adverse effects on revenue and financial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our recurring revenue customers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products.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Economic weakness and uncertainty could adversely affect our revenue, lengthen our sales cycles, and make it more difficult for us to forecast operating results accurately.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such as tariffs.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products and solutions. Our sales cycles may lengthen if purchasing decisions are delayed as a result of uncertain technology or development budgets or contract negotiations become more protracted or difficult as customers institute additional internal approvals for technology purchases. Delays or reductions in technology spending could have a material adverse effect on demand for our products, and consequently our results of operations and prospects.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Our continued growth could significantly strain our personnel resources and infrastructure, and if we are unable to implement appropriate controls and procedures to manage our growth, we may not be able to implement our business plan successfully.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16940"/>
                <wp:effectExtent l="0" t="0" r="0" b="0"/>
                <wp:wrapNone/>
                <wp:docPr id="30" name="Frame11"/>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66700" cy="257175"/>
                                                </a:xfrm>
                                                <a:prstGeom prst="rect">
                                                  <a:avLst/>
                                                </a:prstGeom>
                                              </pic:spPr>
                                            </pic:pic>
                                          </a:graphicData>
                                        </a:graphic>
                                      </wp:inline>
                                    </w:drawing>
                                  </w:r>
                                  <w:bookmarkStart w:id="19" w:name="i-11"/>
                                  <w:bookmarkEnd w:id="1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66700" cy="257175"/>
                                          </a:xfrm>
                                          <a:prstGeom prst="rect">
                                            <a:avLst/>
                                          </a:prstGeom>
                                        </pic:spPr>
                                      </pic:pic>
                                    </a:graphicData>
                                  </a:graphic>
                                </wp:inline>
                              </w:drawing>
                            </w:r>
                            <w:bookmarkStart w:id="20" w:name="i-11"/>
                            <w:bookmarkEnd w:id="2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If we fail to attract, retain, and train members of our senior management team and other key personnel, our business could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If the market for cloud-based supply chain management products declines or does not maintain its historical growth rates, our revenues may decline or fail to grow, and we may incur operating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and expect to continue to derive, substantially all of our revenues from providing cloud-based supply chain management products to retailers, grocers, distributors, suppliers, manufacturers, and logistics firms. The market for these products has historically experienced growth, but it is uncertain whether these products will continue or sustain growing levels of demand and market acceptance. Our success will depend on the willingness of retailers and their trading partners to accept our products as an alternative to traditional licensed hardware and software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Some retailers, grocers, distributors, suppliers, or logistics firms may be reluctant or unwilling to use our cloud-based products for a number of reasons, including their potential significant initial investment to replace existing investments in supply chain management hardware and licensed software and perceived loss of control over user data with a cloud-based product. Other factors that may limit market acceptance of our cloud-based supply chain management products include: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high levels of customer satisfaction;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continuity of service for all users of our cloud-based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price, performance, and availability of competing products, both new and existing;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address customers’ confidentiality and security concerns about information stored within our cloud-based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customers do not perceive the benefits of our cloud-based supply chain management products, or if customers are unwilling to accept our cloud-based products as an alternative to the on-premise software or other options approach, demand for our products may not continue to grow or may grow more slowly than we expect, either of which would adversely affect our revenues, growth prospects, and overall operating results.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The markets in which we participate are highly competitive, and our failure to compete successfully would make it difficult for us to add and retain customers and would reduce or impede the growth of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markets for supply chain management products are increasingly competitive and global. We expect competition to increase in the future both from existing competitors and new companies that may enter our markets. We face competition from:</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cloud-service providers that deliver business-to-business information systems using a multi-tenant approach;</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traditional on-premise software providers;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managed service providers that combine traditional on-premise software with professional technology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new technology offerings, acquisitions, partnerships, or other strategic relationships. Any such new offerings, consolidation, acquisition, alliance or cooperative relationship could lead to pricing pressure, loss of customers and loss of market share, and could result in one or more competitors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916940"/>
                <wp:effectExtent l="0" t="0" r="0" b="0"/>
                <wp:wrapNone/>
                <wp:docPr id="33" name="Frame12"/>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66700" cy="257175"/>
                                                </a:xfrm>
                                                <a:prstGeom prst="rect">
                                                  <a:avLst/>
                                                </a:prstGeom>
                                              </pic:spPr>
                                            </pic:pic>
                                          </a:graphicData>
                                        </a:graphic>
                                      </wp:inline>
                                    </w:drawing>
                                  </w:r>
                                  <w:bookmarkStart w:id="21" w:name="i-12"/>
                                  <w:bookmarkEnd w:id="2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66700" cy="257175"/>
                                          </a:xfrm>
                                          <a:prstGeom prst="rect">
                                            <a:avLst/>
                                          </a:prstGeom>
                                        </pic:spPr>
                                      </pic:pic>
                                    </a:graphicData>
                                  </a:graphic>
                                </wp:inline>
                              </w:drawing>
                            </w:r>
                            <w:bookmarkStart w:id="22" w:name="i-12"/>
                            <w:bookmarkEnd w:id="2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remain competitive, we will need to invest continuously in software development, marketing, customer service and support, product delivery and other cloud-based network infrastructure. However, we cannot assure you that new or established competitors will not offer products that are superior to ours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Adopting and utilizing AI and Machine Learning ("ML")-enabled products or services has become increasingly important within our competitive landscape. Such adoption and utilization may expose us to social, ethical, operational and regulatory risks that could result in reputational harm, liability and adverse financial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incorporate AI/ML technologies into our internal operations and into our products and services, and may further expand such use over time. As a result, we face a range of risks associated with the development, deployment, integration, and use of AI/ML technologies. If we fail to develop, deploy, or integrate AI/ML technologies in a timely, effective, and cost-efficient manner, we may fall behind competitors, resulting in the loss of competitive efficiencies, reduced innovation, diminished market share, slower growth trajectories, or missed opportunities within an increasingly AI/ML-driven global landscape. At the same time, the adoption and use of AI/ML technologies may expose us to social and ethical risks, operational challenges, increased costs, or outcomes that are inaccurate, unreliable, or otherwise not aligned with customer expectations, which could result in reputational harm, liability, or technology that is not cost-effective. Further, the regulatory environment regarding AI/ML is evolving and may result in increased liability related to our use of AI/ML technologies and the use or misuse of AI/ML-enabled products and services by our customers or other third parties, including potential liability regarding intellectual property or privacy laws, increase compliance costs and result in inconsistencies in evolving legal frameworks across jurisdictions.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we strive to exceed our customer expectations by adopting and delivering AI/ML-enabled products and services, ineffective or inadequate deployment or governance may result in incidents that impair the acceptance of the AI/ML-enabled products and services, result in our products and services not working as intended or producing unexpected outcomes or cause brand or reputational harm.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AI/ML-enabled products and services, as well as third-party AI/ML technologies, models, or tools that we integrate, rely upon, or make available to customers, may not perform as intended or may interact unpredictably with other AI/ML systems. AI-enabled products and services are known to experience issues such as hallucinations, data leakage, and harmful prompt injections. We may not be able to anticipate, prevent, or promptly remediate all such issues, including where they arise from customer-provided inputs or third-party AI/ML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innovation and development efforts may be unsuccessful in identifying or resolving issues before they arise, subjecting us to additional compliance requirements, regulatory action, competitive harm or legal liability. We may also face risks arising from the use or misuse of our AI/ML-enabled products and services by customers or other third parties in ways that are inconsistent with applicable laws, contractual restrictions, or our acceptable use policies, which could expose us to reputational harm, regulatory scrutiny, or liability, even where such conduct is outside of our direct control. Furthermore, the use of AI/ML-enabled products and services in business operations carries inherent risks to data privacy and security, such as unintended or inadvertent transmission of proprietary or sensitive information.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may not be able to successfully integrate or otherwise operate newly acquired companies or businesses, which could adversely affect our financial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Acquisitions involve numerous risks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incurring significantly higher than anticipated capital expenditures and operating expenses;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failing to assimilate the operations, customers, and personnel of the acquired company or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disrupting our ongoing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dissipating or distracting our management resources;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dilution to existing stockholders from the issuance of equity securities;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liabilities or other problems associated with the acquired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becoming subject to adverse tax consequences, substantial depreciation, or deferred compensation charges;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compliance with laws and regulations and exposure to other contingent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916940"/>
                <wp:effectExtent l="0" t="0" r="0" b="0"/>
                <wp:wrapNone/>
                <wp:docPr id="36" name="Frame13"/>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66700" cy="257175"/>
                                                </a:xfrm>
                                                <a:prstGeom prst="rect">
                                                  <a:avLst/>
                                                </a:prstGeom>
                                              </pic:spPr>
                                            </pic:pic>
                                          </a:graphicData>
                                        </a:graphic>
                                      </wp:inline>
                                    </w:drawing>
                                  </w:r>
                                  <w:bookmarkStart w:id="23" w:name="i-13"/>
                                  <w:bookmarkEnd w:id="2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66700" cy="257175"/>
                                          </a:xfrm>
                                          <a:prstGeom prst="rect">
                                            <a:avLst/>
                                          </a:prstGeom>
                                        </pic:spPr>
                                      </pic:pic>
                                    </a:graphicData>
                                  </a:graphic>
                                </wp:inline>
                              </w:drawing>
                            </w:r>
                            <w:bookmarkStart w:id="24" w:name="i-13"/>
                            <w:bookmarkEnd w:id="2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retaining key management of the acquired company;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failing to maintain uniform standards, controls, and policies;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impairing relationships with employees and customers as a result of changes in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Fully integrating an acquired company or business into our operations may take a significant amount of time and resources.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or the coverage we secure under representation and warranty insurance.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We also may not be able to achieve anticipated synergies or financial results post acquisition, which could negatively impact our operations and financial results. Acquisitions could include significant goodwill and intangible assets, which may result in future impairment charges that would reduce our stated earnings.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Because our long-term success depends, in part, on our ability to expand the sales of our products to customers located outside of the United States and expand operations to support such expansion, our business will be increasingly susceptible to risks associated with international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misjudging the markets and competitive landscape of foreign jurisdictions;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longer accounts receivable payment cycles and difficulties in collecting accounts receivable;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difficulties in managing and staffing international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differing technology standards;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potentially adverse tax consequences, including the complexities of foreign value added tax systems and restrictions on the repatriation of earnings;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localization of our products, including translation into foreign languages and associated expenses;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burdens of complying with a wide variety of foreign laws and regulations, and changes to such laws and regulations, including laws and regulations related to employment, privacy and tax;</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unexpected changes in effective tax rates due to international tax liabilities subject to allocation of expenses in differing jurisdictions;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political, social, and economic instability abroad, terrorist attacks and security concerns in general;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greater potential for corruption and bribery;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reduced or varied protection for intellectual property rights in some countries.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occurrence of any one of these risks could adversely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operate in parts of the world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916940"/>
                <wp:effectExtent l="0" t="0" r="0" b="0"/>
                <wp:wrapNone/>
                <wp:docPr id="39" name="Frame14"/>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66700" cy="257175"/>
                                                </a:xfrm>
                                                <a:prstGeom prst="rect">
                                                  <a:avLst/>
                                                </a:prstGeom>
                                              </pic:spPr>
                                            </pic:pic>
                                          </a:graphicData>
                                        </a:graphic>
                                      </wp:inline>
                                    </w:drawing>
                                  </w:r>
                                  <w:bookmarkStart w:id="25" w:name="i-14"/>
                                  <w:bookmarkEnd w:id="2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66700" cy="257175"/>
                                          </a:xfrm>
                                          <a:prstGeom prst="rect">
                                            <a:avLst/>
                                          </a:prstGeom>
                                        </pic:spPr>
                                      </pic:pic>
                                    </a:graphicData>
                                  </a:graphic>
                                </wp:inline>
                              </w:drawing>
                            </w:r>
                            <w:bookmarkStart w:id="26" w:name="i-14"/>
                            <w:bookmarkEnd w:id="2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 Given our significant international workforce in Ukraine and the Philippines and the potentially volatile political and civil unrest situations in both areas, including but not limited to Russian interference and civil unrest with multiple groups, respectively, we are more susceptible to disruptions there. Those potentially disruptive environments are out of our control and we cannot predict the outcome of future developments or reactions to such developments by the U.S., European, Asian, Oceanic, United Nations or other international authorities and organizations.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may face exposure to fluctuations in foreign currency exchange rates, which could affect our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transact in U.S. dollars with the majority of our customers, vendors, and employees, and expect to continue in the future, we also transact in currencies other than the U.S. dollar due to our international operations. As a result, our consolidated U.S. dollar financial statements are subject to fluctuations due to changes in exchange rates. Accordingly, declines in the value of foreign currencies relative to the U.S. dollar adversely affect our financial condition and results of operations.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Our failure to raise additional capital or generate cash flows necessary to expand our operations and invest in new technologies could reduce our ability to compete successfully and adversely affect our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develop and enhance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continue to expand our technology development, sales, and marketing organizations;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acquire new or complementary technologies, products, or businesses;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hire, train and retain employees; or</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respond to competitive pressures or unanticipated working capital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do any of the foregoing could reduce our ability to compete successfully and adversely affect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AAE5"/>
          <w:sz w:val="20"/>
        </w:rPr>
      </w:pPr>
      <w:r>
        <w:rPr>
          <w:rFonts w:ascii="Times New Roman;serif" w:hAnsi="Times New Roman;serif"/>
          <w:b/>
          <w:i/>
          <w:color w:val="00AAE5"/>
          <w:sz w:val="20"/>
        </w:rPr>
        <w:t>Products and Service Offerings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Any new products and changes to existing products we pursue could fail to attract or retain customers or generate expected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retain, increase, and engage our customers and to increase our revenues depends heavily on our ability to identify, develop, and launch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garner expected customer demand in a timely manner or at all, we may fail to generate sufficient revenues, operating margin, or other value to justify our investments and our business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916940"/>
                <wp:effectExtent l="0" t="0" r="0" b="0"/>
                <wp:wrapNone/>
                <wp:docPr id="42" name="Frame15"/>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66700" cy="257175"/>
                                                </a:xfrm>
                                                <a:prstGeom prst="rect">
                                                  <a:avLst/>
                                                </a:prstGeom>
                                              </pic:spPr>
                                            </pic:pic>
                                          </a:graphicData>
                                        </a:graphic>
                                      </wp:inline>
                                    </w:drawing>
                                  </w:r>
                                  <w:bookmarkStart w:id="27" w:name="i-15"/>
                                  <w:bookmarkEnd w:id="2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66700" cy="257175"/>
                                          </a:xfrm>
                                          <a:prstGeom prst="rect">
                                            <a:avLst/>
                                          </a:prstGeom>
                                        </pic:spPr>
                                      </pic:pic>
                                    </a:graphicData>
                                  </a:graphic>
                                </wp:inline>
                              </w:drawing>
                            </w:r>
                            <w:bookmarkStart w:id="28" w:name="i-15"/>
                            <w:bookmarkEnd w:id="2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Our business is dependent on our ability to maintain and scale our technical infrastructure, and any failure to effectively maintain or scale such infrastructure could damage our reputation, result in a potential loss of revenue, and adversely affect our financial results.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reputation and ability to attract, retain and serve our customers is dependent upon the reliable performance of our cloud-based products and our underlying technical infrastructure and cloud providers. As our user base and the amount and types of information shared on our cloud-based network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Our inability to adapt to rapid technological change could impair our ability to remain competitive.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industry in which we compete is characterized by rapid technological change, frequent introductions of new products, evolving industry standards, and advancements in AI-existing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products or introduce or acquire new products to keep pace with such technological developments. The success of our enhanced or new products depend on several factors, including the timely completion, introduction and market acceptance of the enhancement or product. Any new product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products than ours at lower prices. Any delay or failure in the introduction of new or enhanced products could adversely affect our business, results of operations and financial condition.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rely on third-party infrastructure, software and services that could take significant time, and involve a complex transition, to replace or upgrade.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infrastructure, software and services licensed from third parties to offer our cloud-based supply chain management products.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products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products could require significant work and resources and delays. Any delays or failures associated with our cloud-based products could damage our reputation with current and potential customers and have an adverse effect on our business.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Interruptions or delays from third-party data centers or to the telecommunications infrastructure we use or rely on could impair the delivery of our products and our business could suffer.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third-party malfeasance, such as intentional misconduct by computer hackers, unauthorized intrusions, computer viruses, ransomware, or denial of service attacks, may also cause substantial service disruptions. A prolonged service disruption affecting our products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916940"/>
                <wp:effectExtent l="0" t="0" r="0" b="0"/>
                <wp:wrapNone/>
                <wp:docPr id="45" name="Frame16"/>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66700" cy="257175"/>
                                                </a:xfrm>
                                                <a:prstGeom prst="rect">
                                                  <a:avLst/>
                                                </a:prstGeom>
                                              </pic:spPr>
                                            </pic:pic>
                                          </a:graphicData>
                                        </a:graphic>
                                      </wp:inline>
                                    </w:drawing>
                                  </w:r>
                                  <w:bookmarkStart w:id="29" w:name="i-16"/>
                                  <w:bookmarkEnd w:id="2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66700" cy="257175"/>
                                          </a:xfrm>
                                          <a:prstGeom prst="rect">
                                            <a:avLst/>
                                          </a:prstGeom>
                                        </pic:spPr>
                                      </pic:pic>
                                    </a:graphicData>
                                  </a:graphic>
                                </wp:inline>
                              </w:drawing>
                            </w:r>
                            <w:bookmarkStart w:id="30" w:name="i-16"/>
                            <w:bookmarkEnd w:id="3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A failure to protect the confidentiality and integrity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demonstrated by the frequency and sophistication of material and high-profile data security breaches across industries, computer malware, viruses, phishing, spam, ransomware, and other cyber threats continue to pose a pervasive issue for business. Given the interconnected and technology-dependent nature of the retail supply chain, our significant presence and impact in the retail industry, and past cyber events affecting our systems, it is reasonable to believe that we are a target for such attacks.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and customers,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failure to maintain performance, reliability, security and availability of our cloud-based products to the satisfaction of our customers, or any unauthorized access to our customers’ information or systems may cause service disruptions, harm our reputation, impair our ability to retain existing customers and attract new customers and expose us to legal claims or government action, each of which could have a material adverse impact on our financial condition, results of operations and growth prospects. Although we are allocating more resources to address cyber threats and safeguard our products and services, including cyber insurance, we cannot assure you that these efforts to protect this confidential information and prevent unauthorized access to such information systems will be successful, and the growing costs related to these efforts could adversely affect our results of operations. In addition, because of the critical nature of information security and system access, any actual or perceived failure of our security measures could cause existing or potential customers not to use our products and harm our reputation.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and to increase transparency related to cybersecurity risk management and incident disclosure, all of which may further increase our costs of compliance. These mandatory disclosures regarding a data security breach or other cyber incident often lead to widespread negative publicity, which may cause our customers to lose confidence in our products and the effectiveness of our cybersecurity measures. If we fail to comply with these laws and regulations, we could be subject to enforcement action or litigation, which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incorporation of AI/ML into our products and services, as well as the use of third-party service providers, and other AI/ML -enabled technologies within our business may create additional cybersecurity risks or increase cybersecurity risks, including risks of security breaches and incidents. Further, AI/ML technologies may be used for certain cybersecurity attacks, and may increase their frequency and intensity, resulting in heightened risks of security breaches and incidents. Security incidents affecting ours or our third-party service provider’s information technology systems that compromise the confidentiality, integrity, and availability of our data could result from AI related sensitive data exposure such as insufficient data anonymization during the training process, data poisoning, system misconfiguration, or from cyber-attacks, including, but not limited to, denial-of-service attacks, model or algorithm exploitation or reverse engineering of AI algorithms, web scraping, ransomware attacks, business email compromises, computer malware, viruses, and social engineering (including phishing), which are prevalent in our industry and our customers’ industries.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may experience service failures or interruptions due to defects in the hardware, software, infrastructure, third-party components or processes that comprise our existing or new products, any of which could adversely affect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products like ours may contain undetected defects in the hardware, software, infrastructure, third-party components or processes that are part of the products we provide. If these defects lead to service failures, we could experience delays or lost revenues, diversion of technology resources, negative media attention or increased service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916940"/>
                <wp:effectExtent l="0" t="0" r="0" b="0"/>
                <wp:wrapNone/>
                <wp:docPr id="48" name="Frame17"/>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66700" cy="257175"/>
                                                </a:xfrm>
                                                <a:prstGeom prst="rect">
                                                  <a:avLst/>
                                                </a:prstGeom>
                                              </pic:spPr>
                                            </pic:pic>
                                          </a:graphicData>
                                        </a:graphic>
                                      </wp:inline>
                                    </w:drawing>
                                  </w:r>
                                  <w:bookmarkStart w:id="31" w:name="i-17"/>
                                  <w:bookmarkEnd w:id="3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66700" cy="257175"/>
                                          </a:xfrm>
                                          <a:prstGeom prst="rect">
                                            <a:avLst/>
                                          </a:prstGeom>
                                        </pic:spPr>
                                      </pic:pic>
                                    </a:graphicData>
                                  </a:graphic>
                                </wp:inline>
                              </w:drawing>
                            </w:r>
                            <w:bookmarkStart w:id="32" w:name="i-17"/>
                            <w:bookmarkEnd w:id="3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performance-based claims during the period required to correct the cause of the defects. We cannot be certain that defects will be avoided in our upgraded or new products, resulting in loss of, or delay in, market acceptance, which could have an adverse effect on our business, results of operations and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customers use our cloud-based supply chain management products for critical business processes, any defect in our products, any disruption to our products or any error in execution could cause recurring revenue customers to cancel their contracts with us, cause potential customers to not join our network and harm our reputation. We could also be subject to litigation for actual or alleged losses to our customers,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insurers under our existing liability insurance policy could deny coverage of a future claim that results from an error or defect in our technology or a resulting disruption in our products,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If open source, or other no-cost products and services, expand into enterprise application and supply chain software or products, our prices, revenues, and operating results may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open source community comprises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The use of open source software in our products may expose us to additional risks and harm our 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products that incorporate the open source software for no cost or making the source code we create based upon, incorporating, or using the open source software available for modifications or derivative works. If an author or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established standards for the use of open source software in our products, processes and technology designed to ensure that open source software is not used in such a way as to require us to disclose the source code to the related product or products, such use could inadvertently occur. Additionally, if a third-party software provider has incorporated certain types of open source software into software we license from such third-party for our products, we could, under certain circumstances, be required to disclose the source code to our products. This could harm our intellectual property position and have a material adverse effect on our business, results of operations and financial condition.</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If we fail to protect our intellectual property and proprietary rights adequately, our business could suffer material adverse effects.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proprietary technology is essential to establishing and maintaining our leadership position. We seek to protect our intellectual property through trade secrets, copyrights, confidentiality, non-compete and nondisclosure agreements, license agreements, trademarks, patents, domain names and other measures, some of which afford only limited protection. We do not have any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916940"/>
                <wp:effectExtent l="0" t="0" r="0" b="0"/>
                <wp:wrapNone/>
                <wp:docPr id="51" name="Frame18"/>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66700" cy="257175"/>
                                                </a:xfrm>
                                                <a:prstGeom prst="rect">
                                                  <a:avLst/>
                                                </a:prstGeom>
                                              </pic:spPr>
                                            </pic:pic>
                                          </a:graphicData>
                                        </a:graphic>
                                      </wp:inline>
                                    </w:drawing>
                                  </w:r>
                                  <w:bookmarkStart w:id="33" w:name="i-18"/>
                                  <w:bookmarkEnd w:id="3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66700" cy="257175"/>
                                          </a:xfrm>
                                          <a:prstGeom prst="rect">
                                            <a:avLst/>
                                          </a:prstGeom>
                                        </pic:spPr>
                                      </pic:pic>
                                    </a:graphicData>
                                  </a:graphic>
                                </wp:inline>
                              </w:drawing>
                            </w:r>
                            <w:bookmarkStart w:id="34" w:name="i-18"/>
                            <w:bookmarkEnd w:id="3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 the laws of some foreign countries do not protect our proprietary rights to the same extent as the laws of the U.S. and intellectual property protections may also be unavailable, limited or difficult to enforce in some countries, which could make it easier for competitors to capture market share. Our failure to adequately protect our intellectual property and proprietary rights could adversely affect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An assertion by a third-party that we are infringing its intellectual property, whether or not correct, could subject us to costly and time-consuming litigation or expensive licenses and our business might be materially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products, we could be constrained by the intellectual property rights of others.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might not prevail in any intellectual property infringement litigation against us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products violate any third-party proprietary rights, we could be required to withdraw those products from the market, re-develop those products or seek to obtain licenses from third parties, which might not be available on reasonable terms or at all. Any efforts to re-develop our products,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third-party proprietary information and who decides to use such information in connection with our products, services, or business processes without such third-party’s authorization. Regardless of the source of such misuse of third-party intellectual property, any resulting withdrawal of our products from the market might materially harm our business, financial condition, and operating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incorporate open source software into our cloud-based products.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products. In that event, we could be required to seek licenses from third parties in order to continue offering our products, to re-develop our products or to discontinue sales of our products, or to release our proprietary software code under the terms of an open source license, any of which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AAE5"/>
          <w:sz w:val="20"/>
        </w:rPr>
      </w:pPr>
      <w:r>
        <w:rPr>
          <w:rFonts w:ascii="Times New Roman;serif" w:hAnsi="Times New Roman;serif"/>
          <w:b/>
          <w:i/>
          <w:color w:val="00AAE5"/>
          <w:sz w:val="20"/>
        </w:rPr>
        <w:t>Regulation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Privacy concerns and laws, evolving regulation of the internet and cloud computing, cross-border data transfer restrictions and other domestic or foreign regulations may limit the use and adoption of our products and adversely affect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Regulation related to the provision of services on the internet is increasing, as federal, state, and foreign governments continue to adopt new laws and regulations addressing eCommerce generally, data privacy and the collection, processing, storage and use of personal information, including but not limited to the European Union's General Data Protection Regulation ("GDPR"). We are particularly sensitive to these risks because the internet and the collection, processing, storage, and use of personal information are critical components of our cloud-based business model.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products or restrict our ability to store and process data or, in some cases, impact our ability to offer, or develop new, services and products in certain locations.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activity, privacy advocacy and other industry groups have established or may establish new self-regulatory standards that may place additional burdens on us. Our customers may expect us to meet voluntary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916940"/>
                <wp:effectExtent l="0" t="0" r="0" b="0"/>
                <wp:wrapNone/>
                <wp:docPr id="54" name="Frame19"/>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66700" cy="257175"/>
                                                </a:xfrm>
                                                <a:prstGeom prst="rect">
                                                  <a:avLst/>
                                                </a:prstGeom>
                                              </pic:spPr>
                                            </pic:pic>
                                          </a:graphicData>
                                        </a:graphic>
                                      </wp:inline>
                                    </w:drawing>
                                  </w:r>
                                  <w:bookmarkStart w:id="35" w:name="i-19"/>
                                  <w:bookmarkEnd w:id="3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66700" cy="257175"/>
                                          </a:xfrm>
                                          <a:prstGeom prst="rect">
                                            <a:avLst/>
                                          </a:prstGeom>
                                        </pic:spPr>
                                      </pic:pic>
                                    </a:graphicData>
                                  </a:graphic>
                                </wp:inline>
                              </w:drawing>
                            </w:r>
                            <w:bookmarkStart w:id="36" w:name="i-19"/>
                            <w:bookmarkEnd w:id="3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certification or other standards established by third parties. If we are unable to maintain these certifications or meet these standards, it could adversely affect our ability to provide our products to certain customers and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products.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Industry-specific regulation is evolving, and unfavorable or burdensome industry-specific laws, regulations or interpretive positions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industry-specific laws, regulations, or interpretive positions may also apply directly to us as a service provider. Any failure or perceived failure by us to comply with such requirements could have an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AAE5"/>
          <w:sz w:val="20"/>
        </w:rPr>
      </w:pPr>
      <w:r>
        <w:rPr>
          <w:rFonts w:ascii="Times New Roman;serif" w:hAnsi="Times New Roman;serif"/>
          <w:b/>
          <w:i/>
          <w:color w:val="00AAE5"/>
          <w:sz w:val="20"/>
        </w:rPr>
        <w:t>Ownership of Our Common Stock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results of operations may fluctuate in the future, which could result in volatility in our stock price.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retain and increase sales to customers and attract new customers, including our ability to maintain and increase our number of recurring revenue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timing and success of introductions of new products or upgrades by us or our competitors;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strength of the U.S. and global economy, in particular, as it affects the U.S. retail sector;</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financial condition of our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competition, including entry into the industry by new competitors;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and timing of our expenses, including stock-based compensation and expenditures related to expanding our operations, attracting and retaining talent, supporting new customers, performing research and development, or introducing new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laws and regulations impacting our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regulatory compliance costs and unforeseen legal expenses, including litigation and settlement costs;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timing, size, integration and operational success of potential future acquisitions;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the payment terms for our products;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system or service failures, security breaches or network downtime.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916940"/>
                <wp:effectExtent l="0" t="0" r="0" b="0"/>
                <wp:wrapNone/>
                <wp:docPr id="57" name="Frame20"/>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66700" cy="257175"/>
                                                </a:xfrm>
                                                <a:prstGeom prst="rect">
                                                  <a:avLst/>
                                                </a:prstGeom>
                                              </pic:spPr>
                                            </pic:pic>
                                          </a:graphicData>
                                        </a:graphic>
                                      </wp:inline>
                                    </w:drawing>
                                  </w:r>
                                  <w:bookmarkStart w:id="37" w:name="i-20"/>
                                  <w:bookmarkEnd w:id="3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66700" cy="257175"/>
                                          </a:xfrm>
                                          <a:prstGeom prst="rect">
                                            <a:avLst/>
                                          </a:prstGeom>
                                        </pic:spPr>
                                      </pic:pic>
                                    </a:graphicData>
                                  </a:graphic>
                                </wp:inline>
                              </w:drawing>
                            </w:r>
                            <w:bookmarkStart w:id="38" w:name="i-20"/>
                            <w:bookmarkEnd w:id="3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Our charter documents and Delaware law may delay, discourage, or inhibit a takeover that stockholders consider favorable.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permit our Board of Directors to issue up to 5,000,000 shares of preferred stock, with any rights, preferences and privileges as our board may designate, including the right to approve an acquisition or other change in our control;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that the authorized number of directors may be changed by resolution of the Board of Directors;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do not provide for cumulative voting rights.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We do not intend to declare dividends on our stock in the foreseeable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16940"/>
                <wp:effectExtent l="0" t="0" r="0" b="0"/>
                <wp:wrapNone/>
                <wp:docPr id="60" name="Frame21"/>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66700" cy="257175"/>
                                                </a:xfrm>
                                                <a:prstGeom prst="rect">
                                                  <a:avLst/>
                                                </a:prstGeom>
                                              </pic:spPr>
                                            </pic:pic>
                                          </a:graphicData>
                                        </a:graphic>
                                      </wp:inline>
                                    </w:drawing>
                                  </w:r>
                                  <w:bookmarkStart w:id="39" w:name="i-21"/>
                                  <w:bookmarkEnd w:id="3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66700" cy="257175"/>
                                          </a:xfrm>
                                          <a:prstGeom prst="rect">
                                            <a:avLst/>
                                          </a:prstGeom>
                                        </pic:spPr>
                                      </pic:pic>
                                    </a:graphicData>
                                  </a:graphic>
                                </wp:inline>
                              </w:drawing>
                            </w:r>
                            <w:bookmarkStart w:id="40" w:name="i-21"/>
                            <w:bookmarkEnd w:id="4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AAE5"/>
          <w:sz w:val="20"/>
        </w:rPr>
      </w:pPr>
      <w:r>
        <w:rPr>
          <w:rFonts w:ascii="Times New Roman;serif" w:hAnsi="Times New Roman;serif"/>
          <w:b/>
          <w:i/>
          <w:color w:val="00AAE5"/>
          <w:sz w:val="20"/>
        </w:rPr>
        <w:t>General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We implemented new enterprise resource planning (“ERP”) systems to replace legacy systems that were used for certain transaction processing and financial reporting activities. The transition required significant changes to our internal controls, and challenges during implementation could have adversely affected those controls and heightened the risk of material misstatement. Furthermore, implementing any appropriate future changes to our internal control over financial reporting, including internal controls related to acquisitions and organic business growth,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1B.    Unresolved Staff Comments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1C.    Cybersecurity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established security program and framework based on ISO/IEC 27001 (“Security Program”) and maintain ISO/IEC 27001:2022, SOC 1 Type 2, and multiple SOC 2 Type 2 certifications. The Security Program has been established to allow management oversight of cybersecurity risks, institute directives and principles for information security, ensure alignment to regulatory and contractual cybersecurity obligations, and enable timely incident response and remediation.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team has implemented and continues to maintain various technical, physical, and administrative controls as the foundation of our Security Program, which are designed to help us identify, manage, prevent, and mitigate risks from cybersecurity threats, including, but not limited to, incident detection systems and response plans, vulnerability management tools and processes, risk assessments, disaster recovery and business continuity plans, access controls, asset management, logging and monitoring, security awareness training, and third-party risk management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information security team actively monitor and evaluate our networks, systems, data, and security risk profile to identify and assess cybersecurity risks. We use a variety of methods to identify and evaluate these risks using manual and automated tools and processes, including, network scans, vulnerability and maturity assessments, and subscribing to services and reports providing threat intelligence. In doing so, risks are assessed for criticality, prioritized in context of our business, and communicated to stakeholders for engagement as needed.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third-party service providers to support and execute on our Security Program. These third parties provide cybersecurity consulting services, cybersecurity software, penetration testing, audits, and other professional services to aid us in identifying, assessing, and managing risks from cybersecurity threats.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Security Program is led by our Chief Information Security Officer ("CISO"), who has served in the role since 2023, has over 10 years of experience leading cybersecurity programs in a large, publicly traded, international enterprise, and is a Certified Information Systems Security Professional ("CISSP"). Our Executive Security Steering Committee ("ESSC"), comprised of selected members of leadership, assesses and manages any material risks from cybersecurity threats and manages our Security Program. The CISO and information security team provide regular updates to the ESSC on our Security Program and, in accordance with our security incident response plan, escalate applicable cybersecurity threats or incidents to the ESSC for review and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916940"/>
                <wp:effectExtent l="0" t="0" r="0" b="0"/>
                <wp:wrapNone/>
                <wp:docPr id="63" name="Frame22"/>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66700" cy="257175"/>
                                                </a:xfrm>
                                                <a:prstGeom prst="rect">
                                                  <a:avLst/>
                                                </a:prstGeom>
                                              </pic:spPr>
                                            </pic:pic>
                                          </a:graphicData>
                                        </a:graphic>
                                      </wp:inline>
                                    </w:drawing>
                                  </w:r>
                                  <w:bookmarkStart w:id="41" w:name="i-22"/>
                                  <w:bookmarkEnd w:id="4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66700" cy="257175"/>
                                          </a:xfrm>
                                          <a:prstGeom prst="rect">
                                            <a:avLst/>
                                          </a:prstGeom>
                                        </pic:spPr>
                                      </pic:pic>
                                    </a:graphicData>
                                  </a:graphic>
                                </wp:inline>
                              </w:drawing>
                            </w:r>
                            <w:bookmarkStart w:id="42" w:name="i-22"/>
                            <w:bookmarkEnd w:id="4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experienced cybersecurity incidents and expect to continue to be subject to such incidents, to date, we have not experienced any cybersecurity incidents that have materially affected our business, financial condition, or operations. However, we are subject to ongoing risks from cybersecurity threats that could materially affect us, including our business, financial condition, or results of operations, as further described in Part I, Item 1A, “Risk Factors” of this Annual Report on Form 10-K.</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Audit Committee of our Board of Directors oversees our risk management processes related to cybersecurity risks and is regularly informed of such risks through presentations or reports from our CISO. Through committee reports, the Audit Committee apprises the full Board of Directors of any significant cybersecurity updates. In addition, our security incident response plan includes reporting certain cybersecurity incidents to our Audit Committee. Finally, our Board of Directors reviews cybersecurity risks on an annual basis, including discussing with management, our CISO, and members of the ESSC our strategy surrounding prevention, detection, mitigation, and remediation of potential security threats.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2.    Properties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including our principal administrative, marketing, sales, technical support, and research and development facilities, are located in Minneapolis, Minnesota. This location includes approximately 198,000 square feet of space and is under lease through 2043. We lease other smaller facilities across the U.S. and international locations. We believe that our current facilities are suitable and adequate to meet our current needs and that suitable additional or substitute space will be available as needed to accommodate expansion of our operations. For additional information regarding obligations under operating leases, see Note I of our consolidated financial statements,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3.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4.    Mine Safety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916940"/>
                <wp:effectExtent l="0" t="0" r="0" b="0"/>
                <wp:wrapNone/>
                <wp:docPr id="66" name="Frame23"/>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66700" cy="257175"/>
                                                </a:xfrm>
                                                <a:prstGeom prst="rect">
                                                  <a:avLst/>
                                                </a:prstGeom>
                                              </pic:spPr>
                                            </pic:pic>
                                          </a:graphicData>
                                        </a:graphic>
                                      </wp:inline>
                                    </w:drawing>
                                  </w:r>
                                  <w:bookmarkStart w:id="43" w:name="i-23"/>
                                  <w:bookmarkEnd w:id="4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66700" cy="257175"/>
                                          </a:xfrm>
                                          <a:prstGeom prst="rect">
                                            <a:avLst/>
                                          </a:prstGeom>
                                        </pic:spPr>
                                      </pic:pic>
                                    </a:graphicData>
                                  </a:graphic>
                                </wp:inline>
                              </w:drawing>
                            </w:r>
                            <w:bookmarkStart w:id="44" w:name="i-23"/>
                            <w:bookmarkEnd w:id="4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5.    Market for Registrant’s Common Equity, Related Stockholder Matters and Issuer Purchases of Equity Securities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Market Information - </w:t>
      </w:r>
      <w:r>
        <w:rPr>
          <w:rFonts w:ascii="Times New Roman;serif" w:hAnsi="Times New Roman;serif"/>
          <w:b w:val="false"/>
          <w:color w:val="000000"/>
          <w:sz w:val="20"/>
        </w:rPr>
        <w:t>Our common stock is and has been traded on the Nasdaq Global Market under the symbol “SPSC” since April 22, 2010, the date of our initial public offering.</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Stockholders of Record - </w:t>
      </w:r>
      <w:r>
        <w:rPr>
          <w:rFonts w:ascii="Times New Roman;serif" w:hAnsi="Times New Roman;serif"/>
          <w:b w:val="false"/>
          <w:color w:val="000000"/>
          <w:sz w:val="20"/>
        </w:rPr>
        <w:t xml:space="preserve">As </w:t>
      </w:r>
      <w:r>
        <w:rPr>
          <w:rFonts w:ascii="Times New Roman;serif" w:hAnsi="Times New Roman;serif"/>
          <w:b w:val="false"/>
          <w:color w:val="000000"/>
          <w:sz w:val="20"/>
          <w:shd w:fill="FFFFFF" w:val="clear"/>
        </w:rPr>
        <w:t>o</w:t>
      </w:r>
      <w:r>
        <w:rPr>
          <w:rFonts w:ascii="Times New Roman;serif" w:hAnsi="Times New Roman;serif"/>
          <w:b w:val="false"/>
          <w:color w:val="000000"/>
          <w:sz w:val="20"/>
        </w:rPr>
        <w:t>f February 12, 2026, we had 106 stockholders of record of our common stock, excluding holders whose stock is held either in nominee name and/or street name brokerage accounts.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Dividends - </w:t>
      </w:r>
      <w:r>
        <w:rPr>
          <w:rFonts w:ascii="Times New Roman;serif" w:hAnsi="Times New Roman;serif"/>
          <w:b w:val="false"/>
          <w:color w:val="000000"/>
          <w:sz w:val="20"/>
        </w:rPr>
        <w:t>We have not declared or paid cash dividends on our common stock. We currently intend to retain our future earnings, if any, to finance 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Securities Authorized for Issuance Under Equity Compensation Plans</w:t>
      </w:r>
      <w:r>
        <w:rPr>
          <w:color w:val="000000"/>
          <w:shd w:fill="FFFFFF" w:val="clear"/>
        </w:rPr>
        <w:t xml:space="preserve"> </w:t>
      </w:r>
      <w:r>
        <w:rPr>
          <w:rFonts w:ascii="Times New Roman;serif" w:hAnsi="Times New Roman;serif"/>
          <w:b w:val="false"/>
          <w:color w:val="000000"/>
          <w:sz w:val="20"/>
          <w:shd w:fill="FFFFFF" w:val="clear"/>
        </w:rPr>
        <w:t>- The information required by this Item concerning equity compensation plans is incorporated herein by reference to Item 12 of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AAE5"/>
          <w:sz w:val="20"/>
        </w:rPr>
      </w:pPr>
      <w:r>
        <w:rPr>
          <w:rFonts w:ascii="Times New Roman;serif" w:hAnsi="Times New Roman;serif"/>
          <w:b/>
          <w:color w:val="00AAE5"/>
          <w:sz w:val="20"/>
        </w:rPr>
        <w:t>Stock Performance Graph and Cumulative Total Return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(“Securities Act”), or the Exchange Act, except to the extent we specifically incorporate it by reference into such filing.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of our common stock with that of the Russell 1000 Index and the Nasdaq Computer Index from December 31, 2020 through December 31, 2025, utilizing the last trading day of each respective year. The return assumes that $100 was invested in shares of our common stock and the other indexes at the close of market on December 31, 2020, and that dividends, if any, were reinvested. The comparison in this graph is based on historical data and is not intended to forecast or be indicative of future performance of our common stock.</w:t>
      </w:r>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Comparison of Cumulative Total Returns of SPS Commerce, Inc. to Comparable Indexes</w:t>
      </w:r>
    </w:p>
    <w:p>
      <w:pPr>
        <w:pStyle w:val="TextBody"/>
        <w:bidi w:val="0"/>
        <w:spacing w:before="120" w:after="283"/>
        <w:jc w:val="center"/>
        <w:rPr/>
      </w:pPr>
      <w:r>
        <w:rPr/>
        <w:drawing>
          <wp:inline distT="0" distB="0" distL="0" distR="0">
            <wp:extent cx="5715000" cy="238125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7"/>
                    <a:stretch>
                      <a:fillRect/>
                    </a:stretch>
                  </pic:blipFill>
                  <pic:spPr bwMode="auto">
                    <a:xfrm>
                      <a:off x="0" y="0"/>
                      <a:ext cx="5715000" cy="2381250"/>
                    </a:xfrm>
                    <a:prstGeom prst="rect">
                      <a:avLst/>
                    </a:prstGeom>
                  </pic:spPr>
                </pic:pic>
              </a:graphicData>
            </a:graphic>
          </wp:inline>
        </w:drawing>
      </w:r>
      <w:bookmarkStart w:id="45" w:name="i-24"/>
      <w:bookmarkEnd w:id="4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 Use of Proceeds from Sales of Registered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916940"/>
                <wp:effectExtent l="0" t="0" r="0" b="0"/>
                <wp:wrapNone/>
                <wp:docPr id="70" name="Frame24"/>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5" descr=""/>
                                                <pic:cNvPicPr>
                                                  <a:picLocks noChangeAspect="1" noChangeArrowheads="1"/>
                                                </pic:cNvPicPr>
                                              </pic:nvPicPr>
                                              <pic:blipFill>
                                                <a:blip r:embed="rId48"/>
                                                <a:stretch>
                                                  <a:fillRect/>
                                                </a:stretch>
                                              </pic:blipFill>
                                              <pic:spPr bwMode="auto">
                                                <a:xfrm>
                                                  <a:off x="0" y="0"/>
                                                  <a:ext cx="266700" cy="257175"/>
                                                </a:xfrm>
                                                <a:prstGeom prst="rect">
                                                  <a:avLst/>
                                                </a:prstGeom>
                                              </pic:spPr>
                                            </pic:pic>
                                          </a:graphicData>
                                        </a:graphic>
                                      </wp:inline>
                                    </w:drawing>
                                  </w:r>
                                  <w:bookmarkStart w:id="46" w:name="i-25"/>
                                  <w:bookmarkEnd w:id="4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9"/>
                                          <a:stretch>
                                            <a:fillRect/>
                                          </a:stretch>
                                        </pic:blipFill>
                                        <pic:spPr bwMode="auto">
                                          <a:xfrm>
                                            <a:off x="0" y="0"/>
                                            <a:ext cx="266700" cy="257175"/>
                                          </a:xfrm>
                                          <a:prstGeom prst="rect">
                                            <a:avLst/>
                                          </a:prstGeom>
                                        </pic:spPr>
                                      </pic:pic>
                                    </a:graphicData>
                                  </a:graphic>
                                </wp:inline>
                              </w:drawing>
                            </w:r>
                            <w:bookmarkStart w:id="47" w:name="i-25"/>
                            <w:bookmarkEnd w:id="4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lineRule="auto" w:line="288" w:before="120" w:after="283"/>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share repurchase activity for the quarter ended December 31, 2025, was as follows:</w:t>
      </w:r>
    </w:p>
    <w:tbl>
      <w:tblPr>
        <w:tblW w:w="8380" w:type="dxa"/>
        <w:jc w:val="left"/>
        <w:tblInd w:w="0" w:type="dxa"/>
        <w:tblLayout w:type="fixed"/>
        <w:tblCellMar>
          <w:top w:w="28" w:type="dxa"/>
          <w:left w:w="28" w:type="dxa"/>
          <w:bottom w:w="28" w:type="dxa"/>
          <w:right w:w="28" w:type="dxa"/>
        </w:tblCellMar>
      </w:tblPr>
      <w:tblGrid>
        <w:gridCol w:w="714"/>
        <w:gridCol w:w="628"/>
        <w:gridCol w:w="638"/>
        <w:gridCol w:w="109"/>
        <w:gridCol w:w="109"/>
        <w:gridCol w:w="109"/>
        <w:gridCol w:w="428"/>
        <w:gridCol w:w="398"/>
        <w:gridCol w:w="376"/>
        <w:gridCol w:w="109"/>
        <w:gridCol w:w="109"/>
        <w:gridCol w:w="109"/>
        <w:gridCol w:w="240"/>
        <w:gridCol w:w="821"/>
        <w:gridCol w:w="124"/>
        <w:gridCol w:w="109"/>
        <w:gridCol w:w="109"/>
        <w:gridCol w:w="109"/>
        <w:gridCol w:w="419"/>
        <w:gridCol w:w="419"/>
        <w:gridCol w:w="421"/>
        <w:gridCol w:w="109"/>
        <w:gridCol w:w="109"/>
        <w:gridCol w:w="109"/>
        <w:gridCol w:w="211"/>
        <w:gridCol w:w="1081"/>
        <w:gridCol w:w="154"/>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w:t>
              <w:br/>
              <w:t>Shares that</w:t>
              <w:br/>
              <w:t>May Yet be</w:t>
              <w:br/>
              <w:t>Purchased</w:t>
              <w:br/>
              <w:t>Under the</w:t>
              <w:br/>
              <w:t>Program</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284,533 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23, 2024 (announced July 25, 2024), our Board of Directors authorized a program to repurchase up to $100.0 million of our common stock, excluding costs to obtain. The share repurchase program became effective August 23, 2024 and expires on July 24, 2026.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29, 2025 (announced October 30, 2025), our Board of Directors authorized a program to repurchase up to $100.0 million of our common stock, excluding costs to obtain. The share repurchase program became effective December 1, 2025 and expires on December 1, 2027. Under the programs, purchases may be made from time to time in the open market or in privately negotiated purchases, or both.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10, 2026 (announced February 12, 2026), our Board of Directors approved an additional $200.0 million in repurchase authority under the share repurchase program that was approved on October 29, 2025 and discussed above, for a total authorized repurchase amount of $300.0 million.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more information regarding our share repurchase programs, refer to Note J of our consolidated financial statements, included in Part II, Item 8, "Financial Statements and Supplementary Data"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916940"/>
                <wp:effectExtent l="0" t="0" r="0" b="0"/>
                <wp:wrapNone/>
                <wp:docPr id="73" name="Frame25"/>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50"/>
                                                <a:stretch>
                                                  <a:fillRect/>
                                                </a:stretch>
                                              </pic:blipFill>
                                              <pic:spPr bwMode="auto">
                                                <a:xfrm>
                                                  <a:off x="0" y="0"/>
                                                  <a:ext cx="266700" cy="257175"/>
                                                </a:xfrm>
                                                <a:prstGeom prst="rect">
                                                  <a:avLst/>
                                                </a:prstGeom>
                                              </pic:spPr>
                                            </pic:pic>
                                          </a:graphicData>
                                        </a:graphic>
                                      </wp:inline>
                                    </w:drawing>
                                  </w:r>
                                  <w:bookmarkStart w:id="48" w:name="i-26"/>
                                  <w:bookmarkEnd w:id="4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1"/>
                                          <a:stretch>
                                            <a:fillRect/>
                                          </a:stretch>
                                        </pic:blipFill>
                                        <pic:spPr bwMode="auto">
                                          <a:xfrm>
                                            <a:off x="0" y="0"/>
                                            <a:ext cx="266700" cy="257175"/>
                                          </a:xfrm>
                                          <a:prstGeom prst="rect">
                                            <a:avLst/>
                                          </a:prstGeom>
                                        </pic:spPr>
                                      </pic:pic>
                                    </a:graphicData>
                                  </a:graphic>
                                </wp:inline>
                              </w:drawing>
                            </w:r>
                            <w:bookmarkStart w:id="49" w:name="i-26"/>
                            <w:bookmarkEnd w:id="4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7.    Management’s Discussion and Analysis of Financial Condition and Results of Operations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The following discussion and analysis of our financial condition and results of operations should be read together with our audited consolidated financial statements and related notes which are included in Part II, Item 8, “Financial Statements and Supplementary Data” of this Annual Report on Form 10-K. Our actual results could differ materially from those anticipated in the forward-looking statements included in this discussion as a result of certain factors, including, but not limited to, those discussed in Part I, Item 1A, “</w:t>
      </w:r>
      <w:hyperlink w:anchor="i7447c4d4a608418a937aab0bbf885985_28">
        <w:r>
          <w:rPr>
            <w:rStyle w:val="InternetLink"/>
            <w:rFonts w:ascii="Times New Roman;serif" w:hAnsi="Times New Roman;serif"/>
            <w:b w:val="false"/>
            <w:i/>
            <w:color w:val="0000FF"/>
            <w:sz w:val="20"/>
            <w:u w:val="single"/>
          </w:rPr>
          <w:t>Risk Factors</w:t>
        </w:r>
      </w:hyperlink>
      <w:r>
        <w:rPr>
          <w:color w:val="000000"/>
        </w:rPr>
        <w:t xml:space="preserve">” </w:t>
      </w:r>
      <w:r>
        <w:rPr>
          <w:rFonts w:ascii="Times New Roman;serif" w:hAnsi="Times New Roman;serif"/>
          <w:b w:val="false"/>
          <w:i/>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a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Key Financial Terms, Metrics and Non-GAAP Financial Measures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Sources of Revenues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Recurring Revenues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We primarily derive our revenues from subscription-based recurring revenue services, which are</w:t>
      </w:r>
      <w:r>
        <w:rPr>
          <w:color w:val="000000"/>
        </w:rPr>
        <w:t xml:space="preserve"> </w:t>
      </w:r>
      <w:r>
        <w:rPr>
          <w:rFonts w:ascii="Times New Roman;serif" w:hAnsi="Times New Roman;serif"/>
          <w:b w:val="false"/>
          <w:color w:val="000000"/>
          <w:sz w:val="20"/>
        </w:rPr>
        <w:t>recognized on a ratable basis over the contract term. The following are our recurring revenue streams:</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i/>
          <w:color w:val="000000"/>
          <w:sz w:val="20"/>
          <w:shd w:fill="FFFFFF" w:val="clear"/>
        </w:rPr>
        <w:t xml:space="preserve">Fulfillment - </w:t>
      </w:r>
      <w:r>
        <w:rPr>
          <w:rFonts w:ascii="Times New Roman;serif" w:hAnsi="Times New Roman;serif"/>
          <w:b w:val="false"/>
          <w:color w:val="000000"/>
          <w:sz w:val="20"/>
          <w:shd w:fill="FFFFFF" w:val="clear"/>
        </w:rPr>
        <w:t xml:space="preserve">Our Fulfillment product offers a comprehensive solution designed to streamline supply chain operations. Our connections empower </w:t>
      </w:r>
      <w:r>
        <w:rPr>
          <w:rFonts w:ascii="Times New Roman;serif" w:hAnsi="Times New Roman;serif"/>
          <w:b w:val="false"/>
          <w:color w:val="000000"/>
          <w:sz w:val="20"/>
        </w:rPr>
        <w:t>retailers, brands, distributors, manufacturers, and logistics providers</w:t>
      </w:r>
      <w:r>
        <w:rPr>
          <w:color w:val="000000"/>
          <w:shd w:fill="FFFFFF" w:val="clear"/>
        </w:rPr>
        <w:t xml:space="preserve"> </w:t>
      </w:r>
      <w:r>
        <w:rPr>
          <w:rFonts w:ascii="Times New Roman;serif" w:hAnsi="Times New Roman;serif"/>
          <w:b w:val="false"/>
          <w:color w:val="000000"/>
          <w:sz w:val="20"/>
          <w:shd w:fill="FFFFFF" w:val="clear"/>
        </w:rPr>
        <w:t>to efficiently send and receive order data, ensuring accurate execution of required processes from order to invoicing and revenue recovery through fully automated operations. By integrating seamlessly with existing systems, Fulfillment enhances day-to-day efficiency, reduces errors, and provides real-time visibility across all of our customers' order channels.</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i/>
          <w:color w:val="000000"/>
          <w:sz w:val="20"/>
          <w:shd w:fill="FFFFFF" w:val="clear"/>
        </w:rPr>
        <w:t>Analytics</w:t>
      </w:r>
      <w:r>
        <w:rPr>
          <w:color w:val="000000"/>
          <w:shd w:fill="FFFFFF" w:val="clear"/>
        </w:rPr>
        <w:t xml:space="preserve"> </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Our Analytics product simplifies managing sell-through data from our customers’ business partners. We handle data acquisition, cleansing, normalization, and delivery. Our pre-built dashboards create custom reports, or integrate data with existing tools, to gain insights to enhance product performance, forecasting, pricing, and inventory management.</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i/>
          <w:color w:val="000000"/>
          <w:sz w:val="20"/>
          <w:shd w:fill="FFFFFF" w:val="clear"/>
        </w:rPr>
        <w:t>Other Products -</w:t>
      </w:r>
      <w:r>
        <w:rPr>
          <w:color w:val="000000"/>
          <w:shd w:fill="FFFFFF" w:val="clear"/>
        </w:rPr>
        <w:t xml:space="preserve"> </w:t>
      </w:r>
      <w:r>
        <w:rPr>
          <w:rFonts w:ascii="Times New Roman;serif" w:hAnsi="Times New Roman;serif"/>
          <w:b w:val="false"/>
          <w:color w:val="000000"/>
          <w:sz w:val="20"/>
          <w:shd w:fill="FFFFFF" w:val="clear"/>
        </w:rPr>
        <w:t>We also have other complementary products, including:</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 xml:space="preserve">Assortment </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Our Assortment product simplifies the communication of robust, accurate item data by automatically translating item attributes and hierarchies through a single connection across all sales channels.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 xml:space="preserve">Relationship Management </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Our Relationship Management product (formerly known as Community) allows organizations to accelerate digitization of their supply chain and improve collaboration with suppliers through proven change management, onboarding programs, and supplier score carding.</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One-time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One-time revenues consist of set-up fees, which are recognized ratably, generally over two years, and miscellaneous fees from customers, primarily professional services and testing and certification. Miscellaneous fees are recognized at the time service is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916940"/>
                <wp:effectExtent l="0" t="0" r="0" b="0"/>
                <wp:wrapNone/>
                <wp:docPr id="76" name="Frame26"/>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52"/>
                                                <a:stretch>
                                                  <a:fillRect/>
                                                </a:stretch>
                                              </pic:blipFill>
                                              <pic:spPr bwMode="auto">
                                                <a:xfrm>
                                                  <a:off x="0" y="0"/>
                                                  <a:ext cx="266700" cy="257175"/>
                                                </a:xfrm>
                                                <a:prstGeom prst="rect">
                                                  <a:avLst/>
                                                </a:prstGeom>
                                              </pic:spPr>
                                            </pic:pic>
                                          </a:graphicData>
                                        </a:graphic>
                                      </wp:inline>
                                    </w:drawing>
                                  </w:r>
                                  <w:bookmarkStart w:id="50" w:name="i-27"/>
                                  <w:bookmarkEnd w:id="5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3"/>
                                          <a:stretch>
                                            <a:fillRect/>
                                          </a:stretch>
                                        </pic:blipFill>
                                        <pic:spPr bwMode="auto">
                                          <a:xfrm>
                                            <a:off x="0" y="0"/>
                                            <a:ext cx="266700" cy="257175"/>
                                          </a:xfrm>
                                          <a:prstGeom prst="rect">
                                            <a:avLst/>
                                          </a:prstGeom>
                                        </pic:spPr>
                                      </pic:pic>
                                    </a:graphicData>
                                  </a:graphic>
                                </wp:inline>
                              </w:drawing>
                            </w:r>
                            <w:bookmarkStart w:id="51" w:name="i-27"/>
                            <w:bookmarkEnd w:id="5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Cost of Revenues and Operating Expenses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Cost of Revenues - </w:t>
      </w:r>
      <w:r>
        <w:rPr>
          <w:rFonts w:ascii="Times New Roman;serif" w:hAnsi="Times New Roman;serif"/>
          <w:b w:val="false"/>
          <w:color w:val="000000"/>
          <w:sz w:val="20"/>
        </w:rPr>
        <w:t>Cost of revenues consist primarily of personnel costs, stock-based compensation expense, and technology costs for our customer success and implementation teams, customer support personnel, and application support personnel, as well as amortization related to internally developed software.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Sales and Marketing Expenses - </w:t>
      </w:r>
      <w:r>
        <w:rPr>
          <w:rFonts w:ascii="Times New Roman;serif" w:hAnsi="Times New Roman;serif"/>
          <w:b w:val="false"/>
          <w:color w:val="000000"/>
          <w:sz w:val="20"/>
        </w:rPr>
        <w:t>Sales and marketing expenses consist primarily of personnel costs and stock-based compensation expense for our sales, marketing, and product management teams, external marketing costs, and commissions earned by our sales personnel and referral partners.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Research and Development Expenses - </w:t>
      </w:r>
      <w:r>
        <w:rPr>
          <w:rFonts w:ascii="Times New Roman;serif" w:hAnsi="Times New Roman;serif"/>
          <w:b w:val="false"/>
          <w:color w:val="000000"/>
          <w:sz w:val="20"/>
        </w:rPr>
        <w:t>Research and development expenses consist primarily of personnel costs, stock-based compensation expense, and technology costs for development of new and maintenance of existing products, net of amounts capitalized as developed software.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General and Administrative Expenses - </w:t>
      </w:r>
      <w:r>
        <w:rPr>
          <w:rFonts w:ascii="Times New Roman;serif" w:hAnsi="Times New Roman;serif"/>
          <w:b w:val="false"/>
          <w:color w:val="000000"/>
          <w:sz w:val="20"/>
        </w:rPr>
        <w:t>General and administrative expenses consist primarily of personnel costs, stock-based compensation expense, and technology costs for finance, human resources, and internal security and technology support, as well as professional services and other fees, such as bad debt expense and credit card processing fees.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Overhead Allocation - </w:t>
      </w:r>
      <w:r>
        <w:rPr>
          <w:rFonts w:ascii="Times New Roman;serif" w:hAnsi="Times New Roman;serif"/>
          <w:b w:val="false"/>
          <w:color w:val="000000"/>
          <w:sz w:val="20"/>
        </w:rPr>
        <w:t>We allocate overhead expenses such as rent, certain employee benefit costs, certain software costs, and depreciation of general office assets to cost of revenues and operating expenses categories based on expense type using department headcount or salary.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Amortization of Intangibles Assets</w:t>
      </w:r>
      <w:r>
        <w:rPr>
          <w:color w:val="000000"/>
        </w:rPr>
        <w:t xml:space="preserve"> </w:t>
      </w:r>
      <w:r>
        <w:rPr>
          <w:rFonts w:ascii="Times New Roman;serif" w:hAnsi="Times New Roman;serif"/>
          <w:b w:val="false"/>
          <w:color w:val="000000"/>
          <w:sz w:val="20"/>
        </w:rPr>
        <w:t>- Amortization expense consists of the expense recognition of acquired intangible assets over their estimated useful lives.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consists primarily of investment income, in addition to realized gain (loss) from investments held and realized gain (loss) from foreign currency impacts on cash and investments.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income taxes for U.S. federal jurisdiction in addition to income taxes for various state and international jurisdictions.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Metrics and Non-GAAP Financial Measures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Recurring Revenue</w:t>
      </w:r>
      <w:r>
        <w:rPr>
          <w:color w:val="000000"/>
        </w:rPr>
        <w:t xml:space="preserve"> </w:t>
      </w:r>
      <w:r>
        <w:rPr>
          <w:rFonts w:ascii="Times New Roman;serif" w:hAnsi="Times New Roman;serif"/>
          <w:b w:val="false"/>
          <w:i/>
          <w:color w:val="000000"/>
          <w:sz w:val="20"/>
          <w:shd w:fill="FFFFFF" w:val="clear"/>
        </w:rPr>
        <w:t>-</w:t>
      </w:r>
      <w:r>
        <w:rPr>
          <w:color w:val="000000"/>
        </w:rPr>
        <w:t xml:space="preserve"> </w:t>
      </w:r>
      <w:r>
        <w:rPr>
          <w:rFonts w:ascii="Times New Roman;serif" w:hAnsi="Times New Roman;serif"/>
          <w:b w:val="false"/>
          <w:color w:val="000000"/>
          <w:sz w:val="20"/>
        </w:rPr>
        <w:t xml:space="preserve">We define recurring revenue </w:t>
      </w:r>
      <w:r>
        <w:rPr>
          <w:rFonts w:ascii="Times New Roman;serif" w:hAnsi="Times New Roman;serif"/>
          <w:b w:val="false"/>
          <w:color w:val="000000"/>
          <w:sz w:val="20"/>
          <w:shd w:fill="FFFFFF" w:val="clear"/>
        </w:rPr>
        <w:t>as active contracts during the reporting period under which the customer regularly pays us fees for subscription-based and reoccurring services. All components of the contracts that are not expected to recur (primarily set ups and professional services) are excluded from recurring revenue.</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 xml:space="preserve">Recurring Revenue Customers - </w:t>
      </w:r>
      <w:r>
        <w:rPr>
          <w:rFonts w:ascii="Times New Roman;serif" w:hAnsi="Times New Roman;serif"/>
          <w:b w:val="false"/>
          <w:color w:val="000000"/>
          <w:sz w:val="20"/>
          <w:shd w:fill="FFFFFF" w:val="clear"/>
        </w:rPr>
        <w:t>We define recurring revenue customers as customers with an active recurring revenue contract at the end of the period. A small portion of our recurring revenue customers consist of separate units within a larger organization and are separately invoiced. We treat each of these units, which may include divisions, departments, affiliates and franchises, as distinct recurring revenue customers. We classify the majority of our recurring revenue customers as '1P', with the exception of those recurring revenue customers that only have an online marketplace or e-Commerce connection within our network (which we refer to as '3P').</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Annual Revenue Per User ("ARPU") - </w:t>
      </w:r>
      <w:r>
        <w:rPr>
          <w:rFonts w:ascii="Times New Roman;serif" w:hAnsi="Times New Roman;serif"/>
          <w:b w:val="false"/>
          <w:color w:val="000000"/>
          <w:sz w:val="20"/>
        </w:rPr>
        <w:t>We calculate the annualized average recurring revenues per recurring revenue customer, which was previously referred to as “wallet share”, by dividing the annualized recurring revenues for the period by the average of the beginning and ending number of recurring revenue customers for the period.</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Non-GAAP Financial Measures - </w:t>
      </w:r>
      <w:r>
        <w:rPr>
          <w:rFonts w:ascii="Times New Roman;serif" w:hAnsi="Times New Roman;serif"/>
          <w:b w:val="false"/>
          <w:color w:val="000000"/>
          <w:sz w:val="20"/>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16940"/>
                <wp:effectExtent l="0" t="0" r="0" b="0"/>
                <wp:wrapNone/>
                <wp:docPr id="79" name="Frame27"/>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 descr=""/>
                                                <pic:cNvPicPr>
                                                  <a:picLocks noChangeAspect="1" noChangeArrowheads="1"/>
                                                </pic:cNvPicPr>
                                              </pic:nvPicPr>
                                              <pic:blipFill>
                                                <a:blip r:embed="rId54"/>
                                                <a:stretch>
                                                  <a:fillRect/>
                                                </a:stretch>
                                              </pic:blipFill>
                                              <pic:spPr bwMode="auto">
                                                <a:xfrm>
                                                  <a:off x="0" y="0"/>
                                                  <a:ext cx="266700" cy="257175"/>
                                                </a:xfrm>
                                                <a:prstGeom prst="rect">
                                                  <a:avLst/>
                                                </a:prstGeom>
                                              </pic:spPr>
                                            </pic:pic>
                                          </a:graphicData>
                                        </a:graphic>
                                      </wp:inline>
                                    </w:drawing>
                                  </w:r>
                                  <w:bookmarkStart w:id="52" w:name="i-28"/>
                                  <w:bookmarkEnd w:id="5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5"/>
                                          <a:stretch>
                                            <a:fillRect/>
                                          </a:stretch>
                                        </pic:blipFill>
                                        <pic:spPr bwMode="auto">
                                          <a:xfrm>
                                            <a:off x="0" y="0"/>
                                            <a:ext cx="266700" cy="257175"/>
                                          </a:xfrm>
                                          <a:prstGeom prst="rect">
                                            <a:avLst/>
                                          </a:prstGeom>
                                        </pic:spPr>
                                      </pic:pic>
                                    </a:graphicData>
                                  </a:graphic>
                                </wp:inline>
                              </w:drawing>
                            </w:r>
                            <w:bookmarkStart w:id="53" w:name="i-28"/>
                            <w:bookmarkEnd w:id="5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Times New Roman;serif" w:hAnsi="Times New Roman;serif"/>
          <w:b w:val="false"/>
          <w:i/>
          <w:color w:val="000000"/>
          <w:sz w:val="20"/>
        </w:rPr>
        <w:t>Management’s Discussion and Analysis of Financial Condition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Revenues are the amount that reflects the consideration we are contractually and legally entitled to, as well as the amount we expect to collect, in exchange for those services. 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Internally Developed Software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is expensed as incurred. Amortization expense is calculated using the straight-line method over the estimated useful life, generally three years, commencing on the earlier date in which the asset is placed in service or ready for its intended use. The assets and related accumulated amortization are adjusted for asset retirements and disposals with the resulting gain or loss included in our consolidated statements of comprehensive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may require us to make significant estimates and assumptions, especially with respect to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16940"/>
                <wp:effectExtent l="0" t="0" r="0" b="0"/>
                <wp:wrapNone/>
                <wp:docPr id="82" name="Frame28"/>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9" descr=""/>
                                                <pic:cNvPicPr>
                                                  <a:picLocks noChangeAspect="1" noChangeArrowheads="1"/>
                                                </pic:cNvPicPr>
                                              </pic:nvPicPr>
                                              <pic:blipFill>
                                                <a:blip r:embed="rId56"/>
                                                <a:stretch>
                                                  <a:fillRect/>
                                                </a:stretch>
                                              </pic:blipFill>
                                              <pic:spPr bwMode="auto">
                                                <a:xfrm>
                                                  <a:off x="0" y="0"/>
                                                  <a:ext cx="266700" cy="257175"/>
                                                </a:xfrm>
                                                <a:prstGeom prst="rect">
                                                  <a:avLst/>
                                                </a:prstGeom>
                                              </pic:spPr>
                                            </pic:pic>
                                          </a:graphicData>
                                        </a:graphic>
                                      </wp:inline>
                                    </w:drawing>
                                  </w:r>
                                  <w:bookmarkStart w:id="54" w:name="i-29"/>
                                  <w:bookmarkEnd w:id="5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7"/>
                                          <a:stretch>
                                            <a:fillRect/>
                                          </a:stretch>
                                        </pic:blipFill>
                                        <pic:spPr bwMode="auto">
                                          <a:xfrm>
                                            <a:off x="0" y="0"/>
                                            <a:ext cx="266700" cy="257175"/>
                                          </a:xfrm>
                                          <a:prstGeom prst="rect">
                                            <a:avLst/>
                                          </a:prstGeom>
                                        </pic:spPr>
                                      </pic:pic>
                                    </a:graphicData>
                                  </a:graphic>
                                </wp:inline>
                              </w:drawing>
                            </w:r>
                            <w:bookmarkStart w:id="55" w:name="i-29"/>
                            <w:bookmarkEnd w:id="5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estimates in valuing certain intangible assets may include, but are not limited to, utilizing variants of the income approach, such as the relief-from-royalty and multi-period excess earnings methods, which estimate future expected cash flows from acquired customers and developed technology from a market participant perspective, useful lives, and discount rates. Significant estimates in valuing liabilities for contingent consideration may include, but are not limited to, discount rates, projected financial results of the acquired businesses based on our most recent internal forecasts, and factors indicating the probability of achieving the forecasted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Year Ended December 31, 2025 Compared to Year Ended December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13"/>
        <w:gridCol w:w="670"/>
        <w:gridCol w:w="667"/>
        <w:gridCol w:w="211"/>
        <w:gridCol w:w="826"/>
        <w:gridCol w:w="109"/>
        <w:gridCol w:w="109"/>
        <w:gridCol w:w="109"/>
        <w:gridCol w:w="109"/>
        <w:gridCol w:w="267"/>
        <w:gridCol w:w="242"/>
        <w:gridCol w:w="565"/>
        <w:gridCol w:w="109"/>
        <w:gridCol w:w="109"/>
        <w:gridCol w:w="109"/>
        <w:gridCol w:w="211"/>
        <w:gridCol w:w="826"/>
        <w:gridCol w:w="109"/>
        <w:gridCol w:w="109"/>
        <w:gridCol w:w="109"/>
        <w:gridCol w:w="109"/>
        <w:gridCol w:w="267"/>
        <w:gridCol w:w="242"/>
        <w:gridCol w:w="565"/>
        <w:gridCol w:w="109"/>
        <w:gridCol w:w="109"/>
        <w:gridCol w:w="109"/>
        <w:gridCol w:w="211"/>
        <w:gridCol w:w="826"/>
        <w:gridCol w:w="109"/>
        <w:gridCol w:w="109"/>
        <w:gridCol w:w="109"/>
        <w:gridCol w:w="109"/>
        <w:gridCol w:w="205"/>
        <w:gridCol w:w="208"/>
        <w:gridCol w:w="321"/>
      </w:tblGrid>
      <w:tr>
        <w:trPr/>
        <w:tc>
          <w:tcPr>
            <w:tcW w:w="9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120" w:after="283"/>
              <w:jc w:val="both"/>
              <w:rPr/>
            </w:pPr>
            <w:r>
              <w:rPr>
                <w:rFonts w:ascii="Times New Roman;serif" w:hAnsi="Times New Roman;serif"/>
                <w:b w:val="false"/>
                <w:i/>
                <w:color w:val="000000"/>
                <w:sz w:val="13"/>
              </w:rPr>
              <w:t xml:space="preserve">(1) </w:t>
            </w:r>
            <w:r>
              <w:rPr>
                <w:rFonts w:ascii="Times New Roman;serif" w:hAnsi="Times New Roman;serif"/>
                <w:b w:val="false"/>
                <w:i/>
                <w:color w:val="000000"/>
                <w:sz w:val="20"/>
              </w:rPr>
              <w:t>Amounts in column may not foot due to rounding</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955" w:type="dxa"/>
            <w:gridSpan w:val="3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i/>
          <w:color w:val="000000"/>
          <w:sz w:val="20"/>
        </w:rPr>
        <w:t>Revenues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Revenues increased for the 100th consecutive quarter.</w:t>
      </w:r>
      <w:r>
        <w:rPr>
          <w:color w:val="000000"/>
        </w:rPr>
        <w:t xml:space="preserve"> </w:t>
      </w:r>
      <w:r>
        <w:rPr>
          <w:rFonts w:ascii="Times New Roman;serif" w:hAnsi="Times New Roman;serif"/>
          <w:b w:val="false"/>
          <w:color w:val="000000"/>
          <w:sz w:val="20"/>
        </w:rPr>
        <w:t>The increase in revenue period-over-period resulted from the increase in average recurring revenues per recurring revenue customer, which we also refer to as ARPU. Additionally, the revenue growth was attributable to an increase in recurring revenue customers, which is driven primarily by continued business growth and business acquisitions.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ARPU increased 8% to approximately $14,350 for the year ended December 31, 2025 from approximately $13,300 for the year ended December 31, 2024</w:t>
      </w:r>
      <w:r>
        <w:rPr>
          <w:rFonts w:ascii="Times New Roman;serif" w:hAnsi="Times New Roman;serif"/>
          <w:b w:val="false"/>
          <w:color w:val="000000"/>
          <w:sz w:val="20"/>
          <w:shd w:fill="FFFFFF" w:val="clear"/>
        </w:rPr>
        <w:t>. This was primarily attributable to increased usage of our products by our recurring revenue customers, partially offset by the addition of 3P recurring revenue customers, which generally have lower ARPU.</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number of recurring revenue customers increas</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to approximately </w:t>
      </w:r>
      <w:r>
        <w:rPr>
          <w:rFonts w:ascii="Times New Roman;serif" w:hAnsi="Times New Roman;serif"/>
          <w:b w:val="false"/>
          <w:color w:val="000000"/>
          <w:sz w:val="20"/>
        </w:rPr>
        <w:t>54,600</w:t>
      </w:r>
      <w:r>
        <w:rPr>
          <w:color w:val="000000"/>
          <w:shd w:fill="FFFFFF" w:val="clear"/>
        </w:rPr>
        <w:t xml:space="preserve"> </w:t>
      </w:r>
      <w:r>
        <w:rPr>
          <w:rFonts w:ascii="Times New Roman;serif" w:hAnsi="Times New Roman;serif"/>
          <w:b w:val="false"/>
          <w:color w:val="000000"/>
          <w:sz w:val="20"/>
          <w:shd w:fill="FFFFFF" w:val="clear"/>
        </w:rPr>
        <w:t xml:space="preserve">at December 31, 2025 from approximately </w:t>
      </w:r>
      <w:r>
        <w:rPr>
          <w:rFonts w:ascii="Times New Roman;serif" w:hAnsi="Times New Roman;serif"/>
          <w:b w:val="false"/>
          <w:color w:val="000000"/>
          <w:sz w:val="20"/>
        </w:rPr>
        <w:t>45,350</w:t>
      </w:r>
      <w:r>
        <w:rPr>
          <w:color w:val="000000"/>
          <w:shd w:fill="FFFFFF" w:val="clear"/>
        </w:rPr>
        <w:t xml:space="preserve"> </w:t>
      </w:r>
      <w:r>
        <w:rPr>
          <w:rFonts w:ascii="Times New Roman;serif" w:hAnsi="Times New Roman;serif"/>
          <w:b w:val="false"/>
          <w:color w:val="000000"/>
          <w:sz w:val="20"/>
        </w:rPr>
        <w:t>at December 31, 2024. Of the total recurring revenue customers at December 31, 2025, approximately 46,900 are 1P recurring revenue customers and the remainder are 3P recurring revenue customers. The increase in recurring revenue customers is primarily due to recent acquisitions of 3P recurring revenue customers. New recurring revenue customers do not have a meaningful contribution to revenue at the beginning of their tenure, and therefore, a majority of the increased revenue was generated from existing recurring revenue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16940"/>
                <wp:effectExtent l="0" t="0" r="0" b="0"/>
                <wp:wrapNone/>
                <wp:docPr id="85" name="Frame29"/>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58"/>
                                                <a:stretch>
                                                  <a:fillRect/>
                                                </a:stretch>
                                              </pic:blipFill>
                                              <pic:spPr bwMode="auto">
                                                <a:xfrm>
                                                  <a:off x="0" y="0"/>
                                                  <a:ext cx="266700" cy="257175"/>
                                                </a:xfrm>
                                                <a:prstGeom prst="rect">
                                                  <a:avLst/>
                                                </a:prstGeom>
                                              </pic:spPr>
                                            </pic:pic>
                                          </a:graphicData>
                                        </a:graphic>
                                      </wp:inline>
                                    </w:drawing>
                                  </w:r>
                                  <w:bookmarkStart w:id="56" w:name="i-30"/>
                                  <w:bookmarkEnd w:id="5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9"/>
                                          <a:stretch>
                                            <a:fillRect/>
                                          </a:stretch>
                                        </pic:blipFill>
                                        <pic:spPr bwMode="auto">
                                          <a:xfrm>
                                            <a:off x="0" y="0"/>
                                            <a:ext cx="266700" cy="257175"/>
                                          </a:xfrm>
                                          <a:prstGeom prst="rect">
                                            <a:avLst/>
                                          </a:prstGeom>
                                        </pic:spPr>
                                      </pic:pic>
                                    </a:graphicData>
                                  </a:graphic>
                                </wp:inline>
                              </w:drawing>
                            </w:r>
                            <w:bookmarkStart w:id="57" w:name="i-30"/>
                            <w:bookmarkEnd w:id="5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540"/>
        <w:jc w:val="both"/>
        <w:rPr/>
      </w:pPr>
      <w:r>
        <w:rPr>
          <w:color w:val="1F282C"/>
        </w:rPr>
        <w:t>•</w:t>
      </w:r>
      <w:r>
        <w:rPr>
          <w:rFonts w:ascii="Times New Roman;serif" w:hAnsi="Times New Roman;serif"/>
          <w:b w:val="false"/>
          <w:color w:val="1F282C"/>
          <w:sz w:val="20"/>
        </w:rPr>
        <w:t>Approximately 50 1P recurring revenue customers were added in May 2024 due to the acquisition of the existing customer base of Traverse Systems LLC ("Traverse Systems") a</w:t>
      </w:r>
      <w:r>
        <w:rPr>
          <w:rFonts w:ascii="Times New Roman;serif" w:hAnsi="Times New Roman;serif"/>
          <w:b w:val="false"/>
          <w:color w:val="000000"/>
          <w:sz w:val="20"/>
        </w:rPr>
        <w:t>nd a</w:t>
      </w:r>
      <w:r>
        <w:rPr>
          <w:rFonts w:ascii="Times New Roman;serif" w:hAnsi="Times New Roman;serif"/>
          <w:b w:val="false"/>
          <w:color w:val="1F282C"/>
          <w:sz w:val="20"/>
        </w:rPr>
        <w:t>pproximately 200 1P recurring revenue customers were added in July 2024 due to the acquisition of the existing customer base of SupplyPike Inc. ("SupplyPike"). Additionally, approximately 8,500 recurring revenue customers were added in February 2025 due to the acquisition of the existing customer base of Carbon6, of which approximately 300 are 1P recurring revenue customers and the remainder are 3P recurring revenue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Recurring revenues increased 20% to $718.0 million for the year ended December 31, 2025, as compared to the same period in 2024, and accounted for 96% and 94% of our total revenues in 2025 and 2024, respectively. We anticipate that the number of recurring revenue customers and ARPU will continue to increase as we execute our growth strategy focused on further penetration of our market.</w:t>
      </w:r>
    </w:p>
    <w:p>
      <w:pPr>
        <w:pStyle w:val="TextBody"/>
        <w:bidi w:val="0"/>
        <w:spacing w:lineRule="auto" w:line="288" w:before="120" w:after="283"/>
        <w:ind w:left="0" w:right="0" w:firstLine="540"/>
        <w:jc w:val="both"/>
        <w:rPr/>
      </w:pPr>
      <w:r>
        <w:rPr>
          <w:rFonts w:ascii="Times New Roman;serif" w:hAnsi="Times New Roman;serif"/>
          <w:b/>
          <w:i/>
          <w:color w:val="000000"/>
          <w:sz w:val="20"/>
        </w:rPr>
        <w:t>Cost of Revenues</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increase in cost of revenues was primarily due to increased headcount, which resulted in an increase of $12.4 million in personnel-related costs and an increase in software subscriptions of $5.2 million due to general growth of our business.</w:t>
      </w:r>
    </w:p>
    <w:p>
      <w:pPr>
        <w:pStyle w:val="TextBody"/>
        <w:bidi w:val="0"/>
        <w:spacing w:lineRule="auto" w:line="288" w:before="120" w:after="283"/>
        <w:ind w:left="0" w:right="0" w:firstLine="540"/>
        <w:jc w:val="both"/>
        <w:rPr/>
      </w:pPr>
      <w:r>
        <w:rPr>
          <w:rFonts w:ascii="Times New Roman;serif" w:hAnsi="Times New Roman;serif"/>
          <w:b/>
          <w:i/>
          <w:color w:val="000000"/>
          <w:sz w:val="20"/>
        </w:rPr>
        <w:t>Sales and Marketing</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shd w:fill="FFFFFF" w:val="clear"/>
        </w:rPr>
        <w:t xml:space="preserve">The increase in sales and marketing expense was primarily due to increased headcount, which resulted in an increase of $14.9 million in personnel-related costs. Additionally, channel partner and referral fees increased by $3.9 million, primarily driven by the acquisition of </w:t>
      </w:r>
      <w:r>
        <w:rPr>
          <w:rFonts w:ascii="Times New Roman;serif" w:hAnsi="Times New Roman;serif"/>
          <w:b w:val="false"/>
          <w:color w:val="000000"/>
          <w:sz w:val="20"/>
        </w:rPr>
        <w:t>Carbon6.</w:t>
      </w:r>
    </w:p>
    <w:p>
      <w:pPr>
        <w:pStyle w:val="TextBody"/>
        <w:bidi w:val="0"/>
        <w:spacing w:lineRule="auto" w:line="288" w:before="120" w:after="283"/>
        <w:ind w:left="0" w:right="0" w:firstLine="540"/>
        <w:jc w:val="both"/>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shd w:fill="FFFFFF" w:val="clear"/>
        </w:rPr>
        <w:t>The increase in research and development expense was primarily due to increased headcount and third-party personnel, which resulted in an increase of $9.5 million in personnel-related costs, partially offset by $5.2 million due to higher capitalization of software development costs.</w:t>
      </w:r>
    </w:p>
    <w:p>
      <w:pPr>
        <w:pStyle w:val="TextBody"/>
        <w:bidi w:val="0"/>
        <w:spacing w:lineRule="auto" w:line="288" w:before="120" w:after="283"/>
        <w:ind w:left="0" w:right="0" w:firstLine="54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shd w:fill="FFFFFF" w:val="clear"/>
        </w:rPr>
        <w:t>The increase in general and administrative expense was primarily due to increased headcount and third-party personnel, which resulted in an increase of $15.2 million in personnel-related costs. Additionally, other items contributing to the increase related to costs for continued support of our growing operations including the closing and on-going integration of acquisitions.</w:t>
      </w:r>
    </w:p>
    <w:p>
      <w:pPr>
        <w:pStyle w:val="TextBody"/>
        <w:bidi w:val="0"/>
        <w:spacing w:lineRule="auto" w:line="288" w:before="120" w:after="283"/>
        <w:ind w:left="0" w:right="0" w:firstLine="540"/>
        <w:jc w:val="both"/>
        <w:rPr/>
      </w:pPr>
      <w:r>
        <w:rPr>
          <w:rFonts w:ascii="Times New Roman;serif" w:hAnsi="Times New Roman;serif"/>
          <w:b/>
          <w:i/>
          <w:color w:val="000000"/>
          <w:sz w:val="20"/>
        </w:rPr>
        <w:t>Amortization of Intangible Assets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The increase in amortization of intangible assets was driven by increased intangible assets related to recent business acquisitions.</w:t>
      </w:r>
    </w:p>
    <w:p>
      <w:pPr>
        <w:pStyle w:val="TextBody"/>
        <w:bidi w:val="0"/>
        <w:spacing w:lineRule="auto" w:line="288" w:before="120" w:after="283"/>
        <w:ind w:left="0" w:right="0" w:firstLine="540"/>
        <w:jc w:val="both"/>
        <w:rPr/>
      </w:pPr>
      <w:r>
        <w:rPr>
          <w:rFonts w:ascii="Times New Roman;serif" w:hAnsi="Times New Roman;serif"/>
          <w:b/>
          <w:i/>
          <w:color w:val="000000"/>
          <w:sz w:val="20"/>
        </w:rPr>
        <w:t>Other Income, N</w:t>
      </w:r>
      <w:r>
        <w:rPr>
          <w:rFonts w:ascii="Times New Roman;serif" w:hAnsi="Times New Roman;serif"/>
          <w:b/>
          <w:i/>
          <w:color w:val="000000"/>
          <w:sz w:val="20"/>
          <w:shd w:fill="FFFFFF" w:val="clear"/>
        </w:rPr>
        <w:t>et</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1F282C"/>
          <w:sz w:val="20"/>
          <w:shd w:fill="FFFFFF" w:val="clear"/>
        </w:rPr>
        <w:t>The decrease in other income, net was primarily due to a decrease in investment income.</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Income Tax Expense</w:t>
      </w:r>
      <w:r>
        <w:rPr>
          <w:color w:val="000000"/>
          <w:shd w:fill="FFFFFF" w:val="clear"/>
        </w:rPr>
        <w:t xml:space="preserve"> </w:t>
      </w:r>
      <w:r>
        <w:rPr>
          <w:rFonts w:ascii="Times New Roman;serif" w:hAnsi="Times New Roman;serif"/>
          <w:b w:val="false"/>
          <w:i/>
          <w:color w:val="000000"/>
          <w:sz w:val="20"/>
          <w:shd w:fill="FFFFFF" w:val="clear"/>
        </w:rPr>
        <w:t xml:space="preserve">- </w:t>
      </w:r>
      <w:r>
        <w:rPr>
          <w:rFonts w:ascii="Times New Roman;serif" w:hAnsi="Times New Roman;serif"/>
          <w:b w:val="false"/>
          <w:color w:val="1F282C"/>
          <w:sz w:val="20"/>
          <w:shd w:fill="FFFFFF" w:val="clear"/>
        </w:rPr>
        <w:t xml:space="preserve">The increase in income tax expense was primarily driven by the increase in pre-tax book income and reduction in tax benefits recognized from equity award exercise and settlement activity due to the fluctuations in share price. The increase was partially offset with increased benefit for Research &amp; Development tax credits. </w:t>
      </w:r>
    </w:p>
    <w:p>
      <w:pPr>
        <w:pStyle w:val="TextBody"/>
        <w:bidi w:val="0"/>
        <w:spacing w:lineRule="auto" w:line="288" w:before="120" w:after="283"/>
        <w:ind w:left="0" w:right="0" w:firstLine="540"/>
        <w:jc w:val="both"/>
        <w:rPr/>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Adjusted EBITDA consists of net income adjusted for income tax expense, depreciation and amortization expense, stock-based compensation expense, realized gain or loss from investments held and foreign currency impact on cash and investments, investment income, and other adjustments as necessary for a fair presentation.</w:t>
      </w:r>
      <w:r>
        <w:rPr>
          <w:color w:val="000000"/>
          <w:shd w:fill="FFFFFF" w:val="clear"/>
        </w:rPr>
        <w:t xml:space="preserve"> </w:t>
      </w:r>
      <w:r>
        <w:rPr>
          <w:rFonts w:ascii="Times New Roman;serif" w:hAnsi="Times New Roman;serif"/>
          <w:b w:val="false"/>
          <w:color w:val="000000"/>
          <w:sz w:val="20"/>
          <w:shd w:fill="FFFFFF" w:val="clear"/>
        </w:rPr>
        <w:t xml:space="preserve">Other adjustments for the year 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included the expense impacts from disposals of certain capitalized internally developed software, disposals of other equipment, remeasurement of acquired earn-out payments, and one-time acquisition-related insurance costs. Other adjustments for the year ended </w:t>
      </w:r>
      <w:r>
        <w:rPr>
          <w:rFonts w:ascii="Times New Roman;serif" w:hAnsi="Times New Roman;serif"/>
          <w:b w:val="false"/>
          <w:color w:val="000000"/>
          <w:sz w:val="20"/>
        </w:rPr>
        <w:t xml:space="preserve">December 31, 2024 included </w:t>
      </w:r>
      <w:r>
        <w:rPr>
          <w:rFonts w:ascii="Times New Roman;serif" w:hAnsi="Times New Roman;serif"/>
          <w:b w:val="false"/>
          <w:color w:val="000000"/>
          <w:sz w:val="20"/>
          <w:shd w:fill="FFFFFF" w:val="clear"/>
        </w:rPr>
        <w:t xml:space="preserve">the expense impacts from disposals of certain capitalized internally developed software and one-time acquisition-related insurance costs. </w:t>
      </w:r>
      <w:r>
        <w:rPr>
          <w:rFonts w:ascii="Times New Roman;serif" w:hAnsi="Times New Roman;serif"/>
          <w:b w:val="false"/>
          <w:color w:val="000000"/>
          <w:sz w:val="20"/>
        </w:rPr>
        <w:t xml:space="preserve">Net income is the most directly comparable GAAP measure of financial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10103" w:type="dxa"/>
        <w:jc w:val="left"/>
        <w:tblInd w:w="0" w:type="dxa"/>
        <w:tblLayout w:type="fixed"/>
        <w:tblCellMar>
          <w:top w:w="28" w:type="dxa"/>
          <w:left w:w="28" w:type="dxa"/>
          <w:bottom w:w="28" w:type="dxa"/>
          <w:right w:w="28" w:type="dxa"/>
        </w:tblCellMar>
      </w:tblPr>
      <w:tblGrid>
        <w:gridCol w:w="2691"/>
        <w:gridCol w:w="2372"/>
        <w:gridCol w:w="2376"/>
        <w:gridCol w:w="211"/>
        <w:gridCol w:w="826"/>
        <w:gridCol w:w="109"/>
        <w:gridCol w:w="109"/>
        <w:gridCol w:w="109"/>
        <w:gridCol w:w="109"/>
        <w:gridCol w:w="211"/>
        <w:gridCol w:w="826"/>
        <w:gridCol w:w="154"/>
      </w:tblGrid>
      <w:tr>
        <w:trPr/>
        <w:tc>
          <w:tcPr>
            <w:tcW w:w="269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16940"/>
                <wp:effectExtent l="0" t="0" r="0" b="0"/>
                <wp:wrapNone/>
                <wp:docPr id="88" name="Frame30"/>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1" descr=""/>
                                                <pic:cNvPicPr>
                                                  <a:picLocks noChangeAspect="1" noChangeArrowheads="1"/>
                                                </pic:cNvPicPr>
                                              </pic:nvPicPr>
                                              <pic:blipFill>
                                                <a:blip r:embed="rId60"/>
                                                <a:stretch>
                                                  <a:fillRect/>
                                                </a:stretch>
                                              </pic:blipFill>
                                              <pic:spPr bwMode="auto">
                                                <a:xfrm>
                                                  <a:off x="0" y="0"/>
                                                  <a:ext cx="266700" cy="257175"/>
                                                </a:xfrm>
                                                <a:prstGeom prst="rect">
                                                  <a:avLst/>
                                                </a:prstGeom>
                                              </pic:spPr>
                                            </pic:pic>
                                          </a:graphicData>
                                        </a:graphic>
                                      </wp:inline>
                                    </w:drawing>
                                  </w:r>
                                  <w:bookmarkStart w:id="58" w:name="i-31"/>
                                  <w:bookmarkEnd w:id="5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1"/>
                                          <a:stretch>
                                            <a:fillRect/>
                                          </a:stretch>
                                        </pic:blipFill>
                                        <pic:spPr bwMode="auto">
                                          <a:xfrm>
                                            <a:off x="0" y="0"/>
                                            <a:ext cx="266700" cy="257175"/>
                                          </a:xfrm>
                                          <a:prstGeom prst="rect">
                                            <a:avLst/>
                                          </a:prstGeom>
                                        </pic:spPr>
                                      </pic:pic>
                                    </a:graphicData>
                                  </a:graphic>
                                </wp:inline>
                              </w:drawing>
                            </w:r>
                            <w:bookmarkStart w:id="59" w:name="i-31"/>
                            <w:bookmarkEnd w:id="5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i/>
          <w:color w:val="000000"/>
          <w:sz w:val="20"/>
        </w:rPr>
        <w:t>Adjusted EBITDA Margin</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Adjusted EBITDA Margin consists of Adjusted EBITDA divided by revenue. Margin, the most directly comparable GAAP measure of financial performance, consists of net income divided by revenue.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comparison of Margin to Adjusted EBITDA Margin:</w:t>
      </w:r>
    </w:p>
    <w:tbl>
      <w:tblPr>
        <w:tblW w:w="7377" w:type="dxa"/>
        <w:jc w:val="left"/>
        <w:tblInd w:w="0" w:type="dxa"/>
        <w:tblLayout w:type="fixed"/>
        <w:tblCellMar>
          <w:top w:w="28" w:type="dxa"/>
          <w:left w:w="28" w:type="dxa"/>
          <w:bottom w:w="28" w:type="dxa"/>
          <w:right w:w="28" w:type="dxa"/>
        </w:tblCellMar>
      </w:tblPr>
      <w:tblGrid>
        <w:gridCol w:w="1641"/>
        <w:gridCol w:w="1442"/>
        <w:gridCol w:w="1447"/>
        <w:gridCol w:w="350"/>
        <w:gridCol w:w="390"/>
        <w:gridCol w:w="391"/>
        <w:gridCol w:w="180"/>
        <w:gridCol w:w="180"/>
        <w:gridCol w:w="180"/>
        <w:gridCol w:w="350"/>
        <w:gridCol w:w="342"/>
        <w:gridCol w:w="48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751,505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637,765</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77,054</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231,367</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186,631</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bl>
    <w:p>
      <w:pPr>
        <w:pStyle w:val="TextBody"/>
        <w:bidi w:val="0"/>
        <w:spacing w:lineRule="auto" w:line="288" w:before="120" w:after="283"/>
        <w:ind w:left="0" w:right="0" w:firstLine="540"/>
        <w:jc w:val="both"/>
        <w:rPr/>
      </w:pPr>
      <w:r>
        <w:rPr>
          <w:rFonts w:ascii="Times New Roman;serif" w:hAnsi="Times New Roman;serif"/>
          <w:b/>
          <w:i/>
          <w:color w:val="000000"/>
          <w:sz w:val="20"/>
        </w:rPr>
        <w:t>Non-GAAP Income per Share</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Non-GAAP income per share consists of net income adjusted for stock-based compensation expense, amortization expense related to intangible assets, realized gain from investments held and foreign currency impact on cash and investments, other adjustments as necessary for a fair presentation, including for the year ended December 31, 2025</w:t>
      </w:r>
      <w:r>
        <w:rPr>
          <w:color w:val="000000"/>
          <w:shd w:fill="FFFFFF" w:val="clear"/>
        </w:rPr>
        <w:t xml:space="preserve"> </w:t>
      </w:r>
      <w:r>
        <w:rPr>
          <w:rFonts w:ascii="Times New Roman;serif" w:hAnsi="Times New Roman;serif"/>
          <w:b w:val="false"/>
          <w:color w:val="000000"/>
          <w:sz w:val="20"/>
          <w:shd w:fill="FFFFFF" w:val="clear"/>
        </w:rPr>
        <w:t>the expense impacts from disposals of certain capitalized internally developed software, disposals of other equipment, remeasurement of acquired earn-out payments, and one-time acquisition-related insurance costs</w:t>
      </w:r>
      <w:r>
        <w:rPr>
          <w:rFonts w:ascii="Times New Roman;serif" w:hAnsi="Times New Roman;serif"/>
          <w:b w:val="false"/>
          <w:color w:val="000000"/>
          <w:sz w:val="20"/>
        </w:rPr>
        <w:t>, and for the year ended December 31, 2024</w:t>
      </w:r>
      <w:r>
        <w:rPr>
          <w:color w:val="000000"/>
          <w:shd w:fill="FFFFFF" w:val="clear"/>
        </w:rPr>
        <w:t xml:space="preserve"> </w:t>
      </w:r>
      <w:r>
        <w:rPr>
          <w:rFonts w:ascii="Times New Roman;serif" w:hAnsi="Times New Roman;serif"/>
          <w:b w:val="false"/>
          <w:color w:val="000000"/>
          <w:sz w:val="20"/>
          <w:shd w:fill="FFFFFF" w:val="clear"/>
        </w:rPr>
        <w:t xml:space="preserve">the expense impacts from disposals of certain capitalized internally developed software and one-time acquisition-related insurance costs, </w:t>
      </w:r>
      <w:r>
        <w:rPr>
          <w:rFonts w:ascii="Times New Roman;serif" w:hAnsi="Times New Roman;serif"/>
          <w:b w:val="false"/>
          <w:color w:val="000000"/>
          <w:sz w:val="20"/>
        </w:rPr>
        <w:t>and the corresponding tax impacts of the adjustments to net income, divided by the weighted average number of shares of common and diluted stock outstanding during each period. Net income per share, the most directly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non-GAAP income per share:</w:t>
      </w:r>
    </w:p>
    <w:tbl>
      <w:tblPr>
        <w:tblW w:w="10104" w:type="dxa"/>
        <w:jc w:val="left"/>
        <w:tblInd w:w="0" w:type="dxa"/>
        <w:tblLayout w:type="fixed"/>
        <w:tblCellMar>
          <w:top w:w="28" w:type="dxa"/>
          <w:left w:w="28" w:type="dxa"/>
          <w:bottom w:w="28" w:type="dxa"/>
          <w:right w:w="28" w:type="dxa"/>
        </w:tblCellMar>
      </w:tblPr>
      <w:tblGrid>
        <w:gridCol w:w="2695"/>
        <w:gridCol w:w="2369"/>
        <w:gridCol w:w="2376"/>
        <w:gridCol w:w="211"/>
        <w:gridCol w:w="826"/>
        <w:gridCol w:w="109"/>
        <w:gridCol w:w="109"/>
        <w:gridCol w:w="109"/>
        <w:gridCol w:w="109"/>
        <w:gridCol w:w="211"/>
        <w:gridCol w:w="826"/>
        <w:gridCol w:w="154"/>
      </w:tblGrid>
      <w:tr>
        <w:trPr/>
        <w:tc>
          <w:tcPr>
            <w:tcW w:w="269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162,152 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131,565 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916940"/>
                <wp:effectExtent l="0" t="0" r="0" b="0"/>
                <wp:wrapNone/>
                <wp:docPr id="91" name="Frame31"/>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2" descr=""/>
                                                <pic:cNvPicPr>
                                                  <a:picLocks noChangeAspect="1" noChangeArrowheads="1"/>
                                                </pic:cNvPicPr>
                                              </pic:nvPicPr>
                                              <pic:blipFill>
                                                <a:blip r:embed="rId62"/>
                                                <a:stretch>
                                                  <a:fillRect/>
                                                </a:stretch>
                                              </pic:blipFill>
                                              <pic:spPr bwMode="auto">
                                                <a:xfrm>
                                                  <a:off x="0" y="0"/>
                                                  <a:ext cx="266700" cy="257175"/>
                                                </a:xfrm>
                                                <a:prstGeom prst="rect">
                                                  <a:avLst/>
                                                </a:prstGeom>
                                              </pic:spPr>
                                            </pic:pic>
                                          </a:graphicData>
                                        </a:graphic>
                                      </wp:inline>
                                    </w:drawing>
                                  </w:r>
                                  <w:bookmarkStart w:id="60" w:name="i-32"/>
                                  <w:bookmarkEnd w:id="6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3"/>
                                          <a:stretch>
                                            <a:fillRect/>
                                          </a:stretch>
                                        </pic:blipFill>
                                        <pic:spPr bwMode="auto">
                                          <a:xfrm>
                                            <a:off x="0" y="0"/>
                                            <a:ext cx="266700" cy="257175"/>
                                          </a:xfrm>
                                          <a:prstGeom prst="rect">
                                            <a:avLst/>
                                          </a:prstGeom>
                                        </pic:spPr>
                                      </pic:pic>
                                    </a:graphicData>
                                  </a:graphic>
                                </wp:inline>
                              </w:drawing>
                            </w:r>
                            <w:bookmarkStart w:id="61" w:name="i-32"/>
                            <w:bookmarkEnd w:id="6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Year Ended December 31, 2024 Compared to Year Ended December 31, 2023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discussion of our results from operations for the year ended December 31, 2024 compared to the year ended December 31, 2023 can be found in Part II, Item 7, “Management’s Discussion and Analysis of Financial Condition and Results of Operations”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AAE5"/>
          <w:sz w:val="20"/>
        </w:rPr>
      </w:pPr>
      <w:r>
        <w:rPr>
          <w:rFonts w:ascii="Times New Roman;serif" w:hAnsi="Times New Roman;serif"/>
          <w:b/>
          <w:color w:val="00AAE5"/>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principal sources of liquidity were cash and cash equivalents of $151.4 million and net accounts receivable of $68.2 million.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Statements of Cash Flows Summary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summary of activity within the consolidated statements of cash flows was as follows:</w:t>
      </w:r>
    </w:p>
    <w:tbl>
      <w:tblPr>
        <w:tblW w:w="6128" w:type="dxa"/>
        <w:jc w:val="left"/>
        <w:tblInd w:w="0" w:type="dxa"/>
        <w:tblLayout w:type="fixed"/>
        <w:tblCellMar>
          <w:top w:w="28" w:type="dxa"/>
          <w:left w:w="28" w:type="dxa"/>
          <w:bottom w:w="28" w:type="dxa"/>
          <w:right w:w="28" w:type="dxa"/>
        </w:tblCellMar>
      </w:tblPr>
      <w:tblGrid>
        <w:gridCol w:w="1253"/>
        <w:gridCol w:w="1104"/>
        <w:gridCol w:w="1107"/>
        <w:gridCol w:w="211"/>
        <w:gridCol w:w="82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157,398 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from the year ended December 31, 2024 to the year ended December 31, 2025 was primarily due to an increase in net income as adjusted for non-cash expenses, of $60.7 million, driven by continued growth in revenue, as partially offset by cash paid for expenses to operate the growing business. Additionally, fluctuations in operating assets and liabilities resulted in a decrease of $39.4 million, driven by changes in the amount and timing of settlements and general growth of the business.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cash used in investing activities from the year ended December 31, 2024 to the year ended December 31, 2025 was primarily due to net cash inflow of $57.5 million from the maturities and purchases of investments during the year ended December 31, 2024.</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cash used in financing activities from the year ended December 31, 2024 to the year ended December 31, 2025 was primarily due to an increase in cash used for share repurchases of $76.7 million to continue to deliver shareholder value.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Year Ended December 31, 2024 Compared to Year Ended December 31, 2023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discussion of our liquidity and capital resources for the year ended December 31, 2024 compared to the year ended December 31, 2023 can be found in Part II, Item 7, “Management’s Discussion and Analysis of Financial Condition and Results of Operations” in the Company’s Annual Report on Form 10-K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16940"/>
                <wp:effectExtent l="0" t="0" r="0" b="0"/>
                <wp:wrapNone/>
                <wp:docPr id="94" name="Frame32"/>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64"/>
                                                <a:stretch>
                                                  <a:fillRect/>
                                                </a:stretch>
                                              </pic:blipFill>
                                              <pic:spPr bwMode="auto">
                                                <a:xfrm>
                                                  <a:off x="0" y="0"/>
                                                  <a:ext cx="266700" cy="257175"/>
                                                </a:xfrm>
                                                <a:prstGeom prst="rect">
                                                  <a:avLst/>
                                                </a:prstGeom>
                                              </pic:spPr>
                                            </pic:pic>
                                          </a:graphicData>
                                        </a:graphic>
                                      </wp:inline>
                                    </w:drawing>
                                  </w:r>
                                  <w:bookmarkStart w:id="62" w:name="i-33"/>
                                  <w:bookmarkEnd w:id="6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5"/>
                                          <a:stretch>
                                            <a:fillRect/>
                                          </a:stretch>
                                        </pic:blipFill>
                                        <pic:spPr bwMode="auto">
                                          <a:xfrm>
                                            <a:off x="0" y="0"/>
                                            <a:ext cx="266700" cy="257175"/>
                                          </a:xfrm>
                                          <a:prstGeom prst="rect">
                                            <a:avLst/>
                                          </a:prstGeom>
                                        </pic:spPr>
                                      </pic:pic>
                                    </a:graphicData>
                                  </a:graphic>
                                </wp:inline>
                              </w:drawing>
                            </w:r>
                            <w:bookmarkStart w:id="63" w:name="i-33"/>
                            <w:bookmarkEnd w:id="6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Contractual and Commercial Commitment Summary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and commercial commitments as of December 31, 2025 are summarized below:</w:t>
      </w:r>
    </w:p>
    <w:tbl>
      <w:tblPr>
        <w:tblW w:w="9047" w:type="dxa"/>
        <w:jc w:val="left"/>
        <w:tblInd w:w="0" w:type="dxa"/>
        <w:tblLayout w:type="fixed"/>
        <w:tblCellMar>
          <w:top w:w="28" w:type="dxa"/>
          <w:left w:w="28" w:type="dxa"/>
          <w:bottom w:w="28" w:type="dxa"/>
          <w:right w:w="28" w:type="dxa"/>
        </w:tblCellMar>
      </w:tblPr>
      <w:tblGrid>
        <w:gridCol w:w="911"/>
        <w:gridCol w:w="803"/>
        <w:gridCol w:w="805"/>
        <w:gridCol w:w="211"/>
        <w:gridCol w:w="721"/>
        <w:gridCol w:w="109"/>
        <w:gridCol w:w="109"/>
        <w:gridCol w:w="109"/>
        <w:gridCol w:w="109"/>
        <w:gridCol w:w="211"/>
        <w:gridCol w:w="79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(1)</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26,019 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44,280 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Operating lease obligations include imputed interest and are presented net of lease incentives deemed payable at lease commencement. We expect to utilize approximately $23 million of the available lease incentives under the sixth amendment to our current headquarters lease during the year ending December 31, 2027, with the approximately remaining $9 million to be utilized thereafter.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to develop and implement new products and applications,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expansion of our operations in the U.S. and internationally;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response of competitors to our products and applications;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capital for acquisitions.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cash flows from our operations will be sufficient to meet our working capital and capital expenditure requirements for at least the next twelve months.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Foreign Currency Exchange and Inflation Rate Changes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For information regarding the effects of foreign currency exchange and inflation rate changes, refer to the section entitled “</w:t>
      </w:r>
      <w:r>
        <w:rPr>
          <w:rFonts w:ascii="Times New Roman;serif" w:hAnsi="Times New Roman;serif"/>
          <w:b w:val="false"/>
          <w:i/>
          <w:color w:val="000000"/>
          <w:sz w:val="20"/>
        </w:rPr>
        <w:t>Foreign Currency Exchange and Inflation Risk,</w:t>
      </w:r>
      <w:r>
        <w:rPr>
          <w:color w:val="000000"/>
        </w:rPr>
        <w:t xml:space="preserve">” </w:t>
      </w:r>
      <w:r>
        <w:rPr>
          <w:rFonts w:ascii="Times New Roman;serif" w:hAnsi="Times New Roman;serif"/>
          <w:b w:val="false"/>
          <w:color w:val="000000"/>
          <w:sz w:val="20"/>
        </w:rPr>
        <w:t xml:space="preserve">included in Part II, Item 7A, “Quantitative and Qualitative Disclosures About Market Risk”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Recent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For information regarding recent accounting pronouncements, refer to Note A, General, in our Notes to Consolidated Financial Statements in the sections entitled “</w:t>
      </w:r>
      <w:r>
        <w:rPr>
          <w:rFonts w:ascii="Times New Roman;serif" w:hAnsi="Times New Roman;serif"/>
          <w:b w:val="false"/>
          <w:i/>
          <w:color w:val="000000"/>
          <w:sz w:val="20"/>
        </w:rPr>
        <w:t>Accounting Pronouncements Recently Adopted</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Accounting Pronouncements Not Yet Adopted</w:t>
      </w:r>
      <w:r>
        <w:rPr>
          <w:color w:val="000000"/>
        </w:rPr>
        <w:t xml:space="preserve">” </w:t>
      </w:r>
      <w:r>
        <w:rPr>
          <w:rFonts w:ascii="Times New Roman;serif" w:hAnsi="Times New Roman;serif"/>
          <w:b w:val="false"/>
          <w:color w:val="000000"/>
          <w:sz w:val="20"/>
        </w:rPr>
        <w:t>as applicable,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Rate Sensitivity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objectives of our investment activities are to preserve principal, provide liquidity, and maximize income consistent with minimizing risk of material loss. We are exposed to market risk related to changes in interest rates. We may choose based on our investment strategy to hold cash, cash equivalents, and investments in interest-bearing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16940"/>
                <wp:effectExtent l="0" t="0" r="0" b="0"/>
                <wp:wrapNone/>
                <wp:docPr id="97" name="Frame33"/>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66"/>
                                                <a:stretch>
                                                  <a:fillRect/>
                                                </a:stretch>
                                              </pic:blipFill>
                                              <pic:spPr bwMode="auto">
                                                <a:xfrm>
                                                  <a:off x="0" y="0"/>
                                                  <a:ext cx="266700" cy="257175"/>
                                                </a:xfrm>
                                                <a:prstGeom prst="rect">
                                                  <a:avLst/>
                                                </a:prstGeom>
                                              </pic:spPr>
                                            </pic:pic>
                                          </a:graphicData>
                                        </a:graphic>
                                      </wp:inline>
                                    </w:drawing>
                                  </w:r>
                                  <w:bookmarkStart w:id="64" w:name="i-34"/>
                                  <w:bookmarkEnd w:id="6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7"/>
                                          <a:stretch>
                                            <a:fillRect/>
                                          </a:stretch>
                                        </pic:blipFill>
                                        <pic:spPr bwMode="auto">
                                          <a:xfrm>
                                            <a:off x="0" y="0"/>
                                            <a:ext cx="266700" cy="257175"/>
                                          </a:xfrm>
                                          <a:prstGeom prst="rect">
                                            <a:avLst/>
                                          </a:prstGeom>
                                        </pic:spPr>
                                      </pic:pic>
                                    </a:graphicData>
                                  </a:graphic>
                                </wp:inline>
                              </w:drawing>
                            </w:r>
                            <w:bookmarkStart w:id="65" w:name="i-34"/>
                            <w:bookmarkEnd w:id="6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non-interest-bearing accounts. Based upon a sensitivity model, an immediate hypothetical 50-basis point change in interest rates at December 31, 2025 would have resulted in </w:t>
      </w:r>
      <w:r>
        <w:rPr>
          <w:rFonts w:ascii="Times New Roman;serif" w:hAnsi="Times New Roman;serif"/>
          <w:b w:val="false"/>
          <w:color w:val="000000"/>
          <w:sz w:val="20"/>
          <w:shd w:fill="FFFFFF" w:val="clear"/>
        </w:rPr>
        <w:t xml:space="preserve">a $0.6 million impact </w:t>
      </w:r>
      <w:r>
        <w:rPr>
          <w:rFonts w:ascii="Times New Roman;serif" w:hAnsi="Times New Roman;serif"/>
          <w:b w:val="false"/>
          <w:color w:val="000000"/>
          <w:sz w:val="20"/>
        </w:rPr>
        <w:t>on o</w:t>
      </w:r>
      <w:r>
        <w:rPr>
          <w:rFonts w:ascii="Times New Roman;serif" w:hAnsi="Times New Roman;serif"/>
          <w:b w:val="false"/>
          <w:color w:val="000000"/>
          <w:sz w:val="20"/>
          <w:shd w:fill="FFFFFF" w:val="clear"/>
        </w:rPr>
        <w:t xml:space="preserve">ur investment income included in net income for the year ended December 31, 2025. </w:t>
      </w:r>
      <w:r>
        <w:rPr>
          <w:rFonts w:ascii="Times New Roman;serif" w:hAnsi="Times New Roman;serif"/>
          <w:b w:val="false"/>
          <w:color w:val="000000"/>
          <w:sz w:val="20"/>
        </w:rPr>
        <w:t xml:space="preserve">We do not enter into investments for trading or speculative purposes. We did not have any variable interest rate outstanding debt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Foreign Currency Exchange and Inflation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Our predominate exposure to foreign currency exchange rates are due to non-monetary assets held in currencies other than the U.S. dollar, and thus fluctuations in currencies primarily result in comprehensive income (loss), not net income (loss).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sales are primarily denominated in U.S. dollars. Our expenses are generally denominated in the local currencies in which our operations are located. As of December 31, 2025</w:t>
      </w:r>
      <w:r>
        <w:rPr>
          <w:rFonts w:ascii="Times New Roman;serif" w:hAnsi="Times New Roman;serif"/>
          <w:b w:val="false"/>
          <w:color w:val="000000"/>
          <w:sz w:val="20"/>
          <w:shd w:fill="FFFFFF" w:val="clear"/>
        </w:rPr>
        <w:t>, we mai</w:t>
      </w:r>
      <w:r>
        <w:rPr>
          <w:rFonts w:ascii="Times New Roman;serif" w:hAnsi="Times New Roman;serif"/>
          <w:b w:val="false"/>
          <w:color w:val="000000"/>
          <w:sz w:val="20"/>
        </w:rPr>
        <w:t>ntained 12% of our total cash and cash equivalents in foreign currencies. Based upon a sensitivity model, an immediate hypothetical 10% unfavorable change in all foreign currency exchange rates would have resulted in a $1.8 million impact on our cash and cash equivalents held in currencies other than the U.S. dollar 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used any forward contracts or currency borrowings to hedge our exposure to foreign currency exchange risk, although we may do so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last three years, inflation and changing prices have not had a material effect on our business 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16940"/>
                <wp:effectExtent l="0" t="0" r="0" b="0"/>
                <wp:wrapNone/>
                <wp:docPr id="100" name="Frame34"/>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68"/>
                                                <a:stretch>
                                                  <a:fillRect/>
                                                </a:stretch>
                                              </pic:blipFill>
                                              <pic:spPr bwMode="auto">
                                                <a:xfrm>
                                                  <a:off x="0" y="0"/>
                                                  <a:ext cx="266700" cy="257175"/>
                                                </a:xfrm>
                                                <a:prstGeom prst="rect">
                                                  <a:avLst/>
                                                </a:prstGeom>
                                              </pic:spPr>
                                            </pic:pic>
                                          </a:graphicData>
                                        </a:graphic>
                                      </wp:inline>
                                    </w:drawing>
                                  </w:r>
                                  <w:bookmarkStart w:id="66" w:name="i-35"/>
                                  <w:bookmarkEnd w:id="6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9"/>
                                          <a:stretch>
                                            <a:fillRect/>
                                          </a:stretch>
                                        </pic:blipFill>
                                        <pic:spPr bwMode="auto">
                                          <a:xfrm>
                                            <a:off x="0" y="0"/>
                                            <a:ext cx="266700" cy="257175"/>
                                          </a:xfrm>
                                          <a:prstGeom prst="rect">
                                            <a:avLst/>
                                          </a:prstGeom>
                                        </pic:spPr>
                                      </pic:pic>
                                    </a:graphicData>
                                  </a:graphic>
                                </wp:inline>
                              </w:drawing>
                            </w:r>
                            <w:bookmarkStart w:id="67" w:name="i-35"/>
                            <w:bookmarkEnd w:id="6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8.    Financial Statements and Supplementary Data</w:t>
      </w:r>
    </w:p>
    <w:p>
      <w:pPr>
        <w:pStyle w:val="TextBody"/>
        <w:bidi w:val="0"/>
        <w:spacing w:lineRule="auto" w:line="288" w:before="120" w:after="283"/>
        <w:jc w:val="both"/>
        <w:rPr>
          <w:rFonts w:ascii="Times New Roman;serif" w:hAnsi="Times New Roman;serif"/>
          <w:b/>
          <w:color w:val="00AAE5"/>
          <w:sz w:val="20"/>
        </w:rPr>
      </w:pPr>
      <w:r>
        <w:rPr>
          <w:rFonts w:ascii="Times New Roman;serif" w:hAnsi="Times New Roman;serif"/>
          <w:b/>
          <w:color w:val="00AAE5"/>
          <w:sz w:val="20"/>
        </w:rPr>
        <w:t>SPS Commerce, Inc. and Subsidiaries Consolidated Financial Statements</w:t>
      </w:r>
    </w:p>
    <w:tbl>
      <w:tblPr>
        <w:tblW w:w="5307" w:type="dxa"/>
        <w:jc w:val="left"/>
        <w:tblInd w:w="0" w:type="dxa"/>
        <w:tblLayout w:type="fixed"/>
        <w:tblCellMar>
          <w:top w:w="28" w:type="dxa"/>
          <w:left w:w="28" w:type="dxa"/>
          <w:bottom w:w="28" w:type="dxa"/>
          <w:right w:w="28" w:type="dxa"/>
        </w:tblCellMar>
      </w:tblPr>
      <w:tblGrid>
        <w:gridCol w:w="1786"/>
        <w:gridCol w:w="1570"/>
        <w:gridCol w:w="1579"/>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15">
              <w:r>
                <w:rPr>
                  <w:rStyle w:val="InternetLink"/>
                  <w:rFonts w:ascii="Times New Roman;serif" w:hAnsi="Times New Roman;serif"/>
                  <w:b w:val="false"/>
                  <w:color w:val="0000FF"/>
                  <w:sz w:val="20"/>
                  <w:u w:val="single"/>
                </w:rPr>
                <w:t>Reports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15">
              <w:r>
                <w:rPr>
                  <w:rStyle w:val="InternetLink"/>
                  <w:rFonts w:ascii="Times New Roman;serif" w:hAnsi="Times New Roman;serif"/>
                  <w:b w:val="false"/>
                  <w:strike w:val="false"/>
                  <w:dstrike w:val="false"/>
                  <w:color w:val="000000"/>
                  <w:sz w:val="20"/>
                  <w:u w:val="none"/>
                  <w:effect w:val="none"/>
                </w:rPr>
                <w:t>36</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21">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21">
              <w:r>
                <w:rPr>
                  <w:rStyle w:val="InternetLink"/>
                  <w:rFonts w:ascii="Times New Roman;serif" w:hAnsi="Times New Roman;serif"/>
                  <w:b w:val="false"/>
                  <w:strike w:val="false"/>
                  <w:dstrike w:val="false"/>
                  <w:color w:val="000000"/>
                  <w:sz w:val="20"/>
                  <w:u w:val="none"/>
                  <w:effect w:val="none"/>
                </w:rPr>
                <w:t>39</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24">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24">
              <w:r>
                <w:rPr>
                  <w:rStyle w:val="InternetLink"/>
                  <w:rFonts w:ascii="Times New Roman;serif" w:hAnsi="Times New Roman;serif"/>
                  <w:b w:val="false"/>
                  <w:strike w:val="false"/>
                  <w:dstrike w:val="false"/>
                  <w:color w:val="000000"/>
                  <w:sz w:val="20"/>
                  <w:u w:val="none"/>
                  <w:effect w:val="none"/>
                </w:rPr>
                <w:t>40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27">
              <w:r>
                <w:rPr>
                  <w:rStyle w:val="InternetLink"/>
                  <w:rFonts w:ascii="Times New Roman;serif" w:hAnsi="Times New Roman;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27">
              <w:r>
                <w:rPr>
                  <w:rStyle w:val="InternetLink"/>
                  <w:rFonts w:ascii="Times New Roman;serif" w:hAnsi="Times New Roman;serif"/>
                  <w:b w:val="false"/>
                  <w:strike w:val="false"/>
                  <w:dstrike w:val="false"/>
                  <w:color w:val="000000"/>
                  <w:sz w:val="20"/>
                  <w:u w:val="none"/>
                  <w:effect w:val="none"/>
                </w:rPr>
                <w:t>41</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30">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30">
              <w:r>
                <w:rPr>
                  <w:rStyle w:val="InternetLink"/>
                  <w:rFonts w:ascii="Times New Roman;serif" w:hAnsi="Times New Roman;serif"/>
                  <w:b w:val="false"/>
                  <w:strike w:val="false"/>
                  <w:dstrike w:val="false"/>
                  <w:color w:val="000000"/>
                  <w:sz w:val="20"/>
                  <w:u w:val="none"/>
                  <w:effect w:val="none"/>
                </w:rPr>
                <w:t>42</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47c4d4a608418a937aab0bbf885985_136">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7c4d4a608418a937aab0bbf885985_136">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16940"/>
                <wp:effectExtent l="0" t="0" r="0" b="0"/>
                <wp:wrapNone/>
                <wp:docPr id="103" name="Frame35"/>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 descr=""/>
                                                <pic:cNvPicPr>
                                                  <a:picLocks noChangeAspect="1" noChangeArrowheads="1"/>
                                                </pic:cNvPicPr>
                                              </pic:nvPicPr>
                                              <pic:blipFill>
                                                <a:blip r:embed="rId70"/>
                                                <a:stretch>
                                                  <a:fillRect/>
                                                </a:stretch>
                                              </pic:blipFill>
                                              <pic:spPr bwMode="auto">
                                                <a:xfrm>
                                                  <a:off x="0" y="0"/>
                                                  <a:ext cx="266700" cy="257175"/>
                                                </a:xfrm>
                                                <a:prstGeom prst="rect">
                                                  <a:avLst/>
                                                </a:prstGeom>
                                              </pic:spPr>
                                            </pic:pic>
                                          </a:graphicData>
                                        </a:graphic>
                                      </wp:inline>
                                    </w:drawing>
                                  </w:r>
                                  <w:bookmarkStart w:id="68" w:name="i-36"/>
                                  <w:bookmarkEnd w:id="6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71"/>
                                          <a:stretch>
                                            <a:fillRect/>
                                          </a:stretch>
                                        </pic:blipFill>
                                        <pic:spPr bwMode="auto">
                                          <a:xfrm>
                                            <a:off x="0" y="0"/>
                                            <a:ext cx="266700" cy="257175"/>
                                          </a:xfrm>
                                          <a:prstGeom prst="rect">
                                            <a:avLst/>
                                          </a:prstGeom>
                                        </pic:spPr>
                                      </pic:pic>
                                    </a:graphicData>
                                  </a:graphic>
                                </wp:inline>
                              </w:drawing>
                            </w:r>
                            <w:bookmarkStart w:id="69" w:name="i-36"/>
                            <w:bookmarkEnd w:id="6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SPS Commerce, Inc.:</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Opinion on the Consolidated Financial Statements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audited the accompanying consolidated balance sheets of SPS Commerce, Inc. and subsidiaries (the Company) as of December 31, 2025 and 2024, the related consolidated statements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19, 2026 expressed an unqualified opinion on the effectiveness of the Company’s internal control over financial reporting.</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Basis for Opinion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Critical Audit Matter</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Evaluation of sufficiency of audit evidence over fulfillment and analytics revenue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discussed in Note C to the consolidated financial statements, the Company’s revenue is principally derived from recurring subscriptions to the Company’s Fulfillment and Analytics products. The Company recorded $637.6 million and $56.0 million of revenue for the year ended December 31, 2025, for the Fulfillment and Analytics products, respectively. The Company’s revenue recognition process is highly automated and is reliant upon information technology (IT) systems customized to recognize and record revenue.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identified the evaluation of sufficiency of audit evidence over fulfillment and analytics revenue as a critical audit matter. Subjective auditor judgment was required in determining the nature and extent of procedures to be performed over revenue as well as the need to involve IT professionals with specialized skills and knowledge to assist in the performance of certain procedures.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are the primary procedures we performed to address this critical audit matter. We applied auditor judgment to determine the nature and extent of procedures to be performed over fulfillment and analytics revenue. We evaluated the design and tested the operating effectiveness of certain internal controls related to revenue recognition. We involved IT professionals with specialized skills and knowledge, who assisted in testing the general IT and application controls of the systems used in the Company’s revenue recognition process. We performed a software-assisted data analysis to test relationships among certain revenue transactions. For a sample of transactions, we compared the amounts recognized by the Company with underlying documentation, including contracts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16940"/>
                <wp:effectExtent l="0" t="0" r="0" b="0"/>
                <wp:wrapNone/>
                <wp:docPr id="106" name="Frame36"/>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7" descr=""/>
                                                <pic:cNvPicPr>
                                                  <a:picLocks noChangeAspect="1" noChangeArrowheads="1"/>
                                                </pic:cNvPicPr>
                                              </pic:nvPicPr>
                                              <pic:blipFill>
                                                <a:blip r:embed="rId72"/>
                                                <a:stretch>
                                                  <a:fillRect/>
                                                </a:stretch>
                                              </pic:blipFill>
                                              <pic:spPr bwMode="auto">
                                                <a:xfrm>
                                                  <a:off x="0" y="0"/>
                                                  <a:ext cx="266700" cy="257175"/>
                                                </a:xfrm>
                                                <a:prstGeom prst="rect">
                                                  <a:avLst/>
                                                </a:prstGeom>
                                              </pic:spPr>
                                            </pic:pic>
                                          </a:graphicData>
                                        </a:graphic>
                                      </wp:inline>
                                    </w:drawing>
                                  </w:r>
                                  <w:bookmarkStart w:id="70" w:name="i-37"/>
                                  <w:bookmarkEnd w:id="7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73"/>
                                          <a:stretch>
                                            <a:fillRect/>
                                          </a:stretch>
                                        </pic:blipFill>
                                        <pic:spPr bwMode="auto">
                                          <a:xfrm>
                                            <a:off x="0" y="0"/>
                                            <a:ext cx="266700" cy="257175"/>
                                          </a:xfrm>
                                          <a:prstGeom prst="rect">
                                            <a:avLst/>
                                          </a:prstGeom>
                                        </pic:spPr>
                                      </pic:pic>
                                    </a:graphicData>
                                  </a:graphic>
                                </wp:inline>
                              </w:drawing>
                            </w:r>
                            <w:bookmarkStart w:id="71" w:name="i-37"/>
                            <w:bookmarkEnd w:id="7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customers and cash receipts. Additionally, for the same sample of transactions, we recalculated the amount of revenue recognized in the period based on the terms of the arrangement. In addition, we evaluated the sufficiency of audit evidence obtained over revenue by assessing the results of procedures performed, including the appropriateness of the nature and extent of such evidence.</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KPMG LLP</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served as the Company’s auditor since 2013.</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Minneapolis, Minnesota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19,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16940"/>
                <wp:effectExtent l="0" t="0" r="0" b="0"/>
                <wp:wrapNone/>
                <wp:docPr id="109" name="Frame37"/>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 descr=""/>
                                                <pic:cNvPicPr>
                                                  <a:picLocks noChangeAspect="1" noChangeArrowheads="1"/>
                                                </pic:cNvPicPr>
                                              </pic:nvPicPr>
                                              <pic:blipFill>
                                                <a:blip r:embed="rId74"/>
                                                <a:stretch>
                                                  <a:fillRect/>
                                                </a:stretch>
                                              </pic:blipFill>
                                              <pic:spPr bwMode="auto">
                                                <a:xfrm>
                                                  <a:off x="0" y="0"/>
                                                  <a:ext cx="266700" cy="257175"/>
                                                </a:xfrm>
                                                <a:prstGeom prst="rect">
                                                  <a:avLst/>
                                                </a:prstGeom>
                                              </pic:spPr>
                                            </pic:pic>
                                          </a:graphicData>
                                        </a:graphic>
                                      </wp:inline>
                                    </w:drawing>
                                  </w:r>
                                  <w:bookmarkStart w:id="72" w:name="i-38"/>
                                  <w:bookmarkEnd w:id="7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8" descr=""/>
                                          <pic:cNvPicPr>
                                            <a:picLocks noChangeAspect="1" noChangeArrowheads="1"/>
                                          </pic:cNvPicPr>
                                        </pic:nvPicPr>
                                        <pic:blipFill>
                                          <a:blip r:embed="rId75"/>
                                          <a:stretch>
                                            <a:fillRect/>
                                          </a:stretch>
                                        </pic:blipFill>
                                        <pic:spPr bwMode="auto">
                                          <a:xfrm>
                                            <a:off x="0" y="0"/>
                                            <a:ext cx="266700" cy="257175"/>
                                          </a:xfrm>
                                          <a:prstGeom prst="rect">
                                            <a:avLst/>
                                          </a:prstGeom>
                                        </pic:spPr>
                                      </pic:pic>
                                    </a:graphicData>
                                  </a:graphic>
                                </wp:inline>
                              </w:drawing>
                            </w:r>
                            <w:bookmarkStart w:id="73" w:name="i-38"/>
                            <w:bookmarkEnd w:id="7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Report of Independent Registered Public Accounting Firm </w:t>
      </w:r>
    </w:p>
    <w:p>
      <w:pPr>
        <w:pStyle w:val="TextBody"/>
        <w:bidi w:val="0"/>
        <w:spacing w:lineRule="auto" w:line="288" w:before="3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Stockholders and Board of Directors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SPS Commerce, Inc.:</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Opinion on Internal Control Over Financial Reporting</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audited SPS Commerce,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and our report dated February 19, 2026 expressed an unqualified opinion on those consolidated financial statements.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acquired Carbon6 Technologies, Inc. during 2025, and management excluded from its assessment of the effectiveness of the Company’s internal control over financial reporting as of December 31, 2025, Carbon6 Technologies, Inc.’s internal control over financial reporting associated with less than 5% of consolidated assets and approximately 5% of consolidated revenues included in the consolidated financial statements of the Company as of and for the year ended December 31, 2025. Our audit of internal control over financial reporting of the Company also excluded an evaluation of the internal control over financial reporting of Carbon6 Technologies, Inc.</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Basis for Opinion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KPMG LLP</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Minneapolis, Minnesota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16940"/>
                <wp:effectExtent l="0" t="0" r="0" b="0"/>
                <wp:wrapNone/>
                <wp:docPr id="112" name="Frame38"/>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76"/>
                                                <a:stretch>
                                                  <a:fillRect/>
                                                </a:stretch>
                                              </pic:blipFill>
                                              <pic:spPr bwMode="auto">
                                                <a:xfrm>
                                                  <a:off x="0" y="0"/>
                                                  <a:ext cx="266700" cy="257175"/>
                                                </a:xfrm>
                                                <a:prstGeom prst="rect">
                                                  <a:avLst/>
                                                </a:prstGeom>
                                              </pic:spPr>
                                            </pic:pic>
                                          </a:graphicData>
                                        </a:graphic>
                                      </wp:inline>
                                    </w:drawing>
                                  </w:r>
                                  <w:bookmarkStart w:id="74" w:name="i-39"/>
                                  <w:bookmarkEnd w:id="7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77"/>
                                          <a:stretch>
                                            <a:fillRect/>
                                          </a:stretch>
                                        </pic:blipFill>
                                        <pic:spPr bwMode="auto">
                                          <a:xfrm>
                                            <a:off x="0" y="0"/>
                                            <a:ext cx="266700" cy="257175"/>
                                          </a:xfrm>
                                          <a:prstGeom prst="rect">
                                            <a:avLst/>
                                          </a:prstGeom>
                                        </pic:spPr>
                                      </pic:pic>
                                    </a:graphicData>
                                  </a:graphic>
                                </wp:inline>
                              </w:drawing>
                            </w:r>
                            <w:bookmarkStart w:id="75" w:name="i-39"/>
                            <w:bookmarkEnd w:id="7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54"/>
        <w:gridCol w:w="2357"/>
        <w:gridCol w:w="2269"/>
        <w:gridCol w:w="196"/>
        <w:gridCol w:w="871"/>
        <w:gridCol w:w="109"/>
        <w:gridCol w:w="109"/>
        <w:gridCol w:w="109"/>
        <w:gridCol w:w="109"/>
        <w:gridCol w:w="196"/>
        <w:gridCol w:w="871"/>
        <w:gridCol w:w="155"/>
      </w:tblGrid>
      <w:tr>
        <w:trPr/>
        <w:tc>
          <w:tcPr>
            <w:tcW w:w="285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381,907 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1,031,230 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146,684 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I)</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110,000,000 shares authorized; 40,048,410 and 39,590,276 shares issued; and 37,517,239 and 37,661,308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2,531,171 and 1,928,968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(99,748)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336,099 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854,690 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1,031,230 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16940"/>
                <wp:effectExtent l="0" t="0" r="0" b="0"/>
                <wp:wrapNone/>
                <wp:docPr id="115" name="Frame39"/>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0" descr=""/>
                                                <pic:cNvPicPr>
                                                  <a:picLocks noChangeAspect="1" noChangeArrowheads="1"/>
                                                </pic:cNvPicPr>
                                              </pic:nvPicPr>
                                              <pic:blipFill>
                                                <a:blip r:embed="rId78"/>
                                                <a:stretch>
                                                  <a:fillRect/>
                                                </a:stretch>
                                              </pic:blipFill>
                                              <pic:spPr bwMode="auto">
                                                <a:xfrm>
                                                  <a:off x="0" y="0"/>
                                                  <a:ext cx="266700" cy="257175"/>
                                                </a:xfrm>
                                                <a:prstGeom prst="rect">
                                                  <a:avLst/>
                                                </a:prstGeom>
                                              </pic:spPr>
                                            </pic:pic>
                                          </a:graphicData>
                                        </a:graphic>
                                      </wp:inline>
                                    </w:drawing>
                                  </w:r>
                                  <w:bookmarkStart w:id="76" w:name="i-40"/>
                                  <w:bookmarkEnd w:id="7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0" descr=""/>
                                          <pic:cNvPicPr>
                                            <a:picLocks noChangeAspect="1" noChangeArrowheads="1"/>
                                          </pic:cNvPicPr>
                                        </pic:nvPicPr>
                                        <pic:blipFill>
                                          <a:blip r:embed="rId79"/>
                                          <a:stretch>
                                            <a:fillRect/>
                                          </a:stretch>
                                        </pic:blipFill>
                                        <pic:spPr bwMode="auto">
                                          <a:xfrm>
                                            <a:off x="0" y="0"/>
                                            <a:ext cx="266700" cy="257175"/>
                                          </a:xfrm>
                                          <a:prstGeom prst="rect">
                                            <a:avLst/>
                                          </a:prstGeom>
                                        </pic:spPr>
                                      </pic:pic>
                                    </a:graphicData>
                                  </a:graphic>
                                </wp:inline>
                              </w:drawing>
                            </w:r>
                            <w:bookmarkStart w:id="77" w:name="i-40"/>
                            <w:bookmarkEnd w:id="7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AAE5"/>
          <w:sz w:val="20"/>
          <w:shd w:fill="FFFFFF" w:val="clear"/>
        </w:rPr>
      </w:pPr>
      <w:r>
        <w:rPr>
          <w:rFonts w:ascii="Times New Roman;serif" w:hAnsi="Times New Roman;serif"/>
          <w:b/>
          <w:color w:val="00AAE5"/>
          <w:sz w:val="20"/>
          <w:shd w:fill="FFFFFF" w:val="clear"/>
        </w:rPr>
        <w:t>SPS COMMERCE, INC.</w:t>
      </w:r>
    </w:p>
    <w:p>
      <w:pPr>
        <w:pStyle w:val="TextBody"/>
        <w:bidi w:val="0"/>
        <w:spacing w:lineRule="auto" w:line="288" w:before="0" w:after="0"/>
        <w:jc w:val="center"/>
        <w:rPr>
          <w:rFonts w:ascii="Times New Roman;serif" w:hAnsi="Times New Roman;serif"/>
          <w:b/>
          <w:color w:val="00AAE5"/>
          <w:sz w:val="20"/>
          <w:shd w:fill="FFFFFF" w:val="clear"/>
        </w:rPr>
      </w:pPr>
      <w:r>
        <w:rPr>
          <w:rFonts w:ascii="Times New Roman;serif" w:hAnsi="Times New Roman;serif"/>
          <w:b/>
          <w:color w:val="00AAE5"/>
          <w:sz w:val="20"/>
          <w:shd w:fill="FFFFFF" w:val="clear"/>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319"/>
        <w:gridCol w:w="1871"/>
        <w:gridCol w:w="1877"/>
        <w:gridCol w:w="211"/>
        <w:gridCol w:w="826"/>
        <w:gridCol w:w="109"/>
        <w:gridCol w:w="109"/>
        <w:gridCol w:w="109"/>
        <w:gridCol w:w="109"/>
        <w:gridCol w:w="211"/>
        <w:gridCol w:w="826"/>
        <w:gridCol w:w="109"/>
        <w:gridCol w:w="109"/>
        <w:gridCol w:w="109"/>
        <w:gridCol w:w="109"/>
        <w:gridCol w:w="211"/>
        <w:gridCol w:w="826"/>
        <w:gridCol w:w="155"/>
      </w:tblGrid>
      <w:tr>
        <w:trPr/>
        <w:tc>
          <w:tcPr>
            <w:tcW w:w="231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3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354,841 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 net of tax of $—, $363, and $644,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of gain on investments into earnings, net of tax of $—, $(537), and $(564),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to compute 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916940"/>
                <wp:effectExtent l="0" t="0" r="0" b="0"/>
                <wp:wrapNone/>
                <wp:docPr id="118" name="Frame40"/>
                <a:graphic xmlns:a="http://schemas.openxmlformats.org/drawingml/2006/main">
                  <a:graphicData uri="http://schemas.microsoft.com/office/word/2010/wordprocessingShape">
                    <wps:wsp>
                      <wps:cNvSpPr txBox="1"/>
                      <wps:spPr>
                        <a:xfrm>
                          <a:off x="0" y="0"/>
                          <a:ext cx="6480175" cy="916940"/>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1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1" descr=""/>
                                                <pic:cNvPicPr>
                                                  <a:picLocks noChangeAspect="1" noChangeArrowheads="1"/>
                                                </pic:cNvPicPr>
                                              </pic:nvPicPr>
                                              <pic:blipFill>
                                                <a:blip r:embed="rId80"/>
                                                <a:stretch>
                                                  <a:fillRect/>
                                                </a:stretch>
                                              </pic:blipFill>
                                              <pic:spPr bwMode="auto">
                                                <a:xfrm>
                                                  <a:off x="0" y="0"/>
                                                  <a:ext cx="266700" cy="257175"/>
                                                </a:xfrm>
                                                <a:prstGeom prst="rect">
                                                  <a:avLst/>
                                                </a:prstGeom>
                                              </pic:spPr>
                                            </pic:pic>
                                          </a:graphicData>
                                        </a:graphic>
                                      </wp:inline>
                                    </w:drawing>
                                  </w:r>
                                  <w:bookmarkStart w:id="78" w:name="i-41"/>
                                  <w:bookmarkEnd w:id="7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257175"/>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81"/>
                                          <a:stretch>
                                            <a:fillRect/>
                                          </a:stretch>
                                        </pic:blipFill>
                                        <pic:spPr bwMode="auto">
                                          <a:xfrm>
                                            <a:off x="0" y="0"/>
                                            <a:ext cx="266700" cy="257175"/>
                                          </a:xfrm>
                                          <a:prstGeom prst="rect">
                                            <a:avLst/>
                                          </a:prstGeom>
                                        </pic:spPr>
                                      </pic:pic>
                                    </a:graphicData>
                                  </a:graphic>
                                </wp:inline>
                              </w:drawing>
                            </w:r>
                            <w:bookmarkStart w:id="79" w:name="i-41"/>
                            <w:bookmarkEnd w:id="7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CONSOLIDATED STATEMENTS OF STOCKHOLDERS' EQUITY</w:t>
      </w:r>
    </w:p>
    <w:tbl>
      <w:tblPr>
        <w:tblW w:w="11395" w:type="dxa"/>
        <w:jc w:val="center"/>
        <w:tblInd w:w="0" w:type="dxa"/>
        <w:tblLayout w:type="fixed"/>
        <w:tblCellMar>
          <w:top w:w="28" w:type="dxa"/>
          <w:left w:w="28" w:type="dxa"/>
          <w:bottom w:w="28" w:type="dxa"/>
          <w:right w:w="28" w:type="dxa"/>
        </w:tblCellMar>
      </w:tblPr>
      <w:tblGrid>
        <w:gridCol w:w="562"/>
        <w:gridCol w:w="244"/>
        <w:gridCol w:w="245"/>
        <w:gridCol w:w="480"/>
        <w:gridCol w:w="481"/>
        <w:gridCol w:w="171"/>
        <w:gridCol w:w="109"/>
        <w:gridCol w:w="109"/>
        <w:gridCol w:w="109"/>
        <w:gridCol w:w="196"/>
        <w:gridCol w:w="331"/>
        <w:gridCol w:w="109"/>
        <w:gridCol w:w="109"/>
        <w:gridCol w:w="109"/>
        <w:gridCol w:w="109"/>
        <w:gridCol w:w="435"/>
        <w:gridCol w:w="436"/>
        <w:gridCol w:w="17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28"/>
        <w:gridCol w:w="665"/>
        <w:gridCol w:w="128"/>
        <w:gridCol w:w="109"/>
        <w:gridCol w:w="109"/>
        <w:gridCol w:w="109"/>
        <w:gridCol w:w="196"/>
        <w:gridCol w:w="73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shares)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36,158,046 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598,361 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36,820,048 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667,475 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557,151 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61,979 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(205,331)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205,331 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427,461 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(427,461)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37,661,308 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(9,683)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854,690 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 net of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(969,965)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969,965 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Reissuances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378,100 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(378,100)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37,517,239 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2,531,171 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(177,949)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722,737 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973,893 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5665"/>
                <wp:effectExtent l="0" t="0" r="0" b="0"/>
                <wp:wrapNone/>
                <wp:docPr id="121" name="Frame41"/>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82"/>
                                                <a:stretch>
                                                  <a:fillRect/>
                                                </a:stretch>
                                              </pic:blipFill>
                                              <pic:spPr bwMode="auto">
                                                <a:xfrm>
                                                  <a:off x="0" y="0"/>
                                                  <a:ext cx="266700" cy="257175"/>
                                                </a:xfrm>
                                                <a:prstGeom prst="rect">
                                                  <a:avLst/>
                                                </a:prstGeom>
                                              </pic:spPr>
                                            </pic:pic>
                                          </a:graphicData>
                                        </a:graphic>
                                      </wp:inline>
                                    </w:drawing>
                                  </w:r>
                                  <w:bookmarkStart w:id="80" w:name="i-42"/>
                                  <w:bookmarkEnd w:id="8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83"/>
                                          <a:stretch>
                                            <a:fillRect/>
                                          </a:stretch>
                                        </pic:blipFill>
                                        <pic:spPr bwMode="auto">
                                          <a:xfrm>
                                            <a:off x="0" y="0"/>
                                            <a:ext cx="266700" cy="257175"/>
                                          </a:xfrm>
                                          <a:prstGeom prst="rect">
                                            <a:avLst/>
                                          </a:prstGeom>
                                        </pic:spPr>
                                      </pic:pic>
                                    </a:graphicData>
                                  </a:graphic>
                                </wp:inline>
                              </w:drawing>
                            </w:r>
                            <w:bookmarkStart w:id="81" w:name="i-42"/>
                            <w:bookmarkEnd w:id="8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CONSOLIDATED STATEMENTS OF CASH FLOWS</w:t>
      </w:r>
    </w:p>
    <w:tbl>
      <w:tblPr>
        <w:tblW w:w="10197" w:type="dxa"/>
        <w:jc w:val="center"/>
        <w:tblInd w:w="0" w:type="dxa"/>
        <w:tblLayout w:type="fixed"/>
        <w:tblCellMar>
          <w:top w:w="28" w:type="dxa"/>
          <w:left w:w="28" w:type="dxa"/>
          <w:bottom w:w="28" w:type="dxa"/>
          <w:right w:w="28" w:type="dxa"/>
        </w:tblCellMar>
      </w:tblPr>
      <w:tblGrid>
        <w:gridCol w:w="2192"/>
        <w:gridCol w:w="1931"/>
        <w:gridCol w:w="1937"/>
        <w:gridCol w:w="211"/>
        <w:gridCol w:w="826"/>
        <w:gridCol w:w="109"/>
        <w:gridCol w:w="109"/>
        <w:gridCol w:w="109"/>
        <w:gridCol w:w="109"/>
        <w:gridCol w:w="211"/>
        <w:gridCol w:w="826"/>
        <w:gridCol w:w="109"/>
        <w:gridCol w:w="109"/>
        <w:gridCol w:w="109"/>
        <w:gridCol w:w="109"/>
        <w:gridCol w:w="211"/>
        <w:gridCol w:w="826"/>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5665"/>
                <wp:effectExtent l="0" t="0" r="0" b="0"/>
                <wp:wrapNone/>
                <wp:docPr id="124" name="Frame42"/>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84"/>
                                                <a:stretch>
                                                  <a:fillRect/>
                                                </a:stretch>
                                              </pic:blipFill>
                                              <pic:spPr bwMode="auto">
                                                <a:xfrm>
                                                  <a:off x="0" y="0"/>
                                                  <a:ext cx="266700" cy="257175"/>
                                                </a:xfrm>
                                                <a:prstGeom prst="rect">
                                                  <a:avLst/>
                                                </a:prstGeom>
                                              </pic:spPr>
                                            </pic:pic>
                                          </a:graphicData>
                                        </a:graphic>
                                      </wp:inline>
                                    </w:drawing>
                                  </w:r>
                                  <w:bookmarkStart w:id="82" w:name="i-43"/>
                                  <w:bookmarkEnd w:id="8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3" descr=""/>
                                          <pic:cNvPicPr>
                                            <a:picLocks noChangeAspect="1" noChangeArrowheads="1"/>
                                          </pic:cNvPicPr>
                                        </pic:nvPicPr>
                                        <pic:blipFill>
                                          <a:blip r:embed="rId85"/>
                                          <a:stretch>
                                            <a:fillRect/>
                                          </a:stretch>
                                        </pic:blipFill>
                                        <pic:spPr bwMode="auto">
                                          <a:xfrm>
                                            <a:off x="0" y="0"/>
                                            <a:ext cx="266700" cy="257175"/>
                                          </a:xfrm>
                                          <a:prstGeom prst="rect">
                                            <a:avLst/>
                                          </a:prstGeom>
                                        </pic:spPr>
                                      </pic:pic>
                                    </a:graphicData>
                                  </a:graphic>
                                </wp:inline>
                              </w:drawing>
                            </w:r>
                            <w:bookmarkStart w:id="83" w:name="i-43"/>
                            <w:bookmarkEnd w:id="8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A – General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 Description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a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r>
        <w:rPr>
          <w:color w:val="000000"/>
        </w:rPr>
        <w:t xml:space="preserv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(expense) within the consolidated statements of comprehensive income and the consolidated statements of stockholders' equity. Gains or losses resulting from transactions denominated in foreign currencies are included in other income, net in our consolidated statements of comprehensive income.</w:t>
      </w:r>
    </w:p>
    <w:p>
      <w:pPr>
        <w:pStyle w:val="TextBody"/>
        <w:bidi w:val="0"/>
        <w:spacing w:lineRule="auto" w:line="288" w:before="240" w:after="283"/>
        <w:jc w:val="both"/>
        <w:rPr>
          <w:rFonts w:ascii="Times New Roman;serif" w:hAnsi="Times New Roman;serif"/>
          <w:b/>
          <w:i/>
          <w:color w:val="1F282C"/>
          <w:sz w:val="20"/>
        </w:rPr>
      </w:pPr>
      <w:r>
        <w:rPr>
          <w:rFonts w:ascii="Times New Roman;serif" w:hAnsi="Times New Roman;serif"/>
          <w:b/>
          <w:i/>
          <w:color w:val="1F282C"/>
          <w:sz w:val="20"/>
        </w:rPr>
        <w:t>Use of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acquired include tangible and intangible assets. We use estimates and assumptions that we believe are reasonable as a part of the purchase price allocation, which includes the process to determine the fair value of purchased intangible assets and the process to determine the value of any contingent consideration liabilities. We value identifiable intangible assets using variants of the income approach, such as the relief-from-royalty and multi-period excess earnings methods. The income approach uses estimates such as future expected cash flows from acquired customers and developed technology from a market participant perspective, useful lives, and discount rates to estimate the fair values of the identifiable intangible assets. We record the acquisition-date fair value of any contingent liabilities, such as earn-out provisions, as part of the consideration transferred, if present. The unsettled earn-out liability, if any, is subsequently remeasured at each reporting date at fair value through earnings.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 capital purchase price adjustment as applicable. Upon the conclusion of the measurement period or final determination of the fair values, whichever comes first, any subsequent adjustments would be recorded in our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75665"/>
                <wp:effectExtent l="0" t="0" r="0" b="0"/>
                <wp:wrapNone/>
                <wp:docPr id="127" name="Frame43"/>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4" descr=""/>
                                                <pic:cNvPicPr>
                                                  <a:picLocks noChangeAspect="1" noChangeArrowheads="1"/>
                                                </pic:cNvPicPr>
                                              </pic:nvPicPr>
                                              <pic:blipFill>
                                                <a:blip r:embed="rId86"/>
                                                <a:stretch>
                                                  <a:fillRect/>
                                                </a:stretch>
                                              </pic:blipFill>
                                              <pic:spPr bwMode="auto">
                                                <a:xfrm>
                                                  <a:off x="0" y="0"/>
                                                  <a:ext cx="266700" cy="257175"/>
                                                </a:xfrm>
                                                <a:prstGeom prst="rect">
                                                  <a:avLst/>
                                                </a:prstGeom>
                                              </pic:spPr>
                                            </pic:pic>
                                          </a:graphicData>
                                        </a:graphic>
                                      </wp:inline>
                                    </w:drawing>
                                  </w:r>
                                  <w:bookmarkStart w:id="84" w:name="i-44"/>
                                  <w:bookmarkEnd w:id="8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2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4" descr=""/>
                                          <pic:cNvPicPr>
                                            <a:picLocks noChangeAspect="1" noChangeArrowheads="1"/>
                                          </pic:cNvPicPr>
                                        </pic:nvPicPr>
                                        <pic:blipFill>
                                          <a:blip r:embed="rId87"/>
                                          <a:stretch>
                                            <a:fillRect/>
                                          </a:stretch>
                                        </pic:blipFill>
                                        <pic:spPr bwMode="auto">
                                          <a:xfrm>
                                            <a:off x="0" y="0"/>
                                            <a:ext cx="266700" cy="257175"/>
                                          </a:xfrm>
                                          <a:prstGeom prst="rect">
                                            <a:avLst/>
                                          </a:prstGeom>
                                        </pic:spPr>
                                      </pic:pic>
                                    </a:graphicData>
                                  </a:graphic>
                                </wp:inline>
                              </w:drawing>
                            </w:r>
                            <w:bookmarkStart w:id="85" w:name="i-44"/>
                            <w:bookmarkEnd w:id="8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Information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single operating and reporting segment we have is Supply Chain Management Solutions. This segment derives revenues from customers by providing access to our cloud-based supply chain management services, primarily under subscription-based service arrangements.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Chief Executive Officer acts as the Company’s chief operating decision maker (“CODM”). Our CODM primarily reviews revenue, consolidated net income, and consolidated Adjusted EBITDA for purposes of allocating resources and evaluating financial performance. These measures are used to monitor budget versus actual results as well as trends versus historical performance, which are the CODM's primary considerations to assess performance. The CODM does not use an asset measure to allocate resources or evaluate the consolidated performance. There are no segment managers who are held accountable by the CODM, or anyone else, for operations, operating results and planning for levels or components below the consolidated unit level. Adjusted EBITDA is a non-GAAP financial measure also reported in Part II, Item 7, "Management’s Discussion and Analysis of Financial Condition and Results of Operations" of this Annual Report on Form 10-K.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principally of cash and cash equivalents in financial institutions in excess of federally insured limits, accounts receivable, and investments. Cash and cash equivalents are held with financial institutions that we believe are subject to minimal risk. Concentrations of credit risk with respect to accounts receivable are subject to the financial condition of our customers, which are routinely assessed for potential credit losses. We believe that the receivable credit risk exposure is limited. Our investment policy limits the amount of credit exposure with any one financial institution or commercial issuer and sets requirements regarding credit rating and investment maturities to safeguard liquidity and minimize risk.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highly liquid investments with original maturities of less than 90 days.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classified as available for sale are carried at fair value and the unrealized gains and losses on these investments, net of taxes, are included in accumulated other comprehensive gain (loss) in the consolidated balance sheets. Realized gains or losses are included in other income (expense), net in the consolidated statements of comprehensive income, on a specific identification basis. Certain securities accrue interest that is included in other income (expense), net as investment income. Investment income includes interest earned on securities, net of amortization of premiums and accretion of discounts from the purchase of available for sale securities, and interest earned on our cash and cash equivalents. If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consolidated statements of comprehensive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our short-term financial instruments, which include cash, cash equivalents, accounts receivable, and accounts payable, approximates fair value due to their short-term nature.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are used to measure fair value are: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5665"/>
                <wp:effectExtent l="0" t="0" r="0" b="0"/>
                <wp:wrapNone/>
                <wp:docPr id="130" name="Frame44"/>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5" descr=""/>
                                                <pic:cNvPicPr>
                                                  <a:picLocks noChangeAspect="1" noChangeArrowheads="1"/>
                                                </pic:cNvPicPr>
                                              </pic:nvPicPr>
                                              <pic:blipFill>
                                                <a:blip r:embed="rId88"/>
                                                <a:stretch>
                                                  <a:fillRect/>
                                                </a:stretch>
                                              </pic:blipFill>
                                              <pic:spPr bwMode="auto">
                                                <a:xfrm>
                                                  <a:off x="0" y="0"/>
                                                  <a:ext cx="266700" cy="257175"/>
                                                </a:xfrm>
                                                <a:prstGeom prst="rect">
                                                  <a:avLst/>
                                                </a:prstGeom>
                                              </pic:spPr>
                                            </pic:pic>
                                          </a:graphicData>
                                        </a:graphic>
                                      </wp:inline>
                                    </w:drawing>
                                  </w:r>
                                  <w:bookmarkStart w:id="86" w:name="i-45"/>
                                  <w:bookmarkEnd w:id="8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5" descr=""/>
                                          <pic:cNvPicPr>
                                            <a:picLocks noChangeAspect="1" noChangeArrowheads="1"/>
                                          </pic:cNvPicPr>
                                        </pic:nvPicPr>
                                        <pic:blipFill>
                                          <a:blip r:embed="rId89"/>
                                          <a:stretch>
                                            <a:fillRect/>
                                          </a:stretch>
                                        </pic:blipFill>
                                        <pic:spPr bwMode="auto">
                                          <a:xfrm>
                                            <a:off x="0" y="0"/>
                                            <a:ext cx="266700" cy="257175"/>
                                          </a:xfrm>
                                          <a:prstGeom prst="rect">
                                            <a:avLst/>
                                          </a:prstGeom>
                                        </pic:spPr>
                                      </pic:pic>
                                    </a:graphicData>
                                  </a:graphic>
                                </wp:inline>
                              </w:drawing>
                            </w:r>
                            <w:bookmarkStart w:id="87" w:name="i-45"/>
                            <w:bookmarkEnd w:id="8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Level 3 – unobservable inputs to the valuation methodology that are significant to the measurement of fair value of assets or liabilities.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measure certain assets and liabilities at fair value on a nonrecurring basis, including long-lived assets, goodwill, and indefinite-lived intangible assets.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are initially recorded upon the sale and invoicing of products to customers. Credit is granted in the normal course of business without collateral. Accounts receivable are stated net of allowances for credit losses, which represent estimated losses resulting from customers not making required payments on accounts receivables. When determining the allowance, we pool our outstanding accounts receivable invoices based on the contractual due date of payment.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including assets acquired under lease obligations, are stated at cost, net of accumulated depreciation and amortization. Depreciation and amortization expense is calculated using the straight-line method over the estimated useful lives, commencing on the earlier date in which the asset is placed in service or ready for its intended use.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property and equipment were as follows:</w:t>
      </w:r>
    </w:p>
    <w:tbl>
      <w:tblPr>
        <w:tblW w:w="8414" w:type="dxa"/>
        <w:jc w:val="left"/>
        <w:tblInd w:w="0" w:type="dxa"/>
        <w:tblLayout w:type="fixed"/>
        <w:tblCellMar>
          <w:top w:w="28" w:type="dxa"/>
          <w:left w:w="28" w:type="dxa"/>
          <w:bottom w:w="28" w:type="dxa"/>
          <w:right w:w="28" w:type="dxa"/>
        </w:tblCellMar>
      </w:tblPr>
      <w:tblGrid>
        <w:gridCol w:w="949"/>
        <w:gridCol w:w="837"/>
        <w:gridCol w:w="839"/>
        <w:gridCol w:w="1695"/>
        <w:gridCol w:w="1695"/>
        <w:gridCol w:w="2399"/>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useful life of the asset or the remaining term of the lease</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capitalize and amortize eligible costs to acquire or generate internally developed software that are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is expensed as incurred.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Operating leases with initial terms longer than 12 months are included in operating lease right-of-use assets, current operating lease liabilities, and non-current operating lease liabilities in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5665"/>
                <wp:effectExtent l="0" t="0" r="0" b="0"/>
                <wp:wrapNone/>
                <wp:docPr id="133" name="Frame45"/>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6" descr=""/>
                                                <pic:cNvPicPr>
                                                  <a:picLocks noChangeAspect="1" noChangeArrowheads="1"/>
                                                </pic:cNvPicPr>
                                              </pic:nvPicPr>
                                              <pic:blipFill>
                                                <a:blip r:embed="rId90"/>
                                                <a:stretch>
                                                  <a:fillRect/>
                                                </a:stretch>
                                              </pic:blipFill>
                                              <pic:spPr bwMode="auto">
                                                <a:xfrm>
                                                  <a:off x="0" y="0"/>
                                                  <a:ext cx="266700" cy="257175"/>
                                                </a:xfrm>
                                                <a:prstGeom prst="rect">
                                                  <a:avLst/>
                                                </a:prstGeom>
                                              </pic:spPr>
                                            </pic:pic>
                                          </a:graphicData>
                                        </a:graphic>
                                      </wp:inline>
                                    </w:drawing>
                                  </w:r>
                                  <w:bookmarkStart w:id="88" w:name="i-46"/>
                                  <w:bookmarkEnd w:id="8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6" descr=""/>
                                          <pic:cNvPicPr>
                                            <a:picLocks noChangeAspect="1" noChangeArrowheads="1"/>
                                          </pic:cNvPicPr>
                                        </pic:nvPicPr>
                                        <pic:blipFill>
                                          <a:blip r:embed="rId91"/>
                                          <a:stretch>
                                            <a:fillRect/>
                                          </a:stretch>
                                        </pic:blipFill>
                                        <pic:spPr bwMode="auto">
                                          <a:xfrm>
                                            <a:off x="0" y="0"/>
                                            <a:ext cx="266700" cy="257175"/>
                                          </a:xfrm>
                                          <a:prstGeom prst="rect">
                                            <a:avLst/>
                                          </a:prstGeom>
                                        </pic:spPr>
                                      </pic:pic>
                                    </a:graphicData>
                                  </a:graphic>
                                </wp:inline>
                              </w:drawing>
                            </w:r>
                            <w:bookmarkStart w:id="89" w:name="i-46"/>
                            <w:bookmarkEnd w:id="8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interest rate when readily determinable. We estimate the discount rate for a similar collateralized asset by estimating costs of borrowing. The operating lease ROU asset also includes any lease payments made and lease incentives that have been or are deemed probable to be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Variable lease payments primarily consist of common area maintenance charges and real estate taxes, which are based on our pro rata share of actual costs incurred by the landlord. These variable lease payments are excluded from the measurement of our operating lease right-of-use assets and lease liabilities and are recognized as lease cost in the period in which the obligation for those payments is incurred.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primarily include development, maintenance, and data conversion activities related to our cloud-based supply chain management products and are expensed as incurred. Research and development costs are net of amounts capitalized as internally developed software.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identifiable net assets acquired in business combinations. Goodwill is attributed to a trained workforce and other buyer-specific value resulting from expected synergies, including long-term cost savings, which are not included in the fair values of identifiable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our single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Assets acquired in business combinations may include identifiable intangible assets such as customer relationships and developed technology. We recognize the fair value of the identifiable intangible assets acquired separately from goodwill. We have determined the fair value and useful lives of our purchased intangible assets using certain estimates and assumptions that we believe are reasonable. The purchased intangible assets are being amortized on a straight-line basis over their estimated useful lives.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for intangible assets were as follows:</w:t>
      </w:r>
    </w:p>
    <w:tbl>
      <w:tblPr>
        <w:tblW w:w="3688" w:type="dxa"/>
        <w:jc w:val="left"/>
        <w:tblInd w:w="0" w:type="dxa"/>
        <w:tblLayout w:type="fixed"/>
        <w:tblCellMar>
          <w:top w:w="28" w:type="dxa"/>
          <w:left w:w="28" w:type="dxa"/>
          <w:bottom w:w="28" w:type="dxa"/>
          <w:right w:w="28" w:type="dxa"/>
        </w:tblCellMar>
      </w:tblPr>
      <w:tblGrid>
        <w:gridCol w:w="722"/>
        <w:gridCol w:w="635"/>
        <w:gridCol w:w="637"/>
        <w:gridCol w:w="496"/>
        <w:gridCol w:w="496"/>
        <w:gridCol w:w="70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94"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7-10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5-10 years</w:t>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and recorded as an expense in the consolidated statements of comprehensive income as the amount by which the carrying amount of a long-lived asset exceeds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75665"/>
                <wp:effectExtent l="0" t="0" r="0" b="0"/>
                <wp:wrapNone/>
                <wp:docPr id="136" name="Frame46"/>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7" descr=""/>
                                                <pic:cNvPicPr>
                                                  <a:picLocks noChangeAspect="1" noChangeArrowheads="1"/>
                                                </pic:cNvPicPr>
                                              </pic:nvPicPr>
                                              <pic:blipFill>
                                                <a:blip r:embed="rId92"/>
                                                <a:stretch>
                                                  <a:fillRect/>
                                                </a:stretch>
                                              </pic:blipFill>
                                              <pic:spPr bwMode="auto">
                                                <a:xfrm>
                                                  <a:off x="0" y="0"/>
                                                  <a:ext cx="266700" cy="257175"/>
                                                </a:xfrm>
                                                <a:prstGeom prst="rect">
                                                  <a:avLst/>
                                                </a:prstGeom>
                                              </pic:spPr>
                                            </pic:pic>
                                          </a:graphicData>
                                        </a:graphic>
                                      </wp:inline>
                                    </w:drawing>
                                  </w:r>
                                  <w:bookmarkStart w:id="90" w:name="i-47"/>
                                  <w:bookmarkEnd w:id="9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7" descr=""/>
                                          <pic:cNvPicPr>
                                            <a:picLocks noChangeAspect="1" noChangeArrowheads="1"/>
                                          </pic:cNvPicPr>
                                        </pic:nvPicPr>
                                        <pic:blipFill>
                                          <a:blip r:embed="rId93"/>
                                          <a:stretch>
                                            <a:fillRect/>
                                          </a:stretch>
                                        </pic:blipFill>
                                        <pic:spPr bwMode="auto">
                                          <a:xfrm>
                                            <a:off x="0" y="0"/>
                                            <a:ext cx="266700" cy="257175"/>
                                          </a:xfrm>
                                          <a:prstGeom prst="rect">
                                            <a:avLst/>
                                          </a:prstGeom>
                                        </pic:spPr>
                                      </pic:pic>
                                    </a:graphicData>
                                  </a:graphic>
                                </wp:inline>
                              </w:drawing>
                            </w:r>
                            <w:bookmarkStart w:id="91" w:name="i-47"/>
                            <w:bookmarkEnd w:id="9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Revenues are the amount that reflects the consideration we are contractually and legally entitled to, as well as the amount we expect to collect, in exchange for those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determine revenue recognition through the following steps: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Identification of the contract, or contracts, with a customer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Identification of the performance obligations in the contract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Determination of the transaction price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Allocation of the transaction price to the performance obligations in the contract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Recognition of revenue when, or as, we satisfy a performance obligation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C for further descriptions of our revenue recognition policy.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Deferred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Deferred costs are those that are incurred to fulfill or obtain customer contracts and that are considered incremental and recoverable costs. These consist primarily of customer implementation costs and certain commissions paid to sales personnel and referral partners, respectively, at contract inception. These costs are deferred and amortized over the expected period of benefit which we have determined primarily to be two years.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Customer implementation costs are based on actual costs</w:t>
      </w:r>
      <w:r>
        <w:rPr>
          <w:color w:val="000000"/>
        </w:rPr>
        <w:t xml:space="preserve"> </w:t>
      </w:r>
      <w:r>
        <w:rPr>
          <w:rFonts w:ascii="Times New Roman;serif" w:hAnsi="Times New Roman;serif"/>
          <w:b w:val="false"/>
          <w:color w:val="000000"/>
          <w:sz w:val="20"/>
        </w:rPr>
        <w:t>incurred. Related amortization expense is included in cost of revenues in the consolidated statements of comprehensive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commissions are calculated based on estimated annual recurring revenue to be generated over the customer’s initial contract period. Related amortization expense is included in sales and marketing expenses in the consolidated statements of comprehensive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includes grants of incentive and nonqualified stock options, performance share units (“PSUs”), restricted stock awards (“RSAs”), restricted stock units (“RSUs”), deferred stock units (“DSUs”), employee stock purchase plan (“ESPP”) activity, and 401(k) stock match and is used to compensate employees, executive officers, and non-employee directors.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 the cost of all stock-based payments based on the grant date fair value of those awards. This cost is recognized over the period for which an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For all awards, we recognize forfeitures as they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RSAs result in the issuance of new shares of common stock when granted. For other stock-based awards, new shares of common stock are issued when the award is exercised, vested, or released according to the terms of the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our common stock at the beginning or end of each stock purchase period. The plan is a Type B plan, so the number of shares a participants can acquire is variable. Participants purchase more shares as the stock price decreases, up to the total amount originally elected to withhold at the beginning of the offering period. The plan consists of two six-month offering periods, beginning on January 1 and July 1 of each calendar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options and ESPP activity is estimated using the Black-Scholes option valuation model. The fair value for RSAs, RSUs, and DSUs is the closing market value of the underlying stock on the date of grant less the purchase price (if any). The fair value of PSUs is estimated using a Monte Carlo simulation.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derived from historical data on option holder exercises and post-vesting employment termination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75665"/>
                <wp:effectExtent l="0" t="0" r="0" b="0"/>
                <wp:wrapNone/>
                <wp:docPr id="139" name="Frame47"/>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8" descr=""/>
                                                <pic:cNvPicPr>
                                                  <a:picLocks noChangeAspect="1" noChangeArrowheads="1"/>
                                                </pic:cNvPicPr>
                                              </pic:nvPicPr>
                                              <pic:blipFill>
                                                <a:blip r:embed="rId94"/>
                                                <a:stretch>
                                                  <a:fillRect/>
                                                </a:stretch>
                                              </pic:blipFill>
                                              <pic:spPr bwMode="auto">
                                                <a:xfrm>
                                                  <a:off x="0" y="0"/>
                                                  <a:ext cx="266700" cy="257175"/>
                                                </a:xfrm>
                                                <a:prstGeom prst="rect">
                                                  <a:avLst/>
                                                </a:prstGeom>
                                              </pic:spPr>
                                            </pic:pic>
                                          </a:graphicData>
                                        </a:graphic>
                                      </wp:inline>
                                    </w:drawing>
                                  </w:r>
                                  <w:bookmarkStart w:id="92" w:name="i-48"/>
                                  <w:bookmarkEnd w:id="9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8" descr=""/>
                                          <pic:cNvPicPr>
                                            <a:picLocks noChangeAspect="1" noChangeArrowheads="1"/>
                                          </pic:cNvPicPr>
                                        </pic:nvPicPr>
                                        <pic:blipFill>
                                          <a:blip r:embed="rId95"/>
                                          <a:stretch>
                                            <a:fillRect/>
                                          </a:stretch>
                                        </pic:blipFill>
                                        <pic:spPr bwMode="auto">
                                          <a:xfrm>
                                            <a:off x="0" y="0"/>
                                            <a:ext cx="266700" cy="257175"/>
                                          </a:xfrm>
                                          <a:prstGeom prst="rect">
                                            <a:avLst/>
                                          </a:prstGeom>
                                        </pic:spPr>
                                      </pic:pic>
                                    </a:graphicData>
                                  </a:graphic>
                                </wp:inline>
                              </w:drawing>
                            </w:r>
                            <w:bookmarkStart w:id="93" w:name="i-48"/>
                            <w:bookmarkEnd w:id="9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valuation inputs include our expected non-issuance of future common stock dividends and the risk-free interest rate that is based on the U.S. Treasury rates at the date of grant with maturity dates approximately equaling the expected life at the grant date. For PSUs, the Monte Carlo simulation utilizes multiple input variables that determine the probability of satisfying the performance conditions stipulated in the award.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Share Repurchases and Reissuances</w:t>
      </w:r>
    </w:p>
    <w:p>
      <w:pPr>
        <w:pStyle w:val="TextBody"/>
        <w:bidi w:val="0"/>
        <w:spacing w:lineRule="auto" w:line="288" w:before="120" w:after="283"/>
        <w:ind w:left="0" w:right="0" w:firstLine="540"/>
        <w:jc w:val="both"/>
        <w:rPr/>
      </w:pPr>
      <w:r>
        <w:rPr>
          <w:rFonts w:ascii="Times New Roman;serif" w:hAnsi="Times New Roman;serif"/>
          <w:b w:val="false"/>
          <w:color w:val="212529"/>
          <w:sz w:val="20"/>
        </w:rPr>
        <w:t xml:space="preserve">Share repurchases, reflected as treasury stock on the consolidated balance sheets, are accounted for as the trade date occurs and are reflected net of the costs incurred to acquire the shares. Share repurchases that have not yet settled in cash are included </w:t>
      </w:r>
      <w:r>
        <w:rPr>
          <w:rFonts w:ascii="Times New Roman;serif" w:hAnsi="Times New Roman;serif"/>
          <w:b w:val="false"/>
          <w:color w:val="000000"/>
          <w:sz w:val="20"/>
        </w:rPr>
        <w:t xml:space="preserve">in accounts payable in the consolidated balance sheets. </w:t>
      </w:r>
      <w:r>
        <w:rPr>
          <w:rFonts w:ascii="Times New Roman;serif" w:hAnsi="Times New Roman;serif"/>
          <w:b w:val="false"/>
          <w:color w:val="212529"/>
          <w:sz w:val="20"/>
        </w:rPr>
        <w:t>Treasury stock reissuances are accounted for using the specific identification method, with gains (or losses to the extent of previously recognized gains) recognized in additional paid-in capital and any remaining loss recorded in retained earnings in the consolidated financial statements.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positions are reduced by a valuation allowance when, in our judgment, it is more likely than not that some or all of the deferred tax assets will not be realized. Deferred tax positions are net by jurisdiction on the consolidated balance sheet.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for U.S. federal and various state and international jurisdictions. We are generally subject to U.S. federal and state tax examinations for most prior tax years due to our net operating loss and research &amp; development credit carryforwards and the utilization of the carryforwards in years still open under statute. The deferred tax asset for the federal net operating loss carryforward is reported net of the Section 382 limitations.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applicable, the Company recognizes interest and penalties accrued on any unrecognized tax benefits as a component of income tax expense.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Net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has been computed using the weighted average number of shares of common stock outstanding during each period. Diluted net income per share also includes the impact of our outstanding potential common shares. Potential common shares that are anti-dilutive are excluded from the calculation of diluted net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75665"/>
                <wp:effectExtent l="0" t="0" r="0" b="0"/>
                <wp:wrapNone/>
                <wp:docPr id="142" name="Frame48"/>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9" descr=""/>
                                                <pic:cNvPicPr>
                                                  <a:picLocks noChangeAspect="1" noChangeArrowheads="1"/>
                                                </pic:cNvPicPr>
                                              </pic:nvPicPr>
                                              <pic:blipFill>
                                                <a:blip r:embed="rId96"/>
                                                <a:stretch>
                                                  <a:fillRect/>
                                                </a:stretch>
                                              </pic:blipFill>
                                              <pic:spPr bwMode="auto">
                                                <a:xfrm>
                                                  <a:off x="0" y="0"/>
                                                  <a:ext cx="266700" cy="257175"/>
                                                </a:xfrm>
                                                <a:prstGeom prst="rect">
                                                  <a:avLst/>
                                                </a:prstGeom>
                                              </pic:spPr>
                                            </pic:pic>
                                          </a:graphicData>
                                        </a:graphic>
                                      </wp:inline>
                                    </w:drawing>
                                  </w:r>
                                  <w:bookmarkStart w:id="94" w:name="i-49"/>
                                  <w:bookmarkEnd w:id="9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9" descr=""/>
                                          <pic:cNvPicPr>
                                            <a:picLocks noChangeAspect="1" noChangeArrowheads="1"/>
                                          </pic:cNvPicPr>
                                        </pic:nvPicPr>
                                        <pic:blipFill>
                                          <a:blip r:embed="rId97"/>
                                          <a:stretch>
                                            <a:fillRect/>
                                          </a:stretch>
                                        </pic:blipFill>
                                        <pic:spPr bwMode="auto">
                                          <a:xfrm>
                                            <a:off x="0" y="0"/>
                                            <a:ext cx="266700" cy="257175"/>
                                          </a:xfrm>
                                          <a:prstGeom prst="rect">
                                            <a:avLst/>
                                          </a:prstGeom>
                                        </pic:spPr>
                                      </pic:pic>
                                    </a:graphicData>
                                  </a:graphic>
                                </wp:inline>
                              </w:drawing>
                            </w:r>
                            <w:bookmarkStart w:id="95" w:name="i-49"/>
                            <w:bookmarkEnd w:id="9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Accounting Pronouncements Recently Adopted</w:t>
      </w:r>
    </w:p>
    <w:tbl>
      <w:tblPr>
        <w:tblW w:w="10205" w:type="dxa"/>
        <w:jc w:val="center"/>
        <w:tblInd w:w="0" w:type="dxa"/>
        <w:tblLayout w:type="fixed"/>
        <w:tblCellMar>
          <w:top w:w="28" w:type="dxa"/>
          <w:left w:w="28" w:type="dxa"/>
          <w:bottom w:w="28" w:type="dxa"/>
          <w:right w:w="28" w:type="dxa"/>
        </w:tblCellMar>
      </w:tblPr>
      <w:tblGrid>
        <w:gridCol w:w="685"/>
        <w:gridCol w:w="602"/>
        <w:gridCol w:w="608"/>
        <w:gridCol w:w="433"/>
        <w:gridCol w:w="280"/>
        <w:gridCol w:w="268"/>
        <w:gridCol w:w="1335"/>
        <w:gridCol w:w="1335"/>
        <w:gridCol w:w="1348"/>
        <w:gridCol w:w="287"/>
        <w:gridCol w:w="287"/>
        <w:gridCol w:w="288"/>
        <w:gridCol w:w="806"/>
        <w:gridCol w:w="677"/>
        <w:gridCol w:w="966"/>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40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6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Date of Adoption</w:t>
            </w:r>
          </w:p>
        </w:tc>
        <w:tc>
          <w:tcPr>
            <w:tcW w:w="24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ASU 2023-09</w:t>
            </w:r>
            <w:r>
              <w:rPr>
                <w:rFonts w:ascii="Times New Roman;serif" w:hAnsi="Times New Roman;serif"/>
                <w:b w:val="false"/>
                <w:color w:val="000000"/>
                <w:sz w:val="20"/>
              </w:rPr>
              <w:t>, Income Taxes (Topic 740) - Improvements to Income Tax Disclosures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2023</w:t>
            </w:r>
          </w:p>
        </w:tc>
        <w:tc>
          <w:tcPr>
            <w:tcW w:w="4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specific categories in the effective tax rate reconciliation table as well as provide disclosure of disaggregated information related to income tax expense, income before income taxes, and income taxes paid.</w:t>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prospective adoption resulted in additional disclosure in our Annual Report on </w:t>
              <w:br/>
              <w:t xml:space="preserve">Form 10-K for the year ended December 31, 2025. See Note L, Income Taxes, for further discussion on the adoption of the ASU. </w:t>
            </w:r>
          </w:p>
        </w:tc>
      </w:tr>
    </w:tbl>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Accounting Pronouncements Not Yet Adopted</w:t>
      </w:r>
    </w:p>
    <w:tbl>
      <w:tblPr>
        <w:tblW w:w="10205" w:type="dxa"/>
        <w:jc w:val="left"/>
        <w:tblInd w:w="0" w:type="dxa"/>
        <w:tblLayout w:type="fixed"/>
        <w:tblCellMar>
          <w:top w:w="28" w:type="dxa"/>
          <w:left w:w="28" w:type="dxa"/>
          <w:bottom w:w="28" w:type="dxa"/>
          <w:right w:w="28" w:type="dxa"/>
        </w:tblCellMar>
      </w:tblPr>
      <w:tblGrid>
        <w:gridCol w:w="778"/>
        <w:gridCol w:w="683"/>
        <w:gridCol w:w="690"/>
        <w:gridCol w:w="446"/>
        <w:gridCol w:w="295"/>
        <w:gridCol w:w="253"/>
        <w:gridCol w:w="1547"/>
        <w:gridCol w:w="1297"/>
        <w:gridCol w:w="1311"/>
        <w:gridCol w:w="361"/>
        <w:gridCol w:w="291"/>
        <w:gridCol w:w="292"/>
        <w:gridCol w:w="670"/>
        <w:gridCol w:w="531"/>
        <w:gridCol w:w="760"/>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Required Adoption</w:t>
            </w:r>
          </w:p>
        </w:tc>
        <w:tc>
          <w:tcPr>
            <w:tcW w:w="19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2024-03</w:t>
            </w:r>
            <w:r>
              <w:rPr>
                <w:rFonts w:ascii="Times New Roman;serif" w:hAnsi="Times New Roman;serif"/>
                <w:b w:val="false"/>
                <w:color w:val="000000"/>
                <w:sz w:val="20"/>
              </w:rPr>
              <w:t>, Income Statement - Reporting Comprehensive Income - Expense Disaggregation Disclosures (Subtopic 220-40)</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in its notes to financial statements specified information about certain costs and expenses.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9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anticipate the impact will result in additional disclosure.</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2025-05</w:t>
            </w:r>
            <w:r>
              <w:rPr>
                <w:rFonts w:ascii="Times New Roman;serif" w:hAnsi="Times New Roman;serif"/>
                <w:b w:val="false"/>
                <w:color w:val="000000"/>
                <w:sz w:val="20"/>
              </w:rPr>
              <w:t>, Financial Instruments—Credit Losses (Topic 326): Measurement of Credit Losses for Accounts Receivable and Contract Assets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allows for entities to elect a practical expedient when estimating expected credit losses for current accounts receivable and current contract assets arising from transactions accounted for under Topic 606. The practical expedient assumes that current conditions as of the balance sheet date do not change for the remaining life of the asset.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br/>
              <w:t>(optional)</w:t>
            </w:r>
          </w:p>
        </w:tc>
        <w:tc>
          <w:tcPr>
            <w:tcW w:w="19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 are currently evaluating the election of the practical expedient, but do not expect a material impact on our financial statements and related disclosures. </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2025-06</w:t>
            </w:r>
            <w:r>
              <w:rPr>
                <w:rFonts w:ascii="Times New Roman;serif" w:hAnsi="Times New Roman;serif"/>
                <w:b w:val="false"/>
                <w:color w:val="000000"/>
                <w:sz w:val="20"/>
              </w:rPr>
              <w:t>, Intangibles—Goodwill and Other—Internal-Use Software (Subtopic 350-40)</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modernizes the accounting for software costs under Subtopic 350-40, Intangibles—Goodwill and Other—Internal-Use Software by removing all references to software development project stages. The amendment requires an entity to begin capitalizing software costs when (1) management has authorized and committed to funding the software project and (2) it is probable that the project will be completed and the software will be used to perform the function intended.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9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related disclosures.</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ASU 2025-11, </w:t>
            </w:r>
            <w:r>
              <w:rPr>
                <w:rFonts w:ascii="Times New Roman;serif" w:hAnsi="Times New Roman;serif"/>
                <w:b w:val="false"/>
                <w:color w:val="000000"/>
                <w:sz w:val="20"/>
              </w:rPr>
              <w:t>Interim Reporting (Topic 270): Narrow-Scope Improvement</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amendments in this update result in a comprehensive list of interim disclosures that are required by GAAP. The objective of the amendments is to provide clarity about the current requirements, rather than </w:t>
              <w:br/>
              <w:t>evaluate whether to expand or reduce interim disclosure requirements.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9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interim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75665"/>
                <wp:effectExtent l="0" t="0" r="0" b="0"/>
                <wp:wrapNone/>
                <wp:docPr id="145" name="Frame49"/>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0" descr=""/>
                                                <pic:cNvPicPr>
                                                  <a:picLocks noChangeAspect="1" noChangeArrowheads="1"/>
                                                </pic:cNvPicPr>
                                              </pic:nvPicPr>
                                              <pic:blipFill>
                                                <a:blip r:embed="rId98"/>
                                                <a:stretch>
                                                  <a:fillRect/>
                                                </a:stretch>
                                              </pic:blipFill>
                                              <pic:spPr bwMode="auto">
                                                <a:xfrm>
                                                  <a:off x="0" y="0"/>
                                                  <a:ext cx="266700" cy="257175"/>
                                                </a:xfrm>
                                                <a:prstGeom prst="rect">
                                                  <a:avLst/>
                                                </a:prstGeom>
                                              </pic:spPr>
                                            </pic:pic>
                                          </a:graphicData>
                                        </a:graphic>
                                      </wp:inline>
                                    </w:drawing>
                                  </w:r>
                                  <w:bookmarkStart w:id="96" w:name="i-50"/>
                                  <w:bookmarkEnd w:id="9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0" descr=""/>
                                          <pic:cNvPicPr>
                                            <a:picLocks noChangeAspect="1" noChangeArrowheads="1"/>
                                          </pic:cNvPicPr>
                                        </pic:nvPicPr>
                                        <pic:blipFill>
                                          <a:blip r:embed="rId99"/>
                                          <a:stretch>
                                            <a:fillRect/>
                                          </a:stretch>
                                        </pic:blipFill>
                                        <pic:spPr bwMode="auto">
                                          <a:xfrm>
                                            <a:off x="0" y="0"/>
                                            <a:ext cx="266700" cy="257175"/>
                                          </a:xfrm>
                                          <a:prstGeom prst="rect">
                                            <a:avLst/>
                                          </a:prstGeom>
                                        </pic:spPr>
                                      </pic:pic>
                                    </a:graphicData>
                                  </a:graphic>
                                </wp:inline>
                              </w:drawing>
                            </w:r>
                            <w:bookmarkStart w:id="97" w:name="i-50"/>
                            <w:bookmarkEnd w:id="9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shd w:fill="FFFFFF" w:val="clear"/>
        </w:rPr>
      </w:pPr>
      <w:r>
        <w:rPr>
          <w:rFonts w:ascii="Times New Roman;serif" w:hAnsi="Times New Roman;serif"/>
          <w:b/>
          <w:color w:val="00AAE5"/>
          <w:sz w:val="20"/>
          <w:shd w:fill="FFFFFF" w:val="clear"/>
        </w:rPr>
        <w:t>NOTE B – Business Acquisitions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Carbon6 Technologies, Inc.</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30, 2024, we entered into a definitive agreement to acquire all of the outstanding equity ownership interests of Carbon6 Technologies, Inc. ("Carbon6"), a provider of software tools to Amazon.com, Inc. sellers, including specialized offerings for revenue recovery for both first-party ("1P") and third-party ("3P") suppliers. The acquisition became effective on February 4, 2025 ("Close"). Pursuant to the definitive agreement, the total consideration transferred was $210.2 million, net of cash acquired. The consideration was comprised of $142.5 million paid in cash, net of cash acquired, and 378,100 shares of SPS common stock (valued at $67.7 million, determined at acquisition Close based on the price of SPS common stock). The shares were issued from SPS treasury shares. The goodwill associated with the acquisition is not deductible for income tax purposes.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Pro Forma Financial Information</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financial information presents the combined results of SPS and Carbon6 assuming the acquisition was completed as of the beginning of the prior fiscal year, January 1, 2024. These unaudited pro forma results are presented for informational purposes only and are not necessarily indicative of what the actual results of operations of the combined companies would have been, nor are they indicative of future results of operations.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 forma results reflect certain adjustments, such as one-time acquisition-related costs, incremental impact for amortization of acquired intangibles, and the elimination of debt extinguishment and interest costs. The adjustments do not reflect synergies or costs that would have been expected to result from the integration of the acquisition.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 forma consolidated revenue and net income are as follows:</w:t>
      </w:r>
    </w:p>
    <w:p>
      <w:pPr>
        <w:pStyle w:val="TextBody"/>
        <w:bidi w:val="0"/>
        <w:spacing w:before="0" w:after="0"/>
        <w:ind w:left="0" w:right="0" w:firstLine="720"/>
        <w:jc w:val="both"/>
        <w:rPr/>
      </w:pPr>
      <w:r>
        <w:rPr/>
      </w:r>
    </w:p>
    <w:tbl>
      <w:tblPr>
        <w:tblW w:w="5678" w:type="dxa"/>
        <w:jc w:val="left"/>
        <w:tblInd w:w="0" w:type="dxa"/>
        <w:tblLayout w:type="fixed"/>
        <w:tblCellMar>
          <w:top w:w="28" w:type="dxa"/>
          <w:left w:w="28" w:type="dxa"/>
          <w:bottom w:w="28" w:type="dxa"/>
          <w:right w:w="28" w:type="dxa"/>
        </w:tblCellMar>
      </w:tblPr>
      <w:tblGrid>
        <w:gridCol w:w="705"/>
        <w:gridCol w:w="620"/>
        <w:gridCol w:w="624"/>
        <w:gridCol w:w="109"/>
        <w:gridCol w:w="109"/>
        <w:gridCol w:w="159"/>
        <w:gridCol w:w="159"/>
        <w:gridCol w:w="308"/>
        <w:gridCol w:w="1208"/>
        <w:gridCol w:w="159"/>
        <w:gridCol w:w="109"/>
        <w:gridCol w:w="109"/>
        <w:gridCol w:w="109"/>
        <w:gridCol w:w="211"/>
        <w:gridCol w:w="82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3" w:type="dxa"/>
            <w:gridSpan w:val="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755,686 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SupplyPike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July 31, 2024, we acquired SupplyPike, Inc. ("SupplyPike"), an automated invoice deduction management and prevention solution, through the purchase of all of the outstanding equity ownership interests of SupplyPike. Pursuant to the definitive agreement and plan of merger, the total consideration transferred at close was $205.8 million, net of cash acquired. The consideration was comprised of $118.6 million paid in cash, net of cash acquired, and 404,587 shares of SPS common stock (valued at $87.2 million, determined at acquisition close based on the price of SPS common stock). The shares were issued from SPS treasury shares. The goodwill associated with the acquisition is not deductible for income tax purposes.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accounted for each of the Carbon6 and SupplyPike acquisitions as a business combination. We allocated the purchase price to the tangible and identifiable intangible assets acquired and liabilities assumed based on their estimated fair values as of the respective acquisition dates.</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75665"/>
                <wp:effectExtent l="0" t="0" r="0" b="0"/>
                <wp:wrapNone/>
                <wp:docPr id="148" name="Frame50"/>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4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1" descr=""/>
                                                <pic:cNvPicPr>
                                                  <a:picLocks noChangeAspect="1" noChangeArrowheads="1"/>
                                                </pic:cNvPicPr>
                                              </pic:nvPicPr>
                                              <pic:blipFill>
                                                <a:blip r:embed="rId100"/>
                                                <a:stretch>
                                                  <a:fillRect/>
                                                </a:stretch>
                                              </pic:blipFill>
                                              <pic:spPr bwMode="auto">
                                                <a:xfrm>
                                                  <a:off x="0" y="0"/>
                                                  <a:ext cx="266700" cy="257175"/>
                                                </a:xfrm>
                                                <a:prstGeom prst="rect">
                                                  <a:avLst/>
                                                </a:prstGeom>
                                              </pic:spPr>
                                            </pic:pic>
                                          </a:graphicData>
                                        </a:graphic>
                                      </wp:inline>
                                    </w:drawing>
                                  </w:r>
                                  <w:bookmarkStart w:id="98" w:name="i-51"/>
                                  <w:bookmarkEnd w:id="9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1" descr=""/>
                                          <pic:cNvPicPr>
                                            <a:picLocks noChangeAspect="1" noChangeArrowheads="1"/>
                                          </pic:cNvPicPr>
                                        </pic:nvPicPr>
                                        <pic:blipFill>
                                          <a:blip r:embed="rId101"/>
                                          <a:stretch>
                                            <a:fillRect/>
                                          </a:stretch>
                                        </pic:blipFill>
                                        <pic:spPr bwMode="auto">
                                          <a:xfrm>
                                            <a:off x="0" y="0"/>
                                            <a:ext cx="266700" cy="257175"/>
                                          </a:xfrm>
                                          <a:prstGeom prst="rect">
                                            <a:avLst/>
                                          </a:prstGeom>
                                        </pic:spPr>
                                      </pic:pic>
                                    </a:graphicData>
                                  </a:graphic>
                                </wp:inline>
                              </w:drawing>
                            </w:r>
                            <w:bookmarkStart w:id="99" w:name="i-51"/>
                            <w:bookmarkEnd w:id="9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estimated fair values of acquired assets and liabilities recorded in the Company's consolidated balance sheet as of the acquisition dates:</w:t>
      </w:r>
    </w:p>
    <w:tbl>
      <w:tblPr>
        <w:tblW w:w="7103" w:type="dxa"/>
        <w:jc w:val="left"/>
        <w:tblInd w:w="0" w:type="dxa"/>
        <w:tblLayout w:type="fixed"/>
        <w:tblCellMar>
          <w:top w:w="28" w:type="dxa"/>
          <w:left w:w="28" w:type="dxa"/>
          <w:bottom w:w="28" w:type="dxa"/>
          <w:right w:w="28" w:type="dxa"/>
        </w:tblCellMar>
      </w:tblPr>
      <w:tblGrid>
        <w:gridCol w:w="1601"/>
        <w:gridCol w:w="1414"/>
        <w:gridCol w:w="1424"/>
        <w:gridCol w:w="211"/>
        <w:gridCol w:w="826"/>
        <w:gridCol w:w="109"/>
        <w:gridCol w:w="109"/>
        <w:gridCol w:w="109"/>
        <w:gridCol w:w="109"/>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rFonts w:ascii="Times New Roman;serif" w:hAnsi="Times New Roman;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SupplyPike</w:t>
            </w:r>
            <w:r>
              <w:rPr>
                <w:rFonts w:ascii="Times New Roman;serif" w:hAnsi="Times New Roman;serif"/>
                <w:b/>
                <w:color w:val="000000"/>
                <w:sz w:val="10"/>
              </w:rPr>
              <w:t>(2)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assets and liabilities acquired: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and liabilities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estimated useful lives for each acquired intangible asset:</w:t>
      </w:r>
    </w:p>
    <w:tbl>
      <w:tblPr>
        <w:tblW w:w="4300" w:type="dxa"/>
        <w:jc w:val="left"/>
        <w:tblInd w:w="0" w:type="dxa"/>
        <w:tblLayout w:type="fixed"/>
        <w:tblCellMar>
          <w:top w:w="28" w:type="dxa"/>
          <w:left w:w="28" w:type="dxa"/>
          <w:bottom w:w="28" w:type="dxa"/>
          <w:right w:w="28" w:type="dxa"/>
        </w:tblCellMar>
      </w:tblPr>
      <w:tblGrid>
        <w:gridCol w:w="722"/>
        <w:gridCol w:w="635"/>
        <w:gridCol w:w="637"/>
        <w:gridCol w:w="299"/>
        <w:gridCol w:w="299"/>
        <w:gridCol w:w="301"/>
        <w:gridCol w:w="109"/>
        <w:gridCol w:w="109"/>
        <w:gridCol w:w="109"/>
        <w:gridCol w:w="316"/>
        <w:gridCol w:w="316"/>
        <w:gridCol w:w="44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rFonts w:ascii="Times New Roman;serif" w:hAnsi="Times New Roman;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SupplyPike</w:t>
            </w:r>
            <w:r>
              <w:rPr>
                <w:rFonts w:ascii="Times New Roman;serif" w:hAnsi="Times New Roman;serif"/>
                <w:b/>
                <w:color w:val="000000"/>
                <w:sz w:val="10"/>
              </w:rPr>
              <w:t>(2)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purchase accounting for the Carbon6 acquisition has been finalized as of December 31, 2025; provisional adjustments were primarily related to intangible assets, tax components, and correspondingly, goodwill.</w:t>
      </w:r>
    </w:p>
    <w:p>
      <w:pPr>
        <w:pStyle w:val="TextBody"/>
        <w:bidi w:val="0"/>
        <w:spacing w:lineRule="auto" w:line="288" w:before="120" w:after="283"/>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The purchase accounting for the SupplyPike acquisition is finalized.</w:t>
      </w:r>
    </w:p>
    <w:p>
      <w:pPr>
        <w:pStyle w:val="TextBody"/>
        <w:bidi w:val="0"/>
        <w:spacing w:lineRule="auto" w:line="288" w:before="360" w:after="283"/>
        <w:jc w:val="both"/>
        <w:rPr/>
      </w:pPr>
      <w:r>
        <w:rPr>
          <w:rFonts w:ascii="Times New Roman;serif" w:hAnsi="Times New Roman;serif"/>
          <w:b/>
          <w:i/>
          <w:color w:val="000000"/>
          <w:sz w:val="20"/>
        </w:rPr>
        <w:t xml:space="preserve">Other Acquisition </w:t>
      </w:r>
      <w:r>
        <w:rPr>
          <w:rFonts w:ascii="Times New Roman;serif" w:hAnsi="Times New Roman;serif"/>
          <w:b/>
          <w:i/>
          <w:color w:val="000000"/>
          <w:sz w:val="20"/>
          <w:shd w:fill="FFFFFF" w:val="clear"/>
        </w:rPr>
        <w:t>Activity</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Traverse Systems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Effective May 8, 2024, we entered into an asset purchase agreement to acquire certain assets of Traverse Systems, an industry-leading provider in retailer supply chain performance and vendor management. Total consideration transferred at close was $29.4 million, which was comprised of $25.0 million paid in cash and 22,874 shares of SPS common stock</w:t>
      </w:r>
      <w:r>
        <w:rPr>
          <w:color w:val="000000"/>
          <w:shd w:fill="FFFFFF" w:val="clear"/>
        </w:rPr>
        <w:t xml:space="preserve"> </w:t>
      </w:r>
      <w:r>
        <w:rPr>
          <w:rFonts w:ascii="Times New Roman;serif" w:hAnsi="Times New Roman;serif"/>
          <w:b w:val="false"/>
          <w:color w:val="000000"/>
          <w:sz w:val="20"/>
          <w:shd w:fill="FFFFFF" w:val="clear"/>
        </w:rPr>
        <w:t>(valued at $4.4 million, determined at acquisition close based on the price of SPS common stock).</w:t>
      </w:r>
      <w:r>
        <w:rPr>
          <w:color w:val="000000"/>
        </w:rPr>
        <w:t xml:space="preserve"> </w:t>
      </w:r>
      <w:r>
        <w:rPr>
          <w:rFonts w:ascii="Times New Roman;serif" w:hAnsi="Times New Roman;serif"/>
          <w:b w:val="false"/>
          <w:color w:val="000000"/>
          <w:sz w:val="20"/>
        </w:rPr>
        <w:t>The shares were issued from SPS treasury shares.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as a business combination. We allocated the purchase price to the tangible and identifiable intangible assets acquired and liabilities assumed based on their estimated fair values as of the acquisition date. Assets acquired primarily comprised of subscriber relationships and developed technology intangible assets, totaling $7.7 million and $3.6 million of estimated fair value, respectively, and $18.4 million was allocated to goodwill. The remainder of the consideration transferred was allocated to net assets acquired other than the intangible assets. The purchase accounting for the acquisition was finalized in the year ended December 31, 2024. The goodwill associated with the acquisition is deductible for income tax purposes.</w:t>
      </w:r>
    </w:p>
    <w:p>
      <w:pPr>
        <w:pStyle w:val="TextBody"/>
        <w:bidi w:val="0"/>
        <w:spacing w:before="360" w:after="283"/>
        <w:jc w:val="both"/>
        <w:rPr/>
      </w:pPr>
      <w:r>
        <w:rPr/>
      </w: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75665"/>
                <wp:effectExtent l="0" t="0" r="0" b="0"/>
                <wp:wrapNone/>
                <wp:docPr id="151" name="Frame51"/>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2" descr=""/>
                                                <pic:cNvPicPr>
                                                  <a:picLocks noChangeAspect="1" noChangeArrowheads="1"/>
                                                </pic:cNvPicPr>
                                              </pic:nvPicPr>
                                              <pic:blipFill>
                                                <a:blip r:embed="rId102"/>
                                                <a:stretch>
                                                  <a:fillRect/>
                                                </a:stretch>
                                              </pic:blipFill>
                                              <pic:spPr bwMode="auto">
                                                <a:xfrm>
                                                  <a:off x="0" y="0"/>
                                                  <a:ext cx="266700" cy="257175"/>
                                                </a:xfrm>
                                                <a:prstGeom prst="rect">
                                                  <a:avLst/>
                                                </a:prstGeom>
                                              </pic:spPr>
                                            </pic:pic>
                                          </a:graphicData>
                                        </a:graphic>
                                      </wp:inline>
                                    </w:drawing>
                                  </w:r>
                                  <w:bookmarkStart w:id="100" w:name="i-52"/>
                                  <w:bookmarkEnd w:id="10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2" descr=""/>
                                          <pic:cNvPicPr>
                                            <a:picLocks noChangeAspect="1" noChangeArrowheads="1"/>
                                          </pic:cNvPicPr>
                                        </pic:nvPicPr>
                                        <pic:blipFill>
                                          <a:blip r:embed="rId103"/>
                                          <a:stretch>
                                            <a:fillRect/>
                                          </a:stretch>
                                        </pic:blipFill>
                                        <pic:spPr bwMode="auto">
                                          <a:xfrm>
                                            <a:off x="0" y="0"/>
                                            <a:ext cx="266700" cy="257175"/>
                                          </a:xfrm>
                                          <a:prstGeom prst="rect">
                                            <a:avLst/>
                                          </a:prstGeom>
                                        </pic:spPr>
                                      </pic:pic>
                                    </a:graphicData>
                                  </a:graphic>
                                </wp:inline>
                              </w:drawing>
                            </w:r>
                            <w:bookmarkStart w:id="101" w:name="i-52"/>
                            <w:bookmarkEnd w:id="10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before="360" w:after="283"/>
        <w:jc w:val="both"/>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Vision33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April 10, 2024, the Company entered into an asset purchase agreement to acquire Vision33's SAP Business One SPS Integration Technology. Pursuant to the definitive agreement, the purchase price, denominated in Canadian dollars ("CAD"), was $5.8 million CAD ($4.3 million U.S. dollars ("USD") at the agreement date exchange rate), of which $4.5 million CAD ($3.3 million USD) was paid in cash at close, with the remainder payable in cash within two years, subject to certain closing conditions. Assets acquired were primarily comprised of developed technology and subscriber relationships, totaling $1.7 million USD and $0.4 million USD of estimated fair value, respectively. The remainder of the consideration transferred, $2.2 million USD, was allocated to goodwill. The purchase accounting for the acquisition was finalized in the year ended December 31, 2024. The goodwill associated with the acquisition is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C –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our revenues from the following revenue streams:</w:t>
      </w:r>
    </w:p>
    <w:tbl>
      <w:tblPr>
        <w:tblW w:w="5892" w:type="dxa"/>
        <w:jc w:val="left"/>
        <w:tblInd w:w="0" w:type="dxa"/>
        <w:tblLayout w:type="fixed"/>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717,975 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600,089 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502,013 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751,505 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637,765 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536,910 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the amount that reflects the consideration we are contractually and legally entitled to, as well as the amount we expect to collect, in exchange for those services. </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Revenue by Geographic Area</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Domestic revenue, which we define as revenue that was attributable to customers based within the U.S. was as follows:</w:t>
      </w:r>
    </w:p>
    <w:tbl>
      <w:tblPr>
        <w:tblW w:w="4169" w:type="dxa"/>
        <w:jc w:val="left"/>
        <w:tblInd w:w="0" w:type="dxa"/>
        <w:tblLayout w:type="fixed"/>
        <w:tblCellMar>
          <w:top w:w="28" w:type="dxa"/>
          <w:left w:w="28" w:type="dxa"/>
          <w:bottom w:w="28" w:type="dxa"/>
          <w:right w:w="28" w:type="dxa"/>
        </w:tblCellMar>
      </w:tblPr>
      <w:tblGrid>
        <w:gridCol w:w="570"/>
        <w:gridCol w:w="501"/>
        <w:gridCol w:w="503"/>
        <w:gridCol w:w="180"/>
        <w:gridCol w:w="181"/>
        <w:gridCol w:w="271"/>
        <w:gridCol w:w="109"/>
        <w:gridCol w:w="109"/>
        <w:gridCol w:w="109"/>
        <w:gridCol w:w="180"/>
        <w:gridCol w:w="181"/>
        <w:gridCol w:w="271"/>
        <w:gridCol w:w="109"/>
        <w:gridCol w:w="109"/>
        <w:gridCol w:w="109"/>
        <w:gridCol w:w="180"/>
        <w:gridCol w:w="181"/>
        <w:gridCol w:w="316"/>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7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revenue</w:t>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single jurisdiction outside of the U.S. had revenues in excess of 10%.</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define recurring revenue </w:t>
      </w:r>
      <w:r>
        <w:rPr>
          <w:rFonts w:ascii="Times New Roman;serif" w:hAnsi="Times New Roman;serif"/>
          <w:b w:val="false"/>
          <w:color w:val="000000"/>
          <w:sz w:val="20"/>
          <w:shd w:fill="FFFFFF" w:val="clear"/>
        </w:rPr>
        <w:t>as active contracts during the reporting period under which the customer regularly pays us fees for subscription-based and reoccurring services. All components of the contracts that are not expected to recur (primarily set ups and professional services) are excluded from recurring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for subscription-based services is recognized on a ratable basis over the contract term beginning on the date that our service is made available to the customer. Our contracts primarily range from monthly to annual and generally allow the customer to cancel the contract for any reason with 30 to 90 days’ notice. Timing of billings varies by customer and by contract type and are either in advance or within 30 days of the service being performed. Given that the recurring revenue contracts are generally for one year or less, we have applied the optional exemption to not disclose information about the remaining performance obligations for recurring revenue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75665"/>
                <wp:effectExtent l="0" t="0" r="0" b="0"/>
                <wp:wrapNone/>
                <wp:docPr id="154" name="Frame52"/>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3" descr=""/>
                                                <pic:cNvPicPr>
                                                  <a:picLocks noChangeAspect="1" noChangeArrowheads="1"/>
                                                </pic:cNvPicPr>
                                              </pic:nvPicPr>
                                              <pic:blipFill>
                                                <a:blip r:embed="rId104"/>
                                                <a:stretch>
                                                  <a:fillRect/>
                                                </a:stretch>
                                              </pic:blipFill>
                                              <pic:spPr bwMode="auto">
                                                <a:xfrm>
                                                  <a:off x="0" y="0"/>
                                                  <a:ext cx="266700" cy="257175"/>
                                                </a:xfrm>
                                                <a:prstGeom prst="rect">
                                                  <a:avLst/>
                                                </a:prstGeom>
                                              </pic:spPr>
                                            </pic:pic>
                                          </a:graphicData>
                                        </a:graphic>
                                      </wp:inline>
                                    </w:drawing>
                                  </w:r>
                                  <w:bookmarkStart w:id="102" w:name="i-53"/>
                                  <w:bookmarkEnd w:id="10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3" descr=""/>
                                          <pic:cNvPicPr>
                                            <a:picLocks noChangeAspect="1" noChangeArrowheads="1"/>
                                          </pic:cNvPicPr>
                                        </pic:nvPicPr>
                                        <pic:blipFill>
                                          <a:blip r:embed="rId105"/>
                                          <a:stretch>
                                            <a:fillRect/>
                                          </a:stretch>
                                        </pic:blipFill>
                                        <pic:spPr bwMode="auto">
                                          <a:xfrm>
                                            <a:off x="0" y="0"/>
                                            <a:ext cx="266700" cy="257175"/>
                                          </a:xfrm>
                                          <a:prstGeom prst="rect">
                                            <a:avLst/>
                                          </a:prstGeom>
                                        </pic:spPr>
                                      </pic:pic>
                                    </a:graphicData>
                                  </a:graphic>
                                </wp:inline>
                              </w:drawing>
                            </w:r>
                            <w:bookmarkStart w:id="103" w:name="i-53"/>
                            <w:bookmarkEnd w:id="10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One-time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One-time revenues consist of set-up fees and miscellaneous fees from customers.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Set-up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w:t>
      </w:r>
      <w:r>
        <w:rPr>
          <w:color w:val="000000"/>
          <w:shd w:fill="FFFFFF" w:val="clear"/>
        </w:rPr>
        <w:t xml:space="preserve"> </w:t>
      </w:r>
      <w:r>
        <w:rPr>
          <w:rFonts w:ascii="Times New Roman;serif" w:hAnsi="Times New Roman;serif"/>
          <w:b w:val="false"/>
          <w:color w:val="000000"/>
          <w:sz w:val="20"/>
          <w:shd w:fill="FFFFFF" w:val="clear"/>
        </w:rPr>
        <w:t>two years, which is the estimated period for which a material right is present for our customers.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table below presents the activity of the portion of the deferred revenue liability relating to set-up fee</w:t>
      </w:r>
      <w:r>
        <w:rPr>
          <w:rFonts w:ascii="Times New Roman;serif" w:hAnsi="Times New Roman;serif"/>
          <w:b w:val="false"/>
          <w:color w:val="000000"/>
          <w:sz w:val="20"/>
          <w:shd w:fill="FFFFFF" w:val="clear"/>
        </w:rPr>
        <w:t xml:space="preserve">s. We expect to recognize $11.0 million of the balance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as revenue over the next 12 months with the remaining amount recognized thereafter. </w:t>
      </w:r>
    </w:p>
    <w:tbl>
      <w:tblPr>
        <w:tblW w:w="4763" w:type="dxa"/>
        <w:jc w:val="left"/>
        <w:tblInd w:w="0" w:type="dxa"/>
        <w:tblLayout w:type="fixed"/>
        <w:tblCellMar>
          <w:top w:w="28" w:type="dxa"/>
          <w:left w:w="28" w:type="dxa"/>
          <w:bottom w:w="28" w:type="dxa"/>
          <w:right w:w="28" w:type="dxa"/>
        </w:tblCellMar>
      </w:tblPr>
      <w:tblGrid>
        <w:gridCol w:w="835"/>
        <w:gridCol w:w="736"/>
        <w:gridCol w:w="738"/>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Miscellaneous one-time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Miscellaneous one-time fees primarily consist of professional services and testing and certification.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year ended December 31, 2025, we recognized revenue of $74.3 million from amounts included in deferred revenue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D – Deferred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deferred costs activity was as follows:</w:t>
      </w:r>
    </w:p>
    <w:tbl>
      <w:tblPr>
        <w:tblW w:w="4763" w:type="dxa"/>
        <w:jc w:val="left"/>
        <w:tblInd w:w="0" w:type="dxa"/>
        <w:tblLayout w:type="fixed"/>
        <w:tblCellMar>
          <w:top w:w="28" w:type="dxa"/>
          <w:left w:w="28" w:type="dxa"/>
          <w:bottom w:w="28" w:type="dxa"/>
          <w:right w:w="28" w:type="dxa"/>
        </w:tblCellMar>
      </w:tblPr>
      <w:tblGrid>
        <w:gridCol w:w="835"/>
        <w:gridCol w:w="736"/>
        <w:gridCol w:w="738"/>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75665"/>
                <wp:effectExtent l="0" t="0" r="0" b="0"/>
                <wp:wrapNone/>
                <wp:docPr id="157" name="Frame53"/>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4" descr=""/>
                                                <pic:cNvPicPr>
                                                  <a:picLocks noChangeAspect="1" noChangeArrowheads="1"/>
                                                </pic:cNvPicPr>
                                              </pic:nvPicPr>
                                              <pic:blipFill>
                                                <a:blip r:embed="rId106"/>
                                                <a:stretch>
                                                  <a:fillRect/>
                                                </a:stretch>
                                              </pic:blipFill>
                                              <pic:spPr bwMode="auto">
                                                <a:xfrm>
                                                  <a:off x="0" y="0"/>
                                                  <a:ext cx="266700" cy="257175"/>
                                                </a:xfrm>
                                                <a:prstGeom prst="rect">
                                                  <a:avLst/>
                                                </a:prstGeom>
                                              </pic:spPr>
                                            </pic:pic>
                                          </a:graphicData>
                                        </a:graphic>
                                      </wp:inline>
                                    </w:drawing>
                                  </w:r>
                                  <w:bookmarkStart w:id="104" w:name="i-54"/>
                                  <w:bookmarkEnd w:id="10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4" descr=""/>
                                          <pic:cNvPicPr>
                                            <a:picLocks noChangeAspect="1" noChangeArrowheads="1"/>
                                          </pic:cNvPicPr>
                                        </pic:nvPicPr>
                                        <pic:blipFill>
                                          <a:blip r:embed="rId107"/>
                                          <a:stretch>
                                            <a:fillRect/>
                                          </a:stretch>
                                        </pic:blipFill>
                                        <pic:spPr bwMode="auto">
                                          <a:xfrm>
                                            <a:off x="0" y="0"/>
                                            <a:ext cx="266700" cy="257175"/>
                                          </a:xfrm>
                                          <a:prstGeom prst="rect">
                                            <a:avLst/>
                                          </a:prstGeom>
                                        </pic:spPr>
                                      </pic:pic>
                                    </a:graphicData>
                                  </a:graphic>
                                </wp:inline>
                              </w:drawing>
                            </w:r>
                            <w:bookmarkStart w:id="105" w:name="i-54"/>
                            <w:bookmarkEnd w:id="10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E –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equivalents and investments, as measured at fair value on a recurring basis, consisted of the following:</w:t>
      </w:r>
    </w:p>
    <w:tbl>
      <w:tblPr>
        <w:tblW w:w="11240" w:type="dxa"/>
        <w:jc w:val="left"/>
        <w:tblInd w:w="0" w:type="dxa"/>
        <w:tblLayout w:type="fixed"/>
        <w:tblCellMar>
          <w:top w:w="28" w:type="dxa"/>
          <w:left w:w="28" w:type="dxa"/>
          <w:bottom w:w="28" w:type="dxa"/>
          <w:right w:w="28" w:type="dxa"/>
        </w:tblCellMar>
      </w:tblPr>
      <w:tblGrid>
        <w:gridCol w:w="412"/>
        <w:gridCol w:w="363"/>
        <w:gridCol w:w="306"/>
        <w:gridCol w:w="109"/>
        <w:gridCol w:w="109"/>
        <w:gridCol w:w="109"/>
        <w:gridCol w:w="220"/>
        <w:gridCol w:w="175"/>
        <w:gridCol w:w="176"/>
        <w:gridCol w:w="109"/>
        <w:gridCol w:w="109"/>
        <w:gridCol w:w="109"/>
        <w:gridCol w:w="211"/>
        <w:gridCol w:w="826"/>
        <w:gridCol w:w="109"/>
        <w:gridCol w:w="109"/>
        <w:gridCol w:w="109"/>
        <w:gridCol w:w="109"/>
        <w:gridCol w:w="257"/>
        <w:gridCol w:w="495"/>
        <w:gridCol w:w="134"/>
        <w:gridCol w:w="109"/>
        <w:gridCol w:w="109"/>
        <w:gridCol w:w="109"/>
        <w:gridCol w:w="211"/>
        <w:gridCol w:w="826"/>
        <w:gridCol w:w="109"/>
        <w:gridCol w:w="109"/>
        <w:gridCol w:w="109"/>
        <w:gridCol w:w="109"/>
        <w:gridCol w:w="220"/>
        <w:gridCol w:w="175"/>
        <w:gridCol w:w="176"/>
        <w:gridCol w:w="109"/>
        <w:gridCol w:w="109"/>
        <w:gridCol w:w="109"/>
        <w:gridCol w:w="211"/>
        <w:gridCol w:w="826"/>
        <w:gridCol w:w="109"/>
        <w:gridCol w:w="109"/>
        <w:gridCol w:w="109"/>
        <w:gridCol w:w="109"/>
        <w:gridCol w:w="257"/>
        <w:gridCol w:w="495"/>
        <w:gridCol w:w="134"/>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F – 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included in accounts receivable, net, was as follows:</w:t>
      </w:r>
    </w:p>
    <w:tbl>
      <w:tblPr>
        <w:tblW w:w="5861" w:type="dxa"/>
        <w:jc w:val="left"/>
        <w:tblInd w:w="0" w:type="dxa"/>
        <w:tblLayout w:type="fixed"/>
        <w:tblCellMar>
          <w:top w:w="28" w:type="dxa"/>
          <w:left w:w="28" w:type="dxa"/>
          <w:bottom w:w="28" w:type="dxa"/>
          <w:right w:w="28" w:type="dxa"/>
        </w:tblCellMar>
      </w:tblPr>
      <w:tblGrid>
        <w:gridCol w:w="851"/>
        <w:gridCol w:w="750"/>
        <w:gridCol w:w="753"/>
        <w:gridCol w:w="211"/>
        <w:gridCol w:w="616"/>
        <w:gridCol w:w="109"/>
        <w:gridCol w:w="109"/>
        <w:gridCol w:w="109"/>
        <w:gridCol w:w="109"/>
        <w:gridCol w:w="211"/>
        <w:gridCol w:w="616"/>
        <w:gridCol w:w="109"/>
        <w:gridCol w:w="109"/>
        <w:gridCol w:w="109"/>
        <w:gridCol w:w="109"/>
        <w:gridCol w:w="211"/>
        <w:gridCol w:w="61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G – Property and Equipment,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563" w:type="dxa"/>
        <w:jc w:val="left"/>
        <w:tblInd w:w="0" w:type="dxa"/>
        <w:tblLayout w:type="fixed"/>
        <w:tblCellMar>
          <w:top w:w="28" w:type="dxa"/>
          <w:left w:w="28" w:type="dxa"/>
          <w:bottom w:w="28" w:type="dxa"/>
          <w:right w:w="28" w:type="dxa"/>
        </w:tblCellMar>
      </w:tblPr>
      <w:tblGrid>
        <w:gridCol w:w="1486"/>
        <w:gridCol w:w="1310"/>
        <w:gridCol w:w="1313"/>
        <w:gridCol w:w="211"/>
        <w:gridCol w:w="721"/>
        <w:gridCol w:w="109"/>
        <w:gridCol w:w="109"/>
        <w:gridCol w:w="109"/>
        <w:gridCol w:w="109"/>
        <w:gridCol w:w="211"/>
        <w:gridCol w:w="72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was as follows:</w:t>
      </w:r>
    </w:p>
    <w:tbl>
      <w:tblPr>
        <w:tblW w:w="7122" w:type="dxa"/>
        <w:jc w:val="left"/>
        <w:tblInd w:w="0" w:type="dxa"/>
        <w:tblLayout w:type="fixed"/>
        <w:tblCellMar>
          <w:top w:w="28" w:type="dxa"/>
          <w:left w:w="28" w:type="dxa"/>
          <w:bottom w:w="28" w:type="dxa"/>
          <w:right w:w="28" w:type="dxa"/>
        </w:tblCellMar>
      </w:tblPr>
      <w:tblGrid>
        <w:gridCol w:w="1192"/>
        <w:gridCol w:w="1051"/>
        <w:gridCol w:w="1057"/>
        <w:gridCol w:w="211"/>
        <w:gridCol w:w="721"/>
        <w:gridCol w:w="109"/>
        <w:gridCol w:w="109"/>
        <w:gridCol w:w="109"/>
        <w:gridCol w:w="109"/>
        <w:gridCol w:w="211"/>
        <w:gridCol w:w="721"/>
        <w:gridCol w:w="109"/>
        <w:gridCol w:w="109"/>
        <w:gridCol w:w="109"/>
        <w:gridCol w:w="109"/>
        <w:gridCol w:w="211"/>
        <w:gridCol w:w="72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located at subsidiary and office locations outside of the U.S. was as follows:</w:t>
      </w:r>
    </w:p>
    <w:tbl>
      <w:tblPr>
        <w:tblW w:w="4801" w:type="dxa"/>
        <w:jc w:val="left"/>
        <w:tblInd w:w="0" w:type="dxa"/>
        <w:tblLayout w:type="fixed"/>
        <w:tblCellMar>
          <w:top w:w="28" w:type="dxa"/>
          <w:left w:w="28" w:type="dxa"/>
          <w:bottom w:w="28" w:type="dxa"/>
          <w:right w:w="28" w:type="dxa"/>
        </w:tblCellMar>
      </w:tblPr>
      <w:tblGrid>
        <w:gridCol w:w="1146"/>
        <w:gridCol w:w="1008"/>
        <w:gridCol w:w="1011"/>
        <w:gridCol w:w="180"/>
        <w:gridCol w:w="181"/>
        <w:gridCol w:w="271"/>
        <w:gridCol w:w="109"/>
        <w:gridCol w:w="109"/>
        <w:gridCol w:w="109"/>
        <w:gridCol w:w="180"/>
        <w:gridCol w:w="181"/>
        <w:gridCol w:w="31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property and equipment</w:t>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75665"/>
                <wp:effectExtent l="0" t="0" r="0" b="0"/>
                <wp:wrapNone/>
                <wp:docPr id="160" name="Frame54"/>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08"/>
                                                <a:stretch>
                                                  <a:fillRect/>
                                                </a:stretch>
                                              </pic:blipFill>
                                              <pic:spPr bwMode="auto">
                                                <a:xfrm>
                                                  <a:off x="0" y="0"/>
                                                  <a:ext cx="266700" cy="257175"/>
                                                </a:xfrm>
                                                <a:prstGeom prst="rect">
                                                  <a:avLst/>
                                                </a:prstGeom>
                                              </pic:spPr>
                                            </pic:pic>
                                          </a:graphicData>
                                        </a:graphic>
                                      </wp:inline>
                                    </w:drawing>
                                  </w:r>
                                  <w:bookmarkStart w:id="106" w:name="i-55"/>
                                  <w:bookmarkEnd w:id="10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109"/>
                                          <a:stretch>
                                            <a:fillRect/>
                                          </a:stretch>
                                        </pic:blipFill>
                                        <pic:spPr bwMode="auto">
                                          <a:xfrm>
                                            <a:off x="0" y="0"/>
                                            <a:ext cx="266700" cy="257175"/>
                                          </a:xfrm>
                                          <a:prstGeom prst="rect">
                                            <a:avLst/>
                                          </a:prstGeom>
                                        </pic:spPr>
                                      </pic:pic>
                                    </a:graphicData>
                                  </a:graphic>
                                </wp:inline>
                              </w:drawing>
                            </w:r>
                            <w:bookmarkStart w:id="107" w:name="i-55"/>
                            <w:bookmarkEnd w:id="10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H – Goodwill and Intangible Assets, Net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activity in goodwill was as follows:</w:t>
      </w:r>
    </w:p>
    <w:tbl>
      <w:tblPr>
        <w:tblW w:w="8203" w:type="dxa"/>
        <w:jc w:val="left"/>
        <w:tblInd w:w="0" w:type="dxa"/>
        <w:tblLayout w:type="fixed"/>
        <w:tblCellMar>
          <w:top w:w="28" w:type="dxa"/>
          <w:left w:w="28" w:type="dxa"/>
          <w:bottom w:w="28" w:type="dxa"/>
          <w:right w:w="28" w:type="dxa"/>
        </w:tblCellMar>
      </w:tblPr>
      <w:tblGrid>
        <w:gridCol w:w="2230"/>
        <w:gridCol w:w="1964"/>
        <w:gridCol w:w="1970"/>
        <w:gridCol w:w="361"/>
        <w:gridCol w:w="1415"/>
        <w:gridCol w:w="263"/>
      </w:tblGrid>
      <w:tr>
        <w:trPr/>
        <w:tc>
          <w:tcPr>
            <w:tcW w:w="223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3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399,180 </w:t>
            </w:r>
          </w:p>
        </w:tc>
        <w:tc>
          <w:tcPr>
            <w:tcW w:w="2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from business acquisitions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Remeasurement from provisional purchase accounting amount and other</w:t>
            </w:r>
            <w:r>
              <w:rPr>
                <w:rFonts w:ascii="Times New Roman;serif" w:hAnsi="Times New Roman;serif"/>
                <w:b w:val="false"/>
                <w:color w:val="000000"/>
                <w:sz w:val="13"/>
              </w:rPr>
              <w:t>(1)</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3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541,719 </w:t>
            </w:r>
          </w:p>
        </w:tc>
        <w:tc>
          <w:tcPr>
            <w:tcW w:w="26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both"/>
        <w:rPr/>
      </w:pPr>
      <w:r>
        <w:rPr>
          <w:rFonts w:ascii="Times New Roman;serif" w:hAnsi="Times New Roman;serif"/>
          <w:b w:val="false"/>
          <w:color w:val="000000"/>
          <w:sz w:val="13"/>
        </w:rPr>
        <w:t xml:space="preserve">(1) </w:t>
      </w:r>
      <w:r>
        <w:rPr>
          <w:rFonts w:ascii="Times New Roman;serif" w:hAnsi="Times New Roman;serif"/>
          <w:b w:val="false"/>
          <w:color w:val="212529"/>
          <w:sz w:val="20"/>
        </w:rPr>
        <w:t xml:space="preserve">Refer to </w:t>
      </w:r>
      <w:r>
        <w:rPr>
          <w:rFonts w:ascii="Times New Roman;serif" w:hAnsi="Times New Roman;serif"/>
          <w:b w:val="false"/>
          <w:i/>
          <w:color w:val="212529"/>
          <w:sz w:val="20"/>
        </w:rPr>
        <w:t xml:space="preserve">Note </w:t>
      </w:r>
      <w:r>
        <w:rPr>
          <w:rFonts w:ascii="Times New Roman;serif" w:hAnsi="Times New Roman;serif"/>
          <w:b w:val="false"/>
          <w:i/>
          <w:color w:val="212529"/>
          <w:sz w:val="20"/>
          <w:shd w:fill="FFFFFF" w:val="clear"/>
        </w:rPr>
        <w:t>B – Business Acquisitions</w:t>
      </w:r>
      <w:r>
        <w:rPr>
          <w:color w:val="212529"/>
        </w:rPr>
        <w:t xml:space="preserve"> </w:t>
      </w:r>
      <w:r>
        <w:rPr>
          <w:rFonts w:ascii="Times New Roman;serif" w:hAnsi="Times New Roman;serif"/>
          <w:b w:val="false"/>
          <w:color w:val="212529"/>
          <w:sz w:val="20"/>
        </w:rPr>
        <w:t>for further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618"/>
        <w:gridCol w:w="544"/>
        <w:gridCol w:w="506"/>
        <w:gridCol w:w="211"/>
        <w:gridCol w:w="826"/>
        <w:gridCol w:w="109"/>
        <w:gridCol w:w="109"/>
        <w:gridCol w:w="109"/>
        <w:gridCol w:w="109"/>
        <w:gridCol w:w="211"/>
        <w:gridCol w:w="877"/>
        <w:gridCol w:w="109"/>
        <w:gridCol w:w="109"/>
        <w:gridCol w:w="109"/>
        <w:gridCol w:w="109"/>
        <w:gridCol w:w="213"/>
        <w:gridCol w:w="622"/>
        <w:gridCol w:w="111"/>
        <w:gridCol w:w="109"/>
        <w:gridCol w:w="109"/>
        <w:gridCol w:w="109"/>
        <w:gridCol w:w="211"/>
        <w:gridCol w:w="826"/>
        <w:gridCol w:w="109"/>
        <w:gridCol w:w="109"/>
        <w:gridCol w:w="109"/>
        <w:gridCol w:w="109"/>
        <w:gridCol w:w="815"/>
        <w:gridCol w:w="815"/>
        <w:gridCol w:w="1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6.6 years</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bl>
    <w:tbl>
      <w:tblPr>
        <w:tblW w:w="10205" w:type="dxa"/>
        <w:jc w:val="left"/>
        <w:tblInd w:w="0" w:type="dxa"/>
        <w:tblLayout w:type="fixed"/>
        <w:tblCellMar>
          <w:top w:w="28" w:type="dxa"/>
          <w:left w:w="28" w:type="dxa"/>
          <w:bottom w:w="28" w:type="dxa"/>
          <w:right w:w="28" w:type="dxa"/>
        </w:tblCellMar>
      </w:tblPr>
      <w:tblGrid>
        <w:gridCol w:w="622"/>
        <w:gridCol w:w="548"/>
        <w:gridCol w:w="511"/>
        <w:gridCol w:w="211"/>
        <w:gridCol w:w="826"/>
        <w:gridCol w:w="109"/>
        <w:gridCol w:w="109"/>
        <w:gridCol w:w="109"/>
        <w:gridCol w:w="109"/>
        <w:gridCol w:w="211"/>
        <w:gridCol w:w="787"/>
        <w:gridCol w:w="109"/>
        <w:gridCol w:w="109"/>
        <w:gridCol w:w="109"/>
        <w:gridCol w:w="109"/>
        <w:gridCol w:w="211"/>
        <w:gridCol w:w="668"/>
        <w:gridCol w:w="109"/>
        <w:gridCol w:w="109"/>
        <w:gridCol w:w="109"/>
        <w:gridCol w:w="109"/>
        <w:gridCol w:w="211"/>
        <w:gridCol w:w="826"/>
        <w:gridCol w:w="109"/>
        <w:gridCol w:w="109"/>
        <w:gridCol w:w="109"/>
        <w:gridCol w:w="109"/>
        <w:gridCol w:w="826"/>
        <w:gridCol w:w="826"/>
        <w:gridCol w:w="1177"/>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7.3 years</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6.9 years</w:t>
            </w:r>
          </w:p>
        </w:tc>
      </w:tr>
    </w:tbl>
    <w:p>
      <w:pPr>
        <w:pStyle w:val="TextBody"/>
        <w:bidi w:val="0"/>
        <w:spacing w:before="120" w:after="283"/>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as follows:</w:t>
      </w:r>
    </w:p>
    <w:tbl>
      <w:tblPr>
        <w:tblW w:w="5726" w:type="dxa"/>
        <w:jc w:val="left"/>
        <w:tblInd w:w="0" w:type="dxa"/>
        <w:tblLayout w:type="fixed"/>
        <w:tblCellMar>
          <w:top w:w="28" w:type="dxa"/>
          <w:left w:w="28" w:type="dxa"/>
          <w:bottom w:w="28" w:type="dxa"/>
          <w:right w:w="28" w:type="dxa"/>
        </w:tblCellMar>
      </w:tblPr>
      <w:tblGrid>
        <w:gridCol w:w="688"/>
        <w:gridCol w:w="606"/>
        <w:gridCol w:w="610"/>
        <w:gridCol w:w="211"/>
        <w:gridCol w:w="721"/>
        <w:gridCol w:w="109"/>
        <w:gridCol w:w="109"/>
        <w:gridCol w:w="109"/>
        <w:gridCol w:w="109"/>
        <w:gridCol w:w="211"/>
        <w:gridCol w:w="721"/>
        <w:gridCol w:w="109"/>
        <w:gridCol w:w="109"/>
        <w:gridCol w:w="109"/>
        <w:gridCol w:w="109"/>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future annual amortization expense related to intangible assets is as follows:</w:t>
      </w:r>
    </w:p>
    <w:tbl>
      <w:tblPr>
        <w:tblW w:w="3350" w:type="dxa"/>
        <w:jc w:val="left"/>
        <w:tblInd w:w="0" w:type="dxa"/>
        <w:tblLayout w:type="fixed"/>
        <w:tblCellMar>
          <w:top w:w="28" w:type="dxa"/>
          <w:left w:w="28" w:type="dxa"/>
          <w:bottom w:w="28" w:type="dxa"/>
          <w:right w:w="28" w:type="dxa"/>
        </w:tblCellMar>
      </w:tblPr>
      <w:tblGrid>
        <w:gridCol w:w="879"/>
        <w:gridCol w:w="639"/>
        <w:gridCol w:w="641"/>
        <w:gridCol w:w="211"/>
        <w:gridCol w:w="82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75665"/>
                <wp:effectExtent l="0" t="0" r="0" b="0"/>
                <wp:wrapNone/>
                <wp:docPr id="163" name="Frame55"/>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6" descr=""/>
                                                <pic:cNvPicPr>
                                                  <a:picLocks noChangeAspect="1" noChangeArrowheads="1"/>
                                                </pic:cNvPicPr>
                                              </pic:nvPicPr>
                                              <pic:blipFill>
                                                <a:blip r:embed="rId110"/>
                                                <a:stretch>
                                                  <a:fillRect/>
                                                </a:stretch>
                                              </pic:blipFill>
                                              <pic:spPr bwMode="auto">
                                                <a:xfrm>
                                                  <a:off x="0" y="0"/>
                                                  <a:ext cx="266700" cy="257175"/>
                                                </a:xfrm>
                                                <a:prstGeom prst="rect">
                                                  <a:avLst/>
                                                </a:prstGeom>
                                              </pic:spPr>
                                            </pic:pic>
                                          </a:graphicData>
                                        </a:graphic>
                                      </wp:inline>
                                    </w:drawing>
                                  </w:r>
                                  <w:bookmarkStart w:id="108" w:name="i-56"/>
                                  <w:bookmarkEnd w:id="10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6" descr=""/>
                                          <pic:cNvPicPr>
                                            <a:picLocks noChangeAspect="1" noChangeArrowheads="1"/>
                                          </pic:cNvPicPr>
                                        </pic:nvPicPr>
                                        <pic:blipFill>
                                          <a:blip r:embed="rId111"/>
                                          <a:stretch>
                                            <a:fillRect/>
                                          </a:stretch>
                                        </pic:blipFill>
                                        <pic:spPr bwMode="auto">
                                          <a:xfrm>
                                            <a:off x="0" y="0"/>
                                            <a:ext cx="266700" cy="257175"/>
                                          </a:xfrm>
                                          <a:prstGeom prst="rect">
                                            <a:avLst/>
                                          </a:prstGeom>
                                        </pic:spPr>
                                      </pic:pic>
                                    </a:graphicData>
                                  </a:graphic>
                                </wp:inline>
                              </w:drawing>
                            </w:r>
                            <w:bookmarkStart w:id="109" w:name="i-56"/>
                            <w:bookmarkEnd w:id="10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I –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2025, we executed the sixth amendment to our lease agreement (the "Amendment") for our current headquarters located in Minneapolis, Minnesota where we lease approximately 198,000 square feet effective October 1, 2025. The Amendment extends the lease term to end in July 2043 and provides approximately $33 million of lease incentives, which were included in the initial measurement of the operating lease right-of-use asset. The Company expects to utilize approximately $23 million of these lease incentives during the year ending December 31, 2027, with the remaining balance to be utilized thereafter.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5262" w:type="dxa"/>
        <w:jc w:val="left"/>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w:t>
      </w:r>
    </w:p>
    <w:tbl>
      <w:tblPr>
        <w:tblW w:w="9327" w:type="dxa"/>
        <w:jc w:val="left"/>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operating leases was as follows: </w:t>
      </w:r>
    </w:p>
    <w:tbl>
      <w:tblPr>
        <w:tblW w:w="6702" w:type="dxa"/>
        <w:jc w:val="left"/>
        <w:tblInd w:w="0" w:type="dxa"/>
        <w:tblLayout w:type="fixed"/>
        <w:tblCellMar>
          <w:top w:w="28" w:type="dxa"/>
          <w:left w:w="28" w:type="dxa"/>
          <w:bottom w:w="28" w:type="dxa"/>
          <w:right w:w="28" w:type="dxa"/>
        </w:tblCellMar>
      </w:tblPr>
      <w:tblGrid>
        <w:gridCol w:w="1207"/>
        <w:gridCol w:w="1059"/>
        <w:gridCol w:w="1064"/>
        <w:gridCol w:w="334"/>
        <w:gridCol w:w="334"/>
        <w:gridCol w:w="832"/>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5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9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are presented net of lease incentives deemed payable at lease commencement. At December 31, 2025, our future minimum payments under operating leases were as follows:</w:t>
      </w:r>
    </w:p>
    <w:tbl>
      <w:tblPr>
        <w:tblW w:w="3604" w:type="dxa"/>
        <w:jc w:val="left"/>
        <w:tblInd w:w="0" w:type="dxa"/>
        <w:tblLayout w:type="fixed"/>
        <w:tblCellMar>
          <w:top w:w="28" w:type="dxa"/>
          <w:left w:w="28" w:type="dxa"/>
          <w:bottom w:w="28" w:type="dxa"/>
          <w:right w:w="28" w:type="dxa"/>
        </w:tblCellMar>
      </w:tblPr>
      <w:tblGrid>
        <w:gridCol w:w="960"/>
        <w:gridCol w:w="846"/>
        <w:gridCol w:w="848"/>
        <w:gridCol w:w="398"/>
        <w:gridCol w:w="398"/>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gross payments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75665"/>
                <wp:effectExtent l="0" t="0" r="0" b="0"/>
                <wp:wrapNone/>
                <wp:docPr id="166" name="Frame56"/>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7" descr=""/>
                                                <pic:cNvPicPr>
                                                  <a:picLocks noChangeAspect="1" noChangeArrowheads="1"/>
                                                </pic:cNvPicPr>
                                              </pic:nvPicPr>
                                              <pic:blipFill>
                                                <a:blip r:embed="rId112"/>
                                                <a:stretch>
                                                  <a:fillRect/>
                                                </a:stretch>
                                              </pic:blipFill>
                                              <pic:spPr bwMode="auto">
                                                <a:xfrm>
                                                  <a:off x="0" y="0"/>
                                                  <a:ext cx="266700" cy="257175"/>
                                                </a:xfrm>
                                                <a:prstGeom prst="rect">
                                                  <a:avLst/>
                                                </a:prstGeom>
                                              </pic:spPr>
                                            </pic:pic>
                                          </a:graphicData>
                                        </a:graphic>
                                      </wp:inline>
                                    </w:drawing>
                                  </w:r>
                                  <w:bookmarkStart w:id="110" w:name="i-57"/>
                                  <w:bookmarkEnd w:id="11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7" descr=""/>
                                          <pic:cNvPicPr>
                                            <a:picLocks noChangeAspect="1" noChangeArrowheads="1"/>
                                          </pic:cNvPicPr>
                                        </pic:nvPicPr>
                                        <pic:blipFill>
                                          <a:blip r:embed="rId113"/>
                                          <a:stretch>
                                            <a:fillRect/>
                                          </a:stretch>
                                        </pic:blipFill>
                                        <pic:spPr bwMode="auto">
                                          <a:xfrm>
                                            <a:off x="0" y="0"/>
                                            <a:ext cx="266700" cy="257175"/>
                                          </a:xfrm>
                                          <a:prstGeom prst="rect">
                                            <a:avLst/>
                                          </a:prstGeom>
                                        </pic:spPr>
                                      </pic:pic>
                                    </a:graphicData>
                                  </a:graphic>
                                </wp:inline>
                              </w:drawing>
                            </w:r>
                            <w:bookmarkStart w:id="111" w:name="i-57"/>
                            <w:bookmarkEnd w:id="11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Purchase 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separate noncancelable agreements with computing infrastructure, productivity software, customer relationship management, and performance and security data analytics vendors for services through 2030. At December 31, 2025, our remaining purchase commitments and estimated purchase timing were as follows: </w:t>
      </w:r>
    </w:p>
    <w:tbl>
      <w:tblPr>
        <w:tblW w:w="3620" w:type="dxa"/>
        <w:jc w:val="left"/>
        <w:tblInd w:w="0" w:type="dxa"/>
        <w:tblLayout w:type="fixed"/>
        <w:tblCellMar>
          <w:top w:w="28" w:type="dxa"/>
          <w:left w:w="28" w:type="dxa"/>
          <w:bottom w:w="28" w:type="dxa"/>
          <w:right w:w="28" w:type="dxa"/>
        </w:tblCellMar>
      </w:tblPr>
      <w:tblGrid>
        <w:gridCol w:w="993"/>
        <w:gridCol w:w="875"/>
        <w:gridCol w:w="877"/>
        <w:gridCol w:w="360"/>
        <w:gridCol w:w="36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future purchases</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involved in various claims and legal actions in the normal course of business. We believe that the outcome of any such claim or legal action is not expected to have a material adverse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J – Stockholders’ Equity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multiple non-concurrent programs to repurchase our common stock. Details of the programs and activity thereunder through December 31, 2025 were as follows:</w:t>
      </w:r>
    </w:p>
    <w:tbl>
      <w:tblPr>
        <w:tblW w:w="10205" w:type="dxa"/>
        <w:jc w:val="left"/>
        <w:tblInd w:w="0" w:type="dxa"/>
        <w:tblLayout w:type="fixed"/>
        <w:tblCellMar>
          <w:top w:w="28" w:type="dxa"/>
          <w:left w:w="28" w:type="dxa"/>
          <w:bottom w:w="28" w:type="dxa"/>
          <w:right w:w="28" w:type="dxa"/>
        </w:tblCellMar>
      </w:tblPr>
      <w:tblGrid>
        <w:gridCol w:w="337"/>
        <w:gridCol w:w="297"/>
        <w:gridCol w:w="298"/>
        <w:gridCol w:w="400"/>
        <w:gridCol w:w="320"/>
        <w:gridCol w:w="297"/>
        <w:gridCol w:w="354"/>
        <w:gridCol w:w="331"/>
        <w:gridCol w:w="332"/>
        <w:gridCol w:w="109"/>
        <w:gridCol w:w="109"/>
        <w:gridCol w:w="109"/>
        <w:gridCol w:w="619"/>
        <w:gridCol w:w="466"/>
        <w:gridCol w:w="468"/>
        <w:gridCol w:w="109"/>
        <w:gridCol w:w="109"/>
        <w:gridCol w:w="109"/>
        <w:gridCol w:w="437"/>
        <w:gridCol w:w="413"/>
        <w:gridCol w:w="414"/>
        <w:gridCol w:w="109"/>
        <w:gridCol w:w="109"/>
        <w:gridCol w:w="109"/>
        <w:gridCol w:w="484"/>
        <w:gridCol w:w="484"/>
        <w:gridCol w:w="486"/>
        <w:gridCol w:w="109"/>
        <w:gridCol w:w="109"/>
        <w:gridCol w:w="109"/>
        <w:gridCol w:w="560"/>
        <w:gridCol w:w="450"/>
        <w:gridCol w:w="65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10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 Value Available for Future Repurchase</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2022 Program</w:t>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2022</w:t>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2024 Program</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99,990 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Program</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 repurchases are accounted for as the trade date occurs and are reflected in the condensed consolidated financial statements net of the costs incurred to acquire the shares. Share repurchases that have not yet settled in cash are included in accounts payable in the condensed consolidated balance sheet. The share repurchase activity by period was as follows:</w:t>
      </w:r>
    </w:p>
    <w:tbl>
      <w:tblPr>
        <w:tblW w:w="7496" w:type="dxa"/>
        <w:jc w:val="left"/>
        <w:tblInd w:w="0" w:type="dxa"/>
        <w:tblLayout w:type="fixed"/>
        <w:tblCellMar>
          <w:top w:w="28" w:type="dxa"/>
          <w:left w:w="28" w:type="dxa"/>
          <w:bottom w:w="28" w:type="dxa"/>
          <w:right w:w="28" w:type="dxa"/>
        </w:tblCellMar>
      </w:tblPr>
      <w:tblGrid>
        <w:gridCol w:w="1407"/>
        <w:gridCol w:w="1236"/>
        <w:gridCol w:w="1241"/>
        <w:gridCol w:w="211"/>
        <w:gridCol w:w="826"/>
        <w:gridCol w:w="109"/>
        <w:gridCol w:w="109"/>
        <w:gridCol w:w="109"/>
        <w:gridCol w:w="109"/>
        <w:gridCol w:w="211"/>
        <w:gridCol w:w="721"/>
        <w:gridCol w:w="109"/>
        <w:gridCol w:w="109"/>
        <w:gridCol w:w="109"/>
        <w:gridCol w:w="109"/>
        <w:gridCol w:w="211"/>
        <w:gridCol w:w="40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shares and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cost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10, 2026 (announced February 12, 2026), our Board of Directors approved an additional $200.0 million in repurchase authority under our previously announced share repurchase program ("2025 Program" within the tables above) that was approved on October 29, 2025 to repurchase up to $100.0 million of our common stock, excluding costs to obtain, for a total authorized repurchase amount of $300.0 million. Under the program, purchases may be made from time to time in the open market or in privately negotiated purchases, or both. The share repurchase program became effective December 1, 2025 and expires on December 1, 2027.</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Treasury Stock Reissuances</w:t>
      </w:r>
    </w:p>
    <w:p>
      <w:pPr>
        <w:pStyle w:val="TextBody"/>
        <w:bidi w:val="0"/>
        <w:spacing w:lineRule="auto" w:line="288" w:before="120" w:after="283"/>
        <w:ind w:left="0" w:right="0" w:firstLine="540"/>
        <w:jc w:val="both"/>
        <w:rPr/>
      </w:pPr>
      <w:r>
        <w:rPr>
          <w:rFonts w:ascii="Times New Roman;serif" w:hAnsi="Times New Roman;serif"/>
          <w:b w:val="false"/>
          <w:color w:val="212529"/>
          <w:sz w:val="20"/>
        </w:rPr>
        <w:t xml:space="preserve">In connection with the acquisitions of Carbon6, Traverse Systems, and SupplyPike, the Company re-issued treasury shares as part of the purchase consideration (see </w:t>
      </w:r>
      <w:r>
        <w:rPr>
          <w:rFonts w:ascii="Times New Roman;serif" w:hAnsi="Times New Roman;serif"/>
          <w:b w:val="false"/>
          <w:i/>
          <w:color w:val="212529"/>
          <w:sz w:val="20"/>
        </w:rPr>
        <w:t xml:space="preserve">Note </w:t>
      </w:r>
      <w:r>
        <w:rPr>
          <w:rFonts w:ascii="Times New Roman;serif" w:hAnsi="Times New Roman;serif"/>
          <w:b w:val="false"/>
          <w:i/>
          <w:color w:val="212529"/>
          <w:sz w:val="20"/>
          <w:shd w:fill="FFFFFF" w:val="clear"/>
        </w:rPr>
        <w:t>B – Business Acquisitions</w:t>
      </w:r>
      <w:r>
        <w:rPr>
          <w:color w:val="212529"/>
        </w:rPr>
        <w:t xml:space="preserve"> </w:t>
      </w:r>
      <w:r>
        <w:rPr>
          <w:rFonts w:ascii="Times New Roman;serif" w:hAnsi="Times New Roman;serif"/>
          <w:b w:val="false"/>
          <w:color w:val="212529"/>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75665"/>
                <wp:effectExtent l="0" t="0" r="0" b="0"/>
                <wp:wrapNone/>
                <wp:docPr id="169" name="Frame57"/>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8" descr=""/>
                                                <pic:cNvPicPr>
                                                  <a:picLocks noChangeAspect="1" noChangeArrowheads="1"/>
                                                </pic:cNvPicPr>
                                              </pic:nvPicPr>
                                              <pic:blipFill>
                                                <a:blip r:embed="rId114"/>
                                                <a:stretch>
                                                  <a:fillRect/>
                                                </a:stretch>
                                              </pic:blipFill>
                                              <pic:spPr bwMode="auto">
                                                <a:xfrm>
                                                  <a:off x="0" y="0"/>
                                                  <a:ext cx="266700" cy="257175"/>
                                                </a:xfrm>
                                                <a:prstGeom prst="rect">
                                                  <a:avLst/>
                                                </a:prstGeom>
                                              </pic:spPr>
                                            </pic:pic>
                                          </a:graphicData>
                                        </a:graphic>
                                      </wp:inline>
                                    </w:drawing>
                                  </w:r>
                                  <w:bookmarkStart w:id="112" w:name="i-58"/>
                                  <w:bookmarkEnd w:id="11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8" descr=""/>
                                          <pic:cNvPicPr>
                                            <a:picLocks noChangeAspect="1" noChangeArrowheads="1"/>
                                          </pic:cNvPicPr>
                                        </pic:nvPicPr>
                                        <pic:blipFill>
                                          <a:blip r:embed="rId115"/>
                                          <a:stretch>
                                            <a:fillRect/>
                                          </a:stretch>
                                        </pic:blipFill>
                                        <pic:spPr bwMode="auto">
                                          <a:xfrm>
                                            <a:off x="0" y="0"/>
                                            <a:ext cx="266700" cy="257175"/>
                                          </a:xfrm>
                                          <a:prstGeom prst="rect">
                                            <a:avLst/>
                                          </a:prstGeom>
                                        </pic:spPr>
                                      </pic:pic>
                                    </a:graphicData>
                                  </a:graphic>
                                </wp:inline>
                              </w:drawing>
                            </w:r>
                            <w:bookmarkStart w:id="113" w:name="i-58"/>
                            <w:bookmarkEnd w:id="11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K – 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in the consolidated statements of comprehensive income as follows:</w:t>
      </w:r>
    </w:p>
    <w:tbl>
      <w:tblPr>
        <w:tblW w:w="6132" w:type="dxa"/>
        <w:jc w:val="left"/>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grant type or plan was as follows:</w:t>
      </w:r>
    </w:p>
    <w:tbl>
      <w:tblPr>
        <w:tblW w:w="5502" w:type="dxa"/>
        <w:jc w:val="left"/>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RSUs &amp; DSUs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401(k) stock match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54,557 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$85.5 million of unrecognized stock-based compensation expense under our equity compensation plans, which is expected to be recognized on a primarily straight-line basis over a weighted-average period of 2.4 years. At December 31, 2025, there were 11.6 million shares available for grant under approved equity compensation plans.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Options generally vest over four years and, upon vesting, the holder is given the option to purchase shares of common stock at a specific strike price until expiration, which is generally seven years from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605" cy="14605"/>
                <wp:effectExtent l="0" t="0" r="0" b="0"/>
                <wp:wrapNone/>
                <wp:docPr id="172" name="Frame5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9" descr=""/>
                                                <pic:cNvPicPr>
                                                  <a:picLocks noChangeAspect="1" noChangeArrowheads="1"/>
                                                </pic:cNvPicPr>
                                              </pic:nvPicPr>
                                              <pic:blipFill>
                                                <a:blip r:embed="rId116"/>
                                                <a:stretch>
                                                  <a:fillRect/>
                                                </a:stretch>
                                              </pic:blipFill>
                                              <pic:spPr bwMode="auto">
                                                <a:xfrm>
                                                  <a:off x="0" y="0"/>
                                                  <a:ext cx="266700" cy="257175"/>
                                                </a:xfrm>
                                                <a:prstGeom prst="rect">
                                                  <a:avLst/>
                                                </a:prstGeom>
                                              </pic:spPr>
                                            </pic:pic>
                                          </a:graphicData>
                                        </a:graphic>
                                      </wp:inline>
                                    </w:drawing>
                                  </w:r>
                                  <w:bookmarkStart w:id="114" w:name="i-59"/>
                                  <w:bookmarkEnd w:id="11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9" descr=""/>
                                          <pic:cNvPicPr>
                                            <a:picLocks noChangeAspect="1" noChangeArrowheads="1"/>
                                          </pic:cNvPicPr>
                                        </pic:nvPicPr>
                                        <pic:blipFill>
                                          <a:blip r:embed="rId117"/>
                                          <a:stretch>
                                            <a:fillRect/>
                                          </a:stretch>
                                        </pic:blipFill>
                                        <pic:spPr bwMode="auto">
                                          <a:xfrm>
                                            <a:off x="0" y="0"/>
                                            <a:ext cx="266700" cy="257175"/>
                                          </a:xfrm>
                                          <a:prstGeom prst="rect">
                                            <a:avLst/>
                                          </a:prstGeom>
                                        </pic:spPr>
                                      </pic:pic>
                                    </a:graphicData>
                                  </a:graphic>
                                </wp:inline>
                              </w:drawing>
                            </w:r>
                            <w:bookmarkStart w:id="115" w:name="i-59"/>
                            <w:bookmarkEnd w:id="11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stock option activity was as follows:</w:t>
      </w:r>
    </w:p>
    <w:tbl>
      <w:tblPr>
        <w:tblW w:w="5696" w:type="dxa"/>
        <w:jc w:val="left"/>
        <w:tblInd w:w="0" w:type="dxa"/>
        <w:tblLayout w:type="fixed"/>
        <w:tblCellMar>
          <w:top w:w="28" w:type="dxa"/>
          <w:left w:w="28" w:type="dxa"/>
          <w:bottom w:w="28" w:type="dxa"/>
          <w:right w:w="28" w:type="dxa"/>
        </w:tblCellMar>
      </w:tblPr>
      <w:tblGrid>
        <w:gridCol w:w="1065"/>
        <w:gridCol w:w="935"/>
        <w:gridCol w:w="940"/>
        <w:gridCol w:w="309"/>
        <w:gridCol w:w="309"/>
        <w:gridCol w:w="311"/>
        <w:gridCol w:w="109"/>
        <w:gridCol w:w="109"/>
        <w:gridCol w:w="109"/>
        <w:gridCol w:w="439"/>
        <w:gridCol w:w="439"/>
        <w:gridCol w:w="622"/>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Exercise Price </w:t>
              <w:br/>
              <w:t>($/share)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195.76 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104.86 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Of the total outstanding options at December 31, 2025, 0.2 million were exercisable. The outstanding and exercisable options had a weighted average exercise price of $107.94 per share and a weighted average remaining contractual life of 2.6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additional information related to our stock options:</w:t>
      </w:r>
    </w:p>
    <w:tbl>
      <w:tblPr>
        <w:tblW w:w="8217" w:type="dxa"/>
        <w:jc w:val="left"/>
        <w:tblInd w:w="0" w:type="dxa"/>
        <w:tblLayout w:type="fixed"/>
        <w:tblCellMar>
          <w:top w:w="28" w:type="dxa"/>
          <w:left w:w="28" w:type="dxa"/>
          <w:bottom w:w="28" w:type="dxa"/>
          <w:right w:w="28" w:type="dxa"/>
        </w:tblCellMar>
      </w:tblPr>
      <w:tblGrid>
        <w:gridCol w:w="1707"/>
        <w:gridCol w:w="1499"/>
        <w:gridCol w:w="1504"/>
        <w:gridCol w:w="211"/>
        <w:gridCol w:w="616"/>
        <w:gridCol w:w="109"/>
        <w:gridCol w:w="109"/>
        <w:gridCol w:w="109"/>
        <w:gridCol w:w="109"/>
        <w:gridCol w:w="211"/>
        <w:gridCol w:w="616"/>
        <w:gridCol w:w="109"/>
        <w:gridCol w:w="109"/>
        <w:gridCol w:w="109"/>
        <w:gridCol w:w="109"/>
        <w:gridCol w:w="211"/>
        <w:gridCol w:w="61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options vested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per share of options granted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the options granted were estimated on the date of grant using the Black-Scholes option pricing model with the following weighted-average assumptions:</w:t>
      </w:r>
    </w:p>
    <w:tbl>
      <w:tblPr>
        <w:tblW w:w="4890" w:type="dxa"/>
        <w:jc w:val="left"/>
        <w:tblInd w:w="0" w:type="dxa"/>
        <w:tblLayout w:type="fixed"/>
        <w:tblCellMar>
          <w:top w:w="28" w:type="dxa"/>
          <w:left w:w="28" w:type="dxa"/>
          <w:bottom w:w="28" w:type="dxa"/>
          <w:right w:w="28" w:type="dxa"/>
        </w:tblCellMar>
      </w:tblPr>
      <w:tblGrid>
        <w:gridCol w:w="669"/>
        <w:gridCol w:w="587"/>
        <w:gridCol w:w="589"/>
        <w:gridCol w:w="255"/>
        <w:gridCol w:w="256"/>
        <w:gridCol w:w="271"/>
        <w:gridCol w:w="109"/>
        <w:gridCol w:w="109"/>
        <w:gridCol w:w="109"/>
        <w:gridCol w:w="255"/>
        <w:gridCol w:w="256"/>
        <w:gridCol w:w="271"/>
        <w:gridCol w:w="109"/>
        <w:gridCol w:w="109"/>
        <w:gridCol w:w="10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75665"/>
                <wp:effectExtent l="0" t="0" r="0" b="0"/>
                <wp:wrapNone/>
                <wp:docPr id="175" name="Frame59"/>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0" descr=""/>
                                                <pic:cNvPicPr>
                                                  <a:picLocks noChangeAspect="1" noChangeArrowheads="1"/>
                                                </pic:cNvPicPr>
                                              </pic:nvPicPr>
                                              <pic:blipFill>
                                                <a:blip r:embed="rId118"/>
                                                <a:stretch>
                                                  <a:fillRect/>
                                                </a:stretch>
                                              </pic:blipFill>
                                              <pic:spPr bwMode="auto">
                                                <a:xfrm>
                                                  <a:off x="0" y="0"/>
                                                  <a:ext cx="266700" cy="257175"/>
                                                </a:xfrm>
                                                <a:prstGeom prst="rect">
                                                  <a:avLst/>
                                                </a:prstGeom>
                                              </pic:spPr>
                                            </pic:pic>
                                          </a:graphicData>
                                        </a:graphic>
                                      </wp:inline>
                                    </w:drawing>
                                  </w:r>
                                  <w:bookmarkStart w:id="116" w:name="i-60"/>
                                  <w:bookmarkEnd w:id="11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0" descr=""/>
                                          <pic:cNvPicPr>
                                            <a:picLocks noChangeAspect="1" noChangeArrowheads="1"/>
                                          </pic:cNvPicPr>
                                        </pic:nvPicPr>
                                        <pic:blipFill>
                                          <a:blip r:embed="rId119"/>
                                          <a:stretch>
                                            <a:fillRect/>
                                          </a:stretch>
                                        </pic:blipFill>
                                        <pic:spPr bwMode="auto">
                                          <a:xfrm>
                                            <a:off x="0" y="0"/>
                                            <a:ext cx="266700" cy="257175"/>
                                          </a:xfrm>
                                          <a:prstGeom prst="rect">
                                            <a:avLst/>
                                          </a:prstGeom>
                                        </pic:spPr>
                                      </pic:pic>
                                    </a:graphicData>
                                  </a:graphic>
                                </wp:inline>
                              </w:drawing>
                            </w:r>
                            <w:bookmarkStart w:id="117" w:name="i-60"/>
                            <w:bookmarkEnd w:id="11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Performance Share Units, Restricted Stock Units and Awards, and Deferred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grant PSU awards with certain target performance levels.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Expense is recognized on a straight-line basis over the performance period, regardless of whether the market condition is satisfied as the likelihood of the market condition being met is included in the fair-value measurement of the award.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RSUs generally vest over four years and, upon vesting, the holder is entitled to receive shares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Activity for our PSUs, RSUs, RSAs, and DSUs in aggregate was as follows:</w:t>
      </w:r>
    </w:p>
    <w:tbl>
      <w:tblPr>
        <w:tblW w:w="6192" w:type="dxa"/>
        <w:jc w:val="left"/>
        <w:tblInd w:w="0" w:type="dxa"/>
        <w:tblLayout w:type="fixed"/>
        <w:tblCellMar>
          <w:top w:w="28" w:type="dxa"/>
          <w:left w:w="28" w:type="dxa"/>
          <w:bottom w:w="28" w:type="dxa"/>
          <w:right w:w="28" w:type="dxa"/>
        </w:tblCellMar>
      </w:tblPr>
      <w:tblGrid>
        <w:gridCol w:w="1065"/>
        <w:gridCol w:w="935"/>
        <w:gridCol w:w="940"/>
        <w:gridCol w:w="308"/>
        <w:gridCol w:w="308"/>
        <w:gridCol w:w="315"/>
        <w:gridCol w:w="109"/>
        <w:gridCol w:w="109"/>
        <w:gridCol w:w="109"/>
        <w:gridCol w:w="583"/>
        <w:gridCol w:w="583"/>
        <w:gridCol w:w="82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 xml:space="preserve">Date Fair Value </w:t>
              <w:br/>
              <w:t>($/share)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163.55 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122.97 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123.33 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148.21 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169.55 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PSUs, RSUs, RSAs, and DSUs outstanding at December 31, 2025 included less than 0.1 million units that have vested, but the shares of common stock have not yet been issued, pursuant to the terms of the agreements.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ESPP activity was as follows: </w:t>
      </w:r>
    </w:p>
    <w:tbl>
      <w:tblPr>
        <w:tblW w:w="6041" w:type="dxa"/>
        <w:jc w:val="left"/>
        <w:tblInd w:w="0" w:type="dxa"/>
        <w:tblLayout w:type="fixed"/>
        <w:tblCellMar>
          <w:top w:w="28" w:type="dxa"/>
          <w:left w:w="28" w:type="dxa"/>
          <w:bottom w:w="28" w:type="dxa"/>
          <w:right w:w="28" w:type="dxa"/>
        </w:tblCellMar>
      </w:tblPr>
      <w:tblGrid>
        <w:gridCol w:w="918"/>
        <w:gridCol w:w="807"/>
        <w:gridCol w:w="809"/>
        <w:gridCol w:w="211"/>
        <w:gridCol w:w="616"/>
        <w:gridCol w:w="109"/>
        <w:gridCol w:w="109"/>
        <w:gridCol w:w="109"/>
        <w:gridCol w:w="109"/>
        <w:gridCol w:w="211"/>
        <w:gridCol w:w="61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total of 1.5 million shares of common stock are remaining for issuance under the plan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75665"/>
                <wp:effectExtent l="0" t="0" r="0" b="0"/>
                <wp:wrapNone/>
                <wp:docPr id="178" name="Frame60"/>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1" descr=""/>
                                                <pic:cNvPicPr>
                                                  <a:picLocks noChangeAspect="1" noChangeArrowheads="1"/>
                                                </pic:cNvPicPr>
                                              </pic:nvPicPr>
                                              <pic:blipFill>
                                                <a:blip r:embed="rId120"/>
                                                <a:stretch>
                                                  <a:fillRect/>
                                                </a:stretch>
                                              </pic:blipFill>
                                              <pic:spPr bwMode="auto">
                                                <a:xfrm>
                                                  <a:off x="0" y="0"/>
                                                  <a:ext cx="266700" cy="257175"/>
                                                </a:xfrm>
                                                <a:prstGeom prst="rect">
                                                  <a:avLst/>
                                                </a:prstGeom>
                                              </pic:spPr>
                                            </pic:pic>
                                          </a:graphicData>
                                        </a:graphic>
                                      </wp:inline>
                                    </w:drawing>
                                  </w:r>
                                  <w:bookmarkStart w:id="118" w:name="i-61"/>
                                  <w:bookmarkEnd w:id="11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1" descr=""/>
                                          <pic:cNvPicPr>
                                            <a:picLocks noChangeAspect="1" noChangeArrowheads="1"/>
                                          </pic:cNvPicPr>
                                        </pic:nvPicPr>
                                        <pic:blipFill>
                                          <a:blip r:embed="rId121"/>
                                          <a:stretch>
                                            <a:fillRect/>
                                          </a:stretch>
                                        </pic:blipFill>
                                        <pic:spPr bwMode="auto">
                                          <a:xfrm>
                                            <a:off x="0" y="0"/>
                                            <a:ext cx="266700" cy="257175"/>
                                          </a:xfrm>
                                          <a:prstGeom prst="rect">
                                            <a:avLst/>
                                          </a:prstGeom>
                                        </pic:spPr>
                                      </pic:pic>
                                    </a:graphicData>
                                  </a:graphic>
                                </wp:inline>
                              </w:drawing>
                            </w:r>
                            <w:bookmarkStart w:id="119" w:name="i-61"/>
                            <w:bookmarkEnd w:id="11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was estimated based on the market price of our common stock at the beginning of the offering period using the following assumptions:</w:t>
      </w:r>
    </w:p>
    <w:tbl>
      <w:tblPr>
        <w:tblW w:w="4890" w:type="dxa"/>
        <w:jc w:val="left"/>
        <w:tblInd w:w="0" w:type="dxa"/>
        <w:tblLayout w:type="fixed"/>
        <w:tblCellMar>
          <w:top w:w="28" w:type="dxa"/>
          <w:left w:w="28" w:type="dxa"/>
          <w:bottom w:w="28" w:type="dxa"/>
          <w:right w:w="28" w:type="dxa"/>
        </w:tblCellMar>
      </w:tblPr>
      <w:tblGrid>
        <w:gridCol w:w="669"/>
        <w:gridCol w:w="587"/>
        <w:gridCol w:w="589"/>
        <w:gridCol w:w="255"/>
        <w:gridCol w:w="256"/>
        <w:gridCol w:w="271"/>
        <w:gridCol w:w="109"/>
        <w:gridCol w:w="109"/>
        <w:gridCol w:w="109"/>
        <w:gridCol w:w="255"/>
        <w:gridCol w:w="256"/>
        <w:gridCol w:w="271"/>
        <w:gridCol w:w="109"/>
        <w:gridCol w:w="109"/>
        <w:gridCol w:w="10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Note L – Income Taxes </w:t>
      </w:r>
    </w:p>
    <w:p>
      <w:pPr>
        <w:pStyle w:val="TextBody"/>
        <w:bidi w:val="0"/>
        <w:spacing w:lineRule="auto" w:line="27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(benefit) for income taxes was comprised of the following components:</w:t>
      </w:r>
    </w:p>
    <w:tbl>
      <w:tblPr>
        <w:tblW w:w="4961" w:type="dxa"/>
        <w:jc w:val="center"/>
        <w:tblInd w:w="0" w:type="dxa"/>
        <w:tblLayout w:type="fixed"/>
        <w:tblCellMar>
          <w:top w:w="28" w:type="dxa"/>
          <w:left w:w="28" w:type="dxa"/>
          <w:bottom w:w="28" w:type="dxa"/>
          <w:right w:w="28" w:type="dxa"/>
        </w:tblCellMar>
      </w:tblPr>
      <w:tblGrid>
        <w:gridCol w:w="412"/>
        <w:gridCol w:w="363"/>
        <w:gridCol w:w="364"/>
        <w:gridCol w:w="211"/>
        <w:gridCol w:w="721"/>
        <w:gridCol w:w="109"/>
        <w:gridCol w:w="109"/>
        <w:gridCol w:w="109"/>
        <w:gridCol w:w="109"/>
        <w:gridCol w:w="211"/>
        <w:gridCol w:w="721"/>
        <w:gridCol w:w="109"/>
        <w:gridCol w:w="109"/>
        <w:gridCol w:w="109"/>
        <w:gridCol w:w="109"/>
        <w:gridCol w:w="211"/>
        <w:gridCol w:w="721"/>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domestic and foreign income before income taxes as the consolidated income before income taxes that was attributable to either our subsidiaries based in the U.S. ("domestic"), or attributable to our subsidiaries outside of the U.S. ("foreign"). The percentage of consolidated income before income taxes attributable to our domestic subsidiaries was as follows:</w:t>
      </w:r>
    </w:p>
    <w:tbl>
      <w:tblPr>
        <w:tblW w:w="5789" w:type="dxa"/>
        <w:jc w:val="left"/>
        <w:tblInd w:w="0" w:type="dxa"/>
        <w:tblLayout w:type="fixed"/>
        <w:tblCellMar>
          <w:top w:w="28" w:type="dxa"/>
          <w:left w:w="28" w:type="dxa"/>
          <w:bottom w:w="28" w:type="dxa"/>
          <w:right w:w="28" w:type="dxa"/>
        </w:tblCellMar>
      </w:tblPr>
      <w:tblGrid>
        <w:gridCol w:w="1157"/>
        <w:gridCol w:w="1017"/>
        <w:gridCol w:w="1020"/>
        <w:gridCol w:w="180"/>
        <w:gridCol w:w="181"/>
        <w:gridCol w:w="271"/>
        <w:gridCol w:w="109"/>
        <w:gridCol w:w="109"/>
        <w:gridCol w:w="109"/>
        <w:gridCol w:w="180"/>
        <w:gridCol w:w="181"/>
        <w:gridCol w:w="271"/>
        <w:gridCol w:w="109"/>
        <w:gridCol w:w="109"/>
        <w:gridCol w:w="109"/>
        <w:gridCol w:w="180"/>
        <w:gridCol w:w="181"/>
        <w:gridCol w:w="316"/>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income before income taxes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5665"/>
                <wp:effectExtent l="0" t="0" r="0" b="0"/>
                <wp:wrapNone/>
                <wp:docPr id="181" name="Frame61"/>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2" descr=""/>
                                                <pic:cNvPicPr>
                                                  <a:picLocks noChangeAspect="1" noChangeArrowheads="1"/>
                                                </pic:cNvPicPr>
                                              </pic:nvPicPr>
                                              <pic:blipFill>
                                                <a:blip r:embed="rId122"/>
                                                <a:stretch>
                                                  <a:fillRect/>
                                                </a:stretch>
                                              </pic:blipFill>
                                              <pic:spPr bwMode="auto">
                                                <a:xfrm>
                                                  <a:off x="0" y="0"/>
                                                  <a:ext cx="266700" cy="257175"/>
                                                </a:xfrm>
                                                <a:prstGeom prst="rect">
                                                  <a:avLst/>
                                                </a:prstGeom>
                                              </pic:spPr>
                                            </pic:pic>
                                          </a:graphicData>
                                        </a:graphic>
                                      </wp:inline>
                                    </w:drawing>
                                  </w:r>
                                  <w:bookmarkStart w:id="120" w:name="i-62"/>
                                  <w:bookmarkEnd w:id="12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2" descr=""/>
                                          <pic:cNvPicPr>
                                            <a:picLocks noChangeAspect="1" noChangeArrowheads="1"/>
                                          </pic:cNvPicPr>
                                        </pic:nvPicPr>
                                        <pic:blipFill>
                                          <a:blip r:embed="rId123"/>
                                          <a:stretch>
                                            <a:fillRect/>
                                          </a:stretch>
                                        </pic:blipFill>
                                        <pic:spPr bwMode="auto">
                                          <a:xfrm>
                                            <a:off x="0" y="0"/>
                                            <a:ext cx="266700" cy="257175"/>
                                          </a:xfrm>
                                          <a:prstGeom prst="rect">
                                            <a:avLst/>
                                          </a:prstGeom>
                                        </pic:spPr>
                                      </pic:pic>
                                    </a:graphicData>
                                  </a:graphic>
                                </wp:inline>
                              </w:drawing>
                            </w:r>
                            <w:bookmarkStart w:id="121" w:name="i-62"/>
                            <w:bookmarkEnd w:id="12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U.S. federal statutory income tax rate with our effective tax rate and includes both the reporting currency amounts and percentages for each category of the reconciliation:</w:t>
      </w:r>
    </w:p>
    <w:tbl>
      <w:tblPr>
        <w:tblW w:w="6982" w:type="dxa"/>
        <w:jc w:val="center"/>
        <w:tblInd w:w="0" w:type="dxa"/>
        <w:tblLayout w:type="fixed"/>
        <w:tblCellMar>
          <w:top w:w="28" w:type="dxa"/>
          <w:left w:w="28" w:type="dxa"/>
          <w:bottom w:w="28" w:type="dxa"/>
          <w:right w:w="28" w:type="dxa"/>
        </w:tblCellMar>
      </w:tblPr>
      <w:tblGrid>
        <w:gridCol w:w="1661"/>
        <w:gridCol w:w="1463"/>
        <w:gridCol w:w="1466"/>
        <w:gridCol w:w="226"/>
        <w:gridCol w:w="773"/>
        <w:gridCol w:w="116"/>
        <w:gridCol w:w="116"/>
        <w:gridCol w:w="116"/>
        <w:gridCol w:w="116"/>
        <w:gridCol w:w="255"/>
        <w:gridCol w:w="256"/>
        <w:gridCol w:w="418"/>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statutory federal income tax</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resulting from:</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state and local income taxes, net of federal effect</w:t>
            </w:r>
            <w:r>
              <w:rPr>
                <w:rFonts w:ascii="Times New Roman;serif" w:hAnsi="Times New Roman;serif"/>
                <w:b w:val="false"/>
                <w:color w:val="000000"/>
                <w:sz w:val="13"/>
              </w:rPr>
              <w:t>(1)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U.S. state and local income taxes in California, New York, Illinois, Pennsylvania, and Wisconsin make up the majority (greater than 50%) of the tax effect in this category. </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U.S. federal statutory income tax rate with our effective tax rate:</w:t>
      </w:r>
    </w:p>
    <w:tbl>
      <w:tblPr>
        <w:tblW w:w="6329" w:type="dxa"/>
        <w:jc w:val="center"/>
        <w:tblInd w:w="0" w:type="dxa"/>
        <w:tblLayout w:type="fixed"/>
        <w:tblCellMar>
          <w:top w:w="28" w:type="dxa"/>
          <w:left w:w="28" w:type="dxa"/>
          <w:bottom w:w="28" w:type="dxa"/>
          <w:right w:w="28" w:type="dxa"/>
        </w:tblCellMar>
      </w:tblPr>
      <w:tblGrid>
        <w:gridCol w:w="1420"/>
        <w:gridCol w:w="1252"/>
        <w:gridCol w:w="1257"/>
        <w:gridCol w:w="255"/>
        <w:gridCol w:w="256"/>
        <w:gridCol w:w="409"/>
        <w:gridCol w:w="164"/>
        <w:gridCol w:w="164"/>
        <w:gridCol w:w="164"/>
        <w:gridCol w:w="255"/>
        <w:gridCol w:w="256"/>
        <w:gridCol w:w="477"/>
      </w:tblGrid>
      <w:tr>
        <w:trPr/>
        <w:tc>
          <w:tcPr>
            <w:tcW w:w="14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federal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resulting from:</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income taxes, net of federal tax effect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stock activity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75665"/>
                <wp:effectExtent l="0" t="0" r="0" b="0"/>
                <wp:wrapNone/>
                <wp:docPr id="184" name="Frame62"/>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3" descr=""/>
                                                <pic:cNvPicPr>
                                                  <a:picLocks noChangeAspect="1" noChangeArrowheads="1"/>
                                                </pic:cNvPicPr>
                                              </pic:nvPicPr>
                                              <pic:blipFill>
                                                <a:blip r:embed="rId124"/>
                                                <a:stretch>
                                                  <a:fillRect/>
                                                </a:stretch>
                                              </pic:blipFill>
                                              <pic:spPr bwMode="auto">
                                                <a:xfrm>
                                                  <a:off x="0" y="0"/>
                                                  <a:ext cx="266700" cy="257175"/>
                                                </a:xfrm>
                                                <a:prstGeom prst="rect">
                                                  <a:avLst/>
                                                </a:prstGeom>
                                              </pic:spPr>
                                            </pic:pic>
                                          </a:graphicData>
                                        </a:graphic>
                                      </wp:inline>
                                    </w:drawing>
                                  </w:r>
                                  <w:bookmarkStart w:id="122" w:name="i-63"/>
                                  <w:bookmarkEnd w:id="12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3" descr=""/>
                                          <pic:cNvPicPr>
                                            <a:picLocks noChangeAspect="1" noChangeArrowheads="1"/>
                                          </pic:cNvPicPr>
                                        </pic:nvPicPr>
                                        <pic:blipFill>
                                          <a:blip r:embed="rId125"/>
                                          <a:stretch>
                                            <a:fillRect/>
                                          </a:stretch>
                                        </pic:blipFill>
                                        <pic:spPr bwMode="auto">
                                          <a:xfrm>
                                            <a:off x="0" y="0"/>
                                            <a:ext cx="266700" cy="257175"/>
                                          </a:xfrm>
                                          <a:prstGeom prst="rect">
                                            <a:avLst/>
                                          </a:prstGeom>
                                        </pic:spPr>
                                      </pic:pic>
                                    </a:graphicData>
                                  </a:graphic>
                                </wp:inline>
                              </w:drawing>
                            </w:r>
                            <w:bookmarkStart w:id="123" w:name="i-63"/>
                            <w:bookmarkEnd w:id="12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our deferred income tax assets and liabilities were as follows:</w:t>
      </w:r>
    </w:p>
    <w:tbl>
      <w:tblPr>
        <w:tblW w:w="6189" w:type="dxa"/>
        <w:jc w:val="left"/>
        <w:tblInd w:w="0" w:type="dxa"/>
        <w:tblLayout w:type="fixed"/>
        <w:tblCellMar>
          <w:top w:w="28" w:type="dxa"/>
          <w:left w:w="28" w:type="dxa"/>
          <w:bottom w:w="28" w:type="dxa"/>
          <w:right w:w="28" w:type="dxa"/>
        </w:tblCellMar>
      </w:tblPr>
      <w:tblGrid>
        <w:gridCol w:w="1296"/>
        <w:gridCol w:w="1143"/>
        <w:gridCol w:w="1146"/>
        <w:gridCol w:w="211"/>
        <w:gridCol w:w="796"/>
        <w:gridCol w:w="109"/>
        <w:gridCol w:w="109"/>
        <w:gridCol w:w="109"/>
        <w:gridCol w:w="109"/>
        <w:gridCol w:w="211"/>
        <w:gridCol w:w="79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income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income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income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Tax loss carryforwards, net of Section 382 limitations, were as follows:</w:t>
      </w:r>
    </w:p>
    <w:tbl>
      <w:tblPr>
        <w:tblW w:w="9149" w:type="dxa"/>
        <w:jc w:val="left"/>
        <w:tblInd w:w="0" w:type="dxa"/>
        <w:tblLayout w:type="fixed"/>
        <w:tblCellMar>
          <w:top w:w="28" w:type="dxa"/>
          <w:left w:w="28" w:type="dxa"/>
          <w:bottom w:w="28" w:type="dxa"/>
          <w:right w:w="28" w:type="dxa"/>
        </w:tblCellMar>
      </w:tblPr>
      <w:tblGrid>
        <w:gridCol w:w="2860"/>
        <w:gridCol w:w="2116"/>
        <w:gridCol w:w="2134"/>
        <w:gridCol w:w="491"/>
        <w:gridCol w:w="1190"/>
        <w:gridCol w:w="358"/>
      </w:tblGrid>
      <w:tr>
        <w:trPr/>
        <w:tc>
          <w:tcPr>
            <w:tcW w:w="286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carryforwards</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carryforwards expected to expire unused due to Section 382 limitations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 operating loss carryforwards, net of Section 382 limitations</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operating loss carryforwards</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loss carryforwards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carryforwards, net of Section 382 limitations</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federal net operating loss carryforwards, if not used, will begin to expire in 2028. Federal net operating losses generated after December 31, 2018 will carry forward indefinitely. State operating loss carryforwards begin to expire in 2026 and all foreign loss carryforwards are indefinite in expiration.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recorded an uncertain tax position. The activity for the uncertain tax position was as follows: </w:t>
      </w:r>
    </w:p>
    <w:tbl>
      <w:tblPr>
        <w:tblW w:w="7078" w:type="dxa"/>
        <w:jc w:val="left"/>
        <w:tblInd w:w="0" w:type="dxa"/>
        <w:tblLayout w:type="fixed"/>
        <w:tblCellMar>
          <w:top w:w="28" w:type="dxa"/>
          <w:left w:w="28" w:type="dxa"/>
          <w:bottom w:w="28" w:type="dxa"/>
          <w:right w:w="28" w:type="dxa"/>
        </w:tblCellMar>
      </w:tblPr>
      <w:tblGrid>
        <w:gridCol w:w="1822"/>
        <w:gridCol w:w="1606"/>
        <w:gridCol w:w="1611"/>
        <w:gridCol w:w="438"/>
        <w:gridCol w:w="1281"/>
        <w:gridCol w:w="320"/>
      </w:tblGrid>
      <w:tr>
        <w:trPr/>
        <w:tc>
          <w:tcPr>
            <w:tcW w:w="182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uncertain tax positions taken in current period</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5665"/>
                <wp:effectExtent l="0" t="0" r="0" b="0"/>
                <wp:wrapNone/>
                <wp:docPr id="187" name="Frame63"/>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4" descr=""/>
                                                <pic:cNvPicPr>
                                                  <a:picLocks noChangeAspect="1" noChangeArrowheads="1"/>
                                                </pic:cNvPicPr>
                                              </pic:nvPicPr>
                                              <pic:blipFill>
                                                <a:blip r:embed="rId126"/>
                                                <a:stretch>
                                                  <a:fillRect/>
                                                </a:stretch>
                                              </pic:blipFill>
                                              <pic:spPr bwMode="auto">
                                                <a:xfrm>
                                                  <a:off x="0" y="0"/>
                                                  <a:ext cx="266700" cy="257175"/>
                                                </a:xfrm>
                                                <a:prstGeom prst="rect">
                                                  <a:avLst/>
                                                </a:prstGeom>
                                              </pic:spPr>
                                            </pic:pic>
                                          </a:graphicData>
                                        </a:graphic>
                                      </wp:inline>
                                    </w:drawing>
                                  </w:r>
                                  <w:bookmarkStart w:id="124" w:name="i-64"/>
                                  <w:bookmarkEnd w:id="12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8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4" descr=""/>
                                          <pic:cNvPicPr>
                                            <a:picLocks noChangeAspect="1" noChangeArrowheads="1"/>
                                          </pic:cNvPicPr>
                                        </pic:nvPicPr>
                                        <pic:blipFill>
                                          <a:blip r:embed="rId127"/>
                                          <a:stretch>
                                            <a:fillRect/>
                                          </a:stretch>
                                        </pic:blipFill>
                                        <pic:spPr bwMode="auto">
                                          <a:xfrm>
                                            <a:off x="0" y="0"/>
                                            <a:ext cx="266700" cy="257175"/>
                                          </a:xfrm>
                                          <a:prstGeom prst="rect">
                                            <a:avLst/>
                                          </a:prstGeom>
                                        </pic:spPr>
                                      </pic:pic>
                                    </a:graphicData>
                                  </a:graphic>
                                </wp:inline>
                              </w:drawing>
                            </w:r>
                            <w:bookmarkStart w:id="125" w:name="i-64"/>
                            <w:bookmarkEnd w:id="12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paid (net of refunds received), by jurisdiction, were as follows: </w:t>
      </w:r>
    </w:p>
    <w:tbl>
      <w:tblPr>
        <w:tblW w:w="3179" w:type="dxa"/>
        <w:jc w:val="left"/>
        <w:tblInd w:w="0" w:type="dxa"/>
        <w:tblLayout w:type="fixed"/>
        <w:tblCellMar>
          <w:top w:w="28" w:type="dxa"/>
          <w:left w:w="28" w:type="dxa"/>
          <w:bottom w:w="28" w:type="dxa"/>
          <w:right w:w="28" w:type="dxa"/>
        </w:tblCellMar>
      </w:tblPr>
      <w:tblGrid>
        <w:gridCol w:w="412"/>
        <w:gridCol w:w="363"/>
        <w:gridCol w:w="364"/>
        <w:gridCol w:w="396"/>
        <w:gridCol w:w="1355"/>
        <w:gridCol w:w="289"/>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28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28,892 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M – Other Income and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net included the following:</w:t>
      </w:r>
    </w:p>
    <w:tbl>
      <w:tblPr>
        <w:tblW w:w="10205" w:type="dxa"/>
        <w:jc w:val="left"/>
        <w:tblInd w:w="0" w:type="dxa"/>
        <w:tblLayout w:type="fixed"/>
        <w:tblCellMar>
          <w:top w:w="28" w:type="dxa"/>
          <w:left w:w="28" w:type="dxa"/>
          <w:bottom w:w="28" w:type="dxa"/>
          <w:right w:w="28" w:type="dxa"/>
        </w:tblCellMar>
      </w:tblPr>
      <w:tblGrid>
        <w:gridCol w:w="2397"/>
        <w:gridCol w:w="2099"/>
        <w:gridCol w:w="2096"/>
        <w:gridCol w:w="211"/>
        <w:gridCol w:w="616"/>
        <w:gridCol w:w="109"/>
        <w:gridCol w:w="109"/>
        <w:gridCol w:w="109"/>
        <w:gridCol w:w="109"/>
        <w:gridCol w:w="211"/>
        <w:gridCol w:w="721"/>
        <w:gridCol w:w="109"/>
        <w:gridCol w:w="109"/>
        <w:gridCol w:w="109"/>
        <w:gridCol w:w="109"/>
        <w:gridCol w:w="211"/>
        <w:gridCol w:w="616"/>
        <w:gridCol w:w="155"/>
      </w:tblGrid>
      <w:tr>
        <w:trPr/>
        <w:tc>
          <w:tcPr>
            <w:tcW w:w="2397"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5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N – Net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and computation of basic and diluted net income per share were as follows:</w:t>
      </w:r>
    </w:p>
    <w:tbl>
      <w:tblPr>
        <w:tblW w:w="8396" w:type="dxa"/>
        <w:jc w:val="left"/>
        <w:tblInd w:w="0" w:type="dxa"/>
        <w:tblLayout w:type="fixed"/>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and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outstanding potential common shares that were excluded from the calculation of diluted net income per share as they were anti-dilutive was as follows:</w:t>
      </w:r>
    </w:p>
    <w:tbl>
      <w:tblPr>
        <w:tblW w:w="4229" w:type="dxa"/>
        <w:jc w:val="left"/>
        <w:tblInd w:w="0" w:type="dxa"/>
        <w:tblLayout w:type="fixed"/>
        <w:tblCellMar>
          <w:top w:w="28" w:type="dxa"/>
          <w:left w:w="28" w:type="dxa"/>
          <w:bottom w:w="28" w:type="dxa"/>
          <w:right w:w="28" w:type="dxa"/>
        </w:tblCellMar>
      </w:tblPr>
      <w:tblGrid>
        <w:gridCol w:w="622"/>
        <w:gridCol w:w="548"/>
        <w:gridCol w:w="554"/>
        <w:gridCol w:w="233"/>
        <w:gridCol w:w="233"/>
        <w:gridCol w:w="156"/>
        <w:gridCol w:w="132"/>
        <w:gridCol w:w="132"/>
        <w:gridCol w:w="132"/>
        <w:gridCol w:w="180"/>
        <w:gridCol w:w="181"/>
        <w:gridCol w:w="156"/>
        <w:gridCol w:w="132"/>
        <w:gridCol w:w="132"/>
        <w:gridCol w:w="132"/>
        <w:gridCol w:w="180"/>
        <w:gridCol w:w="181"/>
        <w:gridCol w:w="213"/>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75665"/>
                <wp:effectExtent l="0" t="0" r="0" b="0"/>
                <wp:wrapNone/>
                <wp:docPr id="190" name="Frame64"/>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5" descr=""/>
                                                <pic:cNvPicPr>
                                                  <a:picLocks noChangeAspect="1" noChangeArrowheads="1"/>
                                                </pic:cNvPicPr>
                                              </pic:nvPicPr>
                                              <pic:blipFill>
                                                <a:blip r:embed="rId128"/>
                                                <a:stretch>
                                                  <a:fillRect/>
                                                </a:stretch>
                                              </pic:blipFill>
                                              <pic:spPr bwMode="auto">
                                                <a:xfrm>
                                                  <a:off x="0" y="0"/>
                                                  <a:ext cx="266700" cy="257175"/>
                                                </a:xfrm>
                                                <a:prstGeom prst="rect">
                                                  <a:avLst/>
                                                </a:prstGeom>
                                              </pic:spPr>
                                            </pic:pic>
                                          </a:graphicData>
                                        </a:graphic>
                                      </wp:inline>
                                    </w:drawing>
                                  </w:r>
                                  <w:bookmarkStart w:id="126" w:name="i-65"/>
                                  <w:bookmarkEnd w:id="12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5" descr=""/>
                                          <pic:cNvPicPr>
                                            <a:picLocks noChangeAspect="1" noChangeArrowheads="1"/>
                                          </pic:cNvPicPr>
                                        </pic:nvPicPr>
                                        <pic:blipFill>
                                          <a:blip r:embed="rId129"/>
                                          <a:stretch>
                                            <a:fillRect/>
                                          </a:stretch>
                                        </pic:blipFill>
                                        <pic:spPr bwMode="auto">
                                          <a:xfrm>
                                            <a:off x="0" y="0"/>
                                            <a:ext cx="266700" cy="257175"/>
                                          </a:xfrm>
                                          <a:prstGeom prst="rect">
                                            <a:avLst/>
                                          </a:prstGeom>
                                        </pic:spPr>
                                      </pic:pic>
                                    </a:graphicData>
                                  </a:graphic>
                                </wp:inline>
                              </w:drawing>
                            </w:r>
                            <w:bookmarkStart w:id="127" w:name="i-65"/>
                            <w:bookmarkEnd w:id="12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O – Retirement Contributions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sponsor a 401(k) retirement savings plan for our U.S. employees. Eligible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 account.</w:t>
      </w:r>
      <w:r>
        <w:rPr>
          <w:color w:val="000000"/>
        </w:rPr>
        <w:t xml:space="preserve"> </w:t>
      </w:r>
      <w:r>
        <w:rPr>
          <w:rFonts w:ascii="Times New Roman;serif" w:hAnsi="Times New Roman;serif"/>
          <w:b w:val="false"/>
          <w:color w:val="000000"/>
          <w:sz w:val="20"/>
        </w:rPr>
        <w:t>Additionally, we make statutory contributions to retirement plans as required by local foreign government regulations.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total contributions were as follows:</w:t>
      </w:r>
    </w:p>
    <w:tbl>
      <w:tblPr>
        <w:tblW w:w="5667" w:type="dxa"/>
        <w:jc w:val="left"/>
        <w:tblInd w:w="0" w:type="dxa"/>
        <w:tblLayout w:type="fixed"/>
        <w:tblCellMar>
          <w:top w:w="28" w:type="dxa"/>
          <w:left w:w="28" w:type="dxa"/>
          <w:bottom w:w="28" w:type="dxa"/>
          <w:right w:w="28" w:type="dxa"/>
        </w:tblCellMar>
      </w:tblPr>
      <w:tblGrid>
        <w:gridCol w:w="780"/>
        <w:gridCol w:w="687"/>
        <w:gridCol w:w="693"/>
        <w:gridCol w:w="211"/>
        <w:gridCol w:w="616"/>
        <w:gridCol w:w="109"/>
        <w:gridCol w:w="109"/>
        <w:gridCol w:w="109"/>
        <w:gridCol w:w="109"/>
        <w:gridCol w:w="211"/>
        <w:gridCol w:w="616"/>
        <w:gridCol w:w="109"/>
        <w:gridCol w:w="109"/>
        <w:gridCol w:w="109"/>
        <w:gridCol w:w="109"/>
        <w:gridCol w:w="211"/>
        <w:gridCol w:w="61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contributions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AAE5"/>
          <w:sz w:val="20"/>
        </w:rPr>
      </w:pPr>
      <w:r>
        <w:rPr>
          <w:rFonts w:ascii="Times New Roman;serif" w:hAnsi="Times New Roman;serif"/>
          <w:b/>
          <w:color w:val="00AAE5"/>
          <w:sz w:val="20"/>
        </w:rPr>
        <w:t>NOTE P – Related Party Transactions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executive officers. These directors receive no compensation from the Foundation or us for the management services performed for the Foundation. The Foundation is not a subsidiary of ours and the financial results of the Foundation are not consolidated with our financial statements. We have no current legal obligations for future commitments to the Foundation. Contributions to the Foundation were recorded in general and administrative expense in our consolidate</w:t>
      </w:r>
      <w:r>
        <w:rPr>
          <w:rFonts w:ascii="Times New Roman;serif" w:hAnsi="Times New Roman;serif"/>
          <w:b w:val="false"/>
          <w:color w:val="000000"/>
          <w:sz w:val="20"/>
          <w:shd w:fill="FFFFFF" w:val="clear"/>
        </w:rPr>
        <w:t>d statements of comprehensive income. The activity was as</w:t>
      </w:r>
      <w:r>
        <w:rPr>
          <w:color w:val="000000"/>
        </w:rPr>
        <w:t xml:space="preserve"> </w:t>
      </w:r>
      <w:r>
        <w:rPr>
          <w:rFonts w:ascii="Times New Roman;serif" w:hAnsi="Times New Roman;serif"/>
          <w:b w:val="false"/>
          <w:color w:val="000000"/>
          <w:sz w:val="20"/>
        </w:rPr>
        <w:t>follows:</w:t>
      </w:r>
    </w:p>
    <w:tbl>
      <w:tblPr>
        <w:tblW w:w="5712" w:type="dxa"/>
        <w:jc w:val="left"/>
        <w:tblInd w:w="0" w:type="dxa"/>
        <w:tblLayout w:type="fixed"/>
        <w:tblCellMar>
          <w:top w:w="28" w:type="dxa"/>
          <w:left w:w="28" w:type="dxa"/>
          <w:bottom w:w="28" w:type="dxa"/>
          <w:right w:w="28" w:type="dxa"/>
        </w:tblCellMar>
      </w:tblPr>
      <w:tblGrid>
        <w:gridCol w:w="796"/>
        <w:gridCol w:w="702"/>
        <w:gridCol w:w="707"/>
        <w:gridCol w:w="211"/>
        <w:gridCol w:w="616"/>
        <w:gridCol w:w="109"/>
        <w:gridCol w:w="109"/>
        <w:gridCol w:w="109"/>
        <w:gridCol w:w="109"/>
        <w:gridCol w:w="211"/>
        <w:gridCol w:w="616"/>
        <w:gridCol w:w="109"/>
        <w:gridCol w:w="109"/>
        <w:gridCol w:w="109"/>
        <w:gridCol w:w="109"/>
        <w:gridCol w:w="211"/>
        <w:gridCol w:w="61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Foundation contributions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9.    Changes in and Disagreements with Accountants on Accounting and Financial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9A.    Controls and Procedures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Assessment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assessed the effectiveness of the design and operation of our disclosure controls and procedures as of December 31, 2025, the end of the period covered by this Annual Report on Form 10-K. This assessment was done under the supervision and with the participation of management, including our Chief Executive Officer and Chief Financial Officer. Disclosure controls and procedures means controls and other procedures that are designed to provide reasonable assurance that information required to be disclosed in the reports that we file or submit under the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Chief Executive Officer and Chief Financial Officer, as appropriate to allow timely decisions regarding required disclosure. Based on this assessment, our Chief Executive Officer and Chief Financial Officer have concluded that as of December 31, 2025, our disclosure controls and procedures were effective.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consolidated financial statements for external purposes in accordance with GAAP and includes those policies and procedures that: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75665"/>
                <wp:effectExtent l="0" t="0" r="0" b="0"/>
                <wp:wrapNone/>
                <wp:docPr id="193" name="Frame65"/>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6" descr=""/>
                                                <pic:cNvPicPr>
                                                  <a:picLocks noChangeAspect="1" noChangeArrowheads="1"/>
                                                </pic:cNvPicPr>
                                              </pic:nvPicPr>
                                              <pic:blipFill>
                                                <a:blip r:embed="rId130"/>
                                                <a:stretch>
                                                  <a:fillRect/>
                                                </a:stretch>
                                              </pic:blipFill>
                                              <pic:spPr bwMode="auto">
                                                <a:xfrm>
                                                  <a:off x="0" y="0"/>
                                                  <a:ext cx="266700" cy="257175"/>
                                                </a:xfrm>
                                                <a:prstGeom prst="rect">
                                                  <a:avLst/>
                                                </a:prstGeom>
                                              </pic:spPr>
                                            </pic:pic>
                                          </a:graphicData>
                                        </a:graphic>
                                      </wp:inline>
                                    </w:drawing>
                                  </w:r>
                                  <w:bookmarkStart w:id="128" w:name="i-66"/>
                                  <w:bookmarkEnd w:id="12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6" descr=""/>
                                          <pic:cNvPicPr>
                                            <a:picLocks noChangeAspect="1" noChangeArrowheads="1"/>
                                          </pic:cNvPicPr>
                                        </pic:nvPicPr>
                                        <pic:blipFill>
                                          <a:blip r:embed="rId131"/>
                                          <a:stretch>
                                            <a:fillRect/>
                                          </a:stretch>
                                        </pic:blipFill>
                                        <pic:spPr bwMode="auto">
                                          <a:xfrm>
                                            <a:off x="0" y="0"/>
                                            <a:ext cx="266700" cy="257175"/>
                                          </a:xfrm>
                                          <a:prstGeom prst="rect">
                                            <a:avLst/>
                                          </a:prstGeom>
                                        </pic:spPr>
                                      </pic:pic>
                                    </a:graphicData>
                                  </a:graphic>
                                </wp:inline>
                              </w:drawing>
                            </w:r>
                            <w:bookmarkStart w:id="129" w:name="i-66"/>
                            <w:bookmarkEnd w:id="12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our assets that could have a material effect on our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Under the supervision and with the participation of management, including our principal executive and financial officers, we assessed our internal control over financial reporting as of December 31, 2025, based on criteria for effective internal control over financial reporting established in the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this assessment, management concluded that we maintained effective internal control over financial reporting as of December 31, 2025 based on the specified criteria.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SEC’s general guidance that the assessment of a recently acquired business' internal control over financial reporting may be omitted in the year of acquisition, the scope of the assessment of our internal control over financial reporting as of December 31, 2025 excluded Carbon6 (acquired in February 2025). Our assessment of the effectiveness of internal control over financial reporting as of December 31, 2026 will include Carbon6. Excluding net intangible assets and goodwill, Carbon6 represented less than 5% of our consolidated assets as of December 31, 2025 and approximately 5% of our consolidated revenues for the year ended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KPMG LLP, our independent registered public accounting firm, as stated in their report, which is included under Item 8 of this Annual Report on Form 10-K.</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implementing new enterprise systems for financial and human capital management. During the fourth quarter of 2025, we implemented a new enterprise system to replace legacy systems that were used for certain financial processes, including accounts payable, general accounting, and financial reporting. In connection with this implementation, we modified certain existing internal controls over financial reporting and implemented new internal controls and procedures related to the new system, which resulted in a material change to our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during December 2025, we implemented new enterprise systems to replace certain legacy systems that were used for human capital management and payroll operations. The related changes to business processes and internal controls over financial reporting were limited during the quarter and did not materially affect our internal control over financial reporting. We expect that the continued integration of these systems, including the modification and implementation of related internal controls and procedures, will result in a material change to internal control over financial reporting during the first quarter of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there were no changes in our internal control over financial reporting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75665"/>
                <wp:effectExtent l="0" t="0" r="0" b="0"/>
                <wp:wrapNone/>
                <wp:docPr id="196" name="Frame66"/>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7" descr=""/>
                                                <pic:cNvPicPr>
                                                  <a:picLocks noChangeAspect="1" noChangeArrowheads="1"/>
                                                </pic:cNvPicPr>
                                              </pic:nvPicPr>
                                              <pic:blipFill>
                                                <a:blip r:embed="rId132"/>
                                                <a:stretch>
                                                  <a:fillRect/>
                                                </a:stretch>
                                              </pic:blipFill>
                                              <pic:spPr bwMode="auto">
                                                <a:xfrm>
                                                  <a:off x="0" y="0"/>
                                                  <a:ext cx="266700" cy="257175"/>
                                                </a:xfrm>
                                                <a:prstGeom prst="rect">
                                                  <a:avLst/>
                                                </a:prstGeom>
                                              </pic:spPr>
                                            </pic:pic>
                                          </a:graphicData>
                                        </a:graphic>
                                      </wp:inline>
                                    </w:drawing>
                                  </w:r>
                                  <w:bookmarkStart w:id="130" w:name="i-67"/>
                                  <w:bookmarkEnd w:id="13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19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7" descr=""/>
                                          <pic:cNvPicPr>
                                            <a:picLocks noChangeAspect="1" noChangeArrowheads="1"/>
                                          </pic:cNvPicPr>
                                        </pic:nvPicPr>
                                        <pic:blipFill>
                                          <a:blip r:embed="rId133"/>
                                          <a:stretch>
                                            <a:fillRect/>
                                          </a:stretch>
                                        </pic:blipFill>
                                        <pic:spPr bwMode="auto">
                                          <a:xfrm>
                                            <a:off x="0" y="0"/>
                                            <a:ext cx="266700" cy="257175"/>
                                          </a:xfrm>
                                          <a:prstGeom prst="rect">
                                            <a:avLst/>
                                          </a:prstGeom>
                                        </pic:spPr>
                                      </pic:pic>
                                    </a:graphicData>
                                  </a:graphic>
                                </wp:inline>
                              </w:drawing>
                            </w:r>
                            <w:bookmarkStart w:id="131" w:name="i-67"/>
                            <w:bookmarkEnd w:id="13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9B.    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 following officers (as defined in Rule 16a-1(f) of the Exchange Act) adopted written plans for the sale of our securities that are intended to satisfy the affirmative defense of Rule 10b5-1(c) of the Exchange Act:</w:t>
      </w:r>
    </w:p>
    <w:tbl>
      <w:tblPr>
        <w:tblW w:w="10205" w:type="dxa"/>
        <w:jc w:val="left"/>
        <w:tblInd w:w="0" w:type="dxa"/>
        <w:tblLayout w:type="fixed"/>
        <w:tblCellMar>
          <w:top w:w="28" w:type="dxa"/>
          <w:left w:w="28" w:type="dxa"/>
          <w:bottom w:w="28" w:type="dxa"/>
          <w:right w:w="28" w:type="dxa"/>
        </w:tblCellMar>
      </w:tblPr>
      <w:tblGrid>
        <w:gridCol w:w="516"/>
        <w:gridCol w:w="422"/>
        <w:gridCol w:w="395"/>
        <w:gridCol w:w="629"/>
        <w:gridCol w:w="486"/>
        <w:gridCol w:w="493"/>
        <w:gridCol w:w="472"/>
        <w:gridCol w:w="391"/>
        <w:gridCol w:w="390"/>
        <w:gridCol w:w="452"/>
        <w:gridCol w:w="364"/>
        <w:gridCol w:w="366"/>
        <w:gridCol w:w="557"/>
        <w:gridCol w:w="557"/>
        <w:gridCol w:w="558"/>
        <w:gridCol w:w="920"/>
        <w:gridCol w:w="920"/>
        <w:gridCol w:w="1317"/>
      </w:tblGrid>
      <w:tr>
        <w:trPr/>
        <w:tc>
          <w:tcPr>
            <w:tcW w:w="5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Earliest Sale Date</w:t>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or Termination Date</w:t>
            </w:r>
          </w:p>
        </w:tc>
        <w:tc>
          <w:tcPr>
            <w:tcW w:w="31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Aggregate Number of Shares of the Company's Common Stock to be Sold</w:t>
            </w:r>
            <w:r>
              <w:rPr>
                <w:rFonts w:ascii="Times New Roman;serif" w:hAnsi="Times New Roman;serif"/>
                <w:b/>
                <w:color w:val="000000"/>
                <w:sz w:val="10"/>
              </w:rPr>
              <w:t>(1)</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 Juckniess</w:t>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Revenue Officer</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5, 2025</w:t>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5, 2026</w:t>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2026</w:t>
            </w:r>
          </w:p>
        </w:tc>
        <w:tc>
          <w:tcPr>
            <w:tcW w:w="3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23,960</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Jamie Thingelstad</w:t>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Technology Officer</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7,218</w:t>
            </w:r>
          </w:p>
        </w:tc>
      </w:tr>
    </w:tbl>
    <w:p>
      <w:pPr>
        <w:pStyle w:val="TextBody"/>
        <w:bidi w:val="0"/>
        <w:spacing w:lineRule="auto" w:line="268" w:before="120" w:after="283"/>
        <w:ind w:left="0" w:right="0" w:firstLine="720"/>
        <w:jc w:val="both"/>
        <w:rPr/>
      </w:pPr>
      <w:r>
        <w:rPr>
          <w:rFonts w:ascii="Times New Roman;serif" w:hAnsi="Times New Roman;serif"/>
          <w:b w:val="false"/>
          <w:i/>
          <w:color w:val="000000"/>
          <w:sz w:val="12"/>
        </w:rPr>
        <w:t xml:space="preserve">(1) </w:t>
      </w:r>
      <w:r>
        <w:rPr>
          <w:rFonts w:ascii="Times New Roman;serif" w:hAnsi="Times New Roman;serif"/>
          <w:b w:val="false"/>
          <w:i/>
          <w:color w:val="000000"/>
          <w:sz w:val="18"/>
        </w:rPr>
        <w:t xml:space="preserve">The number of shares is the maximum number of shares to be sold but the actual activity may be lower. Transaction(s) may be contingent upon future events such as performance factors, tax withholding obligations, and/or future market price(s).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other Rule 10b5-1(c) trading arrangements or non-Rule 10b5-1(c) trading arrangements adopted, modified or terminated by the Company's officers and directors during the three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9C.    Disclosure Regarding Foreign Jurisdictions that Prevent Inspections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75665"/>
                <wp:effectExtent l="0" t="0" r="0" b="0"/>
                <wp:wrapNone/>
                <wp:docPr id="199" name="Frame67"/>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8" descr=""/>
                                                <pic:cNvPicPr>
                                                  <a:picLocks noChangeAspect="1" noChangeArrowheads="1"/>
                                                </pic:cNvPicPr>
                                              </pic:nvPicPr>
                                              <pic:blipFill>
                                                <a:blip r:embed="rId134"/>
                                                <a:stretch>
                                                  <a:fillRect/>
                                                </a:stretch>
                                              </pic:blipFill>
                                              <pic:spPr bwMode="auto">
                                                <a:xfrm>
                                                  <a:off x="0" y="0"/>
                                                  <a:ext cx="266700" cy="257175"/>
                                                </a:xfrm>
                                                <a:prstGeom prst="rect">
                                                  <a:avLst/>
                                                </a:prstGeom>
                                              </pic:spPr>
                                            </pic:pic>
                                          </a:graphicData>
                                        </a:graphic>
                                      </wp:inline>
                                    </w:drawing>
                                  </w:r>
                                  <w:bookmarkStart w:id="132" w:name="i-68"/>
                                  <w:bookmarkEnd w:id="132"/>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8" descr=""/>
                                          <pic:cNvPicPr>
                                            <a:picLocks noChangeAspect="1" noChangeArrowheads="1"/>
                                          </pic:cNvPicPr>
                                        </pic:nvPicPr>
                                        <pic:blipFill>
                                          <a:blip r:embed="rId135"/>
                                          <a:stretch>
                                            <a:fillRect/>
                                          </a:stretch>
                                        </pic:blipFill>
                                        <pic:spPr bwMode="auto">
                                          <a:xfrm>
                                            <a:off x="0" y="0"/>
                                            <a:ext cx="266700" cy="257175"/>
                                          </a:xfrm>
                                          <a:prstGeom prst="rect">
                                            <a:avLst/>
                                          </a:prstGeom>
                                        </pic:spPr>
                                      </pic:pic>
                                    </a:graphicData>
                                  </a:graphic>
                                </wp:inline>
                              </w:drawing>
                            </w:r>
                            <w:bookmarkStart w:id="133" w:name="i-68"/>
                            <w:bookmarkEnd w:id="133"/>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10.    Directors, Executive Officers and Corporate 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“Election of Directors,” “Information Regarding the Board of Directors and Corporate Governance,” “Audit Committee Report and Payment of Fees to Our Independent Auditor,” “Executive Compensation,” and “Delinquent Section 16(a) Reports”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11.    Executive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“Executive Compensation,” “Director Compensation,” and “Security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12.    Security Ownership of Certain Beneficial Owners and Management and Related Stockholder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 “Security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13.    Certain Relationships and Related Transactions, and Director Independence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“Election of Directors,” “Information Regarding the Board of Directors and Corporate Governance,” and “Certain Relationships and Related Transactions” and is incorporated herein by the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14.    Principal Accountant Fees and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 “Audit Committee Report and Payment of Fees to Our Independent Auditor”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AAE5"/>
          <w:sz w:val="20"/>
        </w:rPr>
      </w:pPr>
      <w:r>
        <w:rPr>
          <w:rFonts w:ascii="Times New Roman;serif" w:hAnsi="Times New Roman;serif"/>
          <w:b/>
          <w:color w:val="00AAE5"/>
          <w:sz w:val="20"/>
        </w:rPr>
        <w:t>Item 15.    Exhibits and Financial Statement Schedules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10-K:</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(a)Financial Statements: The financial statements filed as a part of this report are listed in Part II, Item 8.</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(b)Financial Statement Schedules: The schedules are either not applicable or the required information is presented in the consolidated financial statements or notes thereto.</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(c)Exhibits: The exhibits incorporated by reference or filed as a part of this Annual Report on Form 10-K are listed in the Exhibit Index prior to the signatures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75665"/>
                <wp:effectExtent l="0" t="0" r="0" b="0"/>
                <wp:wrapNone/>
                <wp:docPr id="202" name="Frame68"/>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9" descr=""/>
                                                <pic:cNvPicPr>
                                                  <a:picLocks noChangeAspect="1" noChangeArrowheads="1"/>
                                                </pic:cNvPicPr>
                                              </pic:nvPicPr>
                                              <pic:blipFill>
                                                <a:blip r:embed="rId136"/>
                                                <a:stretch>
                                                  <a:fillRect/>
                                                </a:stretch>
                                              </pic:blipFill>
                                              <pic:spPr bwMode="auto">
                                                <a:xfrm>
                                                  <a:off x="0" y="0"/>
                                                  <a:ext cx="266700" cy="257175"/>
                                                </a:xfrm>
                                                <a:prstGeom prst="rect">
                                                  <a:avLst/>
                                                </a:prstGeom>
                                              </pic:spPr>
                                            </pic:pic>
                                          </a:graphicData>
                                        </a:graphic>
                                      </wp:inline>
                                    </w:drawing>
                                  </w:r>
                                  <w:bookmarkStart w:id="134" w:name="i-69"/>
                                  <w:bookmarkEnd w:id="134"/>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9" descr=""/>
                                          <pic:cNvPicPr>
                                            <a:picLocks noChangeAspect="1" noChangeArrowheads="1"/>
                                          </pic:cNvPicPr>
                                        </pic:nvPicPr>
                                        <pic:blipFill>
                                          <a:blip r:embed="rId137"/>
                                          <a:stretch>
                                            <a:fillRect/>
                                          </a:stretch>
                                        </pic:blipFill>
                                        <pic:spPr bwMode="auto">
                                          <a:xfrm>
                                            <a:off x="0" y="0"/>
                                            <a:ext cx="266700" cy="257175"/>
                                          </a:xfrm>
                                          <a:prstGeom prst="rect">
                                            <a:avLst/>
                                          </a:prstGeom>
                                        </pic:spPr>
                                      </pic:pic>
                                    </a:graphicData>
                                  </a:graphic>
                                </wp:inline>
                              </w:drawing>
                            </w:r>
                            <w:bookmarkStart w:id="135" w:name="i-69"/>
                            <w:bookmarkEnd w:id="135"/>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INDEX</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887"/>
        <w:gridCol w:w="1704"/>
        <w:gridCol w:w="1612"/>
        <w:gridCol w:w="109"/>
        <w:gridCol w:w="109"/>
        <w:gridCol w:w="109"/>
        <w:gridCol w:w="171"/>
        <w:gridCol w:w="171"/>
        <w:gridCol w:w="172"/>
        <w:gridCol w:w="114"/>
        <w:gridCol w:w="114"/>
        <w:gridCol w:w="114"/>
        <w:gridCol w:w="221"/>
        <w:gridCol w:w="221"/>
        <w:gridCol w:w="223"/>
        <w:gridCol w:w="114"/>
        <w:gridCol w:w="114"/>
        <w:gridCol w:w="114"/>
        <w:gridCol w:w="225"/>
        <w:gridCol w:w="225"/>
        <w:gridCol w:w="226"/>
        <w:gridCol w:w="109"/>
        <w:gridCol w:w="109"/>
        <w:gridCol w:w="109"/>
        <w:gridCol w:w="228"/>
        <w:gridCol w:w="228"/>
        <w:gridCol w:w="33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Exhibit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Form</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Date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First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Filing</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Exhibit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Filed</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Herewith</w:t>
            </w:r>
          </w:p>
        </w:tc>
      </w:tr>
      <w:tr>
        <w:trPr/>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8">
              <w:r>
                <w:rPr>
                  <w:rStyle w:val="InternetLink"/>
                  <w:rFonts w:ascii="Times New Roman;serif" w:hAnsi="Times New Roman;serif"/>
                  <w:b w:val="false"/>
                  <w:color w:val="0000EF"/>
                  <w:sz w:val="20"/>
                  <w:u w:val="single"/>
                </w:rPr>
                <w:t>Tenth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05/16/2024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9">
              <w:r>
                <w:rPr>
                  <w:rStyle w:val="InternetLink"/>
                  <w:rFonts w:ascii="Times New Roman;serif" w:hAnsi="Times New Roman;serif"/>
                  <w:b w:val="false"/>
                  <w:color w:val="0000FF"/>
                  <w:sz w:val="20"/>
                  <w:u w:val="single"/>
                </w:rPr>
                <w:t>Amended and Restated Bylaws, effective as of February 17,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02/21/2023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0">
              <w:r>
                <w:rPr>
                  <w:rStyle w:val="InternetLink"/>
                  <w:rFonts w:ascii="Times New Roman;serif" w:hAnsi="Times New Roman;serif"/>
                  <w:b w:val="false"/>
                  <w:color w:val="0000E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02/23/2021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1">
              <w:r>
                <w:rPr>
                  <w:rStyle w:val="InternetLink"/>
                  <w:rFonts w:ascii="Times New Roman;serif" w:hAnsi="Times New Roman;serif"/>
                  <w:b w:val="false"/>
                  <w:color w:val="0000EF"/>
                  <w:sz w:val="20"/>
                  <w:u w:val="single"/>
                </w:rPr>
                <w:t>2010 Equity Incentive Plan, as amended effective October 29,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02/20/2015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2">
              <w:r>
                <w:rPr>
                  <w:rStyle w:val="InternetLink"/>
                  <w:rFonts w:ascii="Times New Roman;serif" w:hAnsi="Times New Roman;serif"/>
                  <w:b w:val="false"/>
                  <w:color w:val="0000EF"/>
                  <w:sz w:val="20"/>
                  <w:u w:val="single"/>
                </w:rPr>
                <w:t>Form of Incentive Stock Option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02/17/2012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3">
              <w:r>
                <w:rPr>
                  <w:rStyle w:val="InternetLink"/>
                  <w:rFonts w:ascii="Times New Roman;serif" w:hAnsi="Times New Roman;serif"/>
                  <w:b w:val="false"/>
                  <w:color w:val="0000FF"/>
                  <w:sz w:val="20"/>
                  <w:u w:val="single"/>
                </w:rPr>
                <w:t>Form of Non-Statutory Stock Option Agreement (Employee)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02/21/2023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4">
              <w:r>
                <w:rPr>
                  <w:rStyle w:val="InternetLink"/>
                  <w:rFonts w:ascii="Times New Roman;serif" w:hAnsi="Times New Roman;serif"/>
                  <w:b w:val="false"/>
                  <w:color w:val="0000EF"/>
                  <w:sz w:val="20"/>
                  <w:u w:val="single"/>
                </w:rPr>
                <w:t>Form of Non-Statutory Stock Option Agreement (Director)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02/17/2012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45">
              <w:r>
                <w:rPr>
                  <w:rStyle w:val="InternetLink"/>
                  <w:rFonts w:ascii="Times New Roman;serif" w:hAnsi="Times New Roman;serif"/>
                  <w:b w:val="false"/>
                  <w:color w:val="0000EF"/>
                  <w:sz w:val="20"/>
                  <w:u w:val="single"/>
                </w:rPr>
                <w:t>Form of Restricted Stock Unit Award Agreement (Employee)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02/21/2023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2025_xex106directorrsuagr.htm">
              <w:r>
                <w:rPr>
                  <w:rStyle w:val="InternetLink"/>
                  <w:rFonts w:ascii="Times New Roman;serif" w:hAnsi="Times New Roman;serif"/>
                  <w:b w:val="false"/>
                  <w:color w:val="0000EF"/>
                  <w:sz w:val="20"/>
                  <w:u w:val="single"/>
                </w:rPr>
                <w:t>Form of Restricted Stock Unit Award Agreement (Director)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02/19/2025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6">
              <w:r>
                <w:rPr>
                  <w:rStyle w:val="InternetLink"/>
                  <w:rFonts w:ascii="Times New Roman;serif" w:hAnsi="Times New Roman;serif"/>
                  <w:b w:val="false"/>
                  <w:color w:val="0000EF"/>
                  <w:sz w:val="20"/>
                  <w:u w:val="single"/>
                </w:rPr>
                <w:t>Form of Restricted Stock Award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05/08/2012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7">
              <w:r>
                <w:rPr>
                  <w:rStyle w:val="InternetLink"/>
                  <w:rFonts w:ascii="Times New Roman;serif" w:hAnsi="Times New Roman;serif"/>
                  <w:b w:val="false"/>
                  <w:color w:val="0000EF"/>
                  <w:sz w:val="20"/>
                  <w:u w:val="single"/>
                </w:rPr>
                <w:t>Form of Performance Stock Unit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02/21/2023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109directordsuagr.htm">
              <w:r>
                <w:rPr>
                  <w:rStyle w:val="InternetLink"/>
                  <w:rFonts w:ascii="Times New Roman;serif" w:hAnsi="Times New Roman;serif"/>
                  <w:b w:val="false"/>
                  <w:color w:val="0000EF"/>
                  <w:sz w:val="20"/>
                  <w:u w:val="single"/>
                </w:rPr>
                <w:t>Form of Deferred Stock Unit Agreement under 2010 Equity Incentive Plan</w:t>
              </w:r>
            </w:hyperlink>
            <w:r>
              <w:rPr>
                <w:rFonts w:ascii="Times New Roman;serif" w:hAnsi="Times New Roman;serif"/>
                <w:b w:val="false"/>
                <w:color w:val="0000E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02/19/2025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8">
              <w:r>
                <w:rPr>
                  <w:rStyle w:val="InternetLink"/>
                  <w:rFonts w:ascii="Times New Roman;serif" w:hAnsi="Times New Roman;serif"/>
                  <w:b w:val="false"/>
                  <w:color w:val="0000EF"/>
                  <w:sz w:val="20"/>
                  <w:u w:val="single"/>
                </w:rPr>
                <w:t>Form of Indemnification Agreement for Independent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01/11/2010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9">
              <w:r>
                <w:rPr>
                  <w:rStyle w:val="InternetLink"/>
                  <w:rFonts w:ascii="Times New Roman;serif" w:hAnsi="Times New Roman;serif"/>
                  <w:b w:val="false"/>
                  <w:color w:val="0000EF"/>
                  <w:sz w:val="20"/>
                  <w:u w:val="single"/>
                </w:rPr>
                <w:t>Form of Indemnification Agreement for Archie C. Black**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01/11/2010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0">
              <w:r>
                <w:rPr>
                  <w:rStyle w:val="InternetLink"/>
                  <w:rFonts w:ascii="Times New Roman;serif" w:hAnsi="Times New Roman;serif"/>
                  <w:b w:val="false"/>
                  <w:color w:val="0000EF"/>
                  <w:sz w:val="20"/>
                  <w:u w:val="single"/>
                </w:rPr>
                <w:t>Management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02/03/2016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1">
              <w:r>
                <w:rPr>
                  <w:rStyle w:val="InternetLink"/>
                  <w:rFonts w:ascii="Times New Roman;serif" w:hAnsi="Times New Roman;serif"/>
                  <w:b w:val="false"/>
                  <w:color w:val="0000FF"/>
                  <w:sz w:val="20"/>
                  <w:u w:val="single"/>
                </w:rPr>
                <w:t>Amendment to Amended and Restated Executive Severance and Change in Control Agreement, dated as of March 1, 2023, by and between Archie C. Black and SPS Commerce,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03/02/2023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2">
              <w:r>
                <w:rPr>
                  <w:rStyle w:val="InternetLink"/>
                  <w:rFonts w:ascii="Times New Roman;serif" w:hAnsi="Times New Roman;serif"/>
                  <w:b w:val="false"/>
                  <w:color w:val="0000FF"/>
                  <w:sz w:val="20"/>
                  <w:u w:val="single"/>
                </w:rPr>
                <w:t>Amended and Restated Executive Severance and Change in Control Agreement between the Company and Archie C. Black**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02/18/2020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3">
              <w:r>
                <w:rPr>
                  <w:rStyle w:val="InternetLink"/>
                  <w:rFonts w:ascii="Times New Roman;serif" w:hAnsi="Times New Roman;serif"/>
                  <w:b w:val="false"/>
                  <w:color w:val="0000FF"/>
                  <w:sz w:val="20"/>
                  <w:u w:val="single"/>
                </w:rPr>
                <w:t>SPS Commerce, Inc. Executive Management Team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05/16/2024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4">
              <w:r>
                <w:rPr>
                  <w:rStyle w:val="InternetLink"/>
                  <w:rFonts w:ascii="Times New Roman;serif" w:hAnsi="Times New Roman;serif"/>
                  <w:b w:val="false"/>
                  <w:color w:val="0000FF"/>
                  <w:sz w:val="20"/>
                  <w:u w:val="single"/>
                </w:rPr>
                <w:t>Agreement to Terminate Amended and Restated Executive Severance and Change in Control Agreement, effective as of May 16, 2024, by and between SPS Commerce, Inc. and Kimberly Nelson**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05/16/2024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5">
              <w:r>
                <w:rPr>
                  <w:rStyle w:val="InternetLink"/>
                  <w:rFonts w:ascii="Times New Roman;serif" w:hAnsi="Times New Roman;serif"/>
                  <w:b w:val="false"/>
                  <w:color w:val="0000FF"/>
                  <w:sz w:val="20"/>
                  <w:u w:val="single"/>
                </w:rPr>
                <w:t>Offer Letter between Chad Collins and SPS Commerce, Inc., dated as of July 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07/06/2023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75665"/>
                <wp:effectExtent l="0" t="0" r="0" b="0"/>
                <wp:wrapNone/>
                <wp:docPr id="205" name="Frame69"/>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0" descr=""/>
                                                <pic:cNvPicPr>
                                                  <a:picLocks noChangeAspect="1" noChangeArrowheads="1"/>
                                                </pic:cNvPicPr>
                                              </pic:nvPicPr>
                                              <pic:blipFill>
                                                <a:blip r:embed="rId156"/>
                                                <a:stretch>
                                                  <a:fillRect/>
                                                </a:stretch>
                                              </pic:blipFill>
                                              <pic:spPr bwMode="auto">
                                                <a:xfrm>
                                                  <a:off x="0" y="0"/>
                                                  <a:ext cx="266700" cy="257175"/>
                                                </a:xfrm>
                                                <a:prstGeom prst="rect">
                                                  <a:avLst/>
                                                </a:prstGeom>
                                              </pic:spPr>
                                            </pic:pic>
                                          </a:graphicData>
                                        </a:graphic>
                                      </wp:inline>
                                    </w:drawing>
                                  </w:r>
                                  <w:bookmarkStart w:id="136" w:name="i-70"/>
                                  <w:bookmarkEnd w:id="136"/>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0" descr=""/>
                                          <pic:cNvPicPr>
                                            <a:picLocks noChangeAspect="1" noChangeArrowheads="1"/>
                                          </pic:cNvPicPr>
                                        </pic:nvPicPr>
                                        <pic:blipFill>
                                          <a:blip r:embed="rId157"/>
                                          <a:stretch>
                                            <a:fillRect/>
                                          </a:stretch>
                                        </pic:blipFill>
                                        <pic:spPr bwMode="auto">
                                          <a:xfrm>
                                            <a:off x="0" y="0"/>
                                            <a:ext cx="266700" cy="257175"/>
                                          </a:xfrm>
                                          <a:prstGeom prst="rect">
                                            <a:avLst/>
                                          </a:prstGeom>
                                        </pic:spPr>
                                      </pic:pic>
                                    </a:graphicData>
                                  </a:graphic>
                                </wp:inline>
                              </w:drawing>
                            </w:r>
                            <w:bookmarkStart w:id="137" w:name="i-70"/>
                            <w:bookmarkEnd w:id="137"/>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7447c4d4a608418a937aab0bbf88598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951"/>
        <w:gridCol w:w="1616"/>
        <w:gridCol w:w="1623"/>
        <w:gridCol w:w="109"/>
        <w:gridCol w:w="109"/>
        <w:gridCol w:w="109"/>
        <w:gridCol w:w="166"/>
        <w:gridCol w:w="166"/>
        <w:gridCol w:w="167"/>
        <w:gridCol w:w="115"/>
        <w:gridCol w:w="115"/>
        <w:gridCol w:w="115"/>
        <w:gridCol w:w="229"/>
        <w:gridCol w:w="229"/>
        <w:gridCol w:w="230"/>
        <w:gridCol w:w="115"/>
        <w:gridCol w:w="115"/>
        <w:gridCol w:w="115"/>
        <w:gridCol w:w="225"/>
        <w:gridCol w:w="225"/>
        <w:gridCol w:w="226"/>
        <w:gridCol w:w="109"/>
        <w:gridCol w:w="109"/>
        <w:gridCol w:w="109"/>
        <w:gridCol w:w="228"/>
        <w:gridCol w:w="228"/>
        <w:gridCol w:w="33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Exhibit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Form</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Date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First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Filing</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Exhibit</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Filed</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Herewith</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8">
              <w:r>
                <w:rPr>
                  <w:rStyle w:val="InternetLink"/>
                  <w:rFonts w:ascii="Times New Roman;serif" w:hAnsi="Times New Roman;serif"/>
                  <w:b w:val="false"/>
                  <w:color w:val="0000FF"/>
                  <w:sz w:val="20"/>
                  <w:u w:val="single"/>
                </w:rPr>
                <w:t>Executive Severance and Change in Control Agreement, effective as of October 2,2023, by and between Chad Collins and SPS Commerce,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07/06/2023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9">
              <w:r>
                <w:rPr>
                  <w:rStyle w:val="InternetLink"/>
                  <w:rFonts w:ascii="Times New Roman;serif" w:hAnsi="Times New Roman;serif"/>
                  <w:b w:val="false"/>
                  <w:color w:val="0000FF"/>
                  <w:sz w:val="20"/>
                  <w:u w:val="single"/>
                </w:rPr>
                <w:t>Registration Rights and Lock-Up Agreement, dated July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08/01/2024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0">
              <w:r>
                <w:rPr>
                  <w:rStyle w:val="InternetLink"/>
                  <w:rFonts w:ascii="Times New Roman;serif" w:hAnsi="Times New Roman;serif"/>
                  <w:b w:val="false"/>
                  <w:color w:val="0000FF"/>
                  <w:sz w:val="20"/>
                  <w:u w:val="single"/>
                </w:rPr>
                <w:t>Registration Rights and Lock-Up Agreement, dated January 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01/02/2025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1023rsuawardagree.htm">
              <w:r>
                <w:rPr>
                  <w:rStyle w:val="InternetLink"/>
                  <w:rFonts w:ascii="Times New Roman;serif" w:hAnsi="Times New Roman;serif"/>
                  <w:b w:val="false"/>
                  <w:color w:val="0000EF"/>
                  <w:sz w:val="20"/>
                  <w:u w:val="single"/>
                </w:rPr>
                <w:t>Form of Restricted Stock Unit Award Agreement under 2010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02/19/2025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1024psuawardagree.htm">
              <w:r>
                <w:rPr>
                  <w:rStyle w:val="InternetLink"/>
                  <w:rFonts w:ascii="Times New Roman;serif" w:hAnsi="Times New Roman;serif"/>
                  <w:b w:val="false"/>
                  <w:color w:val="0000EF"/>
                  <w:sz w:val="20"/>
                  <w:u w:val="single"/>
                </w:rPr>
                <w:t>Form of Performance Stock Unit Agreement under 2010 Equity Incentive Plan (for awards beginning in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02/19/2025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1025non-employeed.htm">
              <w:r>
                <w:rPr>
                  <w:rStyle w:val="InternetLink"/>
                  <w:rFonts w:ascii="Times New Roman;serif" w:hAnsi="Times New Roman;serif"/>
                  <w:b w:val="false"/>
                  <w:color w:val="0000EF"/>
                  <w:sz w:val="20"/>
                  <w:u w:val="single"/>
                </w:rPr>
                <w:t>Non-Employee Director Compensation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02/19/2025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1">
              <w:r>
                <w:rPr>
                  <w:rStyle w:val="InternetLink"/>
                  <w:rFonts w:ascii="Times New Roman;serif" w:hAnsi="Times New Roman;serif"/>
                  <w:b w:val="false"/>
                  <w:color w:val="0000FF"/>
                  <w:sz w:val="20"/>
                  <w:u w:val="single"/>
                </w:rPr>
                <w:t>Offer Letter between Joseph Del Preto and SPS Commerce, Inc., dated as of February 10,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02/12/2026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2">
              <w:r>
                <w:rPr>
                  <w:rStyle w:val="InternetLink"/>
                  <w:rFonts w:ascii="Times New Roman;serif" w:hAnsi="Times New Roman;serif"/>
                  <w:b w:val="false"/>
                  <w:color w:val="0000FF"/>
                  <w:sz w:val="20"/>
                  <w:u w:val="single"/>
                </w:rPr>
                <w:t>Cooperation Agreement, dated February 12, 2026, by SPS Commerce, Inc. and Anson Funds Management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02/12/2026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191insidertrading.htm">
              <w:r>
                <w:rPr>
                  <w:rStyle w:val="InternetLink"/>
                  <w:rFonts w:ascii="Times New Roman;serif" w:hAnsi="Times New Roman;serif"/>
                  <w:b w:val="false"/>
                  <w:color w:val="0000FF"/>
                  <w:sz w:val="20"/>
                  <w:u w:val="single"/>
                </w:rPr>
                <w:t>SPS Commerce, Inc.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211-subsidiarylist.htm">
              <w:r>
                <w:rPr>
                  <w:rStyle w:val="InternetLink"/>
                  <w:rFonts w:ascii="Times New Roman;serif" w:hAnsi="Times New Roman;serif"/>
                  <w:b w:val="false"/>
                  <w:color w:val="0000E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xex231-consentofaudi.htm">
              <w:r>
                <w:rPr>
                  <w:rStyle w:val="InternetLink"/>
                  <w:rFonts w:ascii="Times New Roman;serif" w:hAnsi="Times New Roman;serif"/>
                  <w:b w:val="false"/>
                  <w:color w:val="0000EF"/>
                  <w:sz w:val="20"/>
                  <w:u w:val="single"/>
                </w:rPr>
                <w:t>Consent of KPMG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EF"/>
                <w:sz w:val="20"/>
                <w:u w:val="single"/>
              </w:rPr>
            </w:pPr>
            <w:r>
              <w:rPr>
                <w:rFonts w:ascii="Times New Roman;serif" w:hAnsi="Times New Roman;serif"/>
                <w:b w:val="false"/>
                <w:color w:val="0000EF"/>
                <w:sz w:val="20"/>
                <w:u w:val="single"/>
              </w:rPr>
              <w:t>Power of Attorney (included on signature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10kexhibitex311ceo.htm">
              <w:r>
                <w:rPr>
                  <w:rStyle w:val="InternetLink"/>
                  <w:rFonts w:ascii="Times New Roman;serif" w:hAnsi="Times New Roman;serif"/>
                  <w:b w:val="false"/>
                  <w:color w:val="0000EF"/>
                  <w:sz w:val="20"/>
                  <w:u w:val="single"/>
                </w:rPr>
                <w:t>Certification of Principal Executive Officer pursuant to Rules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10kexhibitex312cfo.htm">
              <w:r>
                <w:rPr>
                  <w:rStyle w:val="InternetLink"/>
                  <w:rFonts w:ascii="Times New Roman;serif" w:hAnsi="Times New Roman;serif"/>
                  <w:b w:val="false"/>
                  <w:color w:val="0000EF"/>
                  <w:sz w:val="20"/>
                  <w:u w:val="single"/>
                </w:rPr>
                <w:t>Certification of Principal Financial Officer pursuant to Rules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5_10kexhibitex321ceocfo.htm">
              <w:r>
                <w:rPr>
                  <w:rStyle w:val="InternetLink"/>
                  <w:rFonts w:ascii="Times New Roman;serif" w:hAnsi="Times New Roman;serif"/>
                  <w:b w:val="false"/>
                  <w:color w:val="0000EF"/>
                  <w:sz w:val="20"/>
                  <w:u w:val="single"/>
                </w:rPr>
                <w:t>Certification of Chief Executive Officer and Chief Financial Officer pursuant to 18 U.S.C. Sec.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3">
              <w:r>
                <w:rPr>
                  <w:rStyle w:val="InternetLink"/>
                  <w:rFonts w:ascii="Times New Roman;serif" w:hAnsi="Times New Roman;serif"/>
                  <w:b w:val="false"/>
                  <w:color w:val="0000FF"/>
                  <w:sz w:val="20"/>
                  <w:u w:val="single"/>
                </w:rPr>
                <w:t>SPS Commerce, Inc. Required Compensation Recovery Policy, effective October 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02/20/2024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Annual Report on Form 10-K for the year ended December 31, 2023,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AAE5"/>
          <w:sz w:val="20"/>
        </w:rPr>
      </w:pPr>
      <w:r>
        <w:rPr>
          <w:rFonts w:ascii="Times New Roman;serif" w:hAnsi="Times New Roman;serif"/>
          <w:b/>
          <w:color w:val="00AAE5"/>
          <w:sz w:val="20"/>
        </w:rPr>
        <w:t>Item 16.    Form 10-K Summary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75665"/>
                <wp:effectExtent l="0" t="0" r="0" b="0"/>
                <wp:wrapNone/>
                <wp:docPr id="208" name="Frame70"/>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0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1" descr=""/>
                                                <pic:cNvPicPr>
                                                  <a:picLocks noChangeAspect="1" noChangeArrowheads="1"/>
                                                </pic:cNvPicPr>
                                              </pic:nvPicPr>
                                              <pic:blipFill>
                                                <a:blip r:embed="rId164"/>
                                                <a:stretch>
                                                  <a:fillRect/>
                                                </a:stretch>
                                              </pic:blipFill>
                                              <pic:spPr bwMode="auto">
                                                <a:xfrm>
                                                  <a:off x="0" y="0"/>
                                                  <a:ext cx="266700" cy="257175"/>
                                                </a:xfrm>
                                                <a:prstGeom prst="rect">
                                                  <a:avLst/>
                                                </a:prstGeom>
                                              </pic:spPr>
                                            </pic:pic>
                                          </a:graphicData>
                                        </a:graphic>
                                      </wp:inline>
                                    </w:drawing>
                                  </w:r>
                                  <w:bookmarkStart w:id="138" w:name="i-71"/>
                                  <w:bookmarkEnd w:id="138"/>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1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1" descr=""/>
                                          <pic:cNvPicPr>
                                            <a:picLocks noChangeAspect="1" noChangeArrowheads="1"/>
                                          </pic:cNvPicPr>
                                        </pic:nvPicPr>
                                        <pic:blipFill>
                                          <a:blip r:embed="rId165"/>
                                          <a:stretch>
                                            <a:fillRect/>
                                          </a:stretch>
                                        </pic:blipFill>
                                        <pic:spPr bwMode="auto">
                                          <a:xfrm>
                                            <a:off x="0" y="0"/>
                                            <a:ext cx="266700" cy="257175"/>
                                          </a:xfrm>
                                          <a:prstGeom prst="rect">
                                            <a:avLst/>
                                          </a:prstGeom>
                                        </pic:spPr>
                                      </pic:pic>
                                    </a:graphicData>
                                  </a:graphic>
                                </wp:inline>
                              </w:drawing>
                            </w:r>
                            <w:bookmarkStart w:id="139" w:name="i-71"/>
                            <w:bookmarkEnd w:id="139"/>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7447c4d4a608418a937aab0bbf885985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02" w:type="dxa"/>
        <w:jc w:val="left"/>
        <w:tblInd w:w="0" w:type="dxa"/>
        <w:tblLayout w:type="fixed"/>
        <w:tblCellMar>
          <w:top w:w="28" w:type="dxa"/>
          <w:left w:w="28" w:type="dxa"/>
          <w:bottom w:w="28" w:type="dxa"/>
          <w:right w:w="28" w:type="dxa"/>
        </w:tblCellMar>
      </w:tblPr>
      <w:tblGrid>
        <w:gridCol w:w="754"/>
        <w:gridCol w:w="664"/>
        <w:gridCol w:w="667"/>
        <w:gridCol w:w="341"/>
        <w:gridCol w:w="341"/>
        <w:gridCol w:w="341"/>
        <w:gridCol w:w="670"/>
        <w:gridCol w:w="670"/>
        <w:gridCol w:w="9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3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of the undersigned hereby appoints Chadwick Collins and Kimberly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19, 2026.</w:t>
      </w:r>
    </w:p>
    <w:tbl>
      <w:tblPr>
        <w:tblW w:w="7555" w:type="dxa"/>
        <w:jc w:val="center"/>
        <w:tblInd w:w="0" w:type="dxa"/>
        <w:tblLayout w:type="fixed"/>
        <w:tblCellMar>
          <w:top w:w="28" w:type="dxa"/>
          <w:left w:w="28" w:type="dxa"/>
          <w:bottom w:w="28" w:type="dxa"/>
          <w:right w:w="28" w:type="dxa"/>
        </w:tblCellMar>
      </w:tblPr>
      <w:tblGrid>
        <w:gridCol w:w="972"/>
        <w:gridCol w:w="854"/>
        <w:gridCol w:w="858"/>
        <w:gridCol w:w="109"/>
        <w:gridCol w:w="109"/>
        <w:gridCol w:w="109"/>
        <w:gridCol w:w="1321"/>
        <w:gridCol w:w="1321"/>
        <w:gridCol w:w="190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and 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Title</w:t>
            </w:r>
          </w:p>
        </w:tc>
      </w:tr>
      <w:tr>
        <w:trPr/>
        <w:tc>
          <w:tcPr>
            <w:tcW w:w="2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Director </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Executive Vice President and Chief Financial Officer </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FUNMIBI CHIMA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Funmibi Chima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RAZAT GAURAV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Razat Gaurav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MCCONNELL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McConnell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MARK PARTIN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 Partin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MARTY RÉAUME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Marty Réaume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TAMI RELLER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Tami Reller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SORAN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Philip Soran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ANNE SEMPOWSKI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Anne Sempowski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SVEN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Sven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10.6</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75665"/>
                <wp:effectExtent l="0" t="0" r="0" b="0"/>
                <wp:wrapNone/>
                <wp:docPr id="211" name="Frame71"/>
                <a:graphic xmlns:a="http://schemas.openxmlformats.org/drawingml/2006/main">
                  <a:graphicData uri="http://schemas.microsoft.com/office/word/2010/wordprocessingShape">
                    <wps:wsp>
                      <wps:cNvSpPr txBox="1"/>
                      <wps:spPr>
                        <a:xfrm>
                          <a:off x="0" y="0"/>
                          <a:ext cx="6480175" cy="87566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2" descr=""/>
                                                <pic:cNvPicPr>
                                                  <a:picLocks noChangeAspect="1" noChangeArrowheads="1"/>
                                                </pic:cNvPicPr>
                                              </pic:nvPicPr>
                                              <pic:blipFill>
                                                <a:blip r:embed="rId166"/>
                                                <a:stretch>
                                                  <a:fillRect/>
                                                </a:stretch>
                                              </pic:blipFill>
                                              <pic:spPr bwMode="auto">
                                                <a:xfrm>
                                                  <a:off x="0" y="0"/>
                                                  <a:ext cx="266700" cy="257175"/>
                                                </a:xfrm>
                                                <a:prstGeom prst="rect">
                                                  <a:avLst/>
                                                </a:prstGeom>
                                              </pic:spPr>
                                            </pic:pic>
                                          </a:graphicData>
                                        </a:graphic>
                                      </wp:inline>
                                    </w:drawing>
                                  </w:r>
                                  <w:bookmarkStart w:id="140" w:name="i-72"/>
                                  <w:bookmarkEnd w:id="140"/>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5pt;mso-wrap-distance-left:0pt;mso-wrap-distance-right:0pt;mso-wrap-distance-top:0pt;mso-wrap-distance-bottom:0pt;margin-top:0pt;mso-position-vertical:top;mso-position-vertical-relative:text;margin-left:-425.15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58"/>
                        <w:gridCol w:w="1058"/>
                        <w:gridCol w:w="149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66700" cy="257175"/>
                                  <wp:effectExtent l="0" t="0" r="0" b="0"/>
                                  <wp:docPr id="21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2" descr=""/>
                                          <pic:cNvPicPr>
                                            <a:picLocks noChangeAspect="1" noChangeArrowheads="1"/>
                                          </pic:cNvPicPr>
                                        </pic:nvPicPr>
                                        <pic:blipFill>
                                          <a:blip r:embed="rId167"/>
                                          <a:stretch>
                                            <a:fillRect/>
                                          </a:stretch>
                                        </pic:blipFill>
                                        <pic:spPr bwMode="auto">
                                          <a:xfrm>
                                            <a:off x="0" y="0"/>
                                            <a:ext cx="266700" cy="257175"/>
                                          </a:xfrm>
                                          <a:prstGeom prst="rect">
                                            <a:avLst/>
                                          </a:prstGeom>
                                        </pic:spPr>
                                      </pic:pic>
                                    </a:graphicData>
                                  </a:graphic>
                                </wp:inline>
                              </w:drawing>
                            </w:r>
                            <w:bookmarkStart w:id="141" w:name="i-72"/>
                            <w:bookmarkEnd w:id="141"/>
                            <w:r>
                              <w:rPr>
                                <w:color w:val="000000"/>
                              </w:rPr>
                              <w:t xml:space="preserve"> </w:t>
                            </w:r>
                            <w:r>
                              <w:rPr>
                                <w:rFonts w:ascii="Times New Roman;serif" w:hAnsi="Times New Roman;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Form 10-K for the Annual Period ended December 31,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Non-Employee Director</w:t>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Restricted Stock Unit Award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3"/>
        </w:rPr>
        <w:t>SPS Commerce, Inc. (the “Company”), pursuant to its 2010 Equity Incentive Plan (the “Plan”), hereby grants an award of restricted stock units (“Units”) to you, the Participant named below. The terms and conditions of this restricted stock unit Award are set forth in this Restricted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w:t>
      </w:r>
      <w:r>
        <w:rPr>
          <w:color w:val="000000"/>
        </w:rPr>
        <w:t xml:space="preserve"> </w:t>
      </w:r>
      <w:r>
        <w:rPr>
          <w:rFonts w:ascii="Times New Roman;serif" w:hAnsi="Times New Roman;serif"/>
          <w:b w:val="false"/>
          <w:color w:val="000000"/>
          <w:sz w:val="23"/>
        </w:rPr>
        <w:t>as it currently exists or as it is amended in the future.</w:t>
      </w:r>
    </w:p>
    <w:p>
      <w:pPr>
        <w:pStyle w:val="TextBody"/>
        <w:bidi w:val="0"/>
        <w:spacing w:before="0" w:after="0"/>
        <w:jc w:val="both"/>
        <w:rPr/>
      </w:pPr>
      <w:r>
        <w:rPr/>
      </w:r>
    </w:p>
    <w:tbl>
      <w:tblPr>
        <w:tblW w:w="7477" w:type="dxa"/>
        <w:jc w:val="left"/>
        <w:tblInd w:w="0" w:type="dxa"/>
        <w:tblLayout w:type="fixed"/>
        <w:tblCellMar>
          <w:top w:w="28" w:type="dxa"/>
          <w:left w:w="28" w:type="dxa"/>
          <w:bottom w:w="28" w:type="dxa"/>
          <w:right w:w="28" w:type="dxa"/>
        </w:tblCellMar>
      </w:tblPr>
      <w:tblGrid>
        <w:gridCol w:w="675"/>
        <w:gridCol w:w="593"/>
        <w:gridCol w:w="593"/>
        <w:gridCol w:w="593"/>
        <w:gridCol w:w="593"/>
        <w:gridCol w:w="593"/>
        <w:gridCol w:w="1148"/>
        <w:gridCol w:w="1148"/>
        <w:gridCol w:w="1169"/>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5"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Name of Participant:    **[_______________________]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Number of Units:    **[_______]</w:t>
            </w:r>
          </w:p>
        </w:tc>
        <w:tc>
          <w:tcPr>
            <w:tcW w:w="3465"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Grant Date:        __________, 20__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Vesting Schedule:</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Vesting Dates</w:t>
            </w:r>
          </w:p>
          <w:p>
            <w:pPr>
              <w:pStyle w:val="TableContents"/>
              <w:bidi w:val="0"/>
              <w:spacing w:before="0" w:after="0"/>
              <w:jc w:val="center"/>
              <w:rPr/>
            </w:pPr>
            <w:r>
              <w:rPr/>
            </w:r>
          </w:p>
          <w:p>
            <w:pPr>
              <w:pStyle w:val="TableContents"/>
              <w:bidi w:val="0"/>
              <w:spacing w:before="0" w:after="0"/>
              <w:jc w:val="center"/>
              <w:rPr/>
            </w:pPr>
            <w:r>
              <w:rPr/>
            </w:r>
          </w:p>
        </w:tc>
        <w:tc>
          <w:tcPr>
            <w:tcW w:w="5244" w:type="dxa"/>
            <w:gridSpan w:val="6"/>
            <w:tcBorders>
              <w:bottom w:val="double" w:sz="6" w:space="0" w:color="000000"/>
            </w:tcBorders>
            <w:tcMar>
              <w:top w:w="0" w:type="dxa"/>
              <w:left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 xml:space="preserve">Number of Units that Vest </w:t>
            </w:r>
          </w:p>
          <w:p>
            <w:pPr>
              <w:pStyle w:val="TableContents"/>
              <w:bidi w:val="0"/>
              <w:spacing w:before="0" w:after="0"/>
              <w:jc w:val="center"/>
              <w:rPr/>
            </w:pPr>
            <w:r>
              <w:rPr/>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w:t>
      </w:r>
    </w:p>
    <w:p>
      <w:pPr>
        <w:pStyle w:val="TextBody"/>
        <w:bidi w:val="0"/>
        <w:spacing w:before="0" w:after="0"/>
        <w:jc w:val="both"/>
        <w:rPr/>
      </w:pPr>
      <w:r>
        <w:rPr/>
      </w:r>
    </w:p>
    <w:p>
      <w:pPr>
        <w:pStyle w:val="TextBody"/>
        <w:bidi w:val="0"/>
        <w:spacing w:lineRule="atLeast" w:line="300" w:before="0" w:after="0"/>
        <w:jc w:val="left"/>
        <w:rPr>
          <w:rFonts w:ascii="Times New Roman;serif" w:hAnsi="Times New Roman;serif"/>
          <w:b w:val="false"/>
          <w:color w:val="000000"/>
          <w:sz w:val="23"/>
        </w:rPr>
      </w:pPr>
      <w:r>
        <w:rPr>
          <w:rFonts w:ascii="Times New Roman;serif" w:hAnsi="Times New Roman;serif"/>
          <w:b w:val="false"/>
          <w:color w:val="000000"/>
          <w:sz w:val="23"/>
        </w:rPr>
        <w:t>PARTICIPANT:    SPS COMMERCE,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jc w:val="both"/>
        <w:rPr/>
      </w:pPr>
      <w:r>
        <w:rPr>
          <w:color w:val="000000"/>
          <w:u w:val="single"/>
        </w:rPr>
        <w:t>    </w:t>
      </w:r>
      <w:r>
        <w:rPr>
          <w:color w:val="000000"/>
        </w:rPr>
        <w:t>    </w:t>
      </w:r>
      <w:r>
        <w:rPr>
          <w:rFonts w:ascii="Times New Roman;serif" w:hAnsi="Times New Roman;serif"/>
          <w:b w:val="false"/>
          <w:color w:val="000000"/>
          <w:sz w:val="23"/>
        </w:rPr>
        <w:t>By:______________________________________</w:t>
      </w:r>
    </w:p>
    <w:p>
      <w:pPr>
        <w:pStyle w:val="TextBody"/>
        <w:bidi w:val="0"/>
        <w:spacing w:lineRule="atLeast" w:line="300" w:before="0" w:after="0"/>
        <w:jc w:val="both"/>
        <w:rPr>
          <w:color w:val="000000"/>
        </w:rPr>
      </w:pPr>
      <w:r>
        <w:rPr>
          <w:color w:val="000000"/>
        </w:rPr>
        <w:t>    </w:t>
      </w:r>
      <w:r>
        <w:rPr>
          <w:rFonts w:ascii="Times New Roman;serif" w:hAnsi="Times New Roman;serif"/>
          <w:b w:val="false"/>
          <w:color w:val="000000"/>
          <w:sz w:val="23"/>
        </w:rPr>
        <w:t>Title:_____________________________________</w:t>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21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DMS_US.367321078.2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DMS_US.367321078.2</w:t>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Restricted Stock Unit Award Agreement</w:t>
      </w:r>
    </w:p>
    <w:p>
      <w:pPr>
        <w:pStyle w:val="TextBody"/>
        <w:bidi w:val="0"/>
        <w:spacing w:lineRule="atLeast" w:line="300" w:before="0" w:after="0"/>
        <w:jc w:val="center"/>
        <w:rPr/>
      </w:pPr>
      <w:r>
        <w:rPr>
          <w:rFonts w:ascii="Times New Roman;serif" w:hAnsi="Times New Roman;serif"/>
          <w:b/>
          <w:color w:val="000000"/>
          <w:sz w:val="23"/>
        </w:rPr>
        <w:t>(</w:t>
      </w:r>
      <w:r>
        <w:rPr>
          <w:rFonts w:ascii="Times New Roman;serif" w:hAnsi="Times New Roman;serif"/>
          <w:b/>
          <w:color w:val="000000"/>
          <w:sz w:val="23"/>
          <w:u w:val="single"/>
        </w:rPr>
        <w:t>Non-Employee Director)</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Terms and Conditions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w:t>
      </w:r>
      <w:r>
        <w:rPr>
          <w:color w:val="000000"/>
        </w:rPr>
        <w:t>    </w:t>
      </w:r>
      <w:r>
        <w:rPr>
          <w:rFonts w:ascii="Times New Roman;serif" w:hAnsi="Times New Roman;serif"/>
          <w:b/>
          <w:color w:val="000000"/>
          <w:sz w:val="23"/>
          <w:u w:val="single"/>
        </w:rPr>
        <w:t>Grant of Restricted Stock Units</w:t>
      </w:r>
      <w:r>
        <w:rPr>
          <w:rFonts w:ascii="Times New Roman;serif" w:hAnsi="Times New Roman;serif"/>
          <w:b w:val="false"/>
          <w:color w:val="000000"/>
          <w:sz w:val="23"/>
        </w:rPr>
        <w:t xml:space="preserve">. The Company hereby grants to you, subject to the terms and conditions in this Agreement and the Plan, an Award of the number of Units specified on the cover page of this Agreement,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2.    </w:t>
      </w:r>
      <w:r>
        <w:rPr>
          <w:rFonts w:ascii="Times New Roman;serif" w:hAnsi="Times New Roman;serif"/>
          <w:b/>
          <w:color w:val="000000"/>
          <w:sz w:val="23"/>
          <w:u w:val="single"/>
        </w:rPr>
        <w:t>Dividend Equivalents</w:t>
      </w:r>
      <w:r>
        <w:rPr>
          <w:rFonts w:ascii="Times New Roman;serif" w:hAnsi="Times New Roman;serif"/>
          <w:b w:val="false"/>
          <w:color w:val="000000"/>
          <w:sz w:val="23"/>
        </w:rPr>
        <w:t>. If the Company declares and pays cash dividends with respect to its Shares while any Units subject to this Agreement are outstanding, then on each dividend payment date a dividend equivalent dollar amount equal to the number of Units credited to your account pursuant to this Agreement as of the dividend record date times the dollar amount of the cash dividend per Share shall be deemed reinvested in additional Units as of the dividend payment date and such additional Units shall be credited to your account. The number of additional Units so credited shall be determined based on the Fair Market Value of a Share on the dividend payment date. Any additional Units so credited will be subject to the same terms and conditions, including the timing of vesting and settlement, applicable to the underlying Units to which the dividend equivalents relate.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3.    </w:t>
      </w:r>
      <w:r>
        <w:rPr>
          <w:rFonts w:ascii="Times New Roman;serif" w:hAnsi="Times New Roman;serif"/>
          <w:b/>
          <w:color w:val="000000"/>
          <w:sz w:val="23"/>
          <w:u w:val="single"/>
        </w:rPr>
        <w:t>Restrictions on Units</w:t>
      </w:r>
      <w:r>
        <w:rPr>
          <w:rFonts w:ascii="Times New Roman;serif" w:hAnsi="Times New Roman;serif"/>
          <w:b w:val="false"/>
          <w:color w:val="000000"/>
          <w:sz w:val="23"/>
        </w:rPr>
        <w:t>. Neither this Award nor the Units subject to this Award may be sold, assigned, transferred, exchanged or encumbered other than by will or the laws of descent and distribution. Any attempted transfer in violation of this Section 3 shall be of no effect and shall result in the forfeiture of all Units. The Units and your right to receive Shares in settlement of the Units under this Agreement shall be subject to forfeiture as provided in Section 5 until satisfaction of the vesting conditions set forth in Section 4.</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4.    </w:t>
      </w:r>
      <w:r>
        <w:rPr>
          <w:rFonts w:ascii="Times New Roman;serif" w:hAnsi="Times New Roman;serif"/>
          <w:b/>
          <w:color w:val="000000"/>
          <w:sz w:val="23"/>
          <w:u w:val="single"/>
        </w:rPr>
        <w:t>Vesting of Units</w:t>
      </w:r>
      <w:r>
        <w:rPr>
          <w:rFonts w:ascii="Times New Roman;serif" w:hAnsi="Times New Roman;serif"/>
          <w:b w:val="false"/>
          <w:color w:val="000000"/>
          <w:sz w:val="23"/>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3"/>
        </w:rPr>
        <w:t>(a)    </w:t>
      </w:r>
      <w:r>
        <w:rPr>
          <w:rFonts w:ascii="Times New Roman;serif" w:hAnsi="Times New Roman;serif"/>
          <w:b w:val="false"/>
          <w:color w:val="000000"/>
          <w:sz w:val="23"/>
          <w:u w:val="single"/>
        </w:rPr>
        <w:t>Scheduled Vesting</w:t>
      </w:r>
      <w:r>
        <w:rPr>
          <w:rFonts w:ascii="Times New Roman;serif" w:hAnsi="Times New Roman;serif"/>
          <w:b w:val="false"/>
          <w:color w:val="000000"/>
          <w:sz w:val="23"/>
        </w:rPr>
        <w:t xml:space="preserve">. If you remain in Service as a Non-Employee Director of the Company continuously from the Grant Date specified on the cover page of this Agreement, then the Units will vest in the numbers and on the dates specified in the Vesting Schedule on the cover page of this Agreement.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(b)    </w:t>
      </w:r>
      <w:r>
        <w:rPr>
          <w:rFonts w:ascii="Times New Roman;serif" w:hAnsi="Times New Roman;serif"/>
          <w:b w:val="false"/>
          <w:color w:val="000000"/>
          <w:sz w:val="23"/>
          <w:u w:val="single"/>
        </w:rPr>
        <w:t>Accelerated Vesting</w:t>
      </w:r>
      <w:r>
        <w:rPr>
          <w:rFonts w:ascii="Times New Roman;serif" w:hAnsi="Times New Roman;serif"/>
          <w:b w:val="false"/>
          <w:color w:val="000000"/>
          <w:sz w:val="23"/>
        </w:rPr>
        <w:t xml:space="preserve">. Notwithstanding Section 4(a), the Units will vest in full upon the occurrence of a Change in Control (within the meaning of Section 2(f)(3) of the Plan, including the last sentence thereof), so long as you have continuously provided Service to the Company between the Grant Date and the date of such Change in Control.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215"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val="false"/>
          <w:color w:val="000000"/>
          <w:sz w:val="23"/>
        </w:rPr>
        <w:t>5.    </w:t>
      </w:r>
      <w:r>
        <w:rPr>
          <w:rFonts w:ascii="Times New Roman;serif" w:hAnsi="Times New Roman;serif"/>
          <w:b/>
          <w:color w:val="000000"/>
          <w:sz w:val="23"/>
          <w:u w:val="single"/>
        </w:rPr>
        <w:t>Effect of Termination of Service</w:t>
      </w:r>
      <w:r>
        <w:rPr>
          <w:rFonts w:ascii="Times New Roman;serif" w:hAnsi="Times New Roman;serif"/>
          <w:b w:val="false"/>
          <w:color w:val="000000"/>
          <w:sz w:val="23"/>
        </w:rPr>
        <w:t xml:space="preserve">. Except as otherwise provided in accordance with Section 4(b), if you cease to be a Service Provider prior to the Vesting Date(s) specified on the cover page of this Agreement, you will forfeit all unvested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6.    </w:t>
      </w:r>
      <w:r>
        <w:rPr>
          <w:rFonts w:ascii="Times New Roman;serif" w:hAnsi="Times New Roman;serif"/>
          <w:b/>
          <w:color w:val="000000"/>
          <w:sz w:val="23"/>
          <w:u w:val="single"/>
        </w:rPr>
        <w:t>Settlement of Units</w:t>
      </w:r>
      <w:r>
        <w:rPr>
          <w:rFonts w:ascii="Times New Roman;serif" w:hAnsi="Times New Roman;serif"/>
          <w:b w:val="false"/>
          <w:color w:val="000000"/>
          <w:sz w:val="23"/>
        </w:rPr>
        <w:t xml:space="preserve">. After any Units vest pursuant to Section 4, the Company shall, no later than March 15 of the year following the calendar year in which such Units vest, cause to be issued and delivered to you, or to your designated beneficiary or estate in the event of your death,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compliance with all applicable legal requirements, including compliance with the requirements of applicable federal and state securities laws, and shall be in complete satisfaction and settlement of such vested Units.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7.    </w:t>
      </w:r>
      <w:r>
        <w:rPr>
          <w:rFonts w:ascii="Times New Roman;serif" w:hAnsi="Times New Roman;serif"/>
          <w:b/>
          <w:color w:val="000000"/>
          <w:sz w:val="23"/>
          <w:u w:val="single"/>
        </w:rPr>
        <w:t>No Shareholder Rights</w:t>
      </w:r>
      <w:r>
        <w:rPr>
          <w:rFonts w:ascii="Times New Roman;serif" w:hAnsi="Times New Roman;serif"/>
          <w:b w:val="false"/>
          <w:color w:val="000000"/>
          <w:sz w:val="23"/>
        </w:rPr>
        <w:t xml:space="preserve">. The Units subject to this Award do not entitle you to any rights of a shareholder of the Company’s common stock. You will not have any of the rights of a shareholder of the Company in connection with the grant of Units subject to this Agreement unless and until Shares are issued to you upon settlement of the Units as provided in Section 6.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8.    </w:t>
      </w:r>
      <w:r>
        <w:rPr>
          <w:rFonts w:ascii="Times New Roman;serif" w:hAnsi="Times New Roman;serif"/>
          <w:b/>
          <w:color w:val="000000"/>
          <w:sz w:val="23"/>
          <w:u w:val="single"/>
        </w:rPr>
        <w:t>Governing Plan Document</w:t>
      </w:r>
      <w:r>
        <w:rPr>
          <w:rFonts w:ascii="Times New Roman;serif" w:hAnsi="Times New Roman;serif"/>
          <w:b w:val="false"/>
          <w:color w:val="000000"/>
          <w:sz w:val="23"/>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9.    </w:t>
      </w:r>
      <w:r>
        <w:rPr>
          <w:rFonts w:ascii="Times New Roman;serif" w:hAnsi="Times New Roman;serif"/>
          <w:b/>
          <w:color w:val="000000"/>
          <w:sz w:val="23"/>
          <w:u w:val="single"/>
        </w:rPr>
        <w:t>Choice of Law</w:t>
      </w:r>
      <w:r>
        <w:rPr>
          <w:rFonts w:ascii="Times New Roman;serif" w:hAnsi="Times New Roman;serif"/>
          <w:b w:val="false"/>
          <w:color w:val="000000"/>
          <w:sz w:val="23"/>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10.    </w:t>
      </w:r>
      <w:r>
        <w:rPr>
          <w:rFonts w:ascii="Times New Roman;serif" w:hAnsi="Times New Roman;serif"/>
          <w:b/>
          <w:color w:val="000000"/>
          <w:sz w:val="23"/>
          <w:u w:val="single"/>
        </w:rPr>
        <w:t>Binding Effect</w:t>
      </w:r>
      <w:r>
        <w:rPr>
          <w:rFonts w:ascii="Times New Roman;serif" w:hAnsi="Times New Roman;serif"/>
          <w:b w:val="false"/>
          <w:color w:val="000000"/>
          <w:sz w:val="23"/>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11.    </w:t>
      </w:r>
      <w:r>
        <w:rPr>
          <w:rFonts w:ascii="Times New Roman;serif" w:hAnsi="Times New Roman;serif"/>
          <w:b/>
          <w:color w:val="000000"/>
          <w:sz w:val="23"/>
          <w:u w:val="single"/>
        </w:rPr>
        <w:t>Discontinuance of Service</w:t>
      </w:r>
      <w:r>
        <w:rPr>
          <w:rFonts w:ascii="Times New Roman;serif" w:hAnsi="Times New Roman;serif"/>
          <w:b w:val="false"/>
          <w:color w:val="000000"/>
          <w:sz w:val="23"/>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12.    </w:t>
      </w:r>
      <w:r>
        <w:rPr>
          <w:rFonts w:ascii="Times New Roman;serif" w:hAnsi="Times New Roman;serif"/>
          <w:b/>
          <w:color w:val="000000"/>
          <w:sz w:val="23"/>
          <w:u w:val="single"/>
        </w:rPr>
        <w:t>Section 409A of the Code</w:t>
      </w:r>
      <w:r>
        <w:rPr>
          <w:rFonts w:ascii="Times New Roman;serif" w:hAnsi="Times New Roman;serif"/>
          <w:b w:val="false"/>
          <w:color w:val="000000"/>
          <w:sz w:val="23"/>
        </w:rPr>
        <w:t>. The award of Units as provided in this Agreement and any issuance of Shares or payment pursuant to this Agreement are intended to be exempt from Section 409A of the Code under the short-term deferral exception specified in Treas. Reg. § 1.409A-l(b)(4).</w:t>
      </w:r>
    </w:p>
    <w:p>
      <w:pPr>
        <w:pStyle w:val="TextBody"/>
        <w:bidi w:val="0"/>
        <w:spacing w:before="0" w:after="0"/>
        <w:jc w:val="both"/>
        <w:rPr/>
      </w:pPr>
      <w:r>
        <w:rPr/>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3"/>
        </w:rPr>
      </w:pPr>
      <w:r>
        <w:rPr>
          <w:rFonts w:ascii="Times New Roman;serif" w:hAnsi="Times New Roman;serif"/>
          <w:b/>
          <w:i/>
          <w:color w:val="000000"/>
          <w:sz w:val="23"/>
        </w:rPr>
        <w:t>By signing the cover page of this Agreement, you agree to all the terms and conditions described above and in the Plan document.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10.9</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216"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Non-Employee Director</w:t>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Deferred Stock Unit Award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3"/>
        </w:rPr>
        <w:t>SPS Commerce, Inc. (the “Company”), pursuant to its 2010 Equity Incentive Plan (the “Plan”), hereby grants an award of deferred stock units (“Units”) to you, the Participant named below. The terms and conditions of this deferred stock unit Award are set forth in this Deferred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w:t>
      </w:r>
      <w:r>
        <w:rPr>
          <w:color w:val="000000"/>
        </w:rPr>
        <w:t xml:space="preserve"> </w:t>
      </w:r>
      <w:r>
        <w:rPr>
          <w:rFonts w:ascii="Times New Roman;serif" w:hAnsi="Times New Roman;serif"/>
          <w:b w:val="false"/>
          <w:color w:val="000000"/>
          <w:sz w:val="23"/>
        </w:rPr>
        <w:t>as it currently exists or as it is amended in the future.</w:t>
      </w:r>
    </w:p>
    <w:p>
      <w:pPr>
        <w:pStyle w:val="TextBody"/>
        <w:bidi w:val="0"/>
        <w:spacing w:before="0" w:after="0"/>
        <w:jc w:val="both"/>
        <w:rPr/>
      </w:pPr>
      <w:r>
        <w:rPr/>
      </w:r>
    </w:p>
    <w:tbl>
      <w:tblPr>
        <w:tblW w:w="7477" w:type="dxa"/>
        <w:jc w:val="left"/>
        <w:tblInd w:w="0" w:type="dxa"/>
        <w:tblLayout w:type="fixed"/>
        <w:tblCellMar>
          <w:top w:w="28" w:type="dxa"/>
          <w:left w:w="28" w:type="dxa"/>
          <w:bottom w:w="28" w:type="dxa"/>
          <w:right w:w="28" w:type="dxa"/>
        </w:tblCellMar>
      </w:tblPr>
      <w:tblGrid>
        <w:gridCol w:w="675"/>
        <w:gridCol w:w="593"/>
        <w:gridCol w:w="593"/>
        <w:gridCol w:w="593"/>
        <w:gridCol w:w="593"/>
        <w:gridCol w:w="593"/>
        <w:gridCol w:w="1148"/>
        <w:gridCol w:w="1148"/>
        <w:gridCol w:w="1169"/>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5"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Name of Participant:    **[_______________________]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Number of Units:    **[_______]</w:t>
            </w:r>
          </w:p>
        </w:tc>
        <w:tc>
          <w:tcPr>
            <w:tcW w:w="3465"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Grant Date:        __________, 20__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Vesting Schedule:</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Vesting Dates</w:t>
            </w:r>
          </w:p>
          <w:p>
            <w:pPr>
              <w:pStyle w:val="TableContents"/>
              <w:bidi w:val="0"/>
              <w:spacing w:before="0" w:after="0"/>
              <w:jc w:val="center"/>
              <w:rPr/>
            </w:pPr>
            <w:r>
              <w:rPr/>
            </w:r>
          </w:p>
          <w:p>
            <w:pPr>
              <w:pStyle w:val="TableContents"/>
              <w:bidi w:val="0"/>
              <w:spacing w:before="0" w:after="0"/>
              <w:jc w:val="center"/>
              <w:rPr/>
            </w:pPr>
            <w:r>
              <w:rPr/>
            </w:r>
          </w:p>
        </w:tc>
        <w:tc>
          <w:tcPr>
            <w:tcW w:w="5244" w:type="dxa"/>
            <w:gridSpan w:val="6"/>
            <w:tcBorders>
              <w:bottom w:val="double" w:sz="6" w:space="0" w:color="000000"/>
            </w:tcBorders>
            <w:tcMar>
              <w:top w:w="0" w:type="dxa"/>
              <w:left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 xml:space="preserve">Number of Units that Vest </w:t>
            </w:r>
          </w:p>
          <w:p>
            <w:pPr>
              <w:pStyle w:val="TableContents"/>
              <w:bidi w:val="0"/>
              <w:spacing w:before="0" w:after="0"/>
              <w:jc w:val="center"/>
              <w:rPr/>
            </w:pPr>
            <w:r>
              <w:rPr/>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w:t>
      </w:r>
    </w:p>
    <w:p>
      <w:pPr>
        <w:pStyle w:val="TextBody"/>
        <w:bidi w:val="0"/>
        <w:spacing w:before="0" w:after="0"/>
        <w:jc w:val="both"/>
        <w:rPr/>
      </w:pPr>
      <w:r>
        <w:rPr/>
      </w:r>
    </w:p>
    <w:p>
      <w:pPr>
        <w:pStyle w:val="TextBody"/>
        <w:bidi w:val="0"/>
        <w:spacing w:lineRule="atLeast" w:line="300" w:before="0" w:after="0"/>
        <w:jc w:val="left"/>
        <w:rPr>
          <w:rFonts w:ascii="Times New Roman;serif" w:hAnsi="Times New Roman;serif"/>
          <w:b w:val="false"/>
          <w:color w:val="000000"/>
          <w:sz w:val="23"/>
        </w:rPr>
      </w:pPr>
      <w:r>
        <w:rPr>
          <w:rFonts w:ascii="Times New Roman;serif" w:hAnsi="Times New Roman;serif"/>
          <w:b w:val="false"/>
          <w:color w:val="000000"/>
          <w:sz w:val="23"/>
        </w:rPr>
        <w:t>PARTICIPANT:    SPS COMMERCE,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jc w:val="both"/>
        <w:rPr/>
      </w:pPr>
      <w:r>
        <w:rPr>
          <w:color w:val="000000"/>
          <w:u w:val="single"/>
        </w:rPr>
        <w:t>    </w:t>
      </w:r>
      <w:r>
        <w:rPr>
          <w:color w:val="000000"/>
        </w:rPr>
        <w:t>    </w:t>
      </w:r>
      <w:r>
        <w:rPr>
          <w:rFonts w:ascii="Times New Roman;serif" w:hAnsi="Times New Roman;serif"/>
          <w:b w:val="false"/>
          <w:color w:val="000000"/>
          <w:sz w:val="23"/>
        </w:rPr>
        <w:t>By:______________________________________</w:t>
      </w:r>
    </w:p>
    <w:p>
      <w:pPr>
        <w:pStyle w:val="TextBody"/>
        <w:bidi w:val="0"/>
        <w:spacing w:lineRule="atLeast" w:line="300" w:before="0" w:after="0"/>
        <w:jc w:val="both"/>
        <w:rPr>
          <w:color w:val="000000"/>
        </w:rPr>
      </w:pPr>
      <w:r>
        <w:rPr>
          <w:color w:val="000000"/>
        </w:rPr>
        <w:t>    </w:t>
      </w:r>
      <w:r>
        <w:rPr>
          <w:rFonts w:ascii="Times New Roman;serif" w:hAnsi="Times New Roman;serif"/>
          <w:b w:val="false"/>
          <w:color w:val="000000"/>
          <w:sz w:val="23"/>
        </w:rPr>
        <w:t>Title:_____________________________________</w:t>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21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Deferred Stock Unit Award Agreement</w:t>
      </w:r>
    </w:p>
    <w:p>
      <w:pPr>
        <w:pStyle w:val="TextBody"/>
        <w:bidi w:val="0"/>
        <w:spacing w:lineRule="atLeast" w:line="300" w:before="0" w:after="0"/>
        <w:jc w:val="center"/>
        <w:rPr/>
      </w:pPr>
      <w:r>
        <w:rPr>
          <w:rFonts w:ascii="Times New Roman;serif" w:hAnsi="Times New Roman;serif"/>
          <w:b/>
          <w:color w:val="000000"/>
          <w:sz w:val="23"/>
        </w:rPr>
        <w:t>(</w:t>
      </w:r>
      <w:r>
        <w:rPr>
          <w:rFonts w:ascii="Times New Roman;serif" w:hAnsi="Times New Roman;serif"/>
          <w:b/>
          <w:color w:val="000000"/>
          <w:sz w:val="23"/>
          <w:u w:val="single"/>
        </w:rPr>
        <w:t>Non-Employee Director)</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Terms and Conditions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w:t>
      </w:r>
      <w:r>
        <w:rPr>
          <w:color w:val="000000"/>
        </w:rPr>
        <w:t>    </w:t>
      </w:r>
      <w:r>
        <w:rPr>
          <w:rFonts w:ascii="Times New Roman;serif" w:hAnsi="Times New Roman;serif"/>
          <w:b/>
          <w:color w:val="000000"/>
          <w:sz w:val="23"/>
          <w:u w:val="single"/>
        </w:rPr>
        <w:t>Grant of Deferred Stock Units</w:t>
      </w:r>
      <w:r>
        <w:rPr>
          <w:rFonts w:ascii="Times New Roman;serif" w:hAnsi="Times New Roman;serif"/>
          <w:b w:val="false"/>
          <w:color w:val="000000"/>
          <w:sz w:val="23"/>
        </w:rPr>
        <w:t xml:space="preserve">. The Company hereby grants to you, subject to the terms and conditions in this Agreement and the Plan, an Award of the number of Units specified on the cover page of this Agreement,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2.    </w:t>
      </w:r>
      <w:r>
        <w:rPr>
          <w:rFonts w:ascii="Times New Roman;serif" w:hAnsi="Times New Roman;serif"/>
          <w:b/>
          <w:color w:val="000000"/>
          <w:sz w:val="23"/>
          <w:u w:val="single"/>
        </w:rPr>
        <w:t>Dividend Equivalents</w:t>
      </w:r>
      <w:r>
        <w:rPr>
          <w:rFonts w:ascii="Times New Roman;serif" w:hAnsi="Times New Roman;serif"/>
          <w:b w:val="false"/>
          <w:color w:val="000000"/>
          <w:sz w:val="23"/>
        </w:rPr>
        <w:t>. If the Company declares and pays cash dividends with respect to its Shares while any Units subject to this Agreement are outstanding, then on each dividend payment date a dividend equivalent dollar amount equal to the number of Units credited to your account pursuant to this Agreement as of the dividend record date times the dollar amount of the cash dividend per Share shall be deemed reinvested in additional Units as of the dividend payment date and such additional Units shall be credited to your account. The number of additional Units so credited shall be determined based on the Fair Market Value of a Share on the dividend payment date. Any additional Units so credited will be subject to the same terms and conditions, including the timing of vesting and settlement, applicable to the underlying Units to which the dividend equivalents relate.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3.    </w:t>
      </w:r>
      <w:r>
        <w:rPr>
          <w:rFonts w:ascii="Times New Roman;serif" w:hAnsi="Times New Roman;serif"/>
          <w:b/>
          <w:color w:val="000000"/>
          <w:sz w:val="23"/>
          <w:u w:val="single"/>
        </w:rPr>
        <w:t>Restrictions on Units</w:t>
      </w:r>
      <w:r>
        <w:rPr>
          <w:rFonts w:ascii="Times New Roman;serif" w:hAnsi="Times New Roman;serif"/>
          <w:b w:val="false"/>
          <w:color w:val="000000"/>
          <w:sz w:val="23"/>
        </w:rPr>
        <w:t>. Neither this Award nor the Units subject to this Award may be sold, assigned, transferred, exchanged or encumbered other than by will or the laws of descent and distribution. Any attempted transfer in violation of this Section 3 shall be of no effect and shall result in the forfeiture of all Units. The Units and your right to receive Shares in settlement of the Units under this Agreement shall be subject to forfeiture as provided in Section 5 until satisfaction of the vesting conditions set forth in Section 4.</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4.    </w:t>
      </w:r>
      <w:r>
        <w:rPr>
          <w:rFonts w:ascii="Times New Roman;serif" w:hAnsi="Times New Roman;serif"/>
          <w:b/>
          <w:color w:val="000000"/>
          <w:sz w:val="23"/>
          <w:u w:val="single"/>
        </w:rPr>
        <w:t>Vesting of Units</w:t>
      </w:r>
      <w:r>
        <w:rPr>
          <w:rFonts w:ascii="Times New Roman;serif" w:hAnsi="Times New Roman;serif"/>
          <w:b w:val="false"/>
          <w:color w:val="000000"/>
          <w:sz w:val="23"/>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3"/>
        </w:rPr>
        <w:t>(a)    </w:t>
      </w:r>
      <w:r>
        <w:rPr>
          <w:rFonts w:ascii="Times New Roman;serif" w:hAnsi="Times New Roman;serif"/>
          <w:b w:val="false"/>
          <w:color w:val="000000"/>
          <w:sz w:val="23"/>
          <w:u w:val="single"/>
        </w:rPr>
        <w:t>Scheduled Vesting</w:t>
      </w:r>
      <w:r>
        <w:rPr>
          <w:rFonts w:ascii="Times New Roman;serif" w:hAnsi="Times New Roman;serif"/>
          <w:b w:val="false"/>
          <w:color w:val="000000"/>
          <w:sz w:val="23"/>
        </w:rPr>
        <w:t xml:space="preserve">. If you remain in Service as a Non-Employee Director of the Company continuously from the Grant Date specified on the cover page of this Agreement, then the Units will vest in the numbers and on the dates specified in the Vesting Schedule on the cover page of this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3"/>
        </w:rPr>
        <w:t>(b)    </w:t>
      </w:r>
      <w:r>
        <w:rPr>
          <w:rFonts w:ascii="Times New Roman;serif" w:hAnsi="Times New Roman;serif"/>
          <w:b w:val="false"/>
          <w:color w:val="000000"/>
          <w:sz w:val="23"/>
          <w:u w:val="single"/>
        </w:rPr>
        <w:t>Accelerated Vesting</w:t>
      </w:r>
      <w:r>
        <w:rPr>
          <w:rFonts w:ascii="Times New Roman;serif" w:hAnsi="Times New Roman;serif"/>
          <w:b w:val="false"/>
          <w:color w:val="000000"/>
          <w:sz w:val="23"/>
        </w:rPr>
        <w:t>. Notwithstanding Section 4(a), the Units will vest in full upon the occurrence of a Change in Control (within the meaning of Section 2(f)(3) of the Plan, including the last sentence thereof), so long as you have continuously provided Service to the Company between the Grant Date and the date of such Change in Control.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218"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val="false"/>
          <w:color w:val="000000"/>
          <w:sz w:val="23"/>
        </w:rPr>
        <w:t>5.    </w:t>
      </w:r>
      <w:r>
        <w:rPr>
          <w:rFonts w:ascii="Times New Roman;serif" w:hAnsi="Times New Roman;serif"/>
          <w:b/>
          <w:color w:val="000000"/>
          <w:sz w:val="23"/>
          <w:u w:val="single"/>
        </w:rPr>
        <w:t>Effect of Termination of Service</w:t>
      </w:r>
      <w:r>
        <w:rPr>
          <w:rFonts w:ascii="Times New Roman;serif" w:hAnsi="Times New Roman;serif"/>
          <w:b w:val="false"/>
          <w:color w:val="000000"/>
          <w:sz w:val="23"/>
        </w:rPr>
        <w:t xml:space="preserve">. Except as otherwise provided in accordance with Section 4(b), if you cease to be a Service Provider prior to the Vesting Date(s) specified on the cover page of this Agreement, you will forfeit all unvested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6.    </w:t>
      </w:r>
      <w:r>
        <w:rPr>
          <w:rFonts w:ascii="Times New Roman;serif" w:hAnsi="Times New Roman;serif"/>
          <w:b/>
          <w:color w:val="000000"/>
          <w:sz w:val="23"/>
          <w:u w:val="single"/>
        </w:rPr>
        <w:t>Settlement of Units</w:t>
      </w:r>
      <w:r>
        <w:rPr>
          <w:rFonts w:ascii="Times New Roman;serif" w:hAnsi="Times New Roman;serif"/>
          <w:b w:val="false"/>
          <w:color w:val="000000"/>
          <w:sz w:val="23"/>
        </w:rPr>
        <w:t xml:space="preserve">. One Share in payment and settlement of each vested Unit shall be delivered to you (or your designated beneficiary or estate in the event of your death) in settlement of vested Units no later than the earliest of (a) the date(s) you elect on the form of election provided by the Company; (b) December 31 of the calendar year following the calendar year in which death occurs, or (c) thirty days after the date of a Change in Control (within the meaning of Section 2(f)(3) of the Plan, including the last sentence thereof).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compliance with all applicable legal requirements, including compliance with the requirements of applicable federal and state securities laws, and shall be in complete satisfaction and settlement of such vested Units.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7.    </w:t>
      </w:r>
      <w:r>
        <w:rPr>
          <w:rFonts w:ascii="Times New Roman;serif" w:hAnsi="Times New Roman;serif"/>
          <w:b/>
          <w:color w:val="000000"/>
          <w:sz w:val="23"/>
          <w:u w:val="single"/>
        </w:rPr>
        <w:t>No Shareholder Rights</w:t>
      </w:r>
      <w:r>
        <w:rPr>
          <w:rFonts w:ascii="Times New Roman;serif" w:hAnsi="Times New Roman;serif"/>
          <w:b w:val="false"/>
          <w:color w:val="000000"/>
          <w:sz w:val="23"/>
        </w:rPr>
        <w:t xml:space="preserve">. The Units subject to this Award do not entitle you to any rights of a shareholder of the Company’s common stock. You will not have any of the rights of a shareholder of the Company in connection with the grant of Units subject to this Agreement unless and until Shares are issued to you upon settlement of the Units as provided in Section 6.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8.    </w:t>
      </w:r>
      <w:r>
        <w:rPr>
          <w:rFonts w:ascii="Times New Roman;serif" w:hAnsi="Times New Roman;serif"/>
          <w:b/>
          <w:color w:val="000000"/>
          <w:sz w:val="23"/>
          <w:u w:val="single"/>
        </w:rPr>
        <w:t>Governing Plan Document</w:t>
      </w:r>
      <w:r>
        <w:rPr>
          <w:rFonts w:ascii="Times New Roman;serif" w:hAnsi="Times New Roman;serif"/>
          <w:b w:val="false"/>
          <w:color w:val="000000"/>
          <w:sz w:val="23"/>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9.    </w:t>
      </w:r>
      <w:r>
        <w:rPr>
          <w:rFonts w:ascii="Times New Roman;serif" w:hAnsi="Times New Roman;serif"/>
          <w:b/>
          <w:color w:val="000000"/>
          <w:sz w:val="23"/>
          <w:u w:val="single"/>
        </w:rPr>
        <w:t>Choice of Law</w:t>
      </w:r>
      <w:r>
        <w:rPr>
          <w:rFonts w:ascii="Times New Roman;serif" w:hAnsi="Times New Roman;serif"/>
          <w:b w:val="false"/>
          <w:color w:val="000000"/>
          <w:sz w:val="23"/>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10.    </w:t>
      </w:r>
      <w:r>
        <w:rPr>
          <w:rFonts w:ascii="Times New Roman;serif" w:hAnsi="Times New Roman;serif"/>
          <w:b/>
          <w:color w:val="000000"/>
          <w:sz w:val="23"/>
          <w:u w:val="single"/>
        </w:rPr>
        <w:t>Binding Effect</w:t>
      </w:r>
      <w:r>
        <w:rPr>
          <w:rFonts w:ascii="Times New Roman;serif" w:hAnsi="Times New Roman;serif"/>
          <w:b w:val="false"/>
          <w:color w:val="000000"/>
          <w:sz w:val="23"/>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11.    </w:t>
      </w:r>
      <w:r>
        <w:rPr>
          <w:rFonts w:ascii="Times New Roman;serif" w:hAnsi="Times New Roman;serif"/>
          <w:b/>
          <w:color w:val="000000"/>
          <w:sz w:val="23"/>
          <w:u w:val="single"/>
        </w:rPr>
        <w:t>Discontinuance of Service</w:t>
      </w:r>
      <w:r>
        <w:rPr>
          <w:rFonts w:ascii="Times New Roman;serif" w:hAnsi="Times New Roman;serif"/>
          <w:b w:val="false"/>
          <w:color w:val="000000"/>
          <w:sz w:val="23"/>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3"/>
        </w:rPr>
        <w:t>12.    </w:t>
      </w:r>
      <w:r>
        <w:rPr>
          <w:rFonts w:ascii="Times New Roman;serif" w:hAnsi="Times New Roman;serif"/>
          <w:b/>
          <w:color w:val="000000"/>
          <w:sz w:val="23"/>
          <w:u w:val="single"/>
        </w:rPr>
        <w:t>Section 409A of the Code</w:t>
      </w:r>
      <w:r>
        <w:rPr>
          <w:rFonts w:ascii="Times New Roman;serif" w:hAnsi="Times New Roman;serif"/>
          <w:b w:val="false"/>
          <w:color w:val="000000"/>
          <w:sz w:val="23"/>
        </w:rPr>
        <w:t xml:space="preserve">. The award of Units as provided in this Agreement and any issuance of Shares or payment pursuant to this Agreement are intended to comply with Section 409A of the Code, and shall be limited, construed, and interpreted in accordance with such intent. Any payment in settlement of the Units that is triggered by a termination of Service will occur only at such time as you have had a “separation from service” within the meaning of Treasury Regulation Section 1.409A-1(h). Each amount to be paid or benefit to be provided under this Agreement shall be construed as a separate and distinct payment for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7665"/>
                <wp:effectExtent l="0" t="0" r="0" b="0"/>
                <wp:wrapNone/>
                <wp:docPr id="219"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purposes of Section 409A. Notwithstanding the foregoing, the Company and its Affiliates make no representations that the Units provided under this Agreement are compliant with Code Section 409A and in no event shall the Company or any Affiliate be liable for all or any portion of any taxes, penalties, interest or other expenses that may be incurred by you on account of non-compliance with Code Section 409A.</w:t>
      </w:r>
    </w:p>
    <w:p>
      <w:pPr>
        <w:pStyle w:val="TextBody"/>
        <w:bidi w:val="0"/>
        <w:spacing w:before="0" w:after="0"/>
        <w:jc w:val="both"/>
        <w:rPr/>
      </w:pPr>
      <w:r>
        <w:rPr/>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3"/>
        </w:rPr>
      </w:pPr>
      <w:r>
        <w:rPr>
          <w:rFonts w:ascii="Times New Roman;serif" w:hAnsi="Times New Roman;serif"/>
          <w:b/>
          <w:i/>
          <w:color w:val="000000"/>
          <w:sz w:val="23"/>
        </w:rPr>
        <w:t>By signing the cover page of this Agreement, you agree to all the terms and conditions described above and in the Plan document.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220"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Restricted Stock Unit Award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3"/>
        </w:rPr>
        <w:t>SPS Commerce, Inc. (the “Company”), pursuant to its 2010 Equity Incentive Plan (the “Plan”), hereby grants an award of restricted stock units (“Units”) to you. The terms and conditions of this restricted stock unit Award are set forth in this Restricted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w:t>
      </w:r>
      <w:r>
        <w:rPr>
          <w:color w:val="000000"/>
        </w:rPr>
        <w:t xml:space="preserve"> </w:t>
      </w:r>
      <w:r>
        <w:rPr>
          <w:rFonts w:ascii="Times New Roman;serif" w:hAnsi="Times New Roman;serif"/>
          <w:b w:val="false"/>
          <w:color w:val="000000"/>
          <w:sz w:val="23"/>
        </w:rPr>
        <w:t>as it currently exists or as it is amended in the future.</w:t>
      </w:r>
    </w:p>
    <w:p>
      <w:pPr>
        <w:pStyle w:val="TextBody"/>
        <w:bidi w:val="0"/>
        <w:spacing w:before="0" w:after="0"/>
        <w:jc w:val="both"/>
        <w:rPr/>
      </w:pPr>
      <w:r>
        <w:rPr/>
      </w:r>
    </w:p>
    <w:tbl>
      <w:tblPr>
        <w:tblW w:w="8076" w:type="dxa"/>
        <w:jc w:val="left"/>
        <w:tblInd w:w="0" w:type="dxa"/>
        <w:tblLayout w:type="fixed"/>
        <w:tblCellMar>
          <w:top w:w="28" w:type="dxa"/>
          <w:left w:w="28" w:type="dxa"/>
          <w:bottom w:w="28" w:type="dxa"/>
          <w:right w:w="28" w:type="dxa"/>
        </w:tblCellMar>
      </w:tblPr>
      <w:tblGrid>
        <w:gridCol w:w="892"/>
        <w:gridCol w:w="784"/>
        <w:gridCol w:w="784"/>
        <w:gridCol w:w="593"/>
        <w:gridCol w:w="593"/>
        <w:gridCol w:w="593"/>
        <w:gridCol w:w="1148"/>
        <w:gridCol w:w="1148"/>
        <w:gridCol w:w="1169"/>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04"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Name of Participant:    **[_______________________]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Number of Units:    **[_______]</w:t>
            </w:r>
          </w:p>
        </w:tc>
        <w:tc>
          <w:tcPr>
            <w:tcW w:w="3465"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Grant Date:        __________, 20__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Vesting Schedule:</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Scheduled Vesting Dates</w:t>
            </w:r>
          </w:p>
          <w:p>
            <w:pPr>
              <w:pStyle w:val="TableContents"/>
              <w:bidi w:val="0"/>
              <w:spacing w:before="0" w:after="0"/>
              <w:jc w:val="center"/>
              <w:rPr/>
            </w:pPr>
            <w:r>
              <w:rPr/>
            </w:r>
          </w:p>
        </w:tc>
        <w:tc>
          <w:tcPr>
            <w:tcW w:w="5616" w:type="dxa"/>
            <w:gridSpan w:val="9"/>
            <w:tcBorders>
              <w:bottom w:val="double" w:sz="6" w:space="0" w:color="000000"/>
              <w:right w:val="double" w:sz="6" w:space="0" w:color="000000"/>
            </w:tcBorders>
            <w:tcMar>
              <w:top w:w="0" w:type="dxa"/>
              <w:left w:w="0" w:type="dxa"/>
              <w:bottom w:w="30" w:type="dxa"/>
            </w:tcMar>
            <w:vAlign w:val="center"/>
          </w:tcPr>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 xml:space="preserve">Number of Units that Vest </w:t>
            </w:r>
          </w:p>
          <w:p>
            <w:pPr>
              <w:pStyle w:val="TableContents"/>
              <w:bidi w:val="0"/>
              <w:spacing w:before="0" w:after="0"/>
              <w:jc w:val="center"/>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ind w:left="0" w:right="0" w:firstLine="720"/>
        <w:jc w:val="both"/>
        <w:rPr/>
      </w:pPr>
      <w:r>
        <w:rPr>
          <w:rFonts w:ascii="Times New Roman;serif" w:hAnsi="Times New Roman;serif"/>
          <w:b w:val="false"/>
          <w:color w:val="000000"/>
          <w:sz w:val="23"/>
        </w:rPr>
        <w:t>By</w:t>
      </w:r>
      <w:r>
        <w:rPr>
          <w:color w:val="000000"/>
        </w:rPr>
        <w:t xml:space="preserve"> </w:t>
      </w:r>
      <w:r>
        <w:rPr>
          <w:rFonts w:ascii="Times New Roman;serif" w:hAnsi="Times New Roman;serif"/>
          <w:b w:val="false"/>
          <w:color w:val="000000"/>
          <w:sz w:val="23"/>
        </w:rPr>
        <w:t>accepting this Award through the Company’s [broker] online grant acceptance,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above][in your [broker] online account].</w:t>
      </w:r>
    </w:p>
    <w:p>
      <w:pPr>
        <w:pStyle w:val="TextBody"/>
        <w:bidi w:val="0"/>
        <w:spacing w:before="0" w:after="0"/>
        <w:jc w:val="both"/>
        <w:rPr/>
      </w:pPr>
      <w:r>
        <w:rPr/>
      </w:r>
    </w:p>
    <w:p>
      <w:pPr>
        <w:pStyle w:val="TextBody"/>
        <w:bidi w:val="0"/>
        <w:spacing w:lineRule="atLeast" w:line="300" w:before="0" w:after="0"/>
        <w:jc w:val="left"/>
        <w:rPr>
          <w:rFonts w:ascii="Times New Roman;serif" w:hAnsi="Times New Roman;serif"/>
          <w:b w:val="false"/>
          <w:color w:val="000000"/>
          <w:sz w:val="23"/>
        </w:rPr>
      </w:pPr>
      <w:r>
        <w:rPr>
          <w:rFonts w:ascii="Times New Roman;serif" w:hAnsi="Times New Roman;serif"/>
          <w:b w:val="false"/>
          <w:color w:val="000000"/>
          <w:sz w:val="23"/>
        </w:rPr>
        <w:t>PARTICIPANT:    SPS COMMERCE,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jc w:val="both"/>
        <w:rPr/>
      </w:pPr>
      <w:r>
        <w:rPr>
          <w:color w:val="000000"/>
          <w:u w:val="single"/>
        </w:rPr>
        <w:t>    </w:t>
      </w:r>
      <w:r>
        <w:rPr>
          <w:color w:val="000000"/>
        </w:rPr>
        <w:t>    </w:t>
      </w:r>
      <w:r>
        <w:rPr>
          <w:rFonts w:ascii="Times New Roman;serif" w:hAnsi="Times New Roman;serif"/>
          <w:b w:val="false"/>
          <w:color w:val="000000"/>
          <w:sz w:val="23"/>
        </w:rPr>
        <w:t>By:______________________________________</w:t>
      </w:r>
    </w:p>
    <w:p>
      <w:pPr>
        <w:pStyle w:val="TextBody"/>
        <w:bidi w:val="0"/>
        <w:spacing w:lineRule="atLeast" w:line="300" w:before="0" w:after="0"/>
        <w:jc w:val="both"/>
        <w:rPr>
          <w:color w:val="000000"/>
        </w:rPr>
      </w:pPr>
      <w:r>
        <w:rPr>
          <w:color w:val="000000"/>
        </w:rPr>
        <w:t>    </w:t>
      </w:r>
      <w:r>
        <w:rPr>
          <w:rFonts w:ascii="Times New Roman;serif" w:hAnsi="Times New Roman;serif"/>
          <w:b w:val="false"/>
          <w:color w:val="000000"/>
          <w:sz w:val="23"/>
        </w:rPr>
        <w:t>Title:_____________________________________</w:t>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22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SPS Commerce,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2010 Equity Incentive Plan</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Restricted Stock Unit Award Agreement</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Terms and Conditions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w:t>
      </w:r>
      <w:r>
        <w:rPr>
          <w:color w:val="000000"/>
        </w:rPr>
        <w:t>    </w:t>
      </w:r>
      <w:r>
        <w:rPr>
          <w:rFonts w:ascii="Times New Roman;serif" w:hAnsi="Times New Roman;serif"/>
          <w:b/>
          <w:color w:val="000000"/>
          <w:sz w:val="23"/>
          <w:u w:val="single"/>
        </w:rPr>
        <w:t>Grant of Restricted Stock Units</w:t>
      </w:r>
      <w:r>
        <w:rPr>
          <w:rFonts w:ascii="Times New Roman;serif" w:hAnsi="Times New Roman;serif"/>
          <w:b w:val="false"/>
          <w:color w:val="000000"/>
          <w:sz w:val="23"/>
        </w:rPr>
        <w:t xml:space="preserve">. The Company hereby grants to you, subject to the terms and conditions in this Agreement and the Plan, an Award of the number of Units specified [on the cover page of this Agreement][in your [broker] online account],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2.    </w:t>
      </w:r>
      <w:r>
        <w:rPr>
          <w:rFonts w:ascii="Times New Roman;serif" w:hAnsi="Times New Roman;serif"/>
          <w:b/>
          <w:color w:val="000000"/>
          <w:sz w:val="23"/>
          <w:u w:val="single"/>
        </w:rPr>
        <w:t>Restrictions on Units</w:t>
      </w:r>
      <w:r>
        <w:rPr>
          <w:rFonts w:ascii="Times New Roman;serif" w:hAnsi="Times New Roman;serif"/>
          <w:b w:val="false"/>
          <w:color w:val="000000"/>
          <w:sz w:val="23"/>
        </w:rPr>
        <w:t>. Neither this Award nor the Units subject to this Award may be sold, assigned, transferred, exchanged or encumbered other than by will or the laws of descent and distribution. Any attempted transfer in violation of this Section 2 shall be of no effect and shall result in the forfeiture of all Units. The Units and your right to receive Shares in settlement of the Units under this Agreement shall be subject to forfeiture as provided in Section 4 until satisfaction of the vesting conditions set forth in Section 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3.    </w:t>
      </w:r>
      <w:r>
        <w:rPr>
          <w:rFonts w:ascii="Times New Roman;serif" w:hAnsi="Times New Roman;serif"/>
          <w:b/>
          <w:color w:val="000000"/>
          <w:sz w:val="23"/>
          <w:u w:val="single"/>
        </w:rPr>
        <w:t>Vesting of Units</w:t>
      </w:r>
      <w:r>
        <w:rPr>
          <w:rFonts w:ascii="Times New Roman;serif" w:hAnsi="Times New Roman;serif"/>
          <w:b w:val="false"/>
          <w:color w:val="000000"/>
          <w:sz w:val="23"/>
        </w:rPr>
        <w:t>. For purposes of this Agreement, “Vesting Date” means any date, including the Scheduled Vesting Dates specified in the Vesting Schedule [on the cover page of this Agreement][in your [broker] online account], on which Units subject to this Agreement vest as provided in this Section 3.</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3"/>
        </w:rPr>
        <w:t>(a)</w:t>
      </w:r>
      <w:r>
        <w:rPr>
          <w:rFonts w:ascii="Times New Roman;serif" w:hAnsi="Times New Roman;serif"/>
          <w:b w:val="false"/>
          <w:color w:val="000000"/>
          <w:sz w:val="23"/>
          <w:u w:val="single"/>
        </w:rPr>
        <w:t>Scheduled Vesting</w:t>
      </w:r>
      <w:r>
        <w:rPr>
          <w:rFonts w:ascii="Times New Roman;serif" w:hAnsi="Times New Roman;serif"/>
          <w:b w:val="false"/>
          <w:color w:val="000000"/>
          <w:sz w:val="23"/>
        </w:rPr>
        <w:t xml:space="preserve">. If you remain a Service Provider to the Company or any of its Affiliates continuously from the Grant Date specified [on the cover page of this Agreement][in your [broker] online account], then the Units will vest on the Scheduled Vesting Dates specified [on the cover page of this Agreement][in your [broker] online account]. </w:t>
      </w:r>
    </w:p>
    <w:p>
      <w:pPr>
        <w:pStyle w:val="TextBody"/>
        <w:bidi w:val="0"/>
        <w:spacing w:before="0" w:after="0"/>
        <w:ind w:left="0" w:right="0" w:firstLine="28"/>
        <w:jc w:val="both"/>
        <w:rPr/>
      </w:pPr>
      <w:r>
        <w:rPr/>
      </w:r>
    </w:p>
    <w:p>
      <w:pPr>
        <w:pStyle w:val="TextBody"/>
        <w:bidi w:val="0"/>
        <w:spacing w:lineRule="auto" w:line="288" w:before="0" w:after="0"/>
        <w:jc w:val="both"/>
        <w:rPr/>
      </w:pPr>
      <w:r>
        <w:rPr>
          <w:rFonts w:ascii="Times New Roman;serif" w:hAnsi="Times New Roman;serif"/>
          <w:b w:val="false"/>
          <w:color w:val="000000"/>
          <w:sz w:val="23"/>
        </w:rPr>
        <w:t>(b)</w:t>
      </w:r>
      <w:r>
        <w:rPr>
          <w:rFonts w:ascii="Times New Roman;serif" w:hAnsi="Times New Roman;serif"/>
          <w:b w:val="false"/>
          <w:color w:val="000000"/>
          <w:sz w:val="23"/>
          <w:u w:val="single"/>
        </w:rPr>
        <w:t>Accelerated Vesting</w:t>
      </w:r>
      <w:r>
        <w:rPr>
          <w:rFonts w:ascii="Times New Roman;serif" w:hAnsi="Times New Roman;serif"/>
          <w:b w:val="false"/>
          <w:color w:val="000000"/>
          <w:sz w:val="23"/>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1)Change in Control. If a Change in Control occurs while you continue to be a Service Provider and prior to the final Scheduled Vesting Date, the following provisions shall apply:</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 xml:space="preserve">i.If and to the extent this Award is continued, assumed or replaced in connection with a Change in Control, and if within one year after the Change in Control you experience an involuntary termination of Service for reasons other than Cause or a resignation for Good Reason (as defined in Section (3)(b)(1)(iv), then all unvested Units this Award shall immediately become vested in full.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222"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ii.If this Award is not continued, assumed or replaced in connection with a Change in Control, then all unvested Units shall immediately vest in full upon the occurrence of the Change in Control.</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iii.For purposes of this Section 3(b)(1), this Award will be considered assumed or replaced under the circumstances specified in Section 12(b)(1) of the Plan.</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iv.For purposes of this Agreement, “Good Reason” means the existence of one or more of the following conditions without your consent, so long as you provided written notice to the Company of the existence of the condition not later than 90 days after the existence of the condition, the condition has not been fully remedied by the Company within 30 days after its receipt of such notice, and your employment termination occurs within 180 days of the expiration of the Company’s 30-day remedy period: (A) any material diminution in your duties, responsibilities, or authority; (B) any material diminution in the authority, duties, or responsibilities of your supervisor, including a requirement that you report to any supervisor below the C-Suite level; (C) a material reduction in any component of your compensation (base salary, cash bonus opportunity or equity award) or your total compensation opportunity; (D) a geographical relocation of your principal work location by more than 30 miles; or (E) any action by the Company that constitutes a material breach by the Company of any contractual agreement with you.</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v.Vesting of the Units may be accelerated during the term of the Award under the circumstances described in Section 12(c) of the Plan, or at the discretion of the Committee in accordance with Section 3(b)(2) of the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 xml:space="preserve">2)Retirement. </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 xml:space="preserve">i.All Units not yet vested shall become 100% vested, effective as of the date of your Retirement, in the event that (A) your continuous Service terminates by reason of your Retirement and (B) the Company does not provide you with written notice on or before the anticipated Retirement date that the Company intends or has grounds to terminate your continuous Service for Cause. </w:t>
      </w:r>
    </w:p>
    <w:p>
      <w:pPr>
        <w:pStyle w:val="TextBody"/>
        <w:bidi w:val="0"/>
        <w:spacing w:before="0" w:after="0"/>
        <w:jc w:val="both"/>
        <w:rPr/>
      </w:pPr>
      <w:r>
        <w:rPr/>
      </w:r>
    </w:p>
    <w:p>
      <w:pPr>
        <w:pStyle w:val="TextBody"/>
        <w:bidi w:val="0"/>
        <w:spacing w:lineRule="auto" w:line="288"/>
        <w:ind w:left="0" w:right="0" w:hanging="180"/>
        <w:jc w:val="both"/>
        <w:rPr>
          <w:rFonts w:ascii="Times New Roman;serif" w:hAnsi="Times New Roman;serif"/>
          <w:b w:val="false"/>
          <w:color w:val="000000"/>
          <w:sz w:val="23"/>
        </w:rPr>
      </w:pPr>
      <w:r>
        <w:rPr>
          <w:rFonts w:ascii="Times New Roman;serif" w:hAnsi="Times New Roman;serif"/>
          <w:b w:val="false"/>
          <w:color w:val="000000"/>
          <w:sz w:val="23"/>
        </w:rPr>
        <w:t xml:space="preserve">ii.The accelerated vesting of Units under this Section 3(b)(2) upon your Retirement will be conditioned on (A) your timely execution (and non-rescission) of a Release, and (B) your continued compliance with your obligations under the Confidentiality Agreement. Notwithstanding anything to the contrary in this Agreement, if you breach any provision of the Confidentiality Agreement, whether before or after your Retirement, then (A) you shall immediately forfeit all outstanding Units and any right to receive shares thereunder, and (B) with respect to Shares that have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223"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been issued pursuant to this Award, you shall either (A) return such Shares to the Company or (B) pay to the Company in cash an amount equal to the fair market value of the shares as of the date that the receipt of such shares became taxable to you.</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3"/>
        </w:rPr>
        <w:t>iii.</w:t>
      </w:r>
      <w:r>
        <w:rPr>
          <w:color w:val="000000"/>
        </w:rPr>
        <w:t> </w:t>
      </w:r>
      <w:r>
        <w:rPr>
          <w:rFonts w:ascii="Times New Roman;serif" w:hAnsi="Times New Roman;serif"/>
          <w:b w:val="false"/>
          <w:color w:val="000000"/>
          <w:sz w:val="23"/>
        </w:rPr>
        <w:t>Definitions.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3"/>
        </w:rPr>
        <w:t>I.</w:t>
      </w:r>
      <w:r>
        <w:rPr>
          <w:color w:val="000000"/>
        </w:rPr>
        <w:t>“</w:t>
      </w:r>
      <w:r>
        <w:rPr>
          <w:rFonts w:ascii="Times New Roman;serif" w:hAnsi="Times New Roman;serif"/>
          <w:b w:val="false"/>
          <w:color w:val="000000"/>
          <w:sz w:val="23"/>
        </w:rPr>
        <w:t>Confidentiality Agreement” means the At Will/ Confidentiality Agreement Regarding Certain Terms and Conditions of Employment.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3"/>
        </w:rPr>
        <w:t>II.</w:t>
      </w:r>
      <w:r>
        <w:rPr>
          <w:color w:val="000000"/>
        </w:rPr>
        <w:t>“</w:t>
      </w:r>
      <w:r>
        <w:rPr>
          <w:rFonts w:ascii="Times New Roman;serif" w:hAnsi="Times New Roman;serif"/>
          <w:b w:val="false"/>
          <w:color w:val="000000"/>
          <w:sz w:val="23"/>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the unvested Units covered by this Award effective as of the date of Retirement.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3"/>
        </w:rPr>
        <w:t xml:space="preserve">III.You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months prior written notice of your intent to retire; (C) you continue to perform full-time Service for the Company (I) materially consistent with your full-time responsibilities and services, performed prior to the date on which you provided written notice of your Retirement, or (II) 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w:t>
      </w:r>
      <w:r>
        <w:rPr>
          <w:rFonts w:ascii="Times New Roman;serif" w:hAnsi="Times New Roman;serif"/>
          <w:b w:val="false"/>
          <w:color w:val="000000"/>
          <w:sz w:val="23"/>
          <w:shd w:fill="FFFFFF" w:val="clear"/>
        </w:rPr>
        <w:t>provided, however, the Company may in its sole discretion designate a termination of Service date that is after the date on which you provide written notice of your intent to retire to the Company and prior to the retirement date identified by you</w:t>
      </w:r>
      <w:r>
        <w:rPr>
          <w:rFonts w:ascii="Times New Roman;serif" w:hAnsi="Times New Roman;serif"/>
          <w:b w:val="false"/>
          <w:color w:val="000000"/>
          <w:sz w:val="23"/>
        </w:rPr>
        <w:t>; and (E) the Company does not provide you with written notice on or before the anticipated Retirement date that the Company intends or has grounds to terminate your continuous Service for Cause.</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3"/>
        </w:rPr>
        <w:t>4.    </w:t>
      </w:r>
      <w:r>
        <w:rPr>
          <w:rFonts w:ascii="Times New Roman;serif" w:hAnsi="Times New Roman;serif"/>
          <w:b/>
          <w:color w:val="000000"/>
          <w:sz w:val="23"/>
          <w:u w:val="single"/>
        </w:rPr>
        <w:t>Effect of Termination of Employment</w:t>
      </w:r>
      <w:r>
        <w:rPr>
          <w:rFonts w:ascii="Times New Roman;serif" w:hAnsi="Times New Roman;serif"/>
          <w:b w:val="false"/>
          <w:color w:val="000000"/>
          <w:sz w:val="23"/>
        </w:rPr>
        <w:t xml:space="preserve">. Except as otherwise provided in accordance with Section 3(b), if you cease to be a Service Provider prior to a Scheduled Vesting Date(s)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224"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specified [on the cover page of this Agreement][in your [broker] online account], you will forfeit all unvested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5.    </w:t>
      </w:r>
      <w:r>
        <w:rPr>
          <w:rFonts w:ascii="Times New Roman;serif" w:hAnsi="Times New Roman;serif"/>
          <w:b/>
          <w:color w:val="000000"/>
          <w:sz w:val="23"/>
          <w:u w:val="single"/>
        </w:rPr>
        <w:t>Settlement of Units</w:t>
      </w:r>
      <w:r>
        <w:rPr>
          <w:rFonts w:ascii="Times New Roman;serif" w:hAnsi="Times New Roman;serif"/>
          <w:b w:val="false"/>
          <w:color w:val="000000"/>
          <w:sz w:val="23"/>
        </w:rPr>
        <w:t xml:space="preserve">. After any Units vest pursuant to Section 3(a) or (b)(1), the Company shall, no later than March 15 of the year following the calendar year in which such Units vest, cause to be issued and delivered to you, or to your designated beneficiary or estate in the event of your death, one Share in payment and settlement of each vested Unit. After any Units vest pursuant to Section 3(b)(2), and subject to Section (3)(b)(2)(ii), the Company shall, on or prior to the later of (i) March 15 of the year following the calendar year of your Retirement, or (ii) sixty (60) days following the date of your Retirement, cause to be issued and delivered to you, or to your designated beneficiary or estate in the event of your death,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 such 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6.    </w:t>
      </w:r>
      <w:r>
        <w:rPr>
          <w:rFonts w:ascii="Times New Roman;serif" w:hAnsi="Times New Roman;serif"/>
          <w:b/>
          <w:color w:val="000000"/>
          <w:sz w:val="23"/>
          <w:u w:val="single"/>
        </w:rPr>
        <w:t>Tax Consequences and Withholding</w:t>
      </w:r>
      <w:r>
        <w:rPr>
          <w:rFonts w:ascii="Times New Roman;serif" w:hAnsi="Times New Roman;serif"/>
          <w:b w:val="false"/>
          <w:color w:val="000000"/>
          <w:sz w:val="23"/>
        </w:rPr>
        <w:t xml:space="preserve">. As a condition precedent to the delivery of Shares in settlement of the Units, you are required to pay to the Company, in accordance with Section 14 of the Plan, the amount of any required domestic or foreign tax withholding obligations, including any social security or social insurance obligation (“Tax Withholding Obligations”). You hereby authorize the Company to withhold from payroll or other amounts payable to you any sums required to satisfy such Tax Withholding Obligations. Prior to each Vesting Date, you must make arrangements acceptable to the Company for payment of any Tax Withholding Obligations, which may include to the extent permitted by the Company (i) delivering Shares you already own or having the Company retain a portion of the Shares that would otherwise be delivered to you, in either case with an aggregate Fair Market Value equal to the minimum required amount of Tax Withholding Obligations, or (ii) the establishment of a “10b5-1 Plan” pursuant to which a brokerage firm acceptable to the Company is authorized to sell on your behalf in the open market at the then prevailing market price(s) as soon as practicable on or after the applicable Unit vesting date the minimum whole number of Shares from the Shares issuable to you in settlement of the vested Units as is determined to be sufficient to generate cash proceeds adequate to satisfy such Tax Withholding Obligations.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7.    </w:t>
      </w:r>
      <w:r>
        <w:rPr>
          <w:rFonts w:ascii="Times New Roman;serif" w:hAnsi="Times New Roman;serif"/>
          <w:b/>
          <w:color w:val="000000"/>
          <w:sz w:val="23"/>
          <w:u w:val="single"/>
        </w:rPr>
        <w:t>No Shareholder Rights</w:t>
      </w:r>
      <w:r>
        <w:rPr>
          <w:rFonts w:ascii="Times New Roman;serif" w:hAnsi="Times New Roman;serif"/>
          <w:b w:val="false"/>
          <w:color w:val="000000"/>
          <w:sz w:val="23"/>
        </w:rPr>
        <w:t xml:space="preserve">. The Units subject to this Award do not entitle you to any rights of a shareholder of the Company’s common stock. You will not have any of the rights of a shareholder of the Company in connection with the grant of Units subject to this Agreement unless and until Shares are issued to you upon settlement of the Units as provided in Section 5. </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3"/>
        </w:rPr>
        <w:t>8.    </w:t>
      </w:r>
      <w:r>
        <w:rPr>
          <w:rFonts w:ascii="Times New Roman;serif" w:hAnsi="Times New Roman;serif"/>
          <w:b/>
          <w:color w:val="000000"/>
          <w:sz w:val="23"/>
          <w:u w:val="single"/>
        </w:rPr>
        <w:t>Governing Plan Document</w:t>
      </w:r>
      <w:r>
        <w:rPr>
          <w:rFonts w:ascii="Times New Roman;serif" w:hAnsi="Times New Roman;serif"/>
          <w:b w:val="false"/>
          <w:color w:val="000000"/>
          <w:sz w:val="23"/>
        </w:rPr>
        <w:t xml:space="preserve">. This Agreement and the Award are subject to all the provisions of the Plan, and to all interpretations, rules and regulations which may, from time to time, be adopted and promulgated by the Committee pursuant to the Plan. If there is any conflict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225"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9.    </w:t>
      </w:r>
      <w:r>
        <w:rPr>
          <w:rFonts w:ascii="Times New Roman;serif" w:hAnsi="Times New Roman;serif"/>
          <w:b/>
          <w:color w:val="000000"/>
          <w:sz w:val="23"/>
          <w:u w:val="single"/>
        </w:rPr>
        <w:t>Choice of Law and Jurisdiction</w:t>
      </w:r>
      <w:r>
        <w:rPr>
          <w:rFonts w:ascii="Times New Roman;serif" w:hAnsi="Times New Roman;serif"/>
          <w:b w:val="false"/>
          <w:color w:val="000000"/>
          <w:sz w:val="23"/>
        </w:rPr>
        <w:t>. This Agreement will be interpreted and enforced under the laws of the state of Minnesota (without regard to its conflicts or choice of law principles) and the parties hereby agree that any such interpretation or enforcement will be submitted to the exclusive jurisdiction of the courts of the State of Minnesota.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10.    </w:t>
      </w:r>
      <w:r>
        <w:rPr>
          <w:rFonts w:ascii="Times New Roman;serif" w:hAnsi="Times New Roman;serif"/>
          <w:b/>
          <w:color w:val="000000"/>
          <w:sz w:val="23"/>
          <w:u w:val="single"/>
        </w:rPr>
        <w:t>Binding Effect</w:t>
      </w:r>
      <w:r>
        <w:rPr>
          <w:rFonts w:ascii="Times New Roman;serif" w:hAnsi="Times New Roman;serif"/>
          <w:b w:val="false"/>
          <w:color w:val="000000"/>
          <w:sz w:val="23"/>
        </w:rPr>
        <w:t>. This Agreement will be binding in all respects on you,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11.    </w:t>
      </w:r>
      <w:r>
        <w:rPr>
          <w:rFonts w:ascii="Times New Roman;serif" w:hAnsi="Times New Roman;serif"/>
          <w:b/>
          <w:color w:val="000000"/>
          <w:sz w:val="23"/>
          <w:u w:val="single"/>
        </w:rPr>
        <w:t>Discontinuance of Service</w:t>
      </w:r>
      <w:r>
        <w:rPr>
          <w:rFonts w:ascii="Times New Roman;serif" w:hAnsi="Times New Roman;serif"/>
          <w:b w:val="false"/>
          <w:color w:val="000000"/>
          <w:sz w:val="23"/>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12.    </w:t>
      </w:r>
      <w:r>
        <w:rPr>
          <w:rFonts w:ascii="Times New Roman;serif" w:hAnsi="Times New Roman;serif"/>
          <w:b/>
          <w:color w:val="000000"/>
          <w:sz w:val="23"/>
          <w:u w:val="single"/>
        </w:rPr>
        <w:t>Section 409A of the Code</w:t>
      </w:r>
      <w:r>
        <w:rPr>
          <w:rFonts w:ascii="Times New Roman;serif" w:hAnsi="Times New Roman;serif"/>
          <w:b w:val="false"/>
          <w:color w:val="000000"/>
          <w:sz w:val="23"/>
        </w:rPr>
        <w:t>. The award of Units as provided in this Agreement and any issuance of Shares or payment pursuant to this Agreement are intended to be exempt from Section 409A of the Code under the short-term deferral exception specified in Treas. Reg. § 1.409A-l(b)(4).</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3"/>
        </w:rPr>
        <w:t>13.    </w:t>
      </w:r>
      <w:r>
        <w:rPr>
          <w:rFonts w:ascii="Times New Roman;serif" w:hAnsi="Times New Roman;serif"/>
          <w:b/>
          <w:color w:val="000000"/>
          <w:sz w:val="23"/>
          <w:u w:val="single"/>
        </w:rPr>
        <w:t>Compensation Recovery Policy</w:t>
      </w:r>
      <w:r>
        <w:rPr>
          <w:rFonts w:ascii="Times New Roman;serif" w:hAnsi="Times New Roman;serif"/>
          <w:b w:val="false"/>
          <w:color w:val="000000"/>
          <w:sz w:val="23"/>
        </w:rPr>
        <w:t>. To the extent that any compensation paid or payable pursuant to this Agreement is considered “incentive-based compensation” within the meaning and subject to the requirements of Section 10D of the Exchange Act, such compensation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and any implementing rules and regulations thereunder adopted by the Securities and Exchange Commission or any national securities exchange on which the Company’s common stock is then listed.  This Agreement will be automatically unilaterally amended to comply with any such compensation recovery policy. </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3"/>
        </w:rPr>
      </w:pPr>
      <w:r>
        <w:rPr>
          <w:rFonts w:ascii="Times New Roman;serif" w:hAnsi="Times New Roman;serif"/>
          <w:b/>
          <w:i/>
          <w:color w:val="000000"/>
          <w:sz w:val="23"/>
        </w:rPr>
        <w:t>By accepting the award through [broker] online acceptance, you agree to all the terms and conditions described above and in the Plan document.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10.24</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226"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SPS COMMERCE,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2010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Performance Stock Unit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SPS Commerce,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2010 Equity Incentive Plan, as amended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you</w:t>
      </w:r>
      <w:r>
        <w:rPr>
          <w:rFonts w:ascii="Times New Roman;serif" w:hAnsi="Times New Roman;serif"/>
          <w:b w:val="false"/>
          <w:color w:val="000000"/>
          <w:sz w:val="24"/>
        </w:rPr>
        <w:t>, the Participant named below,</w:t>
      </w:r>
      <w:r>
        <w:rPr>
          <w:color w:val="000000"/>
        </w:rPr>
        <w:t xml:space="preserve"> </w:t>
      </w:r>
      <w:r>
        <w:rPr>
          <w:rFonts w:ascii="Times New Roman;serif" w:hAnsi="Times New Roman;serif"/>
          <w:b w:val="false"/>
          <w:color w:val="000000"/>
          <w:sz w:val="22"/>
        </w:rPr>
        <w:t>an award of Performance Stock Units (the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The terms and conditions of this Performance Stock Unit Award (this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are set forth in this Performance Stock Unit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consisting of this cover page, the Award Terms and Conditions on the following pages and the attached </w:t>
      </w:r>
      <w:r>
        <w:rPr>
          <w:rFonts w:ascii="Times New Roman;serif" w:hAnsi="Times New Roman;serif"/>
          <w:b w:val="false"/>
          <w:color w:val="000000"/>
          <w:sz w:val="22"/>
          <w:u w:val="single"/>
        </w:rPr>
        <w:t>Exhibit A</w:t>
      </w:r>
      <w:r>
        <w:rPr>
          <w:rFonts w:ascii="Times New Roman;serif" w:hAnsi="Times New Roman;serif"/>
          <w:b w:val="false"/>
          <w:color w:val="000000"/>
          <w:sz w:val="22"/>
        </w:rPr>
        <w:t>, and in the Plan document, a copy of which has been provided to you. To the extent any capitalized term used in this Agreement is not defined, it shall have the meaning assigned to it in the Plan as it currently exists or as it is amended in the future.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16"/>
        <w:gridCol w:w="509"/>
        <w:gridCol w:w="511"/>
        <w:gridCol w:w="1336"/>
        <w:gridCol w:w="1315"/>
        <w:gridCol w:w="1315"/>
        <w:gridCol w:w="1315"/>
        <w:gridCol w:w="1315"/>
        <w:gridCol w:w="1873"/>
      </w:tblGrid>
      <w:tr>
        <w:trPr/>
        <w:tc>
          <w:tcPr>
            <w:tcW w:w="7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op w:val="double" w:sz="8" w:space="0" w:color="000000"/>
              <w:left w:val="double" w:sz="8"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tc>
        <w:tc>
          <w:tcPr>
            <w:tcW w:w="8469" w:type="dxa"/>
            <w:gridSpan w:val="6"/>
            <w:tcBorders>
              <w:top w:val="double" w:sz="8" w:space="0" w:color="000000"/>
              <w:right w:val="double" w:sz="8" w:space="0" w:color="000000"/>
            </w:tcBorders>
            <w:tcMar>
              <w:left w:w="0" w:type="dxa"/>
              <w:bottom w:w="0" w:type="dxa"/>
            </w:tcMar>
            <w:vAlign w:val="center"/>
          </w:tcPr>
          <w:p>
            <w:pPr>
              <w:pStyle w:val="TableContents"/>
              <w:bidi w:val="0"/>
              <w:spacing w:before="120" w:after="120"/>
              <w:jc w:val="left"/>
              <w:rPr/>
            </w:pPr>
            <w:r>
              <w:rPr/>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Target Number of PSUs:</w:t>
            </w:r>
          </w:p>
        </w:tc>
        <w:tc>
          <w:tcPr>
            <w:tcW w:w="846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Maximum Number of PSUs:</w:t>
            </w:r>
          </w:p>
        </w:tc>
        <w:tc>
          <w:tcPr>
            <w:tcW w:w="846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Grant Date:</w:t>
            </w:r>
          </w:p>
        </w:tc>
        <w:tc>
          <w:tcPr>
            <w:tcW w:w="846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Period:</w:t>
            </w:r>
          </w:p>
        </w:tc>
        <w:tc>
          <w:tcPr>
            <w:tcW w:w="8469"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January 1, 20__ – December 31, 20__</w:t>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2"/>
              </w:rPr>
            </w:pPr>
            <w:r>
              <w:rPr>
                <w:rFonts w:ascii="Times New Roman;serif" w:hAnsi="Times New Roman;serif"/>
                <w:b w:val="false"/>
                <w:color w:val="000000"/>
                <w:sz w:val="22"/>
              </w:rPr>
              <w:t>Scheduled Vesting Date:</w:t>
            </w:r>
          </w:p>
        </w:tc>
        <w:tc>
          <w:tcPr>
            <w:tcW w:w="8469"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pPr>
            <w:r>
              <w:rPr>
                <w:rFonts w:ascii="Times New Roman;serif" w:hAnsi="Times New Roman;serif"/>
                <w:b w:val="false"/>
                <w:color w:val="000000"/>
                <w:sz w:val="22"/>
              </w:rPr>
              <w:t xml:space="preserve">The number of PSUs determined in accordance with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have been earned as of the end of the Performance Period will vest* on the date the Company’s Compensation Committee certifies such performance results, which shall be no later than March 15, 20__.</w:t>
            </w:r>
          </w:p>
        </w:tc>
      </w:tr>
      <w:tr>
        <w:trPr/>
        <w:tc>
          <w:tcPr>
            <w:tcW w:w="1736"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Goals:</w:t>
            </w:r>
          </w:p>
        </w:tc>
        <w:tc>
          <w:tcPr>
            <w:tcW w:w="8469"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pPr>
            <w:r>
              <w:rPr>
                <w:rFonts w:ascii="Times New Roman;serif" w:hAnsi="Times New Roman;serif"/>
                <w:b w:val="false"/>
                <w:color w:val="000000"/>
                <w:sz w:val="22"/>
              </w:rPr>
              <w:t xml:space="preserve">See </w:t>
            </w:r>
            <w:r>
              <w:rPr>
                <w:rFonts w:ascii="Times New Roman;serif" w:hAnsi="Times New Roman;serif"/>
                <w:b w:val="false"/>
                <w:color w:val="000000"/>
                <w:sz w:val="22"/>
                <w:u w:val="single"/>
              </w:rPr>
              <w:t>Exhibit A</w:t>
            </w:r>
          </w:p>
        </w:tc>
      </w:tr>
      <w:tr>
        <w:trPr/>
        <w:tc>
          <w:tcPr>
            <w:tcW w:w="5702" w:type="dxa"/>
            <w:gridSpan w:val="6"/>
            <w:tcBorders>
              <w:left w:val="double" w:sz="8" w:space="0" w:color="000000"/>
              <w:bottom w:val="double" w:sz="8" w:space="0" w:color="000000"/>
            </w:tcBorders>
            <w:tcMar>
              <w:top w:w="0" w:type="dxa"/>
              <w:bottom w:w="30" w:type="dxa"/>
              <w:right w:w="0" w:type="dxa"/>
            </w:tcMar>
            <w:vAlign w:val="center"/>
          </w:tcPr>
          <w:p>
            <w:pPr>
              <w:pStyle w:val="TableContents"/>
              <w:bidi w:val="0"/>
              <w:spacing w:lineRule="auto" w:line="288" w:before="90" w:after="54"/>
              <w:jc w:val="left"/>
              <w:rPr>
                <w:rFonts w:ascii="Times New Roman;serif" w:hAnsi="Times New Roman;serif"/>
                <w:b w:val="false"/>
                <w:color w:val="000000"/>
                <w:sz w:val="22"/>
              </w:rPr>
            </w:pPr>
            <w:r>
              <w:rPr>
                <w:rFonts w:ascii="Times New Roman;serif" w:hAnsi="Times New Roman;serif"/>
                <w:b w:val="false"/>
                <w:color w:val="000000"/>
                <w:sz w:val="22"/>
              </w:rPr>
              <w:t>* Assumes your Service has been continuous from the Grant Date to the Vesting Date.</w:t>
            </w:r>
          </w:p>
        </w:tc>
        <w:tc>
          <w:tcPr>
            <w:tcW w:w="4503" w:type="dxa"/>
            <w:gridSpan w:val="3"/>
            <w:tcBorders>
              <w:bottom w:val="double" w:sz="8" w:space="0" w:color="000000"/>
              <w:right w:val="double" w:sz="8" w:space="0" w:color="000000"/>
            </w:tcBorders>
            <w:tcMar>
              <w:top w:w="0" w:type="dxa"/>
              <w:left w:w="0" w:type="dxa"/>
            </w:tcMar>
            <w:vAlign w:val="center"/>
          </w:tcPr>
          <w:p>
            <w:pPr>
              <w:pStyle w:val="TableContents"/>
              <w:bidi w:val="0"/>
              <w:spacing w:before="90" w:after="60"/>
              <w:jc w:val="left"/>
              <w:rPr/>
            </w:pPr>
            <w:r>
              <w:rPr/>
            </w:r>
          </w:p>
        </w:tc>
      </w:tr>
    </w:tbl>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By accepting this Award through the company’s [broker] online grant acceptance, you agree to all of the terms and conditions contained in this Agreement and in the Plan document. You acknowledge that you have received and reviewed these documents and that they set forth the entire agreement between you and the Company regarding this Award.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227"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SPS Commerce,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2010 Equity Incentive Plan, as amended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Award 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1.</w:t>
      </w:r>
      <w:r>
        <w:rPr>
          <w:rFonts w:ascii="Times New Roman;serif" w:hAnsi="Times New Roman;serif"/>
          <w:b/>
          <w:color w:val="000000"/>
          <w:sz w:val="22"/>
          <w:u w:val="single"/>
        </w:rPr>
        <w:t>Award of Performance Stock Units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hereby confirms the grant to you, as of the Grant Date and subject to the terms and conditions of this Agreement and the Plan, of an award of Performance Stock Units in an amount initially equal to the Target Number of PSUs specified [on the cover page of this Agreement][in your [broker] online account]. The number of PSUs that may actually be earned and become eligible to vest pursuant to this Award can be between 0% and 200% of the Target Number of PSUs, but may not under any circumstances exceed the Maximum Number of PSUs specified [on the cover page of this Agreement][in your broker online account]. Each PSU that is earned as a result of the performance goals specified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 having been satisfied and which thereafter vests represents the right to receive one Share of the Company’s common stock. Prior to their settlement or forfeiture in accordance with the terms of this Agreement, the PSUs granted to you will be credited to an account in your name maintained by the Company. This account will be unfunded and maintained for book-keeping purposes only, with the PSUs simply representing an unfunded and unsecured contingent obligation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color w:val="000000"/>
          <w:sz w:val="22"/>
          <w:u w:val="single"/>
        </w:rPr>
        <w:t>Restrictions Applicable to PSUs</w:t>
      </w:r>
      <w:r>
        <w:rPr>
          <w:rFonts w:ascii="Times New Roman;serif" w:hAnsi="Times New Roman;serif"/>
          <w:b/>
          <w:color w:val="000000"/>
          <w:sz w:val="22"/>
        </w:rPr>
        <w:t xml:space="preserve">. </w:t>
      </w:r>
      <w:r>
        <w:rPr>
          <w:rFonts w:ascii="Times New Roman;serif" w:hAnsi="Times New Roman;serif"/>
          <w:b w:val="false"/>
          <w:color w:val="000000"/>
          <w:sz w:val="22"/>
        </w:rPr>
        <w:t xml:space="preserve">Neither this Award nor the PSUs subject to this Award may be sold, assigned, transferred, exchanged or encumbered, voluntarily or involuntarily, other than a transfer upon your death in accordance with your will, by the laws of descent and distribution or pursuant to a beneficiary designation submitted in accordance with Section 6(d) of the Plan. Following any such transfer, the PSUs shall continue to be subject to the same terms and conditions that were applicable to the PSUs immediately prior to their transfer. Any attempted transfer in violation of this Section 2 shall be void and ineffective. The PSUs and your right to receive Shares in settlement of any PSUs under this Agreement shall be subject to forfeiture except to the extent the PSUs have been earned and thereafter vest as provided in Section 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3.    </w:t>
      </w:r>
      <w:r>
        <w:rPr>
          <w:rFonts w:ascii="Times New Roman;serif" w:hAnsi="Times New Roman;serif"/>
          <w:b/>
          <w:color w:val="000000"/>
          <w:sz w:val="22"/>
          <w:u w:val="single"/>
        </w:rPr>
        <w:t>No Shareholder Rights</w:t>
      </w:r>
      <w:r>
        <w:rPr>
          <w:rFonts w:ascii="Times New Roman;serif" w:hAnsi="Times New Roman;serif"/>
          <w:b w:val="false"/>
          <w:color w:val="000000"/>
          <w:sz w:val="22"/>
        </w:rPr>
        <w:t>. The PSUs subject to this Award do not entitle you to any rights of a shareholder of the Company’s common stock. You will not have any of the rights of a shareholder of the Company in connection with any PSUs granted or earned pursuant to this Agreement unless and until Shares are issued to you in settlement of earned and vested PSUs as provided in Section 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Vesting and Forfeiture of PSUs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PSUs shall vest at the earliest of the following times and to the degree specified. For purposes of this Agreement, “Vesting Date” means any date, including the Scheduled Vesting Date specified on the cover page of this Agreement, on which PSUs subject to this Agreement vest as provided in this Section 4.</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(a)</w:t>
      </w:r>
      <w:r>
        <w:rPr>
          <w:rFonts w:ascii="Times New Roman;serif" w:hAnsi="Times New Roman;serif"/>
          <w:b w:val="false"/>
          <w:i/>
          <w:color w:val="000000"/>
          <w:sz w:val="22"/>
        </w:rPr>
        <w:t>Scheduled Vesting</w:t>
      </w:r>
      <w:r>
        <w:rPr>
          <w:rFonts w:ascii="Times New Roman;serif" w:hAnsi="Times New Roman;serif"/>
          <w:b w:val="false"/>
          <w:color w:val="000000"/>
          <w:sz w:val="22"/>
        </w:rPr>
        <w:t xml:space="preserve">. The number of PSUs that have been earned during the Performance Period, as determined by the Committee in accordance with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will vest on the Scheduled Vesting Date, so long as your Service has been continuous from the Grant Date to the Scheduled Vesting Date. For these purposes, the “Scheduled Vesting Date” means the date following the end of the Performance Period set forth on the cover page to this Agreement that the Committee certifies (i) the degree to which the performance goal for the Performance Period has been satisfied, and (ii) the number of PSUs that have been earned during the Performance Period as determined in accordance </w:t>
      </w:r>
      <w:r>
        <w:rPr>
          <w:rFonts w:ascii="Times New Roman;serif" w:hAnsi="Times New Roman;serif"/>
          <w:b w:val="false"/>
          <w:color w:val="000000"/>
          <w:sz w:val="22"/>
          <w:u w:val="single"/>
        </w:rPr>
        <w:t>Exhibit A</w:t>
      </w:r>
      <w:r>
        <w:rPr>
          <w:rFonts w:ascii="Times New Roman;serif" w:hAnsi="Times New Roman;serif"/>
          <w:b w:val="false"/>
          <w:color w:val="000000"/>
          <w:sz w:val="22"/>
        </w:rPr>
        <w:t>, which certification shall occur no later than March 15 of the calendar year immediately following the calendar year during which the Performance Period ended.</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228"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(b)</w:t>
      </w:r>
      <w:r>
        <w:rPr>
          <w:rFonts w:ascii="Times New Roman;serif" w:hAnsi="Times New Roman;serif"/>
          <w:b w:val="false"/>
          <w:i/>
          <w:color w:val="000000"/>
          <w:sz w:val="22"/>
        </w:rPr>
        <w:t>Change in Control</w:t>
      </w:r>
      <w:r>
        <w:rPr>
          <w:rFonts w:ascii="Times New Roman;serif" w:hAnsi="Times New Roman;serif"/>
          <w:b w:val="false"/>
          <w:color w:val="000000"/>
          <w:sz w:val="22"/>
        </w:rPr>
        <w:t xml:space="preserve">. If a Change in Control occurs after the Grant Date but before the Scheduled Vesting Date and your Service continues to the date of the Change in Control, the following provisions shall apply: </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2"/>
        </w:rPr>
        <w:t xml:space="preserve">i.If and to the extent this Award is continued, assumed or replaced in connection with a Change in Control, then the Performance Period will be truncated and will end as of the last day of the Company’s most recently completed fiscal quarter prior to the date of the Change in Control, and (A) a number of PSUs that is equal to the greater of (1) the number of PSUs that are determined to have been earned based on actual performance against the performance goal specified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over the truncated Performance Period and (2) the Target Number of PSUs, shall be deemed to be achieved as of the date of the Change in Control (the greater of which will be the “Deemed Achieved PSUs”), and (B) this Award (or a replacement award) shall continue with respect to the Deemed Achieved PSUs and the Deemed Achieved PSUs under this Award or the replacement Award, as the case may be, shall be subject to a continuing Service requirement (except as set forth in the remainder of this subsection) until the last day of the original Performance Period (not truncated), which shall become the Vesting Date for the Deemed Achieved PSUs; </w:t>
      </w:r>
      <w:r>
        <w:rPr>
          <w:rFonts w:ascii="Times New Roman;serif" w:hAnsi="Times New Roman;serif"/>
          <w:b w:val="false"/>
          <w:i/>
          <w:color w:val="000000"/>
          <w:sz w:val="22"/>
        </w:rPr>
        <w:t>provided, however, </w:t>
      </w:r>
      <w:r>
        <w:rPr>
          <w:rFonts w:ascii="Times New Roman;serif" w:hAnsi="Times New Roman;serif"/>
          <w:b w:val="false"/>
          <w:color w:val="000000"/>
          <w:sz w:val="22"/>
        </w:rPr>
        <w:t xml:space="preserve">that if within one year after the Change in Control you experience an involuntary termination of Service for reasons other than Cause or a resignation for Good Reason (as defined in Section 4(b)(1)(iv)), then all unvested Deemed Achieved PSUs shall immediately become vested in full. </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ii.If this Award is not continued, assumed or replaced in connection with a Change in Control, then all unvested PSUs shall immediately vest in full upon the occurrence of the Change in Control.</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iii.For purposes of this Section 4(b), this Award will be considered assumed or replaced under the circumstances specified in Section 12(b)(1) of the Plan.</w:t>
      </w:r>
    </w:p>
    <w:p>
      <w:pPr>
        <w:pStyle w:val="TextBody"/>
        <w:bidi w:val="0"/>
        <w:spacing w:before="0" w:after="0"/>
        <w:jc w:val="both"/>
        <w:rPr/>
      </w:pPr>
      <w:r>
        <w:rPr/>
      </w:r>
    </w:p>
    <w:p>
      <w:pPr>
        <w:pStyle w:val="TextBody"/>
        <w:bidi w:val="0"/>
        <w:spacing w:lineRule="auto" w:line="288"/>
        <w:ind w:left="0" w:right="0" w:hanging="180"/>
        <w:jc w:val="both"/>
        <w:rPr/>
      </w:pPr>
      <w:r>
        <w:rPr>
          <w:rFonts w:ascii="Times New Roman;serif" w:hAnsi="Times New Roman;serif"/>
          <w:b w:val="false"/>
          <w:color w:val="000000"/>
          <w:sz w:val="22"/>
        </w:rPr>
        <w:t>iv.</w:t>
      </w:r>
      <w:r>
        <w:rPr>
          <w:rFonts w:ascii="Times New Roman;serif" w:hAnsi="Times New Roman;serif"/>
          <w:b w:val="false"/>
          <w:color w:val="000000"/>
          <w:sz w:val="23"/>
        </w:rPr>
        <w:t>For purposes of this Agreement, “Good Reason” means the existence of one or more of the following conditions without your consent, so long as you provided written notice to the Company of the existence of the condition not later than 90 days after the existence of the condition, the condition has not been fully remedied by the Company within 30 days after its receipt of such notice, and your employment termination occurs within 180 days of the expiration of the Company’s 30-day remedy period: (A) any material diminution in your duties, responsibilities, or authority; (B) any material diminution in the authority, duties, or responsibilities of your supervisor, including a requirement that you report to any supervisor below the C-Suite level; (C) a material reduction in any component of your compensation (base salary, cash bonus opportunity or equity award) or your total compensation opportunity; (D) a geographical relocation of your principal work location by more than 30 miles; or (E) any action by the Company that constitutes a material breach by the Company of any contractual agreement with you.</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09245"/>
                <wp:effectExtent l="0" t="0" r="0" b="0"/>
                <wp:wrapNone/>
                <wp:docPr id="229" name="Frame8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lineRule="auto" w:line="288" w:before="0" w:after="0"/>
        <w:ind w:left="0" w:right="0" w:hanging="180"/>
        <w:jc w:val="both"/>
        <w:rPr/>
      </w:pPr>
      <w:r>
        <w:rPr>
          <w:rFonts w:ascii="Times New Roman;serif" w:hAnsi="Times New Roman;serif"/>
          <w:b w:val="false"/>
          <w:color w:val="000000"/>
          <w:sz w:val="23"/>
        </w:rPr>
        <w:t xml:space="preserve">v.Vesting of the PSUs may be accelerated during the term of the Award under the circumstances described in Section 12(c) of the Plan, or at the discretion of the Committee in accordance with Section 3(b)(2) of the Plan, and if accelerated, the number PSUs accelerated shall be </w:t>
      </w:r>
      <w:r>
        <w:rPr>
          <w:rFonts w:ascii="Times New Roman;serif" w:hAnsi="Times New Roman;serif"/>
          <w:b w:val="false"/>
          <w:color w:val="000000"/>
          <w:sz w:val="22"/>
        </w:rPr>
        <w:t xml:space="preserve">equal to the greater of (1) the number of PSUs that are determined to have been earned based on actual performance against the performance goal specified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over the truncated Performance Period and (2) the Target Number of PSUs</w:t>
      </w:r>
      <w:r>
        <w:rPr>
          <w:rFonts w:ascii="Times New Roman;serif" w:hAnsi="Times New Roman;serif"/>
          <w:b w:val="false"/>
          <w:color w:val="000000"/>
          <w:sz w:val="23"/>
        </w:rPr>
        <w: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(c)</w:t>
      </w:r>
      <w:r>
        <w:rPr>
          <w:rFonts w:ascii="Times New Roman;serif" w:hAnsi="Times New Roman;serif"/>
          <w:b w:val="false"/>
          <w:i/>
          <w:color w:val="000000"/>
          <w:sz w:val="22"/>
        </w:rPr>
        <w:t>Retirement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hanging="1440"/>
        <w:jc w:val="both"/>
        <w:rPr/>
      </w:pPr>
      <w:r>
        <w:rPr>
          <w:color w:val="000000"/>
        </w:rPr>
        <w:t>    </w:t>
      </w:r>
      <w:r>
        <w:rPr>
          <w:rFonts w:ascii="Times New Roman;serif" w:hAnsi="Times New Roman;serif"/>
          <w:b w:val="false"/>
          <w:color w:val="000000"/>
          <w:sz w:val="22"/>
        </w:rPr>
        <w:t xml:space="preserve">i.    If your employment terminates prior to the Scheduled Vesting Date due to Retirement, the requirement for continuous Service set forth in Section 4(a) shall be deemed satisfied through the Scheduled Vesting Date. You will be entitled to have vest, on the Scheduled Vesting Date, the number of PSUs that are determined to have been earned based on actual performance against the performance goal specified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over the Performance Period. </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    The accelerated vesting of PSUs under this Section 4(c) upon your Retirement will be conditioned on (A) your timely execution (and non-rescission) of a Release, and (B) your continued compliance with your obligations under the Confidentiality Agreement. Notwithstanding anything to the contrary in this Agreement, if you breach any provision of the Confidentiality Agreement, whether before or after your Retirement, then (A) you shall immediately forfeit all outstanding PSUs and any right to receive shares thereunder, and (B) with respect to Shares that have been issued pursuant to this Award, you shall either (A) return such Shares to the Company or (B) pay to the Company in cash an amount equal to the fair market value of the shares as of the date that the receipt of such shares became taxable to you.</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iii.    Definitions.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w:t>
      </w:r>
      <w:r>
        <w:rPr>
          <w:color w:val="000000"/>
        </w:rPr>
        <w:t>“</w:t>
      </w:r>
      <w:r>
        <w:rPr>
          <w:rFonts w:ascii="Times New Roman;serif" w:hAnsi="Times New Roman;serif"/>
          <w:b w:val="false"/>
          <w:color w:val="000000"/>
          <w:sz w:val="22"/>
        </w:rPr>
        <w:t>Confidentiality Agreement” means the At Will/ Confidentiality Agreement Regarding Certain Terms and Conditions of Employment.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w:t>
      </w:r>
      <w:r>
        <w:rPr>
          <w:color w:val="000000"/>
        </w:rPr>
        <w:t>“</w:t>
      </w:r>
      <w:r>
        <w:rPr>
          <w:rFonts w:ascii="Times New Roman;serif" w:hAnsi="Times New Roman;serif"/>
          <w:b w:val="false"/>
          <w:color w:val="000000"/>
          <w:sz w:val="22"/>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all PSUs covered by this Award which otherwise would have bested pursuant to this Section 4(c) effective as of the date of Retirement.</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09245"/>
                <wp:effectExtent l="0" t="0" r="0" b="0"/>
                <wp:wrapNone/>
                <wp:docPr id="230" name="Frame8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months prior written notice of your intent to retire; (C) you continue to perform full-time Service for the Company (I) materially consistent with your full-time responsibilities and services, performed prior to the date on which you provided written notice of your Retirement, or (II) 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w:t>
      </w:r>
      <w:r>
        <w:rPr>
          <w:rFonts w:ascii="Times New Roman;serif" w:hAnsi="Times New Roman;serif"/>
          <w:b w:val="false"/>
          <w:color w:val="000000"/>
          <w:sz w:val="22"/>
          <w:shd w:fill="FFFFFF" w:val="clear"/>
        </w:rPr>
        <w:t>provided, however, the Company may in its sole discretion designate a termination of Service date that is after the date on which you provide written notice of your intent to retire to the Company and prior to the retirement date identified by you</w:t>
      </w:r>
      <w:r>
        <w:rPr>
          <w:rFonts w:ascii="Times New Roman;serif" w:hAnsi="Times New Roman;serif"/>
          <w:b w:val="false"/>
          <w:color w:val="000000"/>
          <w:sz w:val="22"/>
        </w:rPr>
        <w:t>; and (E) the Company does not provide you with written notice on or before the anticipated Retirement date that the Company intends or has grounds to terminate your continuous Service for Cause.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(d)</w:t>
      </w:r>
      <w:r>
        <w:rPr>
          <w:rFonts w:ascii="Times New Roman;serif" w:hAnsi="Times New Roman;serif"/>
          <w:b w:val="false"/>
          <w:i/>
          <w:color w:val="000000"/>
          <w:sz w:val="22"/>
        </w:rPr>
        <w:t>Forfeiture of Unvested PSUs</w:t>
      </w:r>
      <w:r>
        <w:rPr>
          <w:rFonts w:ascii="Times New Roman;serif" w:hAnsi="Times New Roman;serif"/>
          <w:b w:val="false"/>
          <w:color w:val="000000"/>
          <w:sz w:val="22"/>
        </w:rPr>
        <w:t xml:space="preserve">. Any PSUs that do not vest on the applicable Vesting Date as provided herein shall immediately be forfeited.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Settlement of PSUs</w:t>
      </w:r>
      <w:r>
        <w:rPr>
          <w:rFonts w:ascii="Times New Roman;serif" w:hAnsi="Times New Roman;serif"/>
          <w:b w:val="false"/>
          <w:color w:val="000000"/>
          <w:sz w:val="22"/>
        </w:rPr>
        <w:t>. As soon as practicable after the Vesting Date, but no later than 75 days thereafter, the Company shall cause to be issued to you (or your beneficiary or personal representative) one Share in payment and settlement of each vested PSU.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 such vested PSUs.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As a condition precedent to the delivery of Shares in settlement of the PSUs, you are required to pay to the Company, in accordance with Section 14 of the Plan, the amount of any required domestic or foreign tax withholding obligations, including any social security or social insurance obligations (“</w:t>
      </w:r>
      <w:r>
        <w:rPr>
          <w:rFonts w:ascii="Times New Roman;serif" w:hAnsi="Times New Roman;serif"/>
          <w:b w:val="false"/>
          <w:color w:val="000000"/>
          <w:sz w:val="22"/>
          <w:u w:val="single"/>
        </w:rPr>
        <w:t>Tax Withholding Obligations</w:t>
      </w:r>
      <w:r>
        <w:rPr>
          <w:color w:val="000000"/>
        </w:rPr>
        <w:t>”</w:t>
      </w:r>
      <w:r>
        <w:rPr>
          <w:rFonts w:ascii="Times New Roman;serif" w:hAnsi="Times New Roman;serif"/>
          <w:b w:val="false"/>
          <w:color w:val="000000"/>
          <w:sz w:val="22"/>
        </w:rPr>
        <w:t xml:space="preserve">). You hereby authorize the Company to withhold from payroll or other amounts payable to you any sums required to satisfy such Tax Withholding Obligations. Prior to the Vesting Date, you must make arrangements acceptable to the Company for payment of any Tax Withholding Obligations, which may include (i) delivering Shares you already own or having the Company retain a portion of the Shares that would otherwise be delivered to you, in either case with an aggregate Fair Market Value equal to the required amount of the Tax Withholding Obligations, or (ii) establishing a “10b5-1 Plan” pursuant to which a brokerage firm acceptable to the Company is authorized to sell on your behalf in the open market at the then prevailing market price(s) as soon as practicable on or after the Vesting Date the minimum whole number of Shares from the Shares issuable to you in settlement of the vested PSUs as is determined to be sufficient to generate cash proceeds adequate to satisfy such Tax Withholding Obligations. </w:t>
      </w:r>
    </w:p>
    <w:p>
      <w:pPr>
        <w:pStyle w:val="TextBody"/>
        <w:bidi w:val="0"/>
        <w:spacing w:before="0" w:after="0"/>
        <w:ind w:left="0" w:right="0" w:hanging="720"/>
        <w:jc w:val="both"/>
        <w:rPr/>
      </w:pPr>
      <w:r>
        <w:rPr/>
      </w:r>
    </w:p>
    <w:p>
      <w:pPr>
        <w:pStyle w:val="TextBody"/>
        <w:bidi w:val="0"/>
        <w:spacing w:lineRule="auto" w:line="288"/>
        <w:jc w:val="both"/>
        <w:rPr/>
      </w:pPr>
      <w:r>
        <w:rPr>
          <w:rFonts w:ascii="Times New Roman;serif" w:hAnsi="Times New Roman;serif"/>
          <w:b w:val="false"/>
          <w:color w:val="000000"/>
          <w:sz w:val="22"/>
        </w:rPr>
        <w:t>7.    </w:t>
      </w:r>
      <w:r>
        <w:rPr>
          <w:rFonts w:ascii="Times New Roman;serif" w:hAnsi="Times New Roman;serif"/>
          <w:b/>
          <w:color w:val="000000"/>
          <w:sz w:val="22"/>
          <w:u w:val="single"/>
        </w:rPr>
        <w:t>Discontinuance of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 Nothing in this Agreement is intended to, or does, constitute a contract of employment between you and the Company or any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09245"/>
                <wp:effectExtent l="0" t="0" r="0" b="0"/>
                <wp:wrapNone/>
                <wp:docPr id="231" name="Frame8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color w:val="000000"/>
          <w:sz w:val="22"/>
          <w:u w:val="single"/>
        </w:rPr>
        <w:t>Governing Plan Document</w:t>
      </w:r>
      <w:r>
        <w:rPr>
          <w:rFonts w:ascii="Times New Roman;serif" w:hAnsi="Times New Roman;serif"/>
          <w:b w:val="false"/>
          <w:color w:val="000000"/>
          <w:sz w:val="22"/>
        </w:rPr>
        <w:t xml:space="preserve">.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color w:val="000000"/>
          <w:sz w:val="22"/>
          <w:u w:val="single"/>
        </w:rPr>
        <w:t>Choice of Law</w:t>
      </w:r>
      <w:r>
        <w:rPr>
          <w:rFonts w:ascii="Times New Roman;serif" w:hAnsi="Times New Roman;serif"/>
          <w:b w:val="false"/>
          <w:color w:val="000000"/>
          <w:sz w:val="22"/>
        </w:rPr>
        <w:t xml:space="preserve">. This Agreement will be interpreted and enforced under the laws of the state of Delaware (without regard to its conflicts or choice of law principles).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color w:val="000000"/>
          <w:sz w:val="22"/>
          <w:u w:val="single"/>
        </w:rPr>
        <w:t>Binding Effect</w:t>
      </w:r>
      <w:r>
        <w:rPr>
          <w:rFonts w:ascii="Times New Roman;serif" w:hAnsi="Times New Roman;serif"/>
          <w:b w:val="false"/>
          <w:color w:val="000000"/>
          <w:sz w:val="22"/>
        </w:rPr>
        <w:t xml:space="preserve">. This Agreement will be binding in all respects on your heirs, representatives, successors and assigns, and on the successors and assigns of the Company.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color w:val="000000"/>
          <w:sz w:val="22"/>
          <w:u w:val="single"/>
        </w:rPr>
        <w:t>Severability</w:t>
      </w:r>
      <w:r>
        <w:rPr>
          <w:rFonts w:ascii="Times New Roman;serif" w:hAnsi="Times New Roman;serif"/>
          <w:b w:val="false"/>
          <w:color w:val="000000"/>
          <w:sz w:val="22"/>
        </w:rPr>
        <w:t>. If any term or provision in this Agreement shall be held to any extent to be unlawful, void or unenforceable under any enactment or rule of law, that term or provision shall, to that extent, be deemed not to be part of this Agreement and the validity and enforceability of the remainder of this Agreement shall not be affected.</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color w:val="000000"/>
          <w:sz w:val="22"/>
          <w:u w:val="single"/>
        </w:rPr>
        <w:t>Section 409A of the Code</w:t>
      </w:r>
      <w:r>
        <w:rPr>
          <w:rFonts w:ascii="Times New Roman;serif" w:hAnsi="Times New Roman;serif"/>
          <w:b w:val="false"/>
          <w:color w:val="000000"/>
          <w:sz w:val="22"/>
        </w:rPr>
        <w:t>. The award of PSUs as provided in this Agreement and any issuance of Shares or payment pursuant to this Agreement are intended to be exempt from Section 409A of the Code under the short-term deferral exception specified in Treas. Reg. § 1.409A-l(b)(4).</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color w:val="000000"/>
          <w:sz w:val="22"/>
          <w:u w:val="single"/>
        </w:rPr>
        <w:t>Compensation Recovery Policy</w:t>
      </w:r>
      <w:r>
        <w:rPr>
          <w:rFonts w:ascii="Times New Roman;serif" w:hAnsi="Times New Roman;serif"/>
          <w:b w:val="false"/>
          <w:color w:val="000000"/>
          <w:sz w:val="22"/>
        </w:rPr>
        <w:t xml:space="preserve">. To the extent that any compensation paid or payable pursuant to this Agreement is considered “incentive-based compensation” within the meaning and subject to the requirements of Section 10D of the Exchange Act, such compensation shall be subject to potential forfeiture or recovery by the Company in accordance with the Company’s current compensation recovery policy and any amended or subsequently adopted compensation recovery policy adopted by the Board or any committee thereof, including but not limited to in response to the requirements of Section 10D of the Exchange Act and any implementing rules and regulations thereunder adopted by the Securities and Exchange Commission or any national securities exchange on which the Company’s common stock is then listed. This Agreement will be automatically unilaterally amended to comply with any such compensation recovery policy. </w:t>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By accepting the award through [broker] online acceptance, you agree to all the terms and conditions described above and in the Plan document.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10.25</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09245"/>
                <wp:effectExtent l="0" t="0" r="0" b="0"/>
                <wp:wrapNone/>
                <wp:docPr id="232" name="Frame9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DMS_US.369288146.1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SPS COMMERCE,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NON-EMPLOYEE DIRECTOR COMPENSATION SUMMARY</w:t>
      </w:r>
    </w:p>
    <w:p>
      <w:pPr>
        <w:pStyle w:val="TextBody"/>
        <w:bidi w:val="0"/>
        <w:spacing w:before="0" w:after="0"/>
        <w:jc w:val="center"/>
        <w:rPr/>
      </w:pPr>
      <w:r>
        <w:rPr/>
      </w:r>
    </w:p>
    <w:tbl>
      <w:tblPr>
        <w:tblW w:w="6404" w:type="dxa"/>
        <w:jc w:val="left"/>
        <w:tblInd w:w="0" w:type="dxa"/>
        <w:tblLayout w:type="fixed"/>
        <w:tblCellMar>
          <w:top w:w="28" w:type="dxa"/>
          <w:left w:w="28" w:type="dxa"/>
          <w:bottom w:w="28" w:type="dxa"/>
          <w:right w:w="28" w:type="dxa"/>
        </w:tblCellMar>
      </w:tblPr>
      <w:tblGrid>
        <w:gridCol w:w="331"/>
        <w:gridCol w:w="291"/>
        <w:gridCol w:w="292"/>
        <w:gridCol w:w="1604"/>
        <w:gridCol w:w="1604"/>
        <w:gridCol w:w="2282"/>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Adopted</w:t>
            </w:r>
            <w:r>
              <w:rPr>
                <w:rFonts w:ascii="Times New Roman;serif" w:hAnsi="Times New Roman;serif"/>
                <w:b w:val="false"/>
                <w:color w:val="000000"/>
                <w:sz w:val="20"/>
              </w:rPr>
              <w:t>:</w:t>
            </w:r>
          </w:p>
        </w:tc>
        <w:tc>
          <w:tcPr>
            <w:tcW w:w="549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40" w:before="0" w:after="0"/>
              <w:ind w:left="0" w:right="0" w:firstLine="511"/>
              <w:jc w:val="left"/>
              <w:rPr>
                <w:rFonts w:ascii="Times New Roman;serif" w:hAnsi="Times New Roman;serif"/>
                <w:b w:val="false"/>
                <w:color w:val="000000"/>
                <w:sz w:val="20"/>
              </w:rPr>
            </w:pPr>
            <w:r>
              <w:rPr>
                <w:rFonts w:ascii="Times New Roman;serif" w:hAnsi="Times New Roman;serif"/>
                <w:b w:val="false"/>
                <w:color w:val="000000"/>
                <w:sz w:val="20"/>
              </w:rPr>
              <w:t>29 October 2024</w:t>
            </w:r>
          </w:p>
        </w:tc>
      </w:tr>
      <w:tr>
        <w:trPr/>
        <w:tc>
          <w:tcPr>
            <w:tcW w:w="914"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Effective</w:t>
            </w:r>
            <w:r>
              <w:rPr>
                <w:rFonts w:ascii="Times New Roman;serif" w:hAnsi="Times New Roman;serif"/>
                <w:b w:val="false"/>
                <w:color w:val="000000"/>
                <w:sz w:val="20"/>
              </w:rPr>
              <w:t>:</w:t>
            </w:r>
          </w:p>
        </w:tc>
        <w:tc>
          <w:tcPr>
            <w:tcW w:w="5490" w:type="dxa"/>
            <w:gridSpan w:val="3"/>
            <w:tcBorders>
              <w:top w:val="single" w:sz="4" w:space="0" w:color="BFBFBF"/>
              <w:left w:val="single" w:sz="4" w:space="0" w:color="BFBFBF"/>
              <w:bottom w:val="single" w:sz="4" w:space="0" w:color="BFBFBF"/>
              <w:right w:val="single" w:sz="4" w:space="0" w:color="BFBFBF"/>
            </w:tcBorders>
            <w:tcMar>
              <w:top w:w="30" w:type="dxa"/>
              <w:bottom w:w="30" w:type="dxa"/>
            </w:tcMar>
            <w:vAlign w:val="center"/>
          </w:tcPr>
          <w:p>
            <w:pPr>
              <w:pStyle w:val="TableContents"/>
              <w:bidi w:val="0"/>
              <w:spacing w:lineRule="auto" w:line="240" w:before="0" w:after="0"/>
              <w:ind w:left="0" w:right="0" w:firstLine="511"/>
              <w:jc w:val="left"/>
              <w:rPr>
                <w:rFonts w:ascii="Times New Roman;serif" w:hAnsi="Times New Roman;serif"/>
                <w:b w:val="false"/>
                <w:color w:val="000000"/>
                <w:sz w:val="20"/>
              </w:rPr>
            </w:pPr>
            <w:r>
              <w:rPr>
                <w:rFonts w:ascii="Times New Roman;serif" w:hAnsi="Times New Roman;serif"/>
                <w:b w:val="false"/>
                <w:color w:val="000000"/>
                <w:sz w:val="20"/>
              </w:rPr>
              <w:t>Immediately prior to 2025 Annual Meeting of Stockholders</w:t>
            </w:r>
          </w:p>
        </w:tc>
      </w:tr>
    </w:tbl>
    <w:p>
      <w:pPr>
        <w:pStyle w:val="TextBody"/>
        <w:bidi w:val="0"/>
        <w:spacing w:before="0" w:after="120"/>
        <w:jc w:val="left"/>
        <w:rPr/>
      </w:pPr>
      <w:r>
        <w:rPr/>
      </w:r>
    </w:p>
    <w:p>
      <w:pPr>
        <w:pStyle w:val="TextBody"/>
        <w:bidi w:val="0"/>
        <w:spacing w:lineRule="auto" w:line="240" w:before="0" w:after="120"/>
        <w:jc w:val="left"/>
        <w:rPr/>
      </w:pPr>
      <w:r>
        <w:rPr>
          <w:rFonts w:ascii="Times New Roman;serif" w:hAnsi="Times New Roman;serif"/>
          <w:b w:val="false"/>
          <w:i/>
          <w:color w:val="000000"/>
          <w:sz w:val="20"/>
        </w:rPr>
        <w:t>Director annual retainer</w:t>
      </w:r>
      <w:r>
        <w:rPr>
          <w:rFonts w:ascii="Times New Roman;serif" w:hAnsi="Times New Roman;serif"/>
          <w:b w:val="false"/>
          <w:color w:val="000000"/>
          <w:sz w:val="20"/>
        </w:rPr>
        <w:t>: Annual retainer, payable in cash, of $35,000 per director except for the chairperson who shall receive $85,000.</w:t>
      </w:r>
    </w:p>
    <w:p>
      <w:pPr>
        <w:pStyle w:val="TextBody"/>
        <w:bidi w:val="0"/>
        <w:spacing w:lineRule="auto" w:line="240" w:before="0" w:after="120"/>
        <w:jc w:val="left"/>
        <w:rPr/>
      </w:pPr>
      <w:r>
        <w:rPr>
          <w:rFonts w:ascii="Times New Roman;serif" w:hAnsi="Times New Roman;serif"/>
          <w:b w:val="false"/>
          <w:i/>
          <w:color w:val="000000"/>
          <w:sz w:val="20"/>
        </w:rPr>
        <w:t>Committee chairs annual retainer</w:t>
      </w:r>
      <w:r>
        <w:rPr>
          <w:rFonts w:ascii="Times New Roman;serif" w:hAnsi="Times New Roman;serif"/>
          <w:b w:val="false"/>
          <w:color w:val="000000"/>
          <w:sz w:val="20"/>
        </w:rPr>
        <w:t xml:space="preserve">: Annual retainers, payable in cash, of: </w:t>
      </w:r>
    </w:p>
    <w:tbl>
      <w:tblPr>
        <w:tblW w:w="4335" w:type="dxa"/>
        <w:jc w:val="left"/>
        <w:tblInd w:w="0" w:type="dxa"/>
        <w:tblLayout w:type="fixed"/>
        <w:tblCellMar>
          <w:top w:w="28" w:type="dxa"/>
          <w:left w:w="28" w:type="dxa"/>
          <w:bottom w:w="28" w:type="dxa"/>
          <w:right w:w="28" w:type="dxa"/>
        </w:tblCellMar>
      </w:tblPr>
      <w:tblGrid>
        <w:gridCol w:w="1256"/>
        <w:gridCol w:w="1102"/>
        <w:gridCol w:w="1106"/>
        <w:gridCol w:w="255"/>
        <w:gridCol w:w="255"/>
        <w:gridCol w:w="361"/>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$ 20,000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and Strategy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Governance and Nominating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8,500</w:t>
            </w:r>
          </w:p>
        </w:tc>
      </w:tr>
    </w:tbl>
    <w:p>
      <w:pPr>
        <w:pStyle w:val="TextBody"/>
        <w:bidi w:val="0"/>
        <w:spacing w:lineRule="auto" w:line="240" w:before="0" w:after="120"/>
        <w:jc w:val="left"/>
        <w:rPr/>
      </w:pPr>
      <w:r>
        <w:rPr>
          <w:rFonts w:ascii="Times New Roman;serif" w:hAnsi="Times New Roman;serif"/>
          <w:b w:val="false"/>
          <w:i/>
          <w:color w:val="000000"/>
          <w:sz w:val="20"/>
        </w:rPr>
        <w:t>Committee member annual retainer</w:t>
      </w:r>
      <w:r>
        <w:rPr>
          <w:rFonts w:ascii="Times New Roman;serif" w:hAnsi="Times New Roman;serif"/>
          <w:b w:val="false"/>
          <w:color w:val="000000"/>
          <w:sz w:val="20"/>
        </w:rPr>
        <w:t xml:space="preserve">: Annual retainers, payable in cash, of: </w:t>
      </w:r>
    </w:p>
    <w:tbl>
      <w:tblPr>
        <w:tblW w:w="4335" w:type="dxa"/>
        <w:jc w:val="left"/>
        <w:tblInd w:w="0" w:type="dxa"/>
        <w:tblLayout w:type="fixed"/>
        <w:tblCellMar>
          <w:top w:w="28" w:type="dxa"/>
          <w:left w:w="28" w:type="dxa"/>
          <w:bottom w:w="28" w:type="dxa"/>
          <w:right w:w="28" w:type="dxa"/>
        </w:tblCellMar>
      </w:tblPr>
      <w:tblGrid>
        <w:gridCol w:w="1256"/>
        <w:gridCol w:w="1102"/>
        <w:gridCol w:w="1106"/>
        <w:gridCol w:w="255"/>
        <w:gridCol w:w="255"/>
        <w:gridCol w:w="361"/>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$ 10,000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and Strategy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Governance and Nominating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4,000</w:t>
            </w:r>
          </w:p>
        </w:tc>
      </w:tr>
    </w:tbl>
    <w:p>
      <w:pPr>
        <w:pStyle w:val="TextBody"/>
        <w:bidi w:val="0"/>
        <w:spacing w:lineRule="auto" w:line="240" w:before="0" w:after="120"/>
        <w:jc w:val="left"/>
        <w:rPr/>
      </w:pPr>
      <w:r>
        <w:rPr>
          <w:rFonts w:ascii="Times New Roman;serif" w:hAnsi="Times New Roman;serif"/>
          <w:b w:val="false"/>
          <w:i/>
          <w:color w:val="000000"/>
          <w:sz w:val="20"/>
        </w:rPr>
        <w:t>Annual restricted stock unit and/or deferred stock unit grants</w:t>
      </w:r>
      <w:r>
        <w:rPr>
          <w:rFonts w:ascii="Times New Roman;serif" w:hAnsi="Times New Roman;serif"/>
          <w:b w:val="false"/>
          <w:color w:val="000000"/>
          <w:sz w:val="20"/>
        </w:rPr>
        <w:t xml:space="preserve">: </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Up to $200,000 of restricted stock units or deferred stock units, or some combination of the two, at the director’s election, calculated by dividing $200,000 by the closing sale price for a share of the Company’s common stock on the Company’s primary stock exchange on the date of the Company’s annual meeting of stockholders</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Granted to directors who are elected to the board at the annual meeting of stockholders</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Vest in four equal installments on the last day of each fiscal quarter with the first vesting occurring on the fiscal quarter end next following the date of the annual meeting of stockholders, with full vesting no later than the day before the following annual meeting of stockholders, provided the recipient remains a member of the board as of an applicable vesting date</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Restricted stock units and deferred stock units shall be settled for an equal number of shares of the Company’s common stock</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Restricted stock units will be settled shortly after vesting dates</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0"/>
        </w:rPr>
        <w:t>Deferred stock units must be retained until completion of the director’s service on the board, and are settled after termination of such service. A director may defer receipt of the shares for up to ten years after completion of service.</w:t>
      </w:r>
    </w:p>
    <w:p>
      <w:pPr>
        <w:pStyle w:val="TextBody"/>
        <w:bidi w:val="0"/>
        <w:spacing w:lineRule="auto" w:line="240" w:before="0" w:after="120"/>
        <w:jc w:val="left"/>
        <w:rPr/>
      </w:pPr>
      <w:r>
        <w:rPr>
          <w:rFonts w:ascii="Times New Roman;serif" w:hAnsi="Times New Roman;serif"/>
          <w:b w:val="false"/>
          <w:i/>
          <w:color w:val="000000"/>
          <w:sz w:val="20"/>
        </w:rPr>
        <w:t>Reimbursement of expenses</w:t>
      </w:r>
      <w:r>
        <w:rPr>
          <w:rFonts w:ascii="Times New Roman;serif" w:hAnsi="Times New Roman;serif"/>
          <w:b w:val="false"/>
          <w:color w:val="000000"/>
          <w:sz w:val="20"/>
        </w:rPr>
        <w:t xml:space="preserve">: The Company shall reimburse directors for reasonable expenses incurred in connection with attending board and committee meetings. </w:t>
      </w:r>
    </w:p>
    <w:p>
      <w:pPr>
        <w:pStyle w:val="TextBody"/>
        <w:bidi w:val="0"/>
        <w:spacing w:lineRule="auto" w:line="240" w:before="0" w:after="120"/>
        <w:jc w:val="left"/>
        <w:rPr/>
      </w:pPr>
      <w:r>
        <w:rPr>
          <w:rFonts w:ascii="Times New Roman;serif" w:hAnsi="Times New Roman;serif"/>
          <w:b w:val="false"/>
          <w:i/>
          <w:color w:val="000000"/>
          <w:sz w:val="20"/>
        </w:rPr>
        <w:t>Proration for appointment between annual meetings of stockholders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 the event a director is elected or appointed to the board or a committee on a date other than the annual meeting of stockholders, the director shall receive the cash retainer compensation set forth above pro rated based on the days subsequent to the most recent annual meeting, but shall not receive the equity compensation awards set forth above.</w:t>
      </w:r>
    </w:p>
    <w:p>
      <w:pPr>
        <w:pStyle w:val="TextBody"/>
        <w:bidi w:val="0"/>
        <w:spacing w:lineRule="auto" w:line="240" w:before="0" w:after="120"/>
        <w:jc w:val="left"/>
        <w:rPr/>
      </w:pPr>
      <w:r>
        <w:rPr>
          <w:rFonts w:ascii="Times New Roman;serif" w:hAnsi="Times New Roman;serif"/>
          <w:b w:val="false"/>
          <w:i/>
          <w:color w:val="000000"/>
          <w:sz w:val="20"/>
        </w:rPr>
        <w:t>Initial restricted stock unit grants</w:t>
      </w:r>
      <w:r>
        <w:rPr>
          <w:rFonts w:ascii="Times New Roman;serif" w:hAnsi="Times New Roman;serif"/>
          <w:b w:val="false"/>
          <w:color w:val="000000"/>
          <w:sz w:val="20"/>
        </w:rPr>
        <w:t>: Each director, who is initially appointed or elected to the board receives a restricted stock unit grant valued at $200,000, with the number of shares calculated by dividing $200,000 by the closing sale price for a share of the Company’s common stock on the Company’s primary stock exchange on the grant date, which is the fifth trading day following the Company’s first earnings release following the date of initial appointment or election to the board (the “</w:t>
      </w:r>
      <w:r>
        <w:rPr>
          <w:rFonts w:ascii="Times New Roman;serif" w:hAnsi="Times New Roman;serif"/>
          <w:b w:val="false"/>
          <w:i/>
          <w:color w:val="000000"/>
          <w:sz w:val="20"/>
        </w:rPr>
        <w:t>Initial RSU Grant Date</w:t>
      </w:r>
      <w:r>
        <w:rPr>
          <w:color w:val="000000"/>
        </w:rPr>
        <w:t>”</w:t>
      </w:r>
      <w:r>
        <w:rPr>
          <w:rFonts w:ascii="Times New Roman;serif" w:hAnsi="Times New Roman;serif"/>
          <w:b w:val="false"/>
          <w:color w:val="000000"/>
          <w:sz w:val="20"/>
        </w:rPr>
        <w:t>). Vest in equal monthly installments over three years commencing on the first day of the calendar month following the initial appointment or election to the board, provided the recipient remains a member of the board as of the vesting date.</w:t>
      </w:r>
      <w:r>
        <w:rPr>
          <w:color w:val="000000"/>
        </w:rPr>
        <w:t xml:space="preserve"> </w:t>
      </w:r>
      <w:r>
        <w:rPr>
          <w:rFonts w:ascii="Times New Roman;serif" w:hAnsi="Times New Roman;serif"/>
          <w:b w:val="false"/>
          <w:color w:val="000000"/>
          <w:sz w:val="20"/>
        </w:rPr>
        <w:t>Restricted stock units shall be settled for an equal number of shares of the Company’s common stock and be settled shortly after vesting dates.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23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3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73" descr=""/>
                    <pic:cNvPicPr>
                      <a:picLocks noChangeAspect="1" noChangeArrowheads="1"/>
                    </pic:cNvPicPr>
                  </pic:nvPicPr>
                  <pic:blipFill>
                    <a:blip r:embed="rId168"/>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300" w:before="93" w:after="283"/>
        <w:jc w:val="left"/>
        <w:rPr/>
      </w:pPr>
      <w:r>
        <w:rPr>
          <w:rFonts w:ascii="Arial;sans-serif" w:hAnsi="Arial;sans-serif"/>
          <w:b w:val="false"/>
          <w:color w:val="000000"/>
          <w:sz w:val="19"/>
        </w:rPr>
        <w:t>Federal and state securities laws prohibit individuals from trading in the securities of a company while they are aware of material information about that company that is not generally known or available to the public. Such trading is often referred to as “insider trading.” The purpose of this Insider Trading Policy is to prevent insider trading or allegations of insider trading, and to protect the reputation for integrity and ethical conduct of SPS Commerce, Inc. (“</w:t>
      </w:r>
      <w:r>
        <w:rPr>
          <w:rFonts w:ascii="Arial;sans-serif" w:hAnsi="Arial;sans-serif"/>
          <w:b w:val="false"/>
          <w:i/>
          <w:color w:val="000000"/>
          <w:sz w:val="19"/>
        </w:rPr>
        <w:t>SPS</w:t>
      </w:r>
      <w:r>
        <w:rPr>
          <w:color w:val="000000"/>
        </w:rPr>
        <w:t>”</w:t>
      </w:r>
      <w:r>
        <w:rPr>
          <w:rFonts w:ascii="Arial;sans-serif" w:hAnsi="Arial;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APPLICABILITY OF POLICY</w:t>
      </w:r>
    </w:p>
    <w:p>
      <w:pPr>
        <w:pStyle w:val="TextBody"/>
        <w:bidi w:val="0"/>
        <w:spacing w:lineRule="auto" w:line="297" w:before="115" w:after="283"/>
        <w:ind w:left="0" w:right="0" w:firstLine="720"/>
        <w:jc w:val="left"/>
        <w:rPr/>
      </w:pPr>
      <w:r>
        <w:rPr>
          <w:rFonts w:ascii="Times New Roman;serif" w:hAnsi="Times New Roman;serif"/>
          <w:b/>
          <w:color w:val="000000"/>
          <w:sz w:val="22"/>
        </w:rPr>
        <w:t>A.</w:t>
      </w:r>
      <w:r>
        <w:rPr>
          <w:rFonts w:ascii="Arial;sans-serif" w:hAnsi="Arial;sans-serif"/>
          <w:b/>
          <w:i/>
          <w:color w:val="000000"/>
          <w:sz w:val="19"/>
        </w:rPr>
        <w:t xml:space="preserve">Material Nonpublic Information </w:t>
      </w:r>
      <w:r>
        <w:rPr>
          <w:rFonts w:ascii="Arial;sans-serif" w:hAnsi="Arial;sans-serif"/>
          <w:b w:val="false"/>
          <w:color w:val="000000"/>
          <w:sz w:val="19"/>
        </w:rPr>
        <w:t>means material information (described below) that has either not been disclosed to the public generally or has been disclosed so recently that sufficient time has not yet passed to allow the information to become widely available among investors and the financial community.</w:t>
      </w:r>
    </w:p>
    <w:p>
      <w:pPr>
        <w:pStyle w:val="TextBody"/>
        <w:bidi w:val="0"/>
        <w:spacing w:lineRule="atLeast" w:line="253" w:before="94" w:after="283"/>
        <w:ind w:left="0" w:right="0" w:hanging="722"/>
        <w:jc w:val="left"/>
        <w:rPr/>
      </w:pPr>
      <w:r>
        <w:rPr>
          <w:rFonts w:ascii="Times New Roman;serif" w:hAnsi="Times New Roman;serif"/>
          <w:b/>
          <w:color w:val="000000"/>
          <w:sz w:val="22"/>
        </w:rPr>
        <w:t>B.</w:t>
      </w:r>
      <w:r>
        <w:rPr>
          <w:rFonts w:ascii="Arial;sans-serif" w:hAnsi="Arial;sans-serif"/>
          <w:b/>
          <w:i/>
          <w:color w:val="000000"/>
          <w:sz w:val="19"/>
        </w:rPr>
        <w:t xml:space="preserve">Material Information </w:t>
      </w:r>
      <w:r>
        <w:rPr>
          <w:rFonts w:ascii="Arial;sans-serif" w:hAnsi="Arial;sans-serif"/>
          <w:b w:val="false"/>
          <w:color w:val="000000"/>
          <w:sz w:val="19"/>
        </w:rPr>
        <w:t>means information about a company that would be expected to</w:t>
      </w:r>
    </w:p>
    <w:p>
      <w:pPr>
        <w:pStyle w:val="TextBody"/>
        <w:bidi w:val="0"/>
        <w:spacing w:lineRule="auto" w:line="297" w:before="0" w:after="0"/>
        <w:jc w:val="left"/>
        <w:rPr>
          <w:rFonts w:ascii="Arial;sans-serif" w:hAnsi="Arial;sans-serif"/>
          <w:b w:val="false"/>
          <w:color w:val="000000"/>
          <w:sz w:val="19"/>
        </w:rPr>
      </w:pPr>
      <w:r>
        <w:rPr>
          <w:rFonts w:ascii="Arial;sans-serif" w:hAnsi="Arial;sans-serif"/>
          <w:b w:val="false"/>
          <w:color w:val="000000"/>
          <w:sz w:val="19"/>
        </w:rPr>
        <w:t>affect the investment or voting decision of a reasonable investor, or information that could reasonably be expected to have an effect on the price of that company’s securities. Examples of what might be considered material information are listed later in this Policy.</w:t>
      </w:r>
    </w:p>
    <w:p>
      <w:pPr>
        <w:pStyle w:val="TextBody"/>
        <w:bidi w:val="0"/>
        <w:spacing w:lineRule="auto" w:line="288" w:before="112" w:after="283"/>
        <w:ind w:left="0" w:right="0" w:hanging="722"/>
        <w:jc w:val="left"/>
        <w:rPr/>
      </w:pPr>
      <w:r>
        <w:rPr>
          <w:rFonts w:ascii="Times New Roman;serif" w:hAnsi="Times New Roman;serif"/>
          <w:b/>
          <w:color w:val="000000"/>
          <w:sz w:val="22"/>
        </w:rPr>
        <w:t>C.</w:t>
      </w:r>
      <w:r>
        <w:rPr>
          <w:rFonts w:ascii="Arial;sans-serif" w:hAnsi="Arial;sans-serif"/>
          <w:b/>
          <w:i/>
          <w:color w:val="000000"/>
          <w:sz w:val="19"/>
        </w:rPr>
        <w:t>Covered Persons</w:t>
      </w:r>
      <w:r>
        <w:rPr>
          <w:rFonts w:ascii="Arial;sans-serif" w:hAnsi="Arial;sans-serif"/>
          <w:b/>
          <w:color w:val="000000"/>
          <w:sz w:val="19"/>
        </w:rPr>
        <w:t xml:space="preserve">. </w:t>
      </w:r>
      <w:r>
        <w:rPr>
          <w:rFonts w:ascii="Arial;sans-serif" w:hAnsi="Arial;sans-serif"/>
          <w:b w:val="false"/>
          <w:color w:val="000000"/>
          <w:sz w:val="19"/>
        </w:rPr>
        <w:t>This Policy applies to:</w:t>
      </w:r>
    </w:p>
    <w:p>
      <w:pPr>
        <w:pStyle w:val="TextBody"/>
        <w:bidi w:val="0"/>
        <w:spacing w:lineRule="auto" w:line="292" w:before="107" w:after="283"/>
        <w:ind w:left="0" w:right="0" w:firstLine="721"/>
        <w:jc w:val="left"/>
        <w:rPr/>
      </w:pPr>
      <w:r>
        <w:rPr>
          <w:rFonts w:ascii="Times New Roman;serif" w:hAnsi="Times New Roman;serif"/>
          <w:b w:val="false"/>
          <w:color w:val="000000"/>
          <w:sz w:val="22"/>
        </w:rPr>
        <w:t>1.</w:t>
      </w:r>
      <w:r>
        <w:rPr>
          <w:rFonts w:ascii="Arial;sans-serif" w:hAnsi="Arial;sans-serif"/>
          <w:b w:val="false"/>
          <w:i/>
          <w:color w:val="000000"/>
          <w:sz w:val="19"/>
        </w:rPr>
        <w:t xml:space="preserve">SPS Personnel. </w:t>
      </w:r>
      <w:r>
        <w:rPr>
          <w:rFonts w:ascii="Arial;sans-serif" w:hAnsi="Arial;sans-serif"/>
          <w:b w:val="false"/>
          <w:color w:val="000000"/>
          <w:sz w:val="19"/>
        </w:rPr>
        <w:t>All directors, officers and employees of SPS and its subsidiaries (“</w:t>
      </w:r>
      <w:r>
        <w:rPr>
          <w:rFonts w:ascii="Arial;sans-serif" w:hAnsi="Arial;sans-serif"/>
          <w:b w:val="false"/>
          <w:i/>
          <w:color w:val="000000"/>
          <w:sz w:val="19"/>
        </w:rPr>
        <w:t>SPS Personnel</w:t>
      </w:r>
      <w:r>
        <w:rPr>
          <w:color w:val="000000"/>
        </w:rPr>
        <w:t>”</w:t>
      </w:r>
      <w:r>
        <w:rPr>
          <w:rFonts w:ascii="Arial;sans-serif" w:hAnsi="Arial;sans-serif"/>
          <w:b w:val="false"/>
          <w:color w:val="000000"/>
          <w:sz w:val="19"/>
        </w:rPr>
        <w:t>), as well as members of their immediate families and others living in the same household.</w:t>
      </w:r>
    </w:p>
    <w:p>
      <w:pPr>
        <w:pStyle w:val="TextBody"/>
        <w:bidi w:val="0"/>
        <w:spacing w:lineRule="auto" w:line="295" w:before="101" w:after="283"/>
        <w:ind w:left="0" w:right="0" w:firstLine="721"/>
        <w:jc w:val="left"/>
        <w:rPr/>
      </w:pPr>
      <w:r>
        <w:rPr>
          <w:rFonts w:ascii="Times New Roman;serif" w:hAnsi="Times New Roman;serif"/>
          <w:b w:val="false"/>
          <w:color w:val="000000"/>
          <w:sz w:val="22"/>
        </w:rPr>
        <w:t>2.</w:t>
      </w:r>
      <w:r>
        <w:rPr>
          <w:rFonts w:ascii="Arial;sans-serif" w:hAnsi="Arial;sans-serif"/>
          <w:b w:val="false"/>
          <w:i/>
          <w:color w:val="000000"/>
          <w:sz w:val="19"/>
        </w:rPr>
        <w:t xml:space="preserve">Consultants and Advisors. </w:t>
      </w:r>
      <w:r>
        <w:rPr>
          <w:rFonts w:ascii="Arial;sans-serif" w:hAnsi="Arial;sans-serif"/>
          <w:b w:val="false"/>
          <w:color w:val="000000"/>
          <w:sz w:val="19"/>
        </w:rPr>
        <w:t>All consultants and advisors to SPS and its subsidiaries whose work for SPS brings them into contact with material nonpublic information.</w:t>
      </w:r>
    </w:p>
    <w:p>
      <w:pPr>
        <w:pStyle w:val="TextBody"/>
        <w:bidi w:val="0"/>
        <w:spacing w:lineRule="auto" w:line="292" w:before="101" w:after="283"/>
        <w:ind w:left="0" w:right="0" w:firstLine="721"/>
        <w:jc w:val="left"/>
        <w:rPr/>
      </w:pPr>
      <w:r>
        <w:rPr>
          <w:rFonts w:ascii="Times New Roman;serif" w:hAnsi="Times New Roman;serif"/>
          <w:b w:val="false"/>
          <w:color w:val="000000"/>
          <w:sz w:val="22"/>
        </w:rPr>
        <w:t>3.</w:t>
      </w:r>
      <w:r>
        <w:rPr>
          <w:rFonts w:ascii="Arial;sans-serif" w:hAnsi="Arial;sans-serif"/>
          <w:b w:val="false"/>
          <w:i/>
          <w:color w:val="000000"/>
          <w:sz w:val="19"/>
        </w:rPr>
        <w:t xml:space="preserve">Related Parties. </w:t>
      </w:r>
      <w:r>
        <w:rPr>
          <w:rFonts w:ascii="Arial;sans-serif" w:hAnsi="Arial;sans-serif"/>
          <w:b w:val="false"/>
          <w:color w:val="000000"/>
          <w:sz w:val="19"/>
        </w:rPr>
        <w:t>Any other person or entity, including a trust, corporation, partnership or other association, whose transactions in SPS securities are directed by any person covered by paragraph C(1) or C(2) or are subject to that person’s influence or control.</w:t>
      </w:r>
    </w:p>
    <w:p>
      <w:pPr>
        <w:pStyle w:val="TextBody"/>
        <w:bidi w:val="0"/>
        <w:spacing w:lineRule="auto" w:line="288" w:before="129" w:after="283"/>
        <w:jc w:val="left"/>
        <w:rPr/>
      </w:pPr>
      <w:r>
        <w:rPr>
          <w:rFonts w:ascii="Arial;sans-serif" w:hAnsi="Arial;sans-serif"/>
          <w:b w:val="false"/>
          <w:color w:val="000000"/>
          <w:sz w:val="19"/>
        </w:rPr>
        <w:t>The individuals and entities described in paragraphs C(1), C(2) and C(3) are “</w:t>
      </w:r>
      <w:r>
        <w:rPr>
          <w:rFonts w:ascii="Arial;sans-serif" w:hAnsi="Arial;sans-serif"/>
          <w:b w:val="false"/>
          <w:i/>
          <w:color w:val="000000"/>
          <w:sz w:val="19"/>
        </w:rPr>
        <w:t>Covered Persons</w:t>
      </w:r>
      <w:r>
        <w:rPr>
          <w:rFonts w:ascii="Arial;sans-serif" w:hAnsi="Arial;sans-serif"/>
          <w:b w:val="false"/>
          <w:color w:val="000000"/>
          <w:sz w:val="19"/>
        </w:rPr>
        <w:t>.”</w:t>
      </w:r>
    </w:p>
    <w:p>
      <w:pPr>
        <w:pStyle w:val="TextBody"/>
        <w:bidi w:val="0"/>
        <w:spacing w:lineRule="auto" w:line="288" w:before="114" w:after="283"/>
        <w:ind w:left="0" w:right="0" w:hanging="722"/>
        <w:jc w:val="left"/>
        <w:rPr/>
      </w:pPr>
      <w:r>
        <w:rPr>
          <w:rFonts w:ascii="Times New Roman;serif" w:hAnsi="Times New Roman;serif"/>
          <w:b/>
          <w:color w:val="000000"/>
          <w:sz w:val="22"/>
        </w:rPr>
        <w:t>D.</w:t>
      </w:r>
      <w:r>
        <w:rPr>
          <w:rFonts w:ascii="Arial;sans-serif" w:hAnsi="Arial;sans-serif"/>
          <w:b/>
          <w:i/>
          <w:color w:val="000000"/>
          <w:sz w:val="19"/>
        </w:rPr>
        <w:t xml:space="preserve">Covered Companies. </w:t>
      </w:r>
      <w:r>
        <w:rPr>
          <w:rFonts w:ascii="Arial;sans-serif" w:hAnsi="Arial;sans-serif"/>
          <w:b w:val="false"/>
          <w:color w:val="000000"/>
          <w:sz w:val="19"/>
        </w:rPr>
        <w:t>This Policy applies to trading in the securities of:</w:t>
      </w:r>
    </w:p>
    <w:p>
      <w:pPr>
        <w:pStyle w:val="TextBody"/>
        <w:bidi w:val="0"/>
        <w:spacing w:lineRule="auto" w:line="288" w:before="107" w:after="283"/>
        <w:ind w:left="0" w:right="0" w:hanging="722"/>
        <w:jc w:val="left"/>
        <w:rPr/>
      </w:pPr>
      <w:r>
        <w:rPr>
          <w:color w:val="000000"/>
        </w:rPr>
        <w:t>•</w:t>
      </w:r>
      <w:r>
        <w:rPr>
          <w:rFonts w:ascii="Arial;sans-serif" w:hAnsi="Arial;sans-serif"/>
          <w:b w:val="false"/>
          <w:color w:val="000000"/>
          <w:sz w:val="19"/>
        </w:rPr>
        <w:t>SPS; and</w:t>
      </w:r>
    </w:p>
    <w:p>
      <w:pPr>
        <w:pStyle w:val="TextBody"/>
        <w:bidi w:val="0"/>
        <w:spacing w:lineRule="auto" w:line="292" w:before="121" w:after="283"/>
        <w:ind w:left="0" w:right="0" w:firstLine="721"/>
        <w:jc w:val="left"/>
        <w:rPr/>
      </w:pPr>
      <w:r>
        <w:rPr>
          <w:color w:val="000000"/>
        </w:rPr>
        <w:t>•</w:t>
      </w:r>
      <w:r>
        <w:rPr>
          <w:rFonts w:ascii="Arial;sans-serif" w:hAnsi="Arial;sans-serif"/>
          <w:b w:val="false"/>
          <w:color w:val="000000"/>
          <w:sz w:val="19"/>
        </w:rPr>
        <w:t>any other company with respect to which you obtain material nonpublic information in the course of your service to SPS or any of its subsidiaries, such as customers, suppliers, strategic partners, competitors or companies with which a major transaction such as a merger, acquisition or divestiture may be or is being negotiated.</w:t>
      </w:r>
    </w:p>
    <w:p>
      <w:pPr>
        <w:pStyle w:val="TextBody"/>
        <w:bidi w:val="0"/>
        <w:spacing w:lineRule="auto" w:line="292" w:before="99" w:after="283"/>
        <w:ind w:left="0" w:right="0" w:firstLine="720"/>
        <w:jc w:val="left"/>
        <w:rPr/>
      </w:pPr>
      <w:r>
        <w:rPr>
          <w:rFonts w:ascii="Times New Roman;serif" w:hAnsi="Times New Roman;serif"/>
          <w:b/>
          <w:color w:val="000000"/>
          <w:sz w:val="22"/>
        </w:rPr>
        <w:t>E.</w:t>
      </w:r>
      <w:r>
        <w:rPr>
          <w:rFonts w:ascii="Arial;sans-serif" w:hAnsi="Arial;sans-serif"/>
          <w:b/>
          <w:i/>
          <w:color w:val="000000"/>
          <w:sz w:val="19"/>
        </w:rPr>
        <w:t>Covered Transactions</w:t>
      </w:r>
      <w:r>
        <w:rPr>
          <w:rFonts w:ascii="Arial;sans-serif" w:hAnsi="Arial;sans-serif"/>
          <w:b/>
          <w:color w:val="000000"/>
          <w:sz w:val="19"/>
        </w:rPr>
        <w:t xml:space="preserve">. </w:t>
      </w:r>
      <w:r>
        <w:rPr>
          <w:rFonts w:ascii="Arial;sans-serif" w:hAnsi="Arial;sans-serif"/>
          <w:b w:val="false"/>
          <w:color w:val="000000"/>
          <w:sz w:val="19"/>
        </w:rPr>
        <w:t>The securities trading that this Policy covers includes purchases and sales of common stock, options to acquire common stock and any other securities SPS may issue from time to time, such as preferred stock, warrants and convertible debentures, and purchases and sales of derivative securities relating to SPS’s stock, whether or not issued by SPS, such as exchange-traded options. Trading covered by this Policy may or may not include transactions under SPS sponsored plans as follows:</w:t>
      </w:r>
    </w:p>
    <w:p>
      <w:pPr>
        <w:pStyle w:val="TextBody"/>
        <w:bidi w:val="0"/>
        <w:spacing w:lineRule="auto" w:line="292" w:before="104" w:after="283"/>
        <w:ind w:left="0" w:right="0" w:firstLine="721"/>
        <w:jc w:val="left"/>
        <w:rPr/>
      </w:pPr>
      <w:r>
        <w:rPr>
          <w:rFonts w:ascii="Times New Roman;serif" w:hAnsi="Times New Roman;serif"/>
          <w:b w:val="false"/>
          <w:color w:val="000000"/>
          <w:sz w:val="22"/>
        </w:rPr>
        <w:t>1.</w:t>
      </w:r>
      <w:r>
        <w:rPr>
          <w:rFonts w:ascii="Arial;sans-serif" w:hAnsi="Arial;sans-serif"/>
          <w:b w:val="false"/>
          <w:i/>
          <w:color w:val="000000"/>
          <w:sz w:val="19"/>
        </w:rPr>
        <w:t xml:space="preserve">Stock Option Exercises. </w:t>
      </w:r>
      <w:r>
        <w:rPr>
          <w:rFonts w:ascii="Arial;sans-serif" w:hAnsi="Arial;sans-serif"/>
          <w:b w:val="false"/>
          <w:color w:val="000000"/>
          <w:sz w:val="19"/>
        </w:rPr>
        <w:t>The Policy’s trading restrictions do not apply to the purchase of SPS stock through the exercise of stock options granted by SPS. The trading restrictions do apply to any contemporaneous (such as a sale through a broker as part of a cashless exercise of the option) or any subsequent sale of SPS stock acquired through an option exercise.</w:t>
      </w:r>
    </w:p>
    <w:p>
      <w:pPr>
        <w:pStyle w:val="TextBody"/>
        <w:bidi w:val="0"/>
        <w:spacing w:lineRule="auto" w:line="280" w:before="102" w:after="283"/>
        <w:ind w:left="0" w:right="0" w:firstLine="721"/>
        <w:jc w:val="left"/>
        <w:rPr/>
      </w:pPr>
      <w:r>
        <w:rPr>
          <w:rFonts w:ascii="Times New Roman;serif" w:hAnsi="Times New Roman;serif"/>
          <w:b w:val="false"/>
          <w:color w:val="000000"/>
          <w:sz w:val="22"/>
        </w:rPr>
        <w:t>2.</w:t>
      </w:r>
      <w:r>
        <w:rPr>
          <w:rFonts w:ascii="Arial;sans-serif" w:hAnsi="Arial;sans-serif"/>
          <w:b w:val="false"/>
          <w:i/>
          <w:color w:val="000000"/>
          <w:sz w:val="19"/>
        </w:rPr>
        <w:t>Employee Stock Purchase Plan Purchases</w:t>
      </w:r>
      <w:r>
        <w:rPr>
          <w:rFonts w:ascii="Arial;sans-serif" w:hAnsi="Arial;sans-serif"/>
          <w:b w:val="false"/>
          <w:color w:val="000000"/>
          <w:sz w:val="19"/>
        </w:rPr>
        <w:t xml:space="preserve">. The Policy’s trading restrictions do not apply to the purchase of SPS stock through any Employee Stock Purchase Plan SPS may maintain from time to time (but the Policy’s trading restrictions do apply to any election to participate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93345"/>
                <wp:effectExtent l="0" t="0" r="0" b="0"/>
                <wp:wrapNone/>
                <wp:docPr id="235" name="Frame92"/>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3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4" descr=""/>
                    <pic:cNvPicPr>
                      <a:picLocks noChangeAspect="1" noChangeArrowheads="1"/>
                    </pic:cNvPicPr>
                  </pic:nvPicPr>
                  <pic:blipFill>
                    <a:blip r:embed="rId169"/>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80" w:before="102" w:after="283"/>
        <w:jc w:val="left"/>
        <w:rPr>
          <w:rFonts w:ascii="Arial;sans-serif" w:hAnsi="Arial;sans-serif"/>
          <w:b w:val="false"/>
          <w:color w:val="000000"/>
          <w:sz w:val="19"/>
        </w:rPr>
      </w:pPr>
      <w:r>
        <w:rPr>
          <w:rFonts w:ascii="Arial;sans-serif" w:hAnsi="Arial;sans-serif"/>
          <w:b w:val="false"/>
          <w:color w:val="000000"/>
          <w:sz w:val="19"/>
        </w:rPr>
        <w:t>plan, any election to change the level of participation in such plan or the sale of any shares acquired under such plan).</w:t>
      </w:r>
    </w:p>
    <w:p>
      <w:pPr>
        <w:pStyle w:val="TextBody"/>
        <w:bidi w:val="0"/>
        <w:spacing w:lineRule="auto" w:line="288" w:before="115" w:after="283"/>
        <w:ind w:left="0" w:right="0" w:hanging="722"/>
        <w:jc w:val="left"/>
        <w:rPr/>
      </w:pPr>
      <w:r>
        <w:rPr>
          <w:rFonts w:ascii="Times New Roman;serif" w:hAnsi="Times New Roman;serif"/>
          <w:b w:val="false"/>
          <w:color w:val="000000"/>
          <w:sz w:val="22"/>
        </w:rPr>
        <w:t>3.</w:t>
      </w:r>
      <w:r>
        <w:rPr>
          <w:rFonts w:ascii="Arial;sans-serif" w:hAnsi="Arial;sans-serif"/>
          <w:b w:val="false"/>
          <w:i/>
          <w:color w:val="000000"/>
          <w:sz w:val="19"/>
        </w:rPr>
        <w:t>Restricted Stock/Unit and Performance Stock/Unit Awards</w:t>
      </w:r>
      <w:r>
        <w:rPr>
          <w:rFonts w:ascii="Arial;sans-serif" w:hAnsi="Arial;sans-serif"/>
          <w:b w:val="false"/>
          <w:color w:val="000000"/>
          <w:sz w:val="19"/>
        </w:rPr>
        <w:t>. The Policy’s trading restrictions do not apply to the vesting of restricted stock/units or performance stock/units, or to the exercise of a tax withholding right pursuant to which the person elects to have SPS withhold shares of stock to satisfy tax withholding requirements upon vesting. The trading restrictions do apply to any market sales of shares, such as a sale-to-cover.</w:t>
      </w:r>
    </w:p>
    <w:p>
      <w:pPr>
        <w:pStyle w:val="TextBody"/>
        <w:bidi w:val="0"/>
        <w:spacing w:lineRule="auto" w:line="295" w:before="101" w:after="283"/>
        <w:ind w:left="0" w:right="0" w:firstLine="721"/>
        <w:jc w:val="left"/>
        <w:rPr/>
      </w:pPr>
      <w:r>
        <w:rPr>
          <w:rFonts w:ascii="Times New Roman;serif" w:hAnsi="Times New Roman;serif"/>
          <w:b w:val="false"/>
          <w:color w:val="000000"/>
          <w:sz w:val="22"/>
        </w:rPr>
        <w:t>4.</w:t>
      </w:r>
      <w:r>
        <w:rPr>
          <w:rFonts w:ascii="Arial;sans-serif" w:hAnsi="Arial;sans-serif"/>
          <w:b w:val="false"/>
          <w:i/>
          <w:color w:val="000000"/>
          <w:sz w:val="19"/>
        </w:rPr>
        <w:t>401(k) Plan</w:t>
      </w:r>
      <w:r>
        <w:rPr>
          <w:rFonts w:ascii="Arial;sans-serif" w:hAnsi="Arial;sans-serif"/>
          <w:b w:val="false"/>
          <w:color w:val="000000"/>
          <w:sz w:val="19"/>
        </w:rPr>
        <w:t>. The Policy’s trading restrictions do not apply to the acquisition of stock under SPS’ 401(k) Plan. The trading restrictions do apply to any market sales of shares.</w:t>
      </w:r>
    </w:p>
    <w:p>
      <w:pPr>
        <w:pStyle w:val="TextBody"/>
        <w:bidi w:val="0"/>
        <w:spacing w:lineRule="auto" w:line="295" w:before="101" w:after="283"/>
        <w:ind w:left="0" w:right="0" w:firstLine="721"/>
        <w:jc w:val="left"/>
        <w:rPr/>
      </w:pPr>
      <w:r>
        <w:rPr>
          <w:rFonts w:ascii="Times New Roman;serif" w:hAnsi="Times New Roman;serif"/>
          <w:b w:val="false"/>
          <w:color w:val="000000"/>
          <w:sz w:val="22"/>
        </w:rPr>
        <w:t>5.</w:t>
      </w:r>
      <w:r>
        <w:rPr>
          <w:rFonts w:ascii="Arial;sans-serif" w:hAnsi="Arial;sans-serif"/>
          <w:b w:val="false"/>
          <w:i/>
          <w:color w:val="000000"/>
          <w:sz w:val="19"/>
        </w:rPr>
        <w:t xml:space="preserve">Certain Gifts. </w:t>
      </w:r>
      <w:r>
        <w:rPr>
          <w:rFonts w:ascii="Arial;sans-serif" w:hAnsi="Arial;sans-serif"/>
          <w:b w:val="false"/>
          <w:color w:val="000000"/>
          <w:sz w:val="19"/>
        </w:rPr>
        <w:t>The Policy’s trading restrictions do not apply to a bona fide gift of Company stock so long as either (i) the recipient of the gift is subject to the same trading restrictions under this Policy as are applicable to you, or (ii) you otherwise have no reason to believe that the recipient intends to sell the securities immediately or during a period when you would not be permitted to trade pursuant to the terms of this Policy.</w:t>
      </w:r>
    </w:p>
    <w:p>
      <w:pPr>
        <w:pStyle w:val="TextBody"/>
        <w:bidi w:val="0"/>
        <w:spacing w:lineRule="auto" w:line="292" w:before="99" w:after="283"/>
        <w:ind w:left="0" w:right="0" w:firstLine="720"/>
        <w:jc w:val="left"/>
        <w:rPr/>
      </w:pPr>
      <w:r>
        <w:rPr>
          <w:rFonts w:ascii="Times New Roman;serif" w:hAnsi="Times New Roman;serif"/>
          <w:b/>
          <w:color w:val="000000"/>
          <w:sz w:val="22"/>
        </w:rPr>
        <w:t>F.</w:t>
      </w:r>
      <w:r>
        <w:rPr>
          <w:rFonts w:ascii="Arial;sans-serif" w:hAnsi="Arial;sans-serif"/>
          <w:b/>
          <w:i/>
          <w:color w:val="000000"/>
          <w:sz w:val="19"/>
        </w:rPr>
        <w:t>Transactions by the Company.</w:t>
      </w:r>
      <w:r>
        <w:rPr>
          <w:color w:val="000000"/>
        </w:rPr>
        <w:t xml:space="preserve"> </w:t>
      </w:r>
      <w:r>
        <w:rPr>
          <w:rFonts w:ascii="Arial;sans-serif" w:hAnsi="Arial;sans-serif"/>
          <w:b w:val="false"/>
          <w:color w:val="000000"/>
          <w:sz w:val="19"/>
        </w:rPr>
        <w:t>From time to time, SPS may engage in transactions in its own securities, including repurchasing its shares in the open market. It is SPS’ policy that any transactions by SPS will comply with applicable laws with respect to insider trading.</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93345"/>
                <wp:effectExtent l="0" t="0" r="0" b="0"/>
                <wp:wrapNone/>
                <wp:docPr id="237" name="Frame93"/>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3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5" descr=""/>
                    <pic:cNvPicPr>
                      <a:picLocks noChangeAspect="1" noChangeArrowheads="1"/>
                    </pic:cNvPicPr>
                  </pic:nvPicPr>
                  <pic:blipFill>
                    <a:blip r:embed="rId170"/>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STATEMENT OF POLICY</w:t>
      </w:r>
    </w:p>
    <w:p>
      <w:pPr>
        <w:pStyle w:val="TextBody"/>
        <w:bidi w:val="0"/>
        <w:spacing w:lineRule="auto" w:line="297" w:before="112" w:after="283"/>
        <w:jc w:val="left"/>
        <w:rPr/>
      </w:pPr>
      <w:r>
        <w:rPr>
          <w:rFonts w:ascii="Arial;sans-serif" w:hAnsi="Arial;sans-serif"/>
          <w:b w:val="false"/>
          <w:color w:val="000000"/>
          <w:sz w:val="19"/>
        </w:rPr>
        <w:t xml:space="preserve">Insider trading involves trading at any time when the person making the purchase or sale </w:t>
      </w:r>
      <w:r>
        <w:rPr>
          <w:rFonts w:ascii="Arial;sans-serif" w:hAnsi="Arial;sans-serif"/>
          <w:b w:val="false"/>
          <w:i/>
          <w:color w:val="000000"/>
          <w:sz w:val="19"/>
        </w:rPr>
        <w:t xml:space="preserve">is aware </w:t>
      </w:r>
      <w:r>
        <w:rPr>
          <w:rFonts w:ascii="Arial;sans-serif" w:hAnsi="Arial;sans-serif"/>
          <w:b w:val="false"/>
          <w:color w:val="000000"/>
          <w:sz w:val="19"/>
        </w:rPr>
        <w:t>of material nonpublic information regarding the company whose securities are being traded. If you have a doubt or question about whether you are aware of or in possession of material nonpublic information concerning SPS or another company, you should contact SPS’s Chief Financial Officer or General Counsel.</w:t>
      </w:r>
    </w:p>
    <w:p>
      <w:pPr>
        <w:pStyle w:val="TextBody"/>
        <w:bidi w:val="0"/>
        <w:spacing w:lineRule="auto" w:line="288" w:before="110" w:after="283"/>
        <w:ind w:left="0" w:right="0" w:hanging="722"/>
        <w:jc w:val="left"/>
        <w:rPr/>
      </w:pPr>
      <w:r>
        <w:rPr>
          <w:rFonts w:ascii="Times New Roman;serif" w:hAnsi="Times New Roman;serif"/>
          <w:b/>
          <w:color w:val="000000"/>
          <w:sz w:val="22"/>
        </w:rPr>
        <w:t>A.</w:t>
      </w:r>
      <w:r>
        <w:rPr>
          <w:rFonts w:ascii="Arial;sans-serif" w:hAnsi="Arial;sans-serif"/>
          <w:b/>
          <w:i/>
          <w:color w:val="000000"/>
          <w:sz w:val="19"/>
        </w:rPr>
        <w:t>No Trading on Material Nonpublic Information</w:t>
      </w:r>
    </w:p>
    <w:p>
      <w:pPr>
        <w:pStyle w:val="TextBody"/>
        <w:bidi w:val="0"/>
        <w:spacing w:lineRule="auto" w:line="292" w:before="107" w:after="283"/>
        <w:ind w:left="0" w:right="0" w:firstLine="721"/>
        <w:jc w:val="left"/>
        <w:rPr/>
      </w:pPr>
      <w:r>
        <w:rPr>
          <w:rFonts w:ascii="Times New Roman;serif" w:hAnsi="Times New Roman;serif"/>
          <w:b w:val="false"/>
          <w:color w:val="000000"/>
          <w:sz w:val="22"/>
        </w:rPr>
        <w:t>1.</w:t>
      </w:r>
      <w:r>
        <w:rPr>
          <w:rFonts w:ascii="Arial;sans-serif" w:hAnsi="Arial;sans-serif"/>
          <w:b w:val="false"/>
          <w:i/>
          <w:color w:val="000000"/>
          <w:sz w:val="19"/>
        </w:rPr>
        <w:t>SPS Securities</w:t>
      </w:r>
      <w:r>
        <w:rPr>
          <w:rFonts w:ascii="Arial;sans-serif" w:hAnsi="Arial;sans-serif"/>
          <w:b w:val="false"/>
          <w:color w:val="000000"/>
          <w:sz w:val="19"/>
        </w:rPr>
        <w:t>. If you are a Covered Person, you must not purchase or sell any SPS securities, or otherwise advise or assist any third-party trading SPS securities, while you are aware of material nonpublic information regarding SPS.</w:t>
      </w:r>
    </w:p>
    <w:p>
      <w:pPr>
        <w:pStyle w:val="TextBody"/>
        <w:bidi w:val="0"/>
        <w:spacing w:lineRule="auto" w:line="292" w:before="102" w:after="283"/>
        <w:ind w:left="0" w:right="0" w:firstLine="721"/>
        <w:jc w:val="left"/>
        <w:rPr/>
      </w:pPr>
      <w:r>
        <w:rPr>
          <w:rFonts w:ascii="Times New Roman;serif" w:hAnsi="Times New Roman;serif"/>
          <w:b w:val="false"/>
          <w:color w:val="000000"/>
          <w:sz w:val="22"/>
        </w:rPr>
        <w:t>2.</w:t>
      </w:r>
      <w:r>
        <w:rPr>
          <w:rFonts w:ascii="Arial;sans-serif" w:hAnsi="Arial;sans-serif"/>
          <w:b w:val="false"/>
          <w:i/>
          <w:color w:val="000000"/>
          <w:sz w:val="19"/>
        </w:rPr>
        <w:t>Other Companies’ Securities</w:t>
      </w:r>
      <w:r>
        <w:rPr>
          <w:rFonts w:ascii="Arial;sans-serif" w:hAnsi="Arial;sans-serif"/>
          <w:b w:val="false"/>
          <w:color w:val="000000"/>
          <w:sz w:val="19"/>
        </w:rPr>
        <w:t>. If you are a Covered Person and you obtain material nonpublic information about any other publicly-held company as a result of your work on behalf of SPS or any of its subsidiaries, you must not trade in that company’s securities.</w:t>
      </w:r>
    </w:p>
    <w:p>
      <w:pPr>
        <w:pStyle w:val="TextBody"/>
        <w:bidi w:val="0"/>
        <w:spacing w:lineRule="auto" w:line="288" w:before="101" w:after="283"/>
        <w:ind w:left="0" w:right="0" w:firstLine="720"/>
        <w:jc w:val="left"/>
        <w:rPr/>
      </w:pPr>
      <w:r>
        <w:rPr>
          <w:rFonts w:ascii="Times New Roman;serif" w:hAnsi="Times New Roman;serif"/>
          <w:b/>
          <w:color w:val="000000"/>
          <w:sz w:val="22"/>
        </w:rPr>
        <w:t>B.</w:t>
      </w:r>
      <w:r>
        <w:rPr>
          <w:rFonts w:ascii="Arial;sans-serif" w:hAnsi="Arial;sans-serif"/>
          <w:b/>
          <w:i/>
          <w:color w:val="000000"/>
          <w:sz w:val="19"/>
        </w:rPr>
        <w:t>No Disclosure to Others Who Might Trade</w:t>
      </w:r>
      <w:r>
        <w:rPr>
          <w:rFonts w:ascii="Arial;sans-serif" w:hAnsi="Arial;sans-serif"/>
          <w:b/>
          <w:color w:val="000000"/>
          <w:sz w:val="19"/>
        </w:rPr>
        <w:t xml:space="preserve">. </w:t>
      </w:r>
      <w:r>
        <w:rPr>
          <w:rFonts w:ascii="Arial;sans-serif" w:hAnsi="Arial;sans-serif"/>
          <w:b w:val="false"/>
          <w:color w:val="000000"/>
          <w:sz w:val="19"/>
        </w:rPr>
        <w:t>If you are a Covered Person, you must not communicate material nonpublic information to any person who does not need that information for a legitimate business purpose, or recommend to anyone the purchase or sale of securities when you are aware of material nonpublic information about the company involved. This practice, known as “tipping,” also violates the securities laws and can result in the same civil and criminal penalties that apply to insider trading, even though you did not actually trade and did not benefit from another’s trading.</w:t>
      </w:r>
    </w:p>
    <w:p>
      <w:pPr>
        <w:pStyle w:val="TextBody"/>
        <w:bidi w:val="0"/>
        <w:spacing w:lineRule="auto" w:line="295" w:before="114" w:after="283"/>
        <w:ind w:left="0" w:right="0" w:firstLine="720"/>
        <w:jc w:val="left"/>
        <w:rPr/>
      </w:pPr>
      <w:r>
        <w:rPr>
          <w:rFonts w:ascii="Times New Roman;serif" w:hAnsi="Times New Roman;serif"/>
          <w:b/>
          <w:color w:val="000000"/>
          <w:sz w:val="22"/>
        </w:rPr>
        <w:t>C.</w:t>
      </w:r>
      <w:r>
        <w:rPr>
          <w:rFonts w:ascii="Arial;sans-serif" w:hAnsi="Arial;sans-serif"/>
          <w:b/>
          <w:i/>
          <w:color w:val="000000"/>
          <w:sz w:val="19"/>
        </w:rPr>
        <w:t xml:space="preserve">Protect Material Nonpublic Information. </w:t>
      </w:r>
      <w:r>
        <w:rPr>
          <w:rFonts w:ascii="Arial;sans-serif" w:hAnsi="Arial;sans-serif"/>
          <w:b w:val="false"/>
          <w:color w:val="000000"/>
          <w:sz w:val="19"/>
        </w:rPr>
        <w:t>In order to reduce the possibility that material nonpublic information will be inadvertently disclosed:</w:t>
      </w:r>
    </w:p>
    <w:p>
      <w:pPr>
        <w:pStyle w:val="TextBody"/>
        <w:bidi w:val="0"/>
        <w:spacing w:lineRule="auto" w:line="292" w:before="100" w:after="283"/>
        <w:ind w:left="0" w:right="0" w:firstLine="721"/>
        <w:jc w:val="left"/>
        <w:rPr/>
      </w:pPr>
      <w:r>
        <w:rPr>
          <w:color w:val="000000"/>
        </w:rPr>
        <w:t>•</w:t>
      </w:r>
      <w:r>
        <w:rPr>
          <w:rFonts w:ascii="Arial;sans-serif" w:hAnsi="Arial;sans-serif"/>
          <w:b w:val="false"/>
          <w:color w:val="000000"/>
          <w:sz w:val="19"/>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pStyle w:val="TextBody"/>
        <w:bidi w:val="0"/>
        <w:spacing w:lineRule="auto" w:line="292" w:before="99" w:after="283"/>
        <w:ind w:left="0" w:right="0" w:firstLine="721"/>
        <w:jc w:val="left"/>
        <w:rPr/>
      </w:pPr>
      <w:r>
        <w:rPr>
          <w:color w:val="000000"/>
        </w:rPr>
        <w:t>•</w:t>
      </w:r>
      <w:r>
        <w:rPr>
          <w:rFonts w:ascii="Arial;sans-serif" w:hAnsi="Arial;sans-serif"/>
          <w:b w:val="false"/>
          <w:color w:val="000000"/>
          <w:sz w:val="19"/>
        </w:rPr>
        <w:t>You should refrain from discussing material nonpublic information relating to SPS or any public company in public places where such discussions can be overheard.</w:t>
      </w:r>
    </w:p>
    <w:p>
      <w:pPr>
        <w:pStyle w:val="TextBody"/>
        <w:bidi w:val="0"/>
        <w:spacing w:lineRule="auto" w:line="300" w:before="103" w:after="283"/>
        <w:ind w:left="0" w:right="0" w:firstLine="721"/>
        <w:jc w:val="both"/>
        <w:rPr/>
      </w:pPr>
      <w:r>
        <w:rPr>
          <w:color w:val="000000"/>
        </w:rPr>
        <w:t>•</w:t>
      </w:r>
      <w:r>
        <w:rPr>
          <w:rFonts w:ascii="Arial;sans-serif" w:hAnsi="Arial;sans-serif"/>
          <w:b w:val="false"/>
          <w:color w:val="000000"/>
          <w:sz w:val="19"/>
        </w:rPr>
        <w:t>If you become aware of any unauthorized disclosure of material nonpublic information, whether inadvertent or otherwise, you should report such disclosure immediately to SPS’s Chief Financial Officer or General Counsel.</w:t>
      </w:r>
    </w:p>
    <w:p>
      <w:pPr>
        <w:pStyle w:val="TextBody"/>
        <w:bidi w:val="0"/>
        <w:spacing w:lineRule="auto" w:line="288" w:before="79" w:after="283"/>
        <w:ind w:left="0" w:right="0" w:firstLine="720"/>
        <w:jc w:val="both"/>
        <w:rPr/>
      </w:pPr>
      <w:r>
        <w:rPr>
          <w:rFonts w:ascii="Times New Roman;serif" w:hAnsi="Times New Roman;serif"/>
          <w:b/>
          <w:color w:val="000000"/>
          <w:sz w:val="22"/>
        </w:rPr>
        <w:t>D.</w:t>
      </w:r>
      <w:r>
        <w:rPr>
          <w:rFonts w:ascii="Arial;sans-serif" w:hAnsi="Arial;sans-serif"/>
          <w:b/>
          <w:i/>
          <w:color w:val="000000"/>
          <w:sz w:val="19"/>
        </w:rPr>
        <w:t>Specific Material Developments</w:t>
      </w:r>
      <w:r>
        <w:rPr>
          <w:rFonts w:ascii="Arial;sans-serif" w:hAnsi="Arial;sans-serif"/>
          <w:b/>
          <w:color w:val="000000"/>
          <w:sz w:val="19"/>
        </w:rPr>
        <w:t xml:space="preserve">. </w:t>
      </w:r>
      <w:r>
        <w:rPr>
          <w:rFonts w:ascii="Arial;sans-serif" w:hAnsi="Arial;sans-serif"/>
          <w:b w:val="false"/>
          <w:color w:val="000000"/>
          <w:sz w:val="19"/>
        </w:rPr>
        <w:t>From time to time, material developments known only to a limited number of SPS Personnel may occur and cause SPS to impose on an appropriate group of SPS Personnel additional restrictions on trading. You will be notified if you become part of such a group, and you should not disclose to others the fact that you have been so notified or that additional restrictions on your trading have been imposed.</w:t>
      </w:r>
    </w:p>
    <w:p>
      <w:pPr>
        <w:pStyle w:val="TextBody"/>
        <w:bidi w:val="0"/>
        <w:spacing w:before="3" w:after="283"/>
        <w:jc w:val="left"/>
        <w:rPr/>
      </w:pPr>
      <w:r>
        <w:rPr/>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93345"/>
                <wp:effectExtent l="0" t="0" r="0" b="0"/>
                <wp:wrapNone/>
                <wp:docPr id="239" name="Frame94"/>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4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76" descr=""/>
                    <pic:cNvPicPr>
                      <a:picLocks noChangeAspect="1" noChangeArrowheads="1"/>
                    </pic:cNvPicPr>
                  </pic:nvPicPr>
                  <pic:blipFill>
                    <a:blip r:embed="rId171"/>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88" w:before="1" w:after="283"/>
        <w:jc w:val="left"/>
        <w:rPr>
          <w:rFonts w:ascii="Arial;sans-serif" w:hAnsi="Arial;sans-serif"/>
          <w:b/>
          <w:color w:val="000000"/>
          <w:sz w:val="19"/>
        </w:rPr>
      </w:pPr>
      <w:r>
        <w:rPr>
          <w:rFonts w:ascii="Arial;sans-serif" w:hAnsi="Arial;sans-serif"/>
          <w:b/>
          <w:color w:val="000000"/>
          <w:sz w:val="19"/>
        </w:rPr>
        <w:t>RULE 10B5-1 PLANS</w:t>
      </w:r>
    </w:p>
    <w:p>
      <w:pPr>
        <w:pStyle w:val="TextBody"/>
        <w:bidi w:val="0"/>
        <w:spacing w:before="0" w:after="0"/>
        <w:jc w:val="left"/>
        <w:rPr/>
      </w:pPr>
      <w:r>
        <w:rPr/>
      </w:r>
    </w:p>
    <w:p>
      <w:pPr>
        <w:pStyle w:val="TextBody"/>
        <w:bidi w:val="0"/>
        <w:spacing w:lineRule="auto" w:line="300" w:before="105" w:after="283"/>
        <w:jc w:val="left"/>
        <w:rPr>
          <w:rFonts w:ascii="Arial;sans-serif" w:hAnsi="Arial;sans-serif"/>
          <w:b w:val="false"/>
          <w:color w:val="000000"/>
          <w:sz w:val="19"/>
        </w:rPr>
      </w:pPr>
      <w:r>
        <w:rPr>
          <w:rFonts w:ascii="Arial;sans-serif" w:hAnsi="Arial;sans-serif"/>
          <w:b w:val="false"/>
          <w:color w:val="000000"/>
          <w:sz w:val="19"/>
        </w:rPr>
        <w:t>Transactions in SPS securities that are executed pursuant to a 10b5 -1 plan (or modifications thereto) approved in writing in advance by the Chief Financial Officer or General Counsel are not subject to prohibition on trading on the basis of material nonpublic information or the restrictions in the attached Addendum relating to the pre-clearance approval process or window periods.</w:t>
      </w:r>
    </w:p>
    <w:p>
      <w:pPr>
        <w:pStyle w:val="TextBody"/>
        <w:bidi w:val="0"/>
        <w:spacing w:lineRule="auto" w:line="300" w:before="92" w:after="283"/>
        <w:jc w:val="left"/>
        <w:rPr>
          <w:rFonts w:ascii="Arial;sans-serif" w:hAnsi="Arial;sans-serif"/>
          <w:b w:val="false"/>
          <w:color w:val="000000"/>
          <w:sz w:val="19"/>
        </w:rPr>
      </w:pPr>
      <w:r>
        <w:rPr>
          <w:rFonts w:ascii="Arial;sans-serif" w:hAnsi="Arial;sans-serif"/>
          <w:b w:val="false"/>
          <w:color w:val="000000"/>
          <w:sz w:val="19"/>
        </w:rPr>
        <w:t>Rule 10b5-1 provides an affirmative defense from insider trading liability under the federal securities laws for trading plans that meet certain requirements. In general, a 10b5-1 plan must be entered into (or modified) in good faith, not as part of a plan or scheme to evade the prohibitions of the insider trading rules and during a time when you are not aware of material nonpublic information.</w:t>
      </w:r>
    </w:p>
    <w:p>
      <w:pPr>
        <w:pStyle w:val="TextBody"/>
        <w:bidi w:val="0"/>
        <w:spacing w:lineRule="auto" w:line="300" w:before="107" w:after="283"/>
        <w:jc w:val="left"/>
        <w:rPr>
          <w:rFonts w:ascii="Arial;sans-serif" w:hAnsi="Arial;sans-serif"/>
          <w:b w:val="false"/>
          <w:color w:val="000000"/>
          <w:sz w:val="19"/>
        </w:rPr>
      </w:pPr>
      <w:r>
        <w:rPr>
          <w:rFonts w:ascii="Arial;sans-serif" w:hAnsi="Arial;sans-serif"/>
          <w:b w:val="false"/>
          <w:color w:val="000000"/>
          <w:sz w:val="19"/>
        </w:rPr>
        <w:t>Once the plan is adopted, you must not exercise any influence over the securities subject to the plan, including the amount of securities to be traded, the price at which they are traded or the date of the trade. The plan must either specify (including by formula) the amount, pricing and timing of the transactions in advance or delegate discretion on those matters to an independent party. The plan must also provide for a cooling-off period for at least the minimum period required under, and must comply with all other applicable provisions of, Rule 10b5-1(c) of the Securities Exchange Act of 1934, as amended.</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19"/>
        </w:rPr>
      </w:pPr>
      <w:r>
        <w:rPr>
          <w:rFonts w:ascii="Arial;sans-serif" w:hAnsi="Arial;sans-serif"/>
          <w:b/>
          <w:color w:val="000000"/>
          <w:sz w:val="19"/>
        </w:rPr>
        <w:t>ANTI-HEDGING RESTRICTIONS</w:t>
      </w:r>
    </w:p>
    <w:p>
      <w:pPr>
        <w:pStyle w:val="TextBody"/>
        <w:bidi w:val="0"/>
        <w:spacing w:lineRule="auto" w:line="307" w:before="112" w:after="283"/>
        <w:jc w:val="left"/>
        <w:rPr>
          <w:rFonts w:ascii="Arial;sans-serif" w:hAnsi="Arial;sans-serif"/>
          <w:b w:val="false"/>
          <w:color w:val="000000"/>
          <w:sz w:val="19"/>
        </w:rPr>
      </w:pPr>
      <w:r>
        <w:rPr>
          <w:rFonts w:ascii="Arial;sans-serif" w:hAnsi="Arial;sans-serif"/>
          <w:b w:val="false"/>
          <w:color w:val="000000"/>
          <w:sz w:val="19"/>
        </w:rPr>
        <w:t>SPS Personnel, as well as family members and anyone designated to engage in securities transactions on behalf of SPS Personnel, are prohibited at all times from engaging in the following transactions with respect to SPS securities:</w:t>
      </w:r>
    </w:p>
    <w:p>
      <w:pPr>
        <w:pStyle w:val="TextBody"/>
        <w:bidi w:val="0"/>
        <w:spacing w:lineRule="auto" w:line="292" w:before="92" w:after="283"/>
        <w:ind w:left="0" w:right="0" w:firstLine="721"/>
        <w:jc w:val="left"/>
        <w:rPr/>
      </w:pPr>
      <w:r>
        <w:rPr>
          <w:color w:val="000000"/>
        </w:rPr>
        <w:t>•</w:t>
      </w:r>
      <w:r>
        <w:rPr>
          <w:rFonts w:ascii="Arial;sans-serif" w:hAnsi="Arial;sans-serif"/>
          <w:b w:val="false"/>
          <w:color w:val="000000"/>
          <w:sz w:val="19"/>
        </w:rPr>
        <w:t>holding any SPS securities in a margin account or pledging SPS securities as collateral for a loan;</w:t>
      </w:r>
    </w:p>
    <w:p>
      <w:pPr>
        <w:pStyle w:val="TextBody"/>
        <w:bidi w:val="0"/>
        <w:spacing w:lineRule="auto" w:line="292" w:before="103" w:after="283"/>
        <w:ind w:left="0" w:right="0" w:firstLine="721"/>
        <w:jc w:val="left"/>
        <w:rPr/>
      </w:pPr>
      <w:r>
        <w:rPr>
          <w:color w:val="000000"/>
        </w:rPr>
        <w:t>•</w:t>
      </w:r>
      <w:r>
        <w:rPr>
          <w:rFonts w:ascii="Arial;sans-serif" w:hAnsi="Arial;sans-serif"/>
          <w:b w:val="false"/>
          <w:color w:val="000000"/>
          <w:sz w:val="19"/>
        </w:rPr>
        <w:t>engaging in transactions in puts, calls, or other derivative transactions relating to SPS securities;</w:t>
      </w:r>
    </w:p>
    <w:p>
      <w:pPr>
        <w:pStyle w:val="TextBody"/>
        <w:bidi w:val="0"/>
        <w:spacing w:lineRule="auto" w:line="288" w:before="103" w:after="283"/>
        <w:ind w:left="0" w:right="0" w:hanging="722"/>
        <w:jc w:val="left"/>
        <w:rPr/>
      </w:pPr>
      <w:r>
        <w:rPr>
          <w:color w:val="000000"/>
        </w:rPr>
        <w:t>•</w:t>
      </w:r>
      <w:r>
        <w:rPr>
          <w:rFonts w:ascii="Arial;sans-serif" w:hAnsi="Arial;sans-serif"/>
          <w:b w:val="false"/>
          <w:color w:val="000000"/>
          <w:sz w:val="19"/>
        </w:rPr>
        <w:t>short sales of SPS securities (selling securities not owned at the time of sale); and</w:t>
      </w:r>
    </w:p>
    <w:p>
      <w:pPr>
        <w:pStyle w:val="TextBody"/>
        <w:bidi w:val="0"/>
        <w:spacing w:lineRule="auto" w:line="300" w:before="106" w:after="283"/>
        <w:ind w:left="0" w:right="0" w:firstLine="721"/>
        <w:jc w:val="left"/>
        <w:rPr/>
      </w:pPr>
      <w:r>
        <w:rPr>
          <w:color w:val="000000"/>
        </w:rPr>
        <w:t>•</w:t>
      </w:r>
      <w:r>
        <w:rPr>
          <w:rFonts w:ascii="Arial;sans-serif" w:hAnsi="Arial;sans-serif"/>
          <w:b w:val="false"/>
          <w:color w:val="000000"/>
          <w:sz w:val="19"/>
        </w:rPr>
        <w:t>purchasing any financial instruments (including prepaid variable forward contracts, equity swaps, zero cost collars and exchange funds) that are designed to hedge or offset any decrease in the market value of SPS securities.</w:t>
      </w:r>
    </w:p>
    <w:p>
      <w:pPr>
        <w:pStyle w:val="TextBody"/>
        <w:bidi w:val="0"/>
        <w:spacing w:lineRule="auto" w:line="297" w:before="102" w:after="283"/>
        <w:jc w:val="left"/>
        <w:rPr>
          <w:rFonts w:ascii="Arial;sans-serif" w:hAnsi="Arial;sans-serif"/>
          <w:b w:val="false"/>
          <w:color w:val="000000"/>
          <w:sz w:val="19"/>
        </w:rPr>
      </w:pPr>
      <w:r>
        <w:rPr>
          <w:rFonts w:ascii="Arial;sans-serif" w:hAnsi="Arial;sans-serif"/>
          <w:b w:val="false"/>
          <w:color w:val="000000"/>
          <w:sz w:val="19"/>
        </w:rPr>
        <w:t>These restrictions apply to all SPS securities owned directly or indirectly by SPS Personnel, including SPS securities owned by family members where the SPS Personnel is deemed to beneficially own such securities, and their respective designees. However, the restrictions do not prevent any SPS Personnel or their family members or their designees from engaging in general portfolio diversification or investing in broad-based index funds.</w:t>
      </w:r>
    </w:p>
    <w:p>
      <w:pPr>
        <w:pStyle w:val="TextBody"/>
        <w:bidi w:val="0"/>
        <w:spacing w:before="0" w:after="0"/>
        <w:jc w:val="left"/>
        <w:rPr/>
      </w:pPr>
      <w:r>
        <w:rPr/>
      </w:r>
    </w:p>
    <w:p>
      <w:pPr>
        <w:pStyle w:val="TextBody"/>
        <w:bidi w:val="0"/>
        <w:spacing w:lineRule="auto" w:line="240" w:before="120" w:after="283"/>
        <w:jc w:val="left"/>
        <w:rPr>
          <w:rFonts w:ascii="Arial;sans-serif" w:hAnsi="Arial;sans-serif"/>
          <w:b/>
          <w:color w:val="000000"/>
          <w:sz w:val="19"/>
        </w:rPr>
      </w:pPr>
      <w:r>
        <w:rPr>
          <w:rFonts w:ascii="Arial;sans-serif" w:hAnsi="Arial;sans-serif"/>
          <w:b/>
          <w:color w:val="000000"/>
          <w:sz w:val="19"/>
        </w:rPr>
        <w:t>ADDITIONAL RESTRICTIONS ON CORPORATE INSIDERS</w:t>
      </w:r>
    </w:p>
    <w:p>
      <w:pPr>
        <w:pStyle w:val="TextBody"/>
        <w:bidi w:val="0"/>
        <w:spacing w:lineRule="auto" w:line="297" w:before="112" w:after="283"/>
        <w:ind w:left="0" w:right="0" w:firstLine="720"/>
        <w:jc w:val="left"/>
        <w:rPr/>
      </w:pPr>
      <w:r>
        <w:rPr>
          <w:rFonts w:ascii="Arial;sans-serif" w:hAnsi="Arial;sans-serif"/>
          <w:b w:val="false"/>
          <w:color w:val="000000"/>
          <w:sz w:val="19"/>
        </w:rPr>
        <w:t xml:space="preserve">Directors and Section 16 officers of SPS and other officers and key employees of SPS and its subsidiaries who have been designated as “Corporate Insiders” by the Chief Financial Officer, as well as related parties of such individuals, are subject to additional restrictions on trading SPS securities as set out in the attached </w:t>
      </w:r>
      <w:r>
        <w:rPr>
          <w:rFonts w:ascii="Arial;sans-serif" w:hAnsi="Arial;sans-serif"/>
          <w:b/>
          <w:color w:val="000000"/>
          <w:sz w:val="19"/>
          <w:u w:val="single"/>
        </w:rPr>
        <w:t>Addendum</w:t>
      </w:r>
      <w:r>
        <w:rPr>
          <w:rFonts w:ascii="Arial;sans-serif" w:hAnsi="Arial;sans-serif"/>
          <w:b w:val="false"/>
          <w:color w:val="000000"/>
          <w:sz w:val="19"/>
        </w:rPr>
        <w:t>. SPS may also, from time to time, impose on all or an appropriate group of Covered Persons additional restrictions on trading SPS securities when circumstances warrant. These additional Covered Persons restrictions will be communicated by the Chief Financial Officer or General Counsel.</w:t>
      </w:r>
    </w:p>
    <w:p>
      <w:pPr>
        <w:pStyle w:val="TextBody"/>
        <w:bidi w:val="0"/>
        <w:spacing w:before="0" w:after="0"/>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93345"/>
                <wp:effectExtent l="0" t="0" r="0" b="0"/>
                <wp:wrapNone/>
                <wp:docPr id="241" name="Frame95"/>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4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77" descr=""/>
                    <pic:cNvPicPr>
                      <a:picLocks noChangeAspect="1" noChangeArrowheads="1"/>
                    </pic:cNvPicPr>
                  </pic:nvPicPr>
                  <pic:blipFill>
                    <a:blip r:embed="rId172"/>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88" w:before="120" w:after="283"/>
        <w:jc w:val="left"/>
        <w:rPr>
          <w:rFonts w:ascii="Arial;sans-serif" w:hAnsi="Arial;sans-serif"/>
          <w:b/>
          <w:color w:val="000000"/>
          <w:sz w:val="19"/>
        </w:rPr>
      </w:pPr>
      <w:r>
        <w:rPr>
          <w:rFonts w:ascii="Arial;sans-serif" w:hAnsi="Arial;sans-serif"/>
          <w:b/>
          <w:color w:val="000000"/>
          <w:sz w:val="19"/>
        </w:rPr>
        <w:t>DISCIPLINARY ACTION AND POTENTIAL CIVIL AND CRIMINAL PENALTIES</w:t>
      </w:r>
    </w:p>
    <w:p>
      <w:pPr>
        <w:pStyle w:val="TextBody"/>
        <w:bidi w:val="0"/>
        <w:spacing w:lineRule="auto" w:line="288" w:before="115" w:after="283"/>
        <w:ind w:left="0" w:right="0" w:firstLine="720"/>
        <w:jc w:val="left"/>
        <w:rPr/>
      </w:pPr>
      <w:r>
        <w:rPr>
          <w:rFonts w:ascii="Times New Roman;serif" w:hAnsi="Times New Roman;serif"/>
          <w:b/>
          <w:color w:val="000000"/>
          <w:sz w:val="22"/>
        </w:rPr>
        <w:t>A.</w:t>
      </w:r>
      <w:r>
        <w:rPr>
          <w:rFonts w:ascii="Arial;sans-serif" w:hAnsi="Arial;sans-serif"/>
          <w:b/>
          <w:i/>
          <w:color w:val="000000"/>
          <w:sz w:val="19"/>
        </w:rPr>
        <w:t>Disciplinary Action</w:t>
      </w:r>
      <w:r>
        <w:rPr>
          <w:rFonts w:ascii="Arial;sans-serif" w:hAnsi="Arial;sans-serif"/>
          <w:b w:val="false"/>
          <w:i/>
          <w:color w:val="000000"/>
          <w:sz w:val="19"/>
        </w:rPr>
        <w:t xml:space="preserve">. </w:t>
      </w:r>
      <w:r>
        <w:rPr>
          <w:rFonts w:ascii="Arial;sans-serif" w:hAnsi="Arial;sans-serif"/>
          <w:b w:val="false"/>
          <w:color w:val="000000"/>
          <w:sz w:val="19"/>
        </w:rPr>
        <w:t>SPS Personnel who fail to comply with this Policy will be subject to appropriate disciplinary action, which may include, among other consequences, the ineligibility to</w:t>
      </w:r>
    </w:p>
    <w:p>
      <w:pPr>
        <w:pStyle w:val="TextBody"/>
        <w:bidi w:val="0"/>
        <w:spacing w:lineRule="auto" w:line="288" w:before="21" w:after="283"/>
        <w:jc w:val="left"/>
        <w:rPr>
          <w:rFonts w:ascii="Arial;sans-serif" w:hAnsi="Arial;sans-serif"/>
          <w:b w:val="false"/>
          <w:color w:val="000000"/>
          <w:sz w:val="19"/>
        </w:rPr>
      </w:pPr>
      <w:r>
        <w:rPr>
          <w:rFonts w:ascii="Arial;sans-serif" w:hAnsi="Arial;sans-serif"/>
          <w:b w:val="false"/>
          <w:color w:val="000000"/>
          <w:sz w:val="19"/>
        </w:rPr>
        <w:t>participate in SPS’s equity incentive plans or termination of employment.</w:t>
      </w:r>
    </w:p>
    <w:p>
      <w:pPr>
        <w:pStyle w:val="TextBody"/>
        <w:bidi w:val="0"/>
        <w:spacing w:lineRule="auto" w:line="292" w:before="114" w:after="283"/>
        <w:ind w:left="0" w:right="0" w:firstLine="720"/>
        <w:jc w:val="left"/>
        <w:rPr/>
      </w:pPr>
      <w:r>
        <w:rPr>
          <w:rFonts w:ascii="Times New Roman;serif" w:hAnsi="Times New Roman;serif"/>
          <w:b/>
          <w:color w:val="000000"/>
          <w:sz w:val="22"/>
        </w:rPr>
        <w:t>B.</w:t>
      </w:r>
      <w:r>
        <w:rPr>
          <w:rFonts w:ascii="Arial;sans-serif" w:hAnsi="Arial;sans-serif"/>
          <w:b/>
          <w:i/>
          <w:color w:val="000000"/>
          <w:sz w:val="19"/>
        </w:rPr>
        <w:t xml:space="preserve">Civil and Criminal Penalties. </w:t>
      </w:r>
      <w:r>
        <w:rPr>
          <w:rFonts w:ascii="Arial;sans-serif" w:hAnsi="Arial;sans-serif"/>
          <w:b w:val="false"/>
          <w:color w:val="000000"/>
          <w:sz w:val="19"/>
        </w:rPr>
        <w:t>Under federal securities laws, the penalties for violating insider trading laws are severe. If you trade on (or tip) material nonpublic information, you are subject to civil penalties of up to three times the profit gained or loss avoided, criminal fines of up to $5,000,000 and up to 20 years imprisonment. If SPS fails to take appropriate steps to prevent insider trading, SPS and its directors, officers and other supervisory Personnel may be subject to “controlling person” liability and potential civil and criminal penalties.</w:t>
      </w:r>
    </w:p>
    <w:p>
      <w:pPr>
        <w:pStyle w:val="TextBody"/>
        <w:bidi w:val="0"/>
        <w:spacing w:lineRule="auto" w:line="288" w:before="131" w:after="283"/>
        <w:jc w:val="left"/>
        <w:rPr>
          <w:rFonts w:ascii="Arial;sans-serif" w:hAnsi="Arial;sans-serif"/>
          <w:b/>
          <w:color w:val="000000"/>
          <w:sz w:val="19"/>
        </w:rPr>
      </w:pPr>
      <w:r>
        <w:rPr>
          <w:rFonts w:ascii="Arial;sans-serif" w:hAnsi="Arial;sans-serif"/>
          <w:b/>
          <w:color w:val="000000"/>
          <w:sz w:val="19"/>
        </w:rPr>
        <w:t>MATERIAL INFORMATION</w:t>
      </w:r>
    </w:p>
    <w:p>
      <w:pPr>
        <w:pStyle w:val="TextBody"/>
        <w:bidi w:val="0"/>
        <w:spacing w:lineRule="auto" w:line="307" w:before="112" w:after="283"/>
        <w:ind w:left="0" w:right="0" w:firstLine="720"/>
        <w:jc w:val="left"/>
        <w:rPr>
          <w:rFonts w:ascii="Arial;sans-serif" w:hAnsi="Arial;sans-serif"/>
          <w:b w:val="false"/>
          <w:color w:val="000000"/>
          <w:sz w:val="19"/>
        </w:rPr>
      </w:pPr>
      <w:r>
        <w:rPr>
          <w:rFonts w:ascii="Arial;sans-serif" w:hAnsi="Arial;sans-serif"/>
          <w:b w:val="false"/>
          <w:color w:val="000000"/>
          <w:sz w:val="19"/>
        </w:rPr>
        <w:t>There are various categories of information that are particularly sensitive and, as a general rule, should presumptively be considered material. Examples of such information include:</w:t>
      </w:r>
    </w:p>
    <w:p>
      <w:pPr>
        <w:pStyle w:val="TextBody"/>
        <w:bidi w:val="0"/>
        <w:spacing w:lineRule="auto" w:line="288" w:before="95" w:after="283"/>
        <w:ind w:left="0" w:right="0" w:hanging="857"/>
        <w:jc w:val="left"/>
        <w:rPr/>
      </w:pPr>
      <w:r>
        <w:rPr>
          <w:color w:val="000000"/>
        </w:rPr>
        <w:t>•</w:t>
      </w:r>
      <w:r>
        <w:rPr>
          <w:rFonts w:ascii="Arial;sans-serif" w:hAnsi="Arial;sans-serif"/>
          <w:b w:val="false"/>
          <w:color w:val="000000"/>
          <w:sz w:val="19"/>
        </w:rPr>
        <w:t>Financial results or financial condition</w:t>
      </w:r>
    </w:p>
    <w:p>
      <w:pPr>
        <w:pStyle w:val="TextBody"/>
        <w:bidi w:val="0"/>
        <w:spacing w:lineRule="auto" w:line="288" w:before="121" w:after="283"/>
        <w:ind w:left="0" w:right="0" w:hanging="857"/>
        <w:jc w:val="left"/>
        <w:rPr/>
      </w:pPr>
      <w:r>
        <w:rPr>
          <w:color w:val="000000"/>
        </w:rPr>
        <w:t>•</w:t>
      </w:r>
      <w:r>
        <w:rPr>
          <w:rFonts w:ascii="Arial;sans-serif" w:hAnsi="Arial;sans-serif"/>
          <w:b w:val="false"/>
          <w:color w:val="000000"/>
          <w:sz w:val="19"/>
        </w:rPr>
        <w:t>Projections of future earnings or losses</w:t>
      </w:r>
    </w:p>
    <w:p>
      <w:pPr>
        <w:pStyle w:val="TextBody"/>
        <w:bidi w:val="0"/>
        <w:spacing w:lineRule="auto" w:line="288" w:before="121" w:after="283"/>
        <w:ind w:left="0" w:right="0" w:hanging="857"/>
        <w:jc w:val="left"/>
        <w:rPr/>
      </w:pPr>
      <w:r>
        <w:rPr>
          <w:color w:val="000000"/>
        </w:rPr>
        <w:t>•</w:t>
      </w:r>
      <w:r>
        <w:rPr>
          <w:rFonts w:ascii="Arial;sans-serif" w:hAnsi="Arial;sans-serif"/>
          <w:b w:val="false"/>
          <w:color w:val="000000"/>
          <w:sz w:val="19"/>
        </w:rPr>
        <w:t>News of a pending or proposed merger, or significant divestiture or acquisition</w:t>
      </w:r>
    </w:p>
    <w:p>
      <w:pPr>
        <w:pStyle w:val="TextBody"/>
        <w:bidi w:val="0"/>
        <w:spacing w:lineRule="auto" w:line="288" w:before="105" w:after="283"/>
        <w:ind w:left="0" w:right="0" w:hanging="857"/>
        <w:jc w:val="left"/>
        <w:rPr/>
      </w:pPr>
      <w:r>
        <w:rPr>
          <w:color w:val="000000"/>
        </w:rPr>
        <w:t>•</w:t>
      </w:r>
      <w:r>
        <w:rPr>
          <w:rFonts w:ascii="Arial;sans-serif" w:hAnsi="Arial;sans-serif"/>
          <w:b w:val="false"/>
          <w:color w:val="000000"/>
          <w:sz w:val="19"/>
        </w:rPr>
        <w:t>Default under a significant financing arrangement, or financial liquidity problems</w:t>
      </w:r>
    </w:p>
    <w:p>
      <w:pPr>
        <w:pStyle w:val="TextBody"/>
        <w:bidi w:val="0"/>
        <w:spacing w:lineRule="auto" w:line="288" w:before="121" w:after="283"/>
        <w:ind w:left="0" w:right="0" w:hanging="857"/>
        <w:jc w:val="left"/>
        <w:rPr/>
      </w:pPr>
      <w:r>
        <w:rPr>
          <w:color w:val="000000"/>
        </w:rPr>
        <w:t>•</w:t>
      </w:r>
      <w:r>
        <w:rPr>
          <w:rFonts w:ascii="Arial;sans-serif" w:hAnsi="Arial;sans-serif"/>
          <w:b w:val="false"/>
          <w:color w:val="000000"/>
          <w:sz w:val="19"/>
        </w:rPr>
        <w:t>Gain or loss of a material customer or vendor relationship</w:t>
      </w:r>
    </w:p>
    <w:p>
      <w:pPr>
        <w:pStyle w:val="TextBody"/>
        <w:bidi w:val="0"/>
        <w:spacing w:lineRule="auto" w:line="288" w:before="106" w:after="283"/>
        <w:ind w:left="0" w:right="0" w:hanging="857"/>
        <w:jc w:val="left"/>
        <w:rPr/>
      </w:pPr>
      <w:r>
        <w:rPr>
          <w:color w:val="000000"/>
        </w:rPr>
        <w:t>•</w:t>
      </w:r>
      <w:r>
        <w:rPr>
          <w:rFonts w:ascii="Arial;sans-serif" w:hAnsi="Arial;sans-serif"/>
          <w:b w:val="false"/>
          <w:color w:val="000000"/>
          <w:sz w:val="19"/>
        </w:rPr>
        <w:t>New product announcements of a significant nature</w:t>
      </w:r>
    </w:p>
    <w:p>
      <w:pPr>
        <w:pStyle w:val="TextBody"/>
        <w:bidi w:val="0"/>
        <w:spacing w:lineRule="auto" w:line="288" w:before="121" w:after="283"/>
        <w:ind w:left="0" w:right="0" w:hanging="857"/>
        <w:jc w:val="left"/>
        <w:rPr/>
      </w:pPr>
      <w:r>
        <w:rPr>
          <w:color w:val="000000"/>
        </w:rPr>
        <w:t>•</w:t>
      </w:r>
      <w:r>
        <w:rPr>
          <w:rFonts w:ascii="Arial;sans-serif" w:hAnsi="Arial;sans-serif"/>
          <w:b w:val="false"/>
          <w:color w:val="000000"/>
          <w:sz w:val="19"/>
        </w:rPr>
        <w:t>Significant product modifications</w:t>
      </w:r>
    </w:p>
    <w:p>
      <w:pPr>
        <w:pStyle w:val="TextBody"/>
        <w:bidi w:val="0"/>
        <w:spacing w:lineRule="auto" w:line="288" w:before="105" w:after="283"/>
        <w:ind w:left="0" w:right="0" w:hanging="857"/>
        <w:jc w:val="left"/>
        <w:rPr/>
      </w:pPr>
      <w:r>
        <w:rPr>
          <w:color w:val="000000"/>
        </w:rPr>
        <w:t>•</w:t>
      </w:r>
      <w:r>
        <w:rPr>
          <w:rFonts w:ascii="Arial;sans-serif" w:hAnsi="Arial;sans-serif"/>
          <w:b w:val="false"/>
          <w:color w:val="000000"/>
          <w:sz w:val="19"/>
        </w:rPr>
        <w:t>Significant pricing changes</w:t>
      </w:r>
    </w:p>
    <w:p>
      <w:pPr>
        <w:pStyle w:val="TextBody"/>
        <w:bidi w:val="0"/>
        <w:spacing w:lineRule="auto" w:line="288" w:before="122" w:after="283"/>
        <w:ind w:left="0" w:right="0" w:hanging="857"/>
        <w:jc w:val="left"/>
        <w:rPr/>
      </w:pPr>
      <w:r>
        <w:rPr>
          <w:color w:val="000000"/>
        </w:rPr>
        <w:t>•</w:t>
      </w:r>
      <w:r>
        <w:rPr>
          <w:rFonts w:ascii="Arial;sans-serif" w:hAnsi="Arial;sans-serif"/>
          <w:b w:val="false"/>
          <w:color w:val="000000"/>
          <w:sz w:val="19"/>
        </w:rPr>
        <w:t>New equity or debt offerings</w:t>
      </w:r>
    </w:p>
    <w:p>
      <w:pPr>
        <w:pStyle w:val="TextBody"/>
        <w:bidi w:val="0"/>
        <w:spacing w:lineRule="auto" w:line="288" w:before="121" w:after="283"/>
        <w:ind w:left="0" w:right="0" w:hanging="857"/>
        <w:jc w:val="left"/>
        <w:rPr/>
      </w:pPr>
      <w:r>
        <w:rPr>
          <w:color w:val="000000"/>
        </w:rPr>
        <w:t>•</w:t>
      </w:r>
      <w:r>
        <w:rPr>
          <w:rFonts w:ascii="Arial;sans-serif" w:hAnsi="Arial;sans-serif"/>
          <w:b w:val="false"/>
          <w:color w:val="000000"/>
          <w:sz w:val="19"/>
        </w:rPr>
        <w:t>Significant litigation exposure due to actual or threatened litigation</w:t>
      </w:r>
    </w:p>
    <w:p>
      <w:pPr>
        <w:pStyle w:val="TextBody"/>
        <w:bidi w:val="0"/>
        <w:spacing w:lineRule="auto" w:line="292" w:before="105" w:after="283"/>
        <w:ind w:left="0" w:right="0" w:firstLine="720"/>
        <w:jc w:val="left"/>
        <w:rPr/>
      </w:pPr>
      <w:r>
        <w:rPr>
          <w:color w:val="000000"/>
        </w:rPr>
        <w:t>•</w:t>
      </w:r>
      <w:r>
        <w:rPr>
          <w:rFonts w:ascii="Arial;sans-serif" w:hAnsi="Arial;sans-serif"/>
          <w:b w:val="false"/>
          <w:color w:val="000000"/>
          <w:sz w:val="19"/>
        </w:rPr>
        <w:t>Significant regulatory exposure due to actual or threatened action by state or federal regulators</w:t>
      </w:r>
    </w:p>
    <w:p>
      <w:pPr>
        <w:pStyle w:val="TextBody"/>
        <w:bidi w:val="0"/>
        <w:spacing w:lineRule="auto" w:line="288" w:before="104" w:after="283"/>
        <w:ind w:left="0" w:right="0" w:hanging="857"/>
        <w:jc w:val="left"/>
        <w:rPr/>
      </w:pPr>
      <w:r>
        <w:rPr>
          <w:color w:val="000000"/>
        </w:rPr>
        <w:t>•</w:t>
      </w:r>
      <w:r>
        <w:rPr>
          <w:rFonts w:ascii="Arial;sans-serif" w:hAnsi="Arial;sans-serif"/>
          <w:b w:val="false"/>
          <w:color w:val="000000"/>
          <w:sz w:val="19"/>
        </w:rPr>
        <w:t>Major management changes or changes in control of the company</w:t>
      </w:r>
    </w:p>
    <w:p>
      <w:pPr>
        <w:pStyle w:val="TextBody"/>
        <w:bidi w:val="0"/>
        <w:spacing w:lineRule="auto" w:line="288" w:before="120" w:after="283"/>
        <w:ind w:left="0" w:right="0" w:hanging="857"/>
        <w:jc w:val="left"/>
        <w:rPr/>
      </w:pPr>
      <w:r>
        <w:rPr>
          <w:color w:val="000000"/>
        </w:rPr>
        <w:t>•</w:t>
      </w:r>
      <w:r>
        <w:rPr>
          <w:rFonts w:ascii="Arial;sans-serif" w:hAnsi="Arial;sans-serif"/>
          <w:b w:val="false"/>
          <w:color w:val="000000"/>
          <w:sz w:val="19"/>
        </w:rPr>
        <w:t>Major restructuring actions or asset impairments</w:t>
      </w:r>
    </w:p>
    <w:p>
      <w:pPr>
        <w:pStyle w:val="TextBody"/>
        <w:bidi w:val="0"/>
        <w:spacing w:lineRule="auto" w:line="288" w:before="106" w:after="283"/>
        <w:ind w:left="0" w:right="0" w:hanging="857"/>
        <w:jc w:val="left"/>
        <w:rPr/>
      </w:pPr>
      <w:r>
        <w:rPr>
          <w:color w:val="000000"/>
        </w:rPr>
        <w:t>•</w:t>
      </w:r>
      <w:r>
        <w:rPr>
          <w:rFonts w:ascii="Arial;sans-serif" w:hAnsi="Arial;sans-serif"/>
          <w:b w:val="false"/>
          <w:color w:val="000000"/>
          <w:sz w:val="19"/>
        </w:rPr>
        <w:t>Changes in auditors</w:t>
      </w:r>
    </w:p>
    <w:p>
      <w:pPr>
        <w:pStyle w:val="TextBody"/>
        <w:bidi w:val="0"/>
        <w:spacing w:lineRule="auto" w:line="292" w:before="106" w:after="283"/>
        <w:ind w:left="0" w:right="0" w:firstLine="720"/>
        <w:jc w:val="left"/>
        <w:rPr/>
      </w:pPr>
      <w:r>
        <w:rPr>
          <w:color w:val="000000"/>
        </w:rPr>
        <w:t>•</w:t>
      </w:r>
      <w:r>
        <w:rPr>
          <w:rFonts w:ascii="Arial;sans-serif" w:hAnsi="Arial;sans-serif"/>
          <w:b w:val="false"/>
          <w:color w:val="000000"/>
          <w:sz w:val="19"/>
        </w:rPr>
        <w:t>Major events regarding a company’s securities (such as defaults, redemptions, stock splits, repurchase plans, changes in dividends)</w:t>
      </w:r>
    </w:p>
    <w:p>
      <w:pPr>
        <w:pStyle w:val="TextBody"/>
        <w:bidi w:val="0"/>
        <w:spacing w:before="0" w:after="0"/>
        <w:jc w:val="left"/>
        <w:rPr/>
      </w:pPr>
      <w:r>
        <w:rPr/>
      </w:r>
    </w:p>
    <w:p>
      <w:pPr>
        <w:pStyle w:val="TextBody"/>
        <w:bidi w:val="0"/>
        <w:spacing w:lineRule="auto" w:line="288" w:before="1" w:after="283"/>
        <w:jc w:val="left"/>
        <w:rPr>
          <w:rFonts w:ascii="Arial;sans-serif" w:hAnsi="Arial;sans-serif"/>
          <w:b/>
          <w:color w:val="000000"/>
          <w:sz w:val="19"/>
        </w:rPr>
      </w:pPr>
      <w:r>
        <w:rPr>
          <w:rFonts w:ascii="Arial;sans-serif" w:hAnsi="Arial;sans-serif"/>
          <w:b/>
          <w:color w:val="000000"/>
          <w:sz w:val="19"/>
        </w:rPr>
        <w:t>QUESTIONS</w:t>
      </w:r>
    </w:p>
    <w:p>
      <w:pPr>
        <w:pStyle w:val="TextBody"/>
        <w:bidi w:val="0"/>
        <w:spacing w:lineRule="auto" w:line="324" w:before="112" w:after="283"/>
        <w:ind w:left="0" w:right="0" w:firstLine="720"/>
        <w:jc w:val="left"/>
        <w:rPr>
          <w:rFonts w:ascii="Arial;sans-serif" w:hAnsi="Arial;sans-serif"/>
          <w:b w:val="false"/>
          <w:color w:val="000000"/>
          <w:sz w:val="19"/>
        </w:rPr>
      </w:pPr>
      <w:r>
        <w:rPr>
          <w:rFonts w:ascii="Arial;sans-serif" w:hAnsi="Arial;sans-serif"/>
          <w:b w:val="false"/>
          <w:color w:val="000000"/>
          <w:sz w:val="19"/>
        </w:rPr>
        <w:t>Questions regarding any of the provisions or procedures of this Insider Trading Policy should be directed to the Chief Financial Officer or General Counsel.</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93345"/>
                <wp:effectExtent l="0" t="0" r="0" b="0"/>
                <wp:wrapNone/>
                <wp:docPr id="243" name="Frame96"/>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4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78" descr=""/>
                    <pic:cNvPicPr>
                      <a:picLocks noChangeAspect="1" noChangeArrowheads="1"/>
                    </pic:cNvPicPr>
                  </pic:nvPicPr>
                  <pic:blipFill>
                    <a:blip r:embed="rId173"/>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88" w:before="0" w:after="0"/>
        <w:jc w:val="center"/>
        <w:rPr>
          <w:rFonts w:ascii="Arial;sans-serif" w:hAnsi="Arial;sans-serif"/>
          <w:b/>
          <w:color w:val="000000"/>
          <w:sz w:val="19"/>
          <w:u w:val="single"/>
        </w:rPr>
      </w:pPr>
      <w:r>
        <w:rPr>
          <w:rFonts w:ascii="Arial;sans-serif" w:hAnsi="Arial;sans-serif"/>
          <w:b/>
          <w:color w:val="000000"/>
          <w:sz w:val="19"/>
          <w:u w:val="single"/>
        </w:rPr>
        <w:t>ADDENDUM</w:t>
      </w:r>
    </w:p>
    <w:p>
      <w:pPr>
        <w:pStyle w:val="TextBody"/>
        <w:bidi w:val="0"/>
        <w:spacing w:lineRule="auto" w:line="288" w:before="127" w:after="283"/>
        <w:jc w:val="left"/>
        <w:rPr>
          <w:rFonts w:ascii="Arial;sans-serif" w:hAnsi="Arial;sans-serif"/>
          <w:b/>
          <w:color w:val="000000"/>
          <w:sz w:val="19"/>
        </w:rPr>
      </w:pPr>
      <w:r>
        <w:rPr>
          <w:rFonts w:ascii="Arial;sans-serif" w:hAnsi="Arial;sans-serif"/>
          <w:b/>
          <w:color w:val="000000"/>
          <w:sz w:val="19"/>
        </w:rPr>
        <w:t>ADDITIONAL REQUIREMENTS AND RESPONSIBILITIES FOR CORPORATE INSIDERS</w:t>
      </w:r>
    </w:p>
    <w:p>
      <w:pPr>
        <w:pStyle w:val="TextBody"/>
        <w:bidi w:val="0"/>
        <w:spacing w:lineRule="auto" w:line="295" w:before="115" w:after="283"/>
        <w:jc w:val="left"/>
        <w:rPr/>
      </w:pPr>
      <w:r>
        <w:rPr>
          <w:rFonts w:ascii="Times New Roman;serif" w:hAnsi="Times New Roman;serif"/>
          <w:b/>
          <w:color w:val="000000"/>
          <w:sz w:val="22"/>
        </w:rPr>
        <w:t>A.</w:t>
      </w:r>
      <w:r>
        <w:rPr>
          <w:rFonts w:ascii="Arial;sans-serif" w:hAnsi="Arial;sans-serif"/>
          <w:b/>
          <w:color w:val="000000"/>
          <w:sz w:val="19"/>
        </w:rPr>
        <w:t xml:space="preserve">Purpose. </w:t>
      </w:r>
      <w:r>
        <w:rPr>
          <w:rFonts w:ascii="Arial;sans-serif" w:hAnsi="Arial;sans-serif"/>
          <w:b w:val="false"/>
          <w:color w:val="000000"/>
          <w:sz w:val="19"/>
        </w:rPr>
        <w:t xml:space="preserve">This Addendum supplements the SPS </w:t>
      </w:r>
      <w:r>
        <w:rPr>
          <w:rFonts w:ascii="Arial;sans-serif" w:hAnsi="Arial;sans-serif"/>
          <w:b w:val="false"/>
          <w:i/>
          <w:color w:val="000000"/>
          <w:sz w:val="19"/>
        </w:rPr>
        <w:t xml:space="preserve">Insider Trading Policy </w:t>
      </w:r>
      <w:r>
        <w:rPr>
          <w:rFonts w:ascii="Arial;sans-serif" w:hAnsi="Arial;sans-serif"/>
          <w:b w:val="false"/>
          <w:color w:val="000000"/>
          <w:sz w:val="19"/>
        </w:rPr>
        <w:t>and applies to Corporate Insiders, as defined below. Corporate Insiders are subject to both the requirements of the Insider Trading Policy as well as to additional procedures and requirements described below to help prevent inadvertent violations of federal securities laws, to avoid even the appearance of impermissible insider trading, and to facilitate their compliance with certain legal requirements not applicable to SPS Personnel generally.</w:t>
      </w:r>
    </w:p>
    <w:p>
      <w:pPr>
        <w:pStyle w:val="TextBody"/>
        <w:bidi w:val="0"/>
        <w:spacing w:lineRule="auto" w:line="288" w:before="96" w:after="283"/>
        <w:ind w:left="0" w:right="0" w:hanging="722"/>
        <w:jc w:val="left"/>
        <w:rPr/>
      </w:pPr>
      <w:r>
        <w:rPr>
          <w:rFonts w:ascii="Times New Roman;serif" w:hAnsi="Times New Roman;serif"/>
          <w:b/>
          <w:color w:val="000000"/>
          <w:sz w:val="22"/>
        </w:rPr>
        <w:t>B.</w:t>
      </w:r>
      <w:r>
        <w:rPr>
          <w:rFonts w:ascii="Arial;sans-serif" w:hAnsi="Arial;sans-serif"/>
          <w:b/>
          <w:color w:val="000000"/>
          <w:sz w:val="19"/>
        </w:rPr>
        <w:t>Persons Covered.</w:t>
      </w:r>
    </w:p>
    <w:p>
      <w:pPr>
        <w:pStyle w:val="TextBody"/>
        <w:bidi w:val="0"/>
        <w:spacing w:lineRule="auto" w:line="300" w:before="107" w:after="283"/>
        <w:ind w:left="0" w:right="0" w:firstLine="720"/>
        <w:jc w:val="left"/>
        <w:rPr/>
      </w:pPr>
      <w:r>
        <w:rPr>
          <w:rFonts w:ascii="Times New Roman;serif" w:hAnsi="Times New Roman;serif"/>
          <w:b/>
          <w:color w:val="000000"/>
          <w:sz w:val="22"/>
        </w:rPr>
        <w:t>1.</w:t>
      </w:r>
      <w:r>
        <w:rPr>
          <w:rFonts w:ascii="Arial;sans-serif" w:hAnsi="Arial;sans-serif"/>
          <w:b/>
          <w:i/>
          <w:color w:val="000000"/>
          <w:sz w:val="19"/>
        </w:rPr>
        <w:t xml:space="preserve">Directors and Section 16 Officers. </w:t>
      </w:r>
      <w:r>
        <w:rPr>
          <w:rFonts w:ascii="Arial;sans-serif" w:hAnsi="Arial;sans-serif"/>
          <w:b w:val="false"/>
          <w:color w:val="000000"/>
          <w:sz w:val="19"/>
        </w:rPr>
        <w:t>All provisions of this Addendum apply to the directors and officers of SPS subject to Section 16 of the Securities Exchange Act (referred to herein as “</w:t>
      </w:r>
      <w:r>
        <w:rPr>
          <w:rFonts w:ascii="Arial;sans-serif" w:hAnsi="Arial;sans-serif"/>
          <w:b w:val="false"/>
          <w:i/>
          <w:color w:val="000000"/>
          <w:sz w:val="19"/>
        </w:rPr>
        <w:t>Section 16 Officers</w:t>
      </w:r>
      <w:r>
        <w:rPr>
          <w:color w:val="000000"/>
        </w:rPr>
        <w:t>”</w:t>
      </w:r>
      <w:r>
        <w:rPr>
          <w:rFonts w:ascii="Arial;sans-serif" w:hAnsi="Arial;sans-serif"/>
          <w:b w:val="false"/>
          <w:color w:val="000000"/>
          <w:sz w:val="19"/>
        </w:rPr>
        <w:t>).</w:t>
      </w:r>
    </w:p>
    <w:p>
      <w:pPr>
        <w:pStyle w:val="TextBody"/>
        <w:bidi w:val="0"/>
        <w:spacing w:lineRule="auto" w:line="288" w:before="96" w:after="283"/>
        <w:ind w:left="0" w:right="0" w:firstLine="720"/>
        <w:jc w:val="left"/>
        <w:rPr/>
      </w:pPr>
      <w:r>
        <w:rPr>
          <w:rFonts w:ascii="Times New Roman;serif" w:hAnsi="Times New Roman;serif"/>
          <w:b/>
          <w:color w:val="000000"/>
          <w:sz w:val="22"/>
        </w:rPr>
        <w:t>2.</w:t>
      </w:r>
      <w:r>
        <w:rPr>
          <w:rFonts w:ascii="Arial;sans-serif" w:hAnsi="Arial;sans-serif"/>
          <w:b/>
          <w:i/>
          <w:color w:val="000000"/>
          <w:sz w:val="19"/>
        </w:rPr>
        <w:t xml:space="preserve">Other Officers and Key Employees. </w:t>
      </w:r>
      <w:r>
        <w:rPr>
          <w:rFonts w:ascii="Arial;sans-serif" w:hAnsi="Arial;sans-serif"/>
          <w:b w:val="false"/>
          <w:color w:val="000000"/>
          <w:sz w:val="19"/>
        </w:rPr>
        <w:t>Designated provisions of this Addendum apply to certain other officers and key employees of SPS and its subsidiaries. These other officers and key employees, whose duties cause them to regularly have access to material nonpublic information about SPS, will be notified by the Chief Financial Officer that they are subject to this Addendum.</w:t>
      </w:r>
    </w:p>
    <w:p>
      <w:pPr>
        <w:pStyle w:val="TextBody"/>
        <w:bidi w:val="0"/>
        <w:spacing w:lineRule="auto" w:line="288" w:before="107" w:after="283"/>
        <w:ind w:left="0" w:right="0" w:firstLine="720"/>
        <w:jc w:val="left"/>
        <w:rPr/>
      </w:pPr>
      <w:r>
        <w:rPr>
          <w:rFonts w:ascii="Times New Roman;serif" w:hAnsi="Times New Roman;serif"/>
          <w:b/>
          <w:color w:val="000000"/>
          <w:sz w:val="22"/>
        </w:rPr>
        <w:t>3.</w:t>
      </w:r>
      <w:r>
        <w:rPr>
          <w:rFonts w:ascii="Arial;sans-serif" w:hAnsi="Arial;sans-serif"/>
          <w:b/>
          <w:i/>
          <w:color w:val="000000"/>
          <w:sz w:val="19"/>
        </w:rPr>
        <w:t xml:space="preserve">Related Parties. </w:t>
      </w:r>
      <w:r>
        <w:rPr>
          <w:rFonts w:ascii="Arial;sans-serif" w:hAnsi="Arial;sans-serif"/>
          <w:b w:val="false"/>
          <w:color w:val="000000"/>
          <w:sz w:val="19"/>
        </w:rPr>
        <w:t>If you are covered by paragraph B.1 or B.2, then this Addendum also applies to the same extent to your immediate family members and other individuals living in your household (“</w:t>
      </w:r>
      <w:r>
        <w:rPr>
          <w:rFonts w:ascii="Arial;sans-serif" w:hAnsi="Arial;sans-serif"/>
          <w:b w:val="false"/>
          <w:i/>
          <w:color w:val="000000"/>
          <w:sz w:val="19"/>
        </w:rPr>
        <w:t>Family Members</w:t>
      </w:r>
      <w:r>
        <w:rPr>
          <w:color w:val="000000"/>
        </w:rPr>
        <w:t>”</w:t>
      </w:r>
      <w:r>
        <w:rPr>
          <w:rFonts w:ascii="Arial;sans-serif" w:hAnsi="Arial;sans-serif"/>
          <w:b w:val="false"/>
          <w:color w:val="000000"/>
          <w:sz w:val="19"/>
        </w:rPr>
        <w:t>), and to any other person or entity, including a trust, corporation, partnership or other association, whose transactions in SPS securities are directed by you or your Family Members or are subject to the influence or control of you or your Family Members. Also, you are responsible for informing all Family Members and such related parties of the requirements of this</w:t>
      </w:r>
    </w:p>
    <w:p>
      <w:pPr>
        <w:pStyle w:val="TextBody"/>
        <w:bidi w:val="0"/>
        <w:spacing w:lineRule="auto" w:line="288" w:before="24" w:after="283"/>
        <w:jc w:val="left"/>
        <w:rPr>
          <w:rFonts w:ascii="Arial;sans-serif" w:hAnsi="Arial;sans-serif"/>
          <w:b w:val="false"/>
          <w:color w:val="000000"/>
          <w:sz w:val="19"/>
        </w:rPr>
      </w:pPr>
      <w:r>
        <w:rPr>
          <w:rFonts w:ascii="Arial;sans-serif" w:hAnsi="Arial;sans-serif"/>
          <w:b w:val="false"/>
          <w:color w:val="000000"/>
          <w:sz w:val="19"/>
        </w:rPr>
        <w:t>Addendum.</w:t>
      </w:r>
    </w:p>
    <w:p>
      <w:pPr>
        <w:pStyle w:val="TextBody"/>
        <w:bidi w:val="0"/>
        <w:spacing w:lineRule="auto" w:line="288" w:before="127" w:after="283"/>
        <w:jc w:val="left"/>
        <w:rPr/>
      </w:pPr>
      <w:r>
        <w:rPr>
          <w:rFonts w:ascii="Arial;sans-serif" w:hAnsi="Arial;sans-serif"/>
          <w:b w:val="false"/>
          <w:color w:val="000000"/>
          <w:sz w:val="19"/>
        </w:rPr>
        <w:t>The individuals and entities described in paragraphs B.1, B.2 and B.3 are “</w:t>
      </w:r>
      <w:r>
        <w:rPr>
          <w:rFonts w:ascii="Arial;sans-serif" w:hAnsi="Arial;sans-serif"/>
          <w:b w:val="false"/>
          <w:i/>
          <w:color w:val="000000"/>
          <w:sz w:val="19"/>
        </w:rPr>
        <w:t>Corporate Insiders</w:t>
      </w:r>
      <w:r>
        <w:rPr>
          <w:rFonts w:ascii="Arial;sans-serif" w:hAnsi="Arial;sans-serif"/>
          <w:b w:val="false"/>
          <w:color w:val="000000"/>
          <w:sz w:val="19"/>
        </w:rPr>
        <w:t>.”</w:t>
      </w:r>
    </w:p>
    <w:p>
      <w:pPr>
        <w:pStyle w:val="TextBody"/>
        <w:bidi w:val="0"/>
        <w:spacing w:lineRule="auto" w:line="288" w:before="114" w:after="283"/>
        <w:ind w:left="0" w:right="0" w:hanging="722"/>
        <w:jc w:val="left"/>
        <w:rPr/>
      </w:pPr>
      <w:r>
        <w:rPr>
          <w:rFonts w:ascii="Times New Roman;serif" w:hAnsi="Times New Roman;serif"/>
          <w:b/>
          <w:color w:val="000000"/>
          <w:sz w:val="22"/>
        </w:rPr>
        <w:t>C.</w:t>
      </w:r>
      <w:r>
        <w:rPr>
          <w:rFonts w:ascii="Arial;sans-serif" w:hAnsi="Arial;sans-serif"/>
          <w:b/>
          <w:color w:val="000000"/>
          <w:sz w:val="19"/>
        </w:rPr>
        <w:t>Blackout Periods for all Corporate Insiders</w:t>
      </w:r>
    </w:p>
    <w:p>
      <w:pPr>
        <w:pStyle w:val="TextBody"/>
        <w:bidi w:val="0"/>
        <w:spacing w:lineRule="auto" w:line="288" w:before="107" w:after="283"/>
        <w:ind w:left="0" w:right="0" w:firstLine="720"/>
        <w:jc w:val="left"/>
        <w:rPr/>
      </w:pPr>
      <w:r>
        <w:rPr>
          <w:rFonts w:ascii="Times New Roman;serif" w:hAnsi="Times New Roman;serif"/>
          <w:b/>
          <w:color w:val="000000"/>
          <w:sz w:val="22"/>
        </w:rPr>
        <w:t>1.</w:t>
      </w:r>
      <w:r>
        <w:rPr>
          <w:rFonts w:ascii="Arial;sans-serif" w:hAnsi="Arial;sans-serif"/>
          <w:b/>
          <w:i/>
          <w:color w:val="000000"/>
          <w:sz w:val="19"/>
        </w:rPr>
        <w:t xml:space="preserve">Trading Not Permitted During Blackout Periods. </w:t>
      </w:r>
      <w:r>
        <w:rPr>
          <w:rFonts w:ascii="Arial;sans-serif" w:hAnsi="Arial;sans-serif"/>
          <w:b w:val="false"/>
          <w:color w:val="000000"/>
          <w:sz w:val="19"/>
        </w:rPr>
        <w:t>If you are a Corporate Insider, you may not purchase, sell or otherwise trade SPS securities during the period beginning on the 15</w:t>
      </w:r>
      <w:r>
        <w:rPr>
          <w:rFonts w:ascii="Arial;sans-serif" w:hAnsi="Arial;sans-serif"/>
          <w:b w:val="false"/>
          <w:color w:val="000000"/>
          <w:sz w:val="12"/>
        </w:rPr>
        <w:t>th</w:t>
      </w:r>
      <w:r>
        <w:rPr>
          <w:color w:val="000000"/>
        </w:rPr>
        <w:t xml:space="preserve"> </w:t>
      </w:r>
      <w:r>
        <w:rPr>
          <w:rFonts w:ascii="Arial;sans-serif" w:hAnsi="Arial;sans-serif"/>
          <w:b w:val="false"/>
          <w:color w:val="000000"/>
          <w:sz w:val="19"/>
        </w:rPr>
        <w:t>day of the last calendar month of each fiscal quarter (effectively, 12:01 a.m. Central time on the 15</w:t>
      </w:r>
      <w:r>
        <w:rPr>
          <w:rFonts w:ascii="Arial;sans-serif" w:hAnsi="Arial;sans-serif"/>
          <w:b w:val="false"/>
          <w:color w:val="000000"/>
          <w:sz w:val="12"/>
        </w:rPr>
        <w:t>th</w:t>
      </w:r>
      <w:r>
        <w:rPr>
          <w:color w:val="000000"/>
        </w:rPr>
        <w:t xml:space="preserve"> </w:t>
      </w:r>
      <w:r>
        <w:rPr>
          <w:rFonts w:ascii="Arial;sans-serif" w:hAnsi="Arial;sans-serif"/>
          <w:b w:val="false"/>
          <w:color w:val="000000"/>
          <w:sz w:val="19"/>
        </w:rPr>
        <w:t>day of such calendar month) and continuing through the second trading day following the public release of SPS’s financial results for that fiscal quarter (each such period being a “blackout period”). If a Corporate Insider wishes to trade outside of a blackout period, the person may do so only if he or she is not then aware of any material nonpublic information and has complied with the notification and pre-clearance procedures described below.</w:t>
      </w:r>
    </w:p>
    <w:p>
      <w:pPr>
        <w:pStyle w:val="TextBody"/>
        <w:bidi w:val="0"/>
        <w:spacing w:lineRule="auto" w:line="295" w:before="91" w:after="283"/>
        <w:ind w:left="0" w:right="0" w:firstLine="720"/>
        <w:jc w:val="left"/>
        <w:rPr/>
      </w:pPr>
      <w:r>
        <w:rPr>
          <w:rFonts w:ascii="Times New Roman;serif" w:hAnsi="Times New Roman;serif"/>
          <w:b/>
          <w:color w:val="000000"/>
          <w:sz w:val="22"/>
        </w:rPr>
        <w:t>2.</w:t>
      </w:r>
      <w:r>
        <w:rPr>
          <w:rFonts w:ascii="Arial;sans-serif" w:hAnsi="Arial;sans-serif"/>
          <w:b/>
          <w:i/>
          <w:color w:val="000000"/>
          <w:sz w:val="19"/>
        </w:rPr>
        <w:t xml:space="preserve">Illustration – Blackout Period: </w:t>
      </w:r>
      <w:r>
        <w:rPr>
          <w:rFonts w:ascii="Arial;sans-serif" w:hAnsi="Arial;sans-serif"/>
          <w:b w:val="false"/>
          <w:color w:val="000000"/>
          <w:sz w:val="19"/>
        </w:rPr>
        <w:t>If financial results for the quarter ended March 31 are released after the stock market closes on April 26, then Corporate Insiders are prohibited from trading from March 15 through April 28, but could trade from April 29 through June 14, assuming that April 27 and 28 are trading days on the Nasdaq Stock Market and unless they are aware of material nonpublic information or have not complied with the notification and preclearance procedures below.</w:t>
      </w:r>
    </w:p>
    <w:p>
      <w:pPr>
        <w:pStyle w:val="TextBody"/>
        <w:bidi w:val="0"/>
        <w:spacing w:lineRule="auto" w:line="288" w:before="97" w:after="283"/>
        <w:ind w:left="0" w:right="0" w:hanging="722"/>
        <w:jc w:val="left"/>
        <w:rPr/>
      </w:pPr>
      <w:r>
        <w:rPr>
          <w:rFonts w:ascii="Times New Roman;serif" w:hAnsi="Times New Roman;serif"/>
          <w:b/>
          <w:color w:val="000000"/>
          <w:sz w:val="22"/>
        </w:rPr>
        <w:t>D.</w:t>
      </w:r>
      <w:r>
        <w:rPr>
          <w:rFonts w:ascii="Arial;sans-serif" w:hAnsi="Arial;sans-serif"/>
          <w:b/>
          <w:color w:val="000000"/>
          <w:sz w:val="19"/>
        </w:rPr>
        <w:t>Required Preclearance of Trades Outside Blackout Periods.</w:t>
      </w:r>
    </w:p>
    <w:p>
      <w:pPr>
        <w:pStyle w:val="TextBody"/>
        <w:bidi w:val="0"/>
        <w:spacing w:lineRule="auto" w:line="295" w:before="107" w:after="283"/>
        <w:ind w:left="0" w:right="0" w:firstLine="720"/>
        <w:jc w:val="left"/>
        <w:rPr/>
      </w:pPr>
      <w:r>
        <w:rPr>
          <w:rFonts w:ascii="Times New Roman;serif" w:hAnsi="Times New Roman;serif"/>
          <w:b/>
          <w:color w:val="000000"/>
          <w:sz w:val="22"/>
        </w:rPr>
        <w:t>1.</w:t>
      </w:r>
      <w:r>
        <w:rPr>
          <w:rFonts w:ascii="Arial;sans-serif" w:hAnsi="Arial;sans-serif"/>
          <w:b/>
          <w:i/>
          <w:color w:val="000000"/>
          <w:sz w:val="19"/>
        </w:rPr>
        <w:t xml:space="preserve">Notices of Intended Transaction and Requests for Approval. </w:t>
      </w:r>
      <w:r>
        <w:rPr>
          <w:rFonts w:ascii="Arial;sans-serif" w:hAnsi="Arial;sans-serif"/>
          <w:b w:val="false"/>
          <w:color w:val="000000"/>
          <w:sz w:val="19"/>
        </w:rPr>
        <w:t xml:space="preserve">If you are a Corporate Insider, you may not engage in any transaction involving SPS securities outside blackout periods without first obtaining pre-clearance of that transaction from SPS’s Chief Financial Officer or General Counsel. Prior to initiating any transaction in SPS securities outside a blackout period, you must deliver to the Chief Financial Officer or General Counsel an electronic notice in the form specified by the Chief Financial Officer or General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93345"/>
                <wp:effectExtent l="0" t="0" r="0" b="0"/>
                <wp:wrapNone/>
                <wp:docPr id="245" name="Frame97"/>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904875" cy="542925"/>
            <wp:effectExtent l="0" t="0" r="0" b="0"/>
            <wp:docPr id="24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79" descr=""/>
                    <pic:cNvPicPr>
                      <a:picLocks noChangeAspect="1" noChangeArrowheads="1"/>
                    </pic:cNvPicPr>
                  </pic:nvPicPr>
                  <pic:blipFill>
                    <a:blip r:embed="rId174"/>
                    <a:stretch>
                      <a:fillRect/>
                    </a:stretch>
                  </pic:blipFill>
                  <pic:spPr bwMode="auto">
                    <a:xfrm>
                      <a:off x="0" y="0"/>
                      <a:ext cx="904875" cy="542925"/>
                    </a:xfrm>
                    <a:prstGeom prst="rect">
                      <a:avLst/>
                    </a:prstGeom>
                  </pic:spPr>
                </pic:pic>
              </a:graphicData>
            </a:graphic>
          </wp:inline>
        </w:drawing>
      </w:r>
      <w:r>
        <w:rPr>
          <w:color w:val="000000"/>
        </w:rPr>
        <w:t>        </w:t>
      </w:r>
    </w:p>
    <w:tbl>
      <w:tblPr>
        <w:tblW w:w="3195" w:type="dxa"/>
        <w:jc w:val="left"/>
        <w:tblInd w:w="0" w:type="dxa"/>
        <w:tblLayout w:type="fixed"/>
        <w:tblCellMar>
          <w:top w:w="28" w:type="dxa"/>
          <w:left w:w="28" w:type="dxa"/>
          <w:bottom w:w="28" w:type="dxa"/>
          <w:right w:w="28" w:type="dxa"/>
        </w:tblCellMar>
      </w:tblPr>
      <w:tblGrid>
        <w:gridCol w:w="1021"/>
        <w:gridCol w:w="900"/>
        <w:gridCol w:w="1274"/>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sans-serif" w:hAnsi="sans-serif"/>
                <w:b/>
                <w:color w:val="000000"/>
                <w:sz w:val="22"/>
              </w:rPr>
            </w:pPr>
            <w:r>
              <w:rPr>
                <w:rFonts w:ascii="sans-serif" w:hAnsi="sans-serif"/>
                <w:b/>
                <w:color w:val="000000"/>
                <w:sz w:val="22"/>
              </w:rPr>
              <w:t>Exhibit 19.1</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Arial;sans-serif" w:hAnsi="Arial;sans-serif"/>
                <w:b/>
                <w:color w:val="000000"/>
                <w:sz w:val="22"/>
              </w:rPr>
            </w:pPr>
            <w:r>
              <w:rPr>
                <w:rFonts w:ascii="Arial;sans-serif" w:hAnsi="Arial;sans-serif"/>
                <w:b/>
                <w:color w:val="000000"/>
                <w:sz w:val="22"/>
              </w:rPr>
              <w:t>POLICY | INSIDER TRADING</w:t>
            </w:r>
          </w:p>
        </w:tc>
      </w:tr>
    </w:tbl>
    <w:p>
      <w:pPr>
        <w:pStyle w:val="TextBody"/>
        <w:bidi w:val="0"/>
        <w:spacing w:lineRule="auto" w:line="295" w:before="107" w:after="283"/>
        <w:jc w:val="left"/>
        <w:rPr>
          <w:rFonts w:ascii="Arial;sans-serif" w:hAnsi="Arial;sans-serif"/>
          <w:b w:val="false"/>
          <w:color w:val="000000"/>
          <w:sz w:val="19"/>
        </w:rPr>
      </w:pPr>
      <w:r>
        <w:rPr>
          <w:rFonts w:ascii="Arial;sans-serif" w:hAnsi="Arial;sans-serif"/>
          <w:b w:val="false"/>
          <w:color w:val="000000"/>
          <w:sz w:val="19"/>
        </w:rPr>
        <w:t>during a permitted trading period requesting clearance to trade. The Chief Financial Officer may approve modifications to this notice process and preclearance notice form.</w:t>
      </w:r>
    </w:p>
    <w:p>
      <w:pPr>
        <w:pStyle w:val="TextBody"/>
        <w:bidi w:val="0"/>
        <w:spacing w:lineRule="auto" w:line="292" w:before="96" w:after="283"/>
        <w:ind w:left="0" w:right="0" w:firstLine="720"/>
        <w:jc w:val="left"/>
        <w:rPr/>
      </w:pPr>
      <w:r>
        <w:rPr>
          <w:rFonts w:ascii="Times New Roman;serif" w:hAnsi="Times New Roman;serif"/>
          <w:b/>
          <w:color w:val="000000"/>
          <w:sz w:val="22"/>
        </w:rPr>
        <w:t>2.</w:t>
      </w:r>
      <w:r>
        <w:rPr>
          <w:rFonts w:ascii="Arial;sans-serif" w:hAnsi="Arial;sans-serif"/>
          <w:b/>
          <w:i/>
          <w:color w:val="000000"/>
          <w:sz w:val="19"/>
        </w:rPr>
        <w:t xml:space="preserve">Clearance to Proceed with a Transaction. </w:t>
      </w:r>
      <w:r>
        <w:rPr>
          <w:rFonts w:ascii="Arial;sans-serif" w:hAnsi="Arial;sans-serif"/>
          <w:b w:val="false"/>
          <w:color w:val="000000"/>
          <w:sz w:val="19"/>
        </w:rPr>
        <w:t>No preclearance notice will be an effective clearance to a trade unless and until the Chief Financial Officer or General Counsel responds to the notice with his or her approval in writing. Any such approval will be valid for the period specified by the Chief Financial Officer or General Counsel in the written approval. However, the overarching prohibition on trading when you are aware of material nonpublic information regarding SPS remains in effect.</w:t>
      </w:r>
    </w:p>
    <w:p>
      <w:pPr>
        <w:pStyle w:val="TextBody"/>
        <w:bidi w:val="0"/>
        <w:spacing w:lineRule="auto" w:line="288" w:before="118" w:after="283"/>
        <w:ind w:left="0" w:right="0" w:hanging="722"/>
        <w:jc w:val="left"/>
        <w:rPr/>
      </w:pPr>
      <w:r>
        <w:rPr>
          <w:rFonts w:ascii="Times New Roman;serif" w:hAnsi="Times New Roman;serif"/>
          <w:b/>
          <w:color w:val="000000"/>
          <w:sz w:val="22"/>
        </w:rPr>
        <w:t>E.</w:t>
      </w:r>
      <w:r>
        <w:rPr>
          <w:rFonts w:ascii="Arial;sans-serif" w:hAnsi="Arial;sans-serif"/>
          <w:b/>
          <w:color w:val="000000"/>
          <w:sz w:val="19"/>
        </w:rPr>
        <w:t>Additional Restrictions on Trading by Directors and Section 16 Officers</w:t>
      </w:r>
    </w:p>
    <w:p>
      <w:pPr>
        <w:pStyle w:val="TextBody"/>
        <w:bidi w:val="0"/>
        <w:spacing w:lineRule="auto" w:line="292" w:before="108" w:after="283"/>
        <w:ind w:left="0" w:right="0" w:firstLine="720"/>
        <w:jc w:val="left"/>
        <w:rPr/>
      </w:pPr>
      <w:r>
        <w:rPr>
          <w:rFonts w:ascii="Times New Roman;serif" w:hAnsi="Times New Roman;serif"/>
          <w:b/>
          <w:color w:val="000000"/>
          <w:sz w:val="22"/>
        </w:rPr>
        <w:t>1.</w:t>
      </w:r>
      <w:r>
        <w:rPr>
          <w:rFonts w:ascii="Arial;sans-serif" w:hAnsi="Arial;sans-serif"/>
          <w:b/>
          <w:i/>
          <w:color w:val="000000"/>
          <w:sz w:val="19"/>
        </w:rPr>
        <w:t xml:space="preserve">Short-swing Trading Restrictions. </w:t>
      </w:r>
      <w:r>
        <w:rPr>
          <w:rFonts w:ascii="Arial;sans-serif" w:hAnsi="Arial;sans-serif"/>
          <w:b w:val="false"/>
          <w:color w:val="000000"/>
          <w:sz w:val="19"/>
        </w:rPr>
        <w:t>Directors and Section 16 officers of SPS must also comply with the reporting obligations and limitations on short-swing trading transactions imposed by Section 16 of the Securities Exchange Act of 1934. Among other things, Section 16 requires directors and Section 16 officers to pay over to SPS any profit realized from any purchase and sale (in either order) of SPS securities that occur within six months of each other. Section 16 and its related rules are very complex, and SPS will provide to each director and Section 16 officer a separate memorandum discussing compliance with Section 16 and its related rules.</w:t>
      </w:r>
    </w:p>
    <w:p>
      <w:pPr>
        <w:pStyle w:val="TextBody"/>
        <w:bidi w:val="0"/>
        <w:spacing w:before="0" w:after="0"/>
        <w:jc w:val="left"/>
        <w:rPr/>
      </w:pPr>
      <w:r>
        <w:rPr/>
      </w:r>
    </w:p>
    <w:p>
      <w:pPr>
        <w:pStyle w:val="TextBody"/>
        <w:bidi w:val="0"/>
        <w:spacing w:before="3"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93345"/>
                <wp:effectExtent l="0" t="0" r="0" b="0"/>
                <wp:wrapNone/>
                <wp:docPr id="247" name="Frame98"/>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Arial;sans-serif" w:hAnsi="Arial;sans-serif"/>
                          <w:b w:val="false"/>
                          <w:color w:val="6D6D6D"/>
                          <w:sz w:val="16"/>
                        </w:rPr>
                      </w:pPr>
                      <w:r>
                        <w:rPr>
                          <w:rFonts w:ascii="Arial;sans-serif" w:hAnsi="Arial;sans-serif"/>
                          <w:b w:val="false"/>
                          <w:color w:val="6D6D6D"/>
                          <w:sz w:val="16"/>
                        </w:rPr>
                        <w:t>Insider Trading Policy © 2025 SPS Commerce, Inc.                         Revised: 07/22/2025</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List of SPS Commerce, Inc. Subsidiaries</w:t>
      </w:r>
    </w:p>
    <w:p>
      <w:pPr>
        <w:pStyle w:val="TextBody"/>
        <w:bidi w:val="0"/>
        <w:spacing w:before="0" w:after="0"/>
        <w:jc w:val="left"/>
        <w:rPr/>
      </w:pPr>
      <w:r>
        <w:rPr/>
      </w:r>
    </w:p>
    <w:tbl>
      <w:tblPr>
        <w:tblW w:w="6389" w:type="dxa"/>
        <w:jc w:val="left"/>
        <w:tblInd w:w="0" w:type="dxa"/>
        <w:tblLayout w:type="fixed"/>
        <w:tblCellMar>
          <w:top w:w="28" w:type="dxa"/>
          <w:left w:w="28" w:type="dxa"/>
          <w:bottom w:w="28" w:type="dxa"/>
          <w:right w:w="28" w:type="dxa"/>
        </w:tblCellMar>
      </w:tblPr>
      <w:tblGrid>
        <w:gridCol w:w="1361"/>
        <w:gridCol w:w="1197"/>
        <w:gridCol w:w="1207"/>
        <w:gridCol w:w="768"/>
        <w:gridCol w:w="768"/>
        <w:gridCol w:w="1088"/>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Company</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Incorporation/Organization</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SPS International,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Commerce Australia Pty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Commerce Canada,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Intertrade Systems,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Commerce Netherlands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Europe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Britain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Ukraine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Ukraine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Commerce Philippines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SPS Commerce Poland sp. z o.o.</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Carbon6 Technologies,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1000087631 Ontario Corp.</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Affiliate Technologies LLC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Alert Technologies LLC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Carbon6 Shenzen Technology Company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D8aDriven, Inc.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PixleMe Technologies LLC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Seller Compass LLC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Stocked Technologies LLC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Masons Software,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Genius Central Systems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AutoSoez 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GCommerce Data Cloud,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GCommerce Fulfillment Cloud,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SPS Hong Kong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 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SupplyPike,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SPS Commerce Holding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 Nederland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 Product Development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 Kinetix SAS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 Kinetix DACH GmbH</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 Analytics GmbH</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 Kinetix,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Britain</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248"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on Form S-3 (Nos. 333-281619, 333-192392, 333-182097, 333-174026 and 333-285339) and on Form S-8 (Nos. 333-236671, 333-229838, 333-222438, 333-222435, 333-216288, 333-209721, 333-201673, 333-193544, 333-185972, 333-182007, 333-179236, 333-172073, 333-167315 and 333-167314) of our reports dated February 19, 2026, with respect to the consolidated financial statements of SPS Commerce, Inc. and subsidiaries and the effectiveness of internal control over financial reporting.</w:t>
      </w:r>
    </w:p>
    <w:p>
      <w:pPr>
        <w:pStyle w:val="TextBody"/>
        <w:bidi w:val="0"/>
        <w:spacing w:before="40" w:after="283"/>
        <w:jc w:val="left"/>
        <w:rPr/>
      </w:pPr>
      <w:r>
        <w:rPr/>
      </w:r>
    </w:p>
    <w:p>
      <w:pPr>
        <w:pStyle w:val="TextBody"/>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249"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Chadwick Collins,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50"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Kimberly Nelson,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51"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SPS Commerce, Inc. (the “Company”) for the period ended December 31, 2025,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52"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2.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hyperlink" Target="https://www.sec.gov/Archives/edgar/data/1092699/000109269924000050/exhibit31.htm" TargetMode="External"/><Relationship Id="rId139" Type="http://schemas.openxmlformats.org/officeDocument/2006/relationships/hyperlink" Target="https://www.sec.gov/Archives/edgar/data/1092699/000109269923000006/a2022_10kxex32-bylawsclean.htm" TargetMode="External"/><Relationship Id="rId140" Type="http://schemas.openxmlformats.org/officeDocument/2006/relationships/hyperlink" Target="https://www.sec.gov/Archives/edgar/data/1092699/000156459021007614/spsc-ex41_8.htm" TargetMode="External"/><Relationship Id="rId141" Type="http://schemas.openxmlformats.org/officeDocument/2006/relationships/hyperlink" Target="https://www.sec.gov/Archives/edgar/data/1092699/000119312515056499/d845442dex106.htm" TargetMode="External"/><Relationship Id="rId142" Type="http://schemas.openxmlformats.org/officeDocument/2006/relationships/hyperlink" Target="https://www.sec.gov/Archives/edgar/data/1092699/000119312512067639/d303784dex102.htm" TargetMode="External"/><Relationship Id="rId143" Type="http://schemas.openxmlformats.org/officeDocument/2006/relationships/hyperlink" Target="https://www.sec.gov/Archives/edgar/data/1092699/000109269923000006/sps_ex103optionagreementem.htm" TargetMode="External"/><Relationship Id="rId144" Type="http://schemas.openxmlformats.org/officeDocument/2006/relationships/hyperlink" Target="https://www.sec.gov/Archives/edgar/data/1092699/000119312512067639/d303784dex104.htm" TargetMode="External"/><Relationship Id="rId145" Type="http://schemas.openxmlformats.org/officeDocument/2006/relationships/hyperlink" Target="https://www.sec.gov/Archives/edgar/data/1092699/000109269923000006/a2022_10kxex105rsuagreement.htm" TargetMode="External"/><Relationship Id="rId146" Type="http://schemas.openxmlformats.org/officeDocument/2006/relationships/hyperlink" Target="https://www.sec.gov/Archives/edgar/data/1092699/000119312512218022/d343890dex106.htm" TargetMode="External"/><Relationship Id="rId147" Type="http://schemas.openxmlformats.org/officeDocument/2006/relationships/hyperlink" Target="https://www.sec.gov/Archives/edgar/data/1092699/000109269923000006/a2022_10kxex107psuagreement.htm" TargetMode="External"/><Relationship Id="rId148" Type="http://schemas.openxmlformats.org/officeDocument/2006/relationships/hyperlink" Target="https://www.sec.gov/Archives/edgar/data/1092699/000095012310001751/c54716a1exv10w18.htm" TargetMode="External"/><Relationship Id="rId149" Type="http://schemas.openxmlformats.org/officeDocument/2006/relationships/hyperlink" Target="https://www.sec.gov/Archives/edgar/data/1092699/000095012310001751/c54716a1exv10w19.htm" TargetMode="External"/><Relationship Id="rId150" Type="http://schemas.openxmlformats.org/officeDocument/2006/relationships/hyperlink" Target="https://www.sec.gov/Archives/edgar/data/1092699/000119312516449360/d113029dex102.htm" TargetMode="External"/><Relationship Id="rId151" Type="http://schemas.openxmlformats.org/officeDocument/2006/relationships/hyperlink" Target="https://www.sec.gov/Archives/edgar/data/1092699/000109269923000011/a101-ablackamendmenttoseve.htm" TargetMode="External"/><Relationship Id="rId152" Type="http://schemas.openxmlformats.org/officeDocument/2006/relationships/hyperlink" Target="https://www.sec.gov/Archives/edgar/data/1092699/000119312520040291/d890301dex101.htm" TargetMode="External"/><Relationship Id="rId153" Type="http://schemas.openxmlformats.org/officeDocument/2006/relationships/hyperlink" Target="https://www.sec.gov/Archives/edgar/data/1092699/000109269924000050/exhibit101.htm" TargetMode="External"/><Relationship Id="rId154" Type="http://schemas.openxmlformats.org/officeDocument/2006/relationships/hyperlink" Target="https://www.sec.gov/Archives/edgar/data/1092699/000109269924000050/exhibit102.htm" TargetMode="External"/><Relationship Id="rId155" Type="http://schemas.openxmlformats.org/officeDocument/2006/relationships/hyperlink" Target="https://www.sec.gov/Archives/edgar/data/1092699/000109269923000047/a101-ex1xcollins_offerlett.htm" TargetMode="External"/><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hyperlink" Target="https://www.sec.gov/Archives/edgar/data/1092699/000109269923000047/a102-ex2xexecutiveseveranc.htm" TargetMode="External"/><Relationship Id="rId159" Type="http://schemas.openxmlformats.org/officeDocument/2006/relationships/hyperlink" Target="https://www.sec.gov/ix?doc=/Archives/edgar/data/1092699/000109269924000074/spsc-20240930.htm" TargetMode="External"/><Relationship Id="rId160" Type="http://schemas.openxmlformats.org/officeDocument/2006/relationships/hyperlink" Target="https://www.sec.gov/ix?doc=/Archives/edgar/data/1092699/000119312525000693/d875283d8k.htm" TargetMode="External"/><Relationship Id="rId161" Type="http://schemas.openxmlformats.org/officeDocument/2006/relationships/hyperlink" Target="https://www.sec.gov/Archives/edgar/data/1092699/000109269926000007/exhibit101offerletter.htm" TargetMode="External"/><Relationship Id="rId162" Type="http://schemas.openxmlformats.org/officeDocument/2006/relationships/hyperlink" Target="https://www.sec.gov/Archives/edgar/data/1092699/000109269926000008/exhibit101cooperationagree.htm" TargetMode="External"/><Relationship Id="rId163" Type="http://schemas.openxmlformats.org/officeDocument/2006/relationships/hyperlink" Target="https://www.sec.gov/Archives/edgar/data/1092699/000109269924000012/a2023_xexex97compensationr.htm" TargetMode="External"/><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3.png"/><Relationship Id="rId169" Type="http://schemas.openxmlformats.org/officeDocument/2006/relationships/image" Target="media/image3.png"/><Relationship Id="rId170" Type="http://schemas.openxmlformats.org/officeDocument/2006/relationships/image" Target="media/image3.png"/><Relationship Id="rId171" Type="http://schemas.openxmlformats.org/officeDocument/2006/relationships/image" Target="media/image3.png"/><Relationship Id="rId172" Type="http://schemas.openxmlformats.org/officeDocument/2006/relationships/image" Target="media/image3.png"/><Relationship Id="rId173" Type="http://schemas.openxmlformats.org/officeDocument/2006/relationships/image" Target="media/image3.png"/><Relationship Id="rId174" Type="http://schemas.openxmlformats.org/officeDocument/2006/relationships/image" Target="media/image3.png"/><Relationship Id="rId175" Type="http://schemas.openxmlformats.org/officeDocument/2006/relationships/fontTable" Target="fontTable.xml"/><Relationship Id="rId1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48067</Words>
  <Characters>269616</Characters>
  <CharactersWithSpaces>315649</CharactersWithSpaces>
  <Paragraphs>4006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