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April 22, 2015 was 16,527,869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480" w:type="dxa"/>
            <w:vAlign w:val="bottom"/>
            <w:gridSpan w:val="9"/>
            <w:vMerge w:val="restart"/>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2"/>
            <w:vMerge w:val="continue"/>
          </w:tcPr>
          <w:p>
            <w:pPr>
              <w:spacing w:after="0"/>
              <w:rPr>
                <w:sz w:val="13"/>
                <w:szCs w:val="13"/>
                <w:color w:val="auto"/>
              </w:rPr>
            </w:pPr>
          </w:p>
        </w:tc>
        <w:tc>
          <w:tcPr>
            <w:tcW w:w="7480" w:type="dxa"/>
            <w:vAlign w:val="bottom"/>
            <w:gridSpan w:val="9"/>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2015 (unaudited) and December 31, 2014</w:t>
              </w:r>
            </w:hyperlink>
          </w:p>
        </w:tc>
        <w:tc>
          <w:tcPr>
            <w:tcW w:w="23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Income (Loss) for the three months ended March 31, 2015 and 2014</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7980" w:type="dxa"/>
            <w:vAlign w:val="bottom"/>
            <w:tcBorders>
              <w:top w:val="single" w:sz="8" w:color="0000EE"/>
            </w:tcBorders>
            <w:gridSpan w:val="14"/>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three months ended March 31, 2015 and 2014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580" w:type="dxa"/>
            <w:vAlign w:val="bottom"/>
            <w:tcBorders>
              <w:top w:val="single" w:sz="8" w:color="0000EE"/>
            </w:tcBorders>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778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812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10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14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Other Information</w:t>
              </w:r>
            </w:hyperlink>
          </w:p>
        </w:tc>
        <w:tc>
          <w:tcPr>
            <w:tcW w:w="814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2014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80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SPS COMMERCE,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9"/>
              </w:rPr>
              <w:t>(Unaudited; in thousands, except share amounts)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right="159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133,550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receivable, less allowance for doubtful accounts of $300 and $279, respectively</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15,823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166,157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34,210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costs, 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income taxes, 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11,086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246,870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10,303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7,530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10,550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rent, 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38,646</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Common stock, $0.001 par value; 55,000,000 shares authorized; 16,525,270 and 16,348,747 shares issued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254,479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(43,502)</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208,224</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246,870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36,970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25,398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19,684</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13,744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24,476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19,086</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160"/>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5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16,433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16,830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(1,299)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88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Other current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Accrued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 changes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130,795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intercompany accounts and transactions have been eliminated in the condensed consolidated financial statements, which have been prepared in conformity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with the instructions to Form 10-Q and Rule 10-01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 S-X. Accordingly, these condensed consolidated financial statements do not include all of the information and notes required by GAAP.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all normal recurring adjustments considered necessary to give a fair statement of our financial position, results of operations and cash flows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shown. Operating results for these interim periods are not necessarily indicative of the results to be expected for the full year.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condensed consolidated balance sheet data was derived from our audited financial statements at that date.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accompanying notes for the year ended December 31, 2014 included in our Annual Report on Form 10-K as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Securities and Exchange Commission on February 20,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three months ended March 31, 2015, there were no material changes in our significant accounting policies. See Note A to the consolidated financial statements included in our Annual Report on Form 10-K for the year ended December 31, 2014, as filed with the Securities and Exchange Commission on February 20, 2015,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May 2014, the Financial Accounting Standards Board issued new accounting requirements for the recognition of revenue from contracts with customers. These new requirements are effective for annual reporting periods beginning after December 15, 2016, and interim periods within those annual periods. We are currently evaluating the impact of this guidance on our results of operations and financial position.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our goodwill for the three months ended March 31, 2015 was due the effect of foreign currency translation.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March 31, 2015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w w:val="99"/>
              </w:rPr>
              <w:t>December 31, 2014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2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0"/>
                <w:szCs w:val="10"/>
                <w:color w:val="auto"/>
              </w:rPr>
            </w:pPr>
          </w:p>
        </w:tc>
        <w:tc>
          <w:tcPr>
            <w:tcW w:w="9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tcPr>
          <w:p>
            <w:pPr>
              <w:ind w:left="40"/>
              <w:spacing w:after="0" w:line="123" w:lineRule="exact"/>
              <w:rPr>
                <w:sz w:val="20"/>
                <w:szCs w:val="20"/>
                <w:color w:val="auto"/>
              </w:rPr>
            </w:pPr>
            <w:r>
              <w:rPr>
                <w:rFonts w:ascii="Arial" w:cs="Arial" w:eastAsia="Arial" w:hAnsi="Arial"/>
                <w:sz w:val="14"/>
                <w:szCs w:val="14"/>
                <w:color w:val="auto"/>
              </w:rPr>
              <w:t>Carrying</w:t>
            </w: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900" w:type="dxa"/>
            <w:vAlign w:val="bottom"/>
            <w:gridSpan w:val="5"/>
          </w:tcPr>
          <w:p>
            <w:pPr>
              <w:ind w:left="60"/>
              <w:spacing w:after="0"/>
              <w:rPr>
                <w:sz w:val="20"/>
                <w:szCs w:val="20"/>
                <w:color w:val="auto"/>
              </w:rPr>
            </w:pPr>
            <w:r>
              <w:rPr>
                <w:rFonts w:ascii="Arial" w:cs="Arial" w:eastAsia="Arial" w:hAnsi="Arial"/>
                <w:sz w:val="14"/>
                <w:szCs w:val="14"/>
                <w:color w:val="auto"/>
              </w:rPr>
              <w:t>Amount</w:t>
            </w: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$26,490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(9,719)</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$16,771</w:t>
            </w:r>
          </w:p>
        </w:tc>
        <w:tc>
          <w:tcPr>
            <w:tcW w:w="8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$26,724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(1,601)</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241</w:t>
            </w:r>
          </w:p>
        </w:tc>
        <w:tc>
          <w:tcPr>
            <w:tcW w:w="880" w:type="dxa"/>
            <w:vAlign w:val="bottom"/>
            <w:gridSpan w:val="4"/>
          </w:tcPr>
          <w:p>
            <w:pPr>
              <w:jc w:val="right"/>
              <w:ind w:right="68"/>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(1,581)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8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29,194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(10,644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40" w:type="dxa"/>
            <w:vAlign w:val="bottom"/>
            <w:gridSpan w:val="8"/>
          </w:tcPr>
          <w:p>
            <w:pPr>
              <w:jc w:val="right"/>
              <w:ind w:right="40"/>
              <w:spacing w:after="0"/>
              <w:rPr>
                <w:sz w:val="20"/>
                <w:szCs w:val="20"/>
                <w:color w:val="auto"/>
              </w:rPr>
            </w:pPr>
            <w:r>
              <w:rPr>
                <w:rFonts w:ascii="Arial" w:cs="Arial" w:eastAsia="Arial" w:hAnsi="Arial"/>
                <w:sz w:val="18"/>
                <w:szCs w:val="18"/>
                <w:color w:val="auto"/>
                <w:w w:val="96"/>
              </w:rPr>
              <w:t>At March 31, 2015, future amortization expense for intangible assets was as follows (in thousands):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2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$ 2,484</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17,705</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borrowings outstanding at March 31, 2015 and we were in compliance with all covenants under the revolving credit agreement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Stock-Based Compensation</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2015, 980,924 additional shares were reserved for future issuance under our 2010 Equity Incentive Plan. At March 31, 2015, there were approximately 3.4 million shares available for grant under approved equity compensation plans.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stock-based compensation expense of $1.5 million and $1.3 million for the three months ended March 31,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expense was allocated as follows (in thousands):</w:t>
      </w:r>
    </w:p>
    <w:p>
      <w:pPr>
        <w:spacing w:after="0" w:line="233" w:lineRule="exact"/>
        <w:rPr>
          <w:sz w:val="20"/>
          <w:szCs w:val="20"/>
          <w:color w:val="auto"/>
        </w:rPr>
      </w:pPr>
    </w:p>
    <w:p>
      <w:pPr>
        <w:jc w:val="center"/>
        <w:ind w:left="7060"/>
        <w:spacing w:after="0"/>
        <w:rPr>
          <w:sz w:val="20"/>
          <w:szCs w:val="20"/>
          <w:color w:val="auto"/>
        </w:rPr>
      </w:pPr>
      <w:r>
        <w:rPr>
          <w:rFonts w:ascii="Arial" w:cs="Arial" w:eastAsia="Arial" w:hAnsi="Arial"/>
          <w:sz w:val="14"/>
          <w:szCs w:val="14"/>
          <w:color w:val="auto"/>
        </w:rPr>
        <w:t>Three Months Ended</w:t>
      </w:r>
    </w:p>
    <w:p>
      <w:pPr>
        <w:jc w:val="center"/>
        <w:ind w:left="706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2015</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1,499</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At March 31, 2015, there was approximately $14.3 million of unrecognized stock-based compensation expense under our equity compensation plans, which is expected to be recognized on a straight line basis over a weighted average period of 3.1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1,085,463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140,425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(8,041)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1,078,861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Of the total outstanding options at March 31, 2015, 698,197 were exercisable with a weighted average exercise price of $21.79 per share. The total outstanding options had a weighted average remaining contractual life of 5.3 years.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three months of 2015 was $23.28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J to our consolidated financial statements included in our Annual Report on Form 10-K for the year ended December 31, 2014, beginning in 2015, the volatility assumption used for the Black-Scholes option pricing model is now based solely on the historical volatility of our common stock. Previously, we estimated volatility based partially on the historical volatilities of the publicly traded shares of a selected peer group and partially on the historical volatility of our common stock.</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57"/>
              <w:spacing w:after="0"/>
              <w:rPr>
                <w:sz w:val="20"/>
                <w:szCs w:val="20"/>
                <w:color w:val="auto"/>
              </w:rPr>
            </w:pPr>
            <w:r>
              <w:rPr>
                <w:rFonts w:ascii="Arial" w:cs="Arial" w:eastAsia="Arial" w:hAnsi="Arial"/>
                <w:sz w:val="14"/>
                <w:szCs w:val="14"/>
                <w:color w:val="auto"/>
                <w:w w:val="92"/>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377"/>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57,802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(37,537)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(2,464)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132,934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number of restricted stock units outstanding at March 31, 2015 included 3,140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gridSpan w:val="3"/>
          </w:tcPr>
          <w:p>
            <w:pPr>
              <w:jc w:val="center"/>
              <w:ind w:left="999"/>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center"/>
              <w:ind w:left="199"/>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Awards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gridSpan w:val="2"/>
          </w:tcPr>
          <w:p>
            <w:pPr>
              <w:jc w:val="center"/>
              <w:ind w:left="1439"/>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15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offering period that began on January 1, 2015, we withheld approximately $382,000 from employees participating in the plan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three months ended March 31, 2015, we recorded approximately $97,000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5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350"/>
        </w:trPr>
        <w:tc>
          <w:tcPr>
            <w:tcW w:w="2700" w:type="dxa"/>
            <w:vAlign w:val="bottom"/>
          </w:tcPr>
          <w:p>
            <w:pPr>
              <w:spacing w:after="0"/>
              <w:rPr>
                <w:sz w:val="24"/>
                <w:szCs w:val="24"/>
                <w:color w:val="auto"/>
              </w:rPr>
            </w:pPr>
          </w:p>
        </w:tc>
        <w:tc>
          <w:tcPr>
            <w:tcW w:w="5060" w:type="dxa"/>
            <w:vAlign w:val="bottom"/>
          </w:tcPr>
          <w:p>
            <w:pPr>
              <w:jc w:val="right"/>
              <w:ind w:right="37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meals and entertainment expense and employee stock purchase plan expense.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recorded income tax expense of $261,000 and $218,000 for the three months ended March 31, 2015 and 2014, respectively. Our provisions for income taxes included current foreign and state income tax expense, as well as deferred tax expense.</w:t>
      </w:r>
    </w:p>
    <w:p>
      <w:pPr>
        <w:spacing w:after="0" w:line="170"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We are subject to U.S federal income tax as well as income tax in various state and international jurisdictions. We are generally subject to tax examinations for all prior years due to our net operating loss carryforwards. As of March 31, 2015, we were not under any income tax audits by tax authorities.</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As of March 31, 2015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93"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Three Months Ended</w:t>
      </w:r>
    </w:p>
    <w:p>
      <w:pPr>
        <w:jc w:val="center"/>
        <w:ind w:left="666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16,433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17,011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 of approximately 256,000 and 120,000 outstanding potential common shares was excluded from the calculation of diluted net income per share for the three months ended March 31, 2015 and 2014,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2015, our revenues were $37.0 million, an increase of 28% from the comparable period in 2014, and represented our 57</w:t>
      </w:r>
      <w:r>
        <w:rPr>
          <w:rFonts w:ascii="Arial" w:cs="Arial" w:eastAsia="Arial" w:hAnsi="Arial"/>
          <w:sz w:val="15"/>
          <w:szCs w:val="15"/>
          <w:color w:val="auto"/>
        </w:rPr>
        <w:t>th</w:t>
      </w:r>
      <w:r>
        <w:rPr>
          <w:rFonts w:ascii="Arial" w:cs="Arial" w:eastAsia="Arial" w:hAnsi="Arial"/>
          <w:sz w:val="18"/>
          <w:szCs w:val="18"/>
          <w:color w:val="auto"/>
        </w:rPr>
        <w:t xml:space="preserve"> consecutive quarter of increased revenues. Total operating expenses increased 28% and net income increased 57% for the same period in 2015 from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three months ended March 31, 2015,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2014 as filed with the Securities and Exchange Commission on February 20, 2015.</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During the three months ended March 31, 2015, there were no changes in our significant accounting policies or estimates. See Note A to our consolidated financial statements included in this Quarterly Report on Form 10-Q and in our Annual Report on Form 10-K for the year ended December 31, 2014, as filed with the Securities and Exchange Commission on February 20, 2015, for additional information regarding our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gridSpan w:val="7"/>
          </w:tcPr>
          <w:p>
            <w:pPr>
              <w:jc w:val="right"/>
              <w:ind w:right="1320"/>
              <w:spacing w:after="0"/>
              <w:rPr>
                <w:sz w:val="20"/>
                <w:szCs w:val="20"/>
                <w:color w:val="auto"/>
              </w:rPr>
            </w:pPr>
            <w:r>
              <w:rPr>
                <w:rFonts w:ascii="Arial" w:cs="Arial" w:eastAsia="Arial" w:hAnsi="Arial"/>
                <w:sz w:val="14"/>
                <w:szCs w:val="14"/>
                <w:color w:val="auto"/>
              </w:rPr>
              <w:t>Three Months Ended March 31,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96"/>
              </w:rPr>
              <w:t>2015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w w:val="89"/>
              </w:rPr>
              <w:t>2014</w:t>
            </w:r>
          </w:p>
        </w:tc>
        <w:tc>
          <w:tcPr>
            <w:tcW w:w="40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5"/>
                <w:szCs w:val="15"/>
                <w:color w:val="auto"/>
              </w:rPr>
            </w:pPr>
          </w:p>
        </w:tc>
        <w:tc>
          <w:tcPr>
            <w:tcW w:w="86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36,970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28,939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7"/>
              </w:rPr>
              <w:t>$8,031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11,572</w:t>
            </w:r>
          </w:p>
        </w:tc>
        <w:tc>
          <w:tcPr>
            <w:tcW w:w="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8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32.0</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2,317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25,398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19,684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5,714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13,744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10,884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2,860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4,069</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1,095</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1,307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128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24,476</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19,086</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5,390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324</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272"/>
              <w:spacing w:after="0"/>
              <w:rPr>
                <w:sz w:val="20"/>
                <w:szCs w:val="20"/>
                <w:color w:val="auto"/>
              </w:rPr>
            </w:pPr>
            <w:r>
              <w:rPr>
                <w:rFonts w:ascii="Arial" w:cs="Arial" w:eastAsia="Arial" w:hAnsi="Arial"/>
                <w:sz w:val="18"/>
                <w:szCs w:val="18"/>
                <w:color w:val="auto"/>
              </w:rPr>
              <w:t>68</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4"/>
              </w:rPr>
              <w:t>971.4</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3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256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58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4"/>
          </w:tcPr>
          <w:p>
            <w:pPr>
              <w:spacing w:after="0"/>
              <w:rPr>
                <w:sz w:val="20"/>
                <w:szCs w:val="20"/>
                <w:color w:val="auto"/>
              </w:rPr>
            </w:pPr>
            <w:r>
              <w:rPr>
                <w:rFonts w:ascii="Arial" w:cs="Arial" w:eastAsia="Arial" w:hAnsi="Arial"/>
                <w:sz w:val="18"/>
                <w:szCs w:val="18"/>
                <w:color w:val="auto"/>
                <w:w w:val="91"/>
              </w:rPr>
              <w:t>Due to rounding, totals may not equal the sum of the line items in the table above.</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11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2015 increased $8.0 million, or 28%, to $37.0 million from $28.9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2014.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12% to 22,436 at March 31, 2015 from 20,016 at March 31, 2014.</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15% to $6,013 for the three months ended March 31, 2015 from $5,220 for the same period in 2014. This increase in wallet share was primarily attributable to increased fees resulting from increased usage of our solutions by our recurring revenue customers and growth in larger customers.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Recurring revenues from recurring revenue customers accounted for 90% of our total revenues for each of the three months ended March 31, 2015 and 2014, respectively.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March 31, 2015 increased $2.3 million, or 25%, to $11.6 million from $9.3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2014. The increase in cost of revenues for the three month period in 2015 was primarily due to increased headcount in 2015, which resulted in higher personnel-related costs of approximately $1.9 million compared to the same period in 2014. As a percentage of revenues, cost of revenues was 31% for the three months ended March 31, 2015, compared to 32% for the same period in 2014. Going forward, we anticipate that cost of revenues will increase in absolute dollars as we continue to expand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March 31, 2015 increased $2.9 million, or 26%,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$13.7 million from $10.9 million for the same period in 2014. The increase in sales and marketing expenses for the three month period in 2015 was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headcount in 2015, which resulted in higher personnel-related costs of approximately $1.8 million, as well as increased variable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$700,000 earned by sales personnel and referral partners from new business compared to the same period in 2014. As a percentage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sales and marketing expenses were 37% for the three months ended March 31, 2015 compared to 38% for the same period in 2014. As we expand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business, we will continue to add resources to our sales and marketing efforts over time, and we expect that these expenses will continue to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absolute dollars.</w:t>
      </w:r>
    </w:p>
    <w:p>
      <w:pPr>
        <w:spacing w:after="0" w:line="21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2015 increased $1.1 million, or 37%,</w:t>
      </w:r>
      <w:r>
        <w:rPr>
          <w:rFonts w:ascii="Arial" w:cs="Arial" w:eastAsia="Arial" w:hAnsi="Arial"/>
          <w:sz w:val="16"/>
          <w:szCs w:val="16"/>
          <w:i w:val="1"/>
          <w:iCs w:val="1"/>
          <w:color w:val="auto"/>
        </w:rPr>
        <w:t xml:space="preserve"> </w:t>
      </w:r>
      <w:r>
        <w:rPr>
          <w:rFonts w:ascii="Arial" w:cs="Arial" w:eastAsia="Arial" w:hAnsi="Arial"/>
          <w:sz w:val="16"/>
          <w:szCs w:val="16"/>
          <w:color w:val="auto"/>
        </w:rPr>
        <w:t>to $4.1 million from $3.0 million for the same period in 2014. The increase in research and development expenses for the three month period in 2015 was primarily due to increased headcount in 2015, which resulted in higher personnel costs of approximately $800,000 compared to the same period in 2014. We also had increased occupancy expenses of approximately $100,000 in 2015 as compared to 2014. As a percentage of revenues, research and development expenses were 11% for the three months ended March 31, 2015 compared to 10% for the same period in 2014. As we enhance and expand our solutions and applications, we expect that research and development expenses will continue to increase in absolute dollars.</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2015 increased $1.3 million, or 29%,</w:t>
      </w:r>
      <w:r>
        <w:rPr>
          <w:rFonts w:ascii="Arial" w:cs="Arial" w:eastAsia="Arial" w:hAnsi="Arial"/>
          <w:sz w:val="16"/>
          <w:szCs w:val="16"/>
          <w:i w:val="1"/>
          <w:iCs w:val="1"/>
          <w:color w:val="auto"/>
        </w:rPr>
        <w:t xml:space="preserve"> </w:t>
      </w:r>
      <w:r>
        <w:rPr>
          <w:rFonts w:ascii="Arial" w:cs="Arial" w:eastAsia="Arial" w:hAnsi="Arial"/>
          <w:sz w:val="16"/>
          <w:szCs w:val="16"/>
          <w:color w:val="auto"/>
        </w:rPr>
        <w:t>to $5.8 million from $4.5 million for the same period in 2014. The increase in general and administrative expenses for the three month period in 2015 was due to increased headcount in 2015, which resulted in higher personnel-related costs of approximately $775,000 compared to the same period in 2014. We also had increased occupancy expenses of approximately $160,000 and increased computer and office supply expenses of approximately $155,000 in 2015 as compared to 2014. As a percentage of revenues, general and administrative expenses were 16% for each of the three months ended March 31, 2015 and 2014, respectively. Going forward, we expect that general and administrative expenses will continue to increase in absolute dollars as we expand our business.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$261,000 and $218,000 for the three months ended March 31, 2015 and 2014,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provisions for income taxes included current foreign and state income tax expense, as well as deferred tax expense. The increase in income tax expense for the three month period in 2015 was primarily due to the increase in pretax book income, partially offset by an increase in discrete benefits recorded for disqualifying dispositions of incentive stock options in 2015. For the full year 2015, we expect that our annual effective income tax rate will be approximately 40%.</w:t>
      </w:r>
    </w:p>
    <w:p>
      <w:pPr>
        <w:spacing w:after="0" w:line="188" w:lineRule="exact"/>
        <w:rPr>
          <w:sz w:val="20"/>
          <w:szCs w:val="20"/>
          <w:color w:val="auto"/>
        </w:rPr>
      </w:pPr>
    </w:p>
    <w:p>
      <w:pPr>
        <w:jc w:val="both"/>
        <w:ind w:right="680" w:firstLine="456"/>
        <w:spacing w:after="0" w:line="286"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plus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stock-based compensation expense and other adjustments as necessary for a fair presentation. The following table provides a reconciliation of net income to Adjusted EBITDA (in thousands):</w:t>
      </w:r>
    </w:p>
    <w:p>
      <w:pPr>
        <w:spacing w:after="0" w:line="188"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Three Months Ended</w:t>
      </w:r>
    </w:p>
    <w:p>
      <w:pPr>
        <w:jc w:val="center"/>
        <w:ind w:left="702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1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3,196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1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4,695</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209"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040" w:type="dxa"/>
            <w:vAlign w:val="bottom"/>
            <w:gridSpan w:val="2"/>
          </w:tcPr>
          <w:p>
            <w:pPr>
              <w:spacing w:after="0"/>
              <w:rPr>
                <w:sz w:val="20"/>
                <w:szCs w:val="20"/>
                <w:color w:val="auto"/>
              </w:rPr>
            </w:pPr>
            <w:r>
              <w:rPr>
                <w:rFonts w:ascii="Arial" w:cs="Arial" w:eastAsia="Arial" w:hAnsi="Arial"/>
                <w:sz w:val="18"/>
                <w:szCs w:val="18"/>
                <w:color w:val="auto"/>
              </w:rPr>
              <w:t>Non-GAAP income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used to compute non-GAAP income per share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Basic</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color w:val="auto"/>
              </w:rPr>
              <w:t>Non-GAAP income per share</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60" w:type="dxa"/>
            <w:vAlign w:val="bottom"/>
          </w:tcPr>
          <w:p>
            <w:pPr>
              <w:jc w:val="right"/>
              <w:ind w:right="239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At March 31, 2015, our principal sources of liquidity were cash and cash equivalents of $133.6 million and accounts receivable, net of allowance for doubtful accounts, of $15.8 million. Our working capital at March 31, 2015 was $141.4 million compared to $137.6 million at December 31, 2014. The increase in working capital from December 31, 2014 to March 31, 2015 resulted from the following:</w:t>
      </w:r>
    </w:p>
    <w:p>
      <w:pPr>
        <w:spacing w:after="0" w:line="87" w:lineRule="exact"/>
        <w:rPr>
          <w:sz w:val="20"/>
          <w:szCs w:val="20"/>
          <w:color w:val="auto"/>
        </w:rPr>
      </w:pPr>
    </w:p>
    <w:p>
      <w:pPr>
        <w:ind w:left="900" w:right="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million increase in cash and cash equivalents, due primarily to the $3.1 million of cash provided by operations and the $2.0 million of cash received from the exercise of stock options, reduced by the $2.3 million of cash used for capital expenditures;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$401,000 increase in net accounts receivable, as new accounts slightly exceeded collections of outstanding balances for the three months ended March 31, 2015 due to growth in our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$856,000 increase in deferred costs for expenses related to increased implementation resources and commission payments for new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$517,000 decrease in accounts payable, primarily due to timing of payments and receipt of invoices;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$377,000 increase in accrued compensation due primarily to increased headcount and payroll timing, offset by payments made in 2015 for bonuses accrued as of December 31, 2014;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$326,000 increase in accrued expenses due primarily to timing of receiving invoices and growth in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Net cash provided by operating activities was $3.1 million and $3.6 million for the three months ended March 31, 2015 and 2014, respectively. The slight increase in net income, the changes in non-cash expenses, including increased depreciation, amortization and stock-based compensation, and the changes in our working capital accounts, including those discussed above, all resulted in the slight decrease in net cash provided by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Net cash used in investing activities was $2.3 million and $861,000 for the three months ended March 31, 2015 and 2014, respectively, all for capital expenditures. Our capital expenditures are for supporting our business growth and existing customer base, as well as for our internal use such as equipment for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cash provided by financing activities was $2.3 million and $612,000 for the three months ended March 31, 2015 and 2014, respectively, all related to the exercise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Our results of operations and cash flows were not materially affected by fluctuations in foreign currency exchange rates. We maintain less than 5% of our total cash and cash equivalents outside of the United States in foreign currencies, primarily in Australian dollars. We believe that a significant change in foreign currency exchange rates or an inability to access these funds would not affect our ability to meet our operational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March 31, 2015 and we were in compliance with all covenants under the revolving credit agreement as of that date.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2015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March 31, 2015. We therefore do not have any material risk to interest rate fluctuations unless we borrow under our credit facility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revenue, expenses, assets and liabilities that are denominated in currencies other than the U.S. dollar, primarily the Australian dollar. As we expand internationally, our results of operations and cash flows may be impacted by changes in foreign currency exchange rates, and would be adversely impacted when the U.S. dollar depreciates relative to other foreign currencies. We have not used any forward contracts or currency borrowings to hedge our exposure to foreign currency exchange risk, although we may do so in the future.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2015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2014 as filed with the Securities and Exchange Commission on February 20,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April 30, 2015</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94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i w:val="1"/>
                <w:iCs w:val="1"/>
                <w:color w:val="auto"/>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7"/>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Certificate of Incorporation (incorporated by reference to Exhibit 4.1 to our Registration Statement on Form S-3 (File No. 333-182097) filed with</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the Commission on June 13, 2012).</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Bylaws (incorporated by reference to Exhibit 3.2 to our Registration Statement on Form S-1/A (File No. 333-163476) filed with the Commission</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on March 5, 2010).</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Non-Employee Director Compensation Plan ** (filed herewith).</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1"/>
              </w:rPr>
              <w:t>Certification of Principal Executive Officer pursuant to Rules 13a-14(a) under the Securities Exchange Act of 1934, as amended (filed herewith).</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Principal Financial Officer pursuant to Rules 13a-14(a) under the Securities Exchange Act of 1934, as amended (filed herewith).</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 1350, as adopted pursuant to Section 906 of the</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ON</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February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annual retainer</w:t>
      </w:r>
      <w:r>
        <w:rPr>
          <w:rFonts w:ascii="Arial" w:cs="Arial" w:eastAsia="Arial" w:hAnsi="Arial"/>
          <w:sz w:val="18"/>
          <w:szCs w:val="18"/>
          <w:color w:val="auto"/>
        </w:rPr>
        <w:t>: Annual retainer, payable in case, of $27,500 per director except for the chairperson who shall receive $39,500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Committee chairs annual retainer</w:t>
            </w:r>
            <w:r>
              <w:rPr>
                <w:rFonts w:ascii="Arial" w:cs="Arial" w:eastAsia="Arial" w:hAnsi="Arial"/>
                <w:sz w:val="18"/>
                <w:szCs w:val="18"/>
                <w:color w:val="auto"/>
              </w:rPr>
              <w:t>: Annual retainers, payable in cash, of:</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Governance and Nominating Committee:</w:t>
            </w: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$ 6,800</w:t>
            </w: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Committee member annual retainer</w:t>
            </w:r>
            <w:r>
              <w:rPr>
                <w:rFonts w:ascii="Arial" w:cs="Arial" w:eastAsia="Arial" w:hAnsi="Arial"/>
                <w:sz w:val="18"/>
                <w:szCs w:val="18"/>
                <w:color w:val="auto"/>
              </w:rPr>
              <w:t>: Annual retainers, payable in cash, of:</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Governance and Nominating Committee:</w:t>
            </w: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Non-statutory stock option grants</w:t>
      </w:r>
      <w:r>
        <w:rPr>
          <w:rFonts w:ascii="Arial" w:cs="Arial" w:eastAsia="Arial" w:hAnsi="Arial"/>
          <w:sz w:val="18"/>
          <w:szCs w:val="18"/>
          <w:color w:val="auto"/>
        </w:rPr>
        <w:t>:</w:t>
      </w:r>
    </w:p>
    <w:p>
      <w:pPr>
        <w:spacing w:after="0" w:line="131" w:lineRule="exact"/>
        <w:rPr>
          <w:sz w:val="20"/>
          <w:szCs w:val="20"/>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purchase up to $46,175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30" w:lineRule="exact"/>
        <w:rPr>
          <w:rFonts w:ascii="Arial" w:cs="Arial" w:eastAsia="Arial" w:hAnsi="Arial"/>
          <w:sz w:val="18"/>
          <w:szCs w:val="18"/>
          <w:color w:val="auto"/>
        </w:rPr>
      </w:pPr>
    </w:p>
    <w:p>
      <w:pPr>
        <w:ind w:left="900" w:right="9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Exercise price per share equal to the closing sales price for a share on the Nasdaq Global Market on the date of the annual meeting of stockholders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Vest in four equal installments on the last day of each fiscal quarter with the first vesting occurring on June 30, provided the recipient remains a member of the board as of the vesting date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Maximum term of seven years measured from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r>
        <w:rPr>
          <w:rFonts w:ascii="Arial" w:cs="Arial" w:eastAsia="Arial" w:hAnsi="Arial"/>
          <w:sz w:val="18"/>
          <w:szCs w:val="18"/>
          <w:color w:val="auto"/>
        </w:rPr>
        <w:t>:</w:t>
      </w:r>
    </w:p>
    <w:p>
      <w:pPr>
        <w:spacing w:after="0" w:line="131" w:lineRule="exact"/>
        <w:rPr>
          <w:sz w:val="20"/>
          <w:szCs w:val="20"/>
          <w:color w:val="auto"/>
        </w:rPr>
      </w:pPr>
    </w:p>
    <w:p>
      <w:pPr>
        <w:ind w:left="900" w:right="2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acquire up to $46,175 of restricted common stock calculated by dividing this amount by the closing sale price for a share of the Company’s common stock on the Nasdaq Global Market on the date of the Company’s annual meeting of stockholders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Vests in four equal installments on the last day of each fiscal quarter with the first vesting occurring on June 30, provided the recipient remains a member of the board as of the vesting date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Reimbursement of expenses</w:t>
      </w:r>
      <w:r>
        <w:rPr>
          <w:rFonts w:ascii="Arial" w:cs="Arial" w:eastAsia="Arial" w:hAnsi="Arial"/>
          <w:sz w:val="18"/>
          <w:szCs w:val="18"/>
          <w:color w:val="auto"/>
        </w:rPr>
        <w:t>: The Company shall reimburse directors for reasonable expenses incurred in connection with attending board and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2015,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2019-12-29T19:03:08Z</dcterms:created>
  <dcterms:modified xsi:type="dcterms:W3CDTF">2019-12-29T19:03:08Z</dcterms:modified>
</cp:coreProperties>
</file>