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49"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8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3980180</wp:posOffset>
            </wp:positionH>
            <wp:positionV relativeFrom="paragraph">
              <wp:posOffset>-7620</wp:posOffset>
            </wp:positionV>
            <wp:extent cx="838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111" w:lineRule="exact"/>
        <w:rPr>
          <w:sz w:val="24"/>
          <w:szCs w:val="24"/>
          <w:color w:val="auto"/>
        </w:rPr>
      </w:pPr>
    </w:p>
    <w:tbl>
      <w:tblPr>
        <w:tblLayout w:type="fixed"/>
        <w:tblInd w:w="1940" w:type="dxa"/>
        <w:tblCellMar>
          <w:top w:w="0" w:type="dxa"/>
          <w:left w:w="0" w:type="dxa"/>
          <w:bottom w:w="0" w:type="dxa"/>
          <w:right w:w="0" w:type="dxa"/>
        </w:tblCellMar>
      </w:tblPr>
      <w:tr>
        <w:trPr>
          <w:trHeight w:val="216"/>
        </w:trPr>
        <w:tc>
          <w:tcPr>
            <w:tcW w:w="39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39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i w:val="1"/>
                <w:iCs w:val="1"/>
                <w:color w:val="auto"/>
                <w:w w:val="90"/>
              </w:rPr>
              <w:t>(State or Other Jurisdiction of</w:t>
            </w:r>
          </w:p>
        </w:tc>
        <w:tc>
          <w:tcPr>
            <w:tcW w:w="3220" w:type="dxa"/>
            <w:vAlign w:val="bottom"/>
          </w:tcPr>
          <w:p>
            <w:pPr>
              <w:jc w:val="center"/>
              <w:ind w:left="2062"/>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r>
      <w:tr>
        <w:trPr>
          <w:trHeight w:val="182"/>
        </w:trPr>
        <w:tc>
          <w:tcPr>
            <w:tcW w:w="3960" w:type="dxa"/>
            <w:vAlign w:val="bottom"/>
          </w:tcPr>
          <w:p>
            <w:pPr>
              <w:jc w:val="center"/>
              <w:ind w:right="2022"/>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3220" w:type="dxa"/>
            <w:vAlign w:val="bottom"/>
          </w:tcPr>
          <w:p>
            <w:pPr>
              <w:jc w:val="center"/>
              <w:ind w:left="2042"/>
              <w:spacing w:after="0"/>
              <w:rPr>
                <w:sz w:val="20"/>
                <w:szCs w:val="20"/>
                <w:color w:val="auto"/>
              </w:rPr>
            </w:pPr>
            <w:r>
              <w:rPr>
                <w:rFonts w:ascii="Arial" w:cs="Arial" w:eastAsia="Arial" w:hAnsi="Arial"/>
                <w:sz w:val="14"/>
                <w:szCs w:val="14"/>
                <w:b w:val="1"/>
                <w:bCs w:val="1"/>
                <w:i w:val="1"/>
                <w:iCs w:val="1"/>
                <w:color w:val="auto"/>
                <w:w w:val="92"/>
              </w:rPr>
              <w:t>Identification No.)</w:t>
            </w:r>
          </w:p>
        </w:tc>
      </w:tr>
    </w:tbl>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29"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29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2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87"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52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par value $0.001 per share, outstanding at October 19, 2018 was 17,664,624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06"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680" w:type="dxa"/>
            <w:vAlign w:val="bottom"/>
            <w:gridSpan w:val="9"/>
            <w:vMerge w:val="restart"/>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11"/>
            <w:vMerge w:val="continue"/>
          </w:tcPr>
          <w:p>
            <w:pPr>
              <w:spacing w:after="0"/>
              <w:rPr>
                <w:sz w:val="15"/>
                <w:szCs w:val="15"/>
                <w:color w:val="auto"/>
              </w:rPr>
            </w:pPr>
          </w:p>
        </w:tc>
        <w:tc>
          <w:tcPr>
            <w:tcW w:w="7680" w:type="dxa"/>
            <w:vAlign w:val="bottom"/>
            <w:gridSpan w:val="9"/>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200" w:type="dxa"/>
            <w:vAlign w:val="bottom"/>
            <w:gridSpan w:val="1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2018 and December 31, 2017 (unaudited)</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20" w:type="dxa"/>
            <w:vAlign w:val="bottom"/>
            <w:gridSpan w:val="1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Income for the three and nine months ended September 30, 2018 and 2017</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8580" w:type="dxa"/>
            <w:vAlign w:val="bottom"/>
            <w:tcBorders>
              <w:top w:val="single" w:sz="8" w:color="0000EE"/>
            </w:tcBorders>
            <w:gridSpan w:val="15"/>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nine months ended September 30, 2018 and 2017 (unaudited)</w:t>
              </w:r>
            </w:hyperlink>
          </w:p>
        </w:tc>
        <w:tc>
          <w:tcPr>
            <w:tcW w:w="120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Consolidated Financial Statements (unaudited)</w:t>
              </w:r>
            </w:hyperlink>
          </w:p>
        </w:tc>
        <w:tc>
          <w:tcPr>
            <w:tcW w:w="48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2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6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79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798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2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380" w:type="dxa"/>
            <w:vAlign w:val="bottom"/>
            <w:gridSpan w:val="1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536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Defaults Upon Senior Securities</w:t>
              </w:r>
            </w:hyperlink>
          </w:p>
        </w:tc>
        <w:tc>
          <w:tcPr>
            <w:tcW w:w="738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Mine Safety Disclosures</w:t>
              </w:r>
            </w:hyperlink>
          </w:p>
        </w:tc>
        <w:tc>
          <w:tcPr>
            <w:tcW w:w="79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720" w:type="dxa"/>
            <w:vAlign w:val="bottom"/>
            <w:gridSpan w:val="1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400" w:type="dxa"/>
            <w:vAlign w:val="bottom"/>
            <w:gridSpan w:val="1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and “SPS” refer to SPS Commerce,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2017 as filed with the Securities and Exchange Commission (“SEC”).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shares and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6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ind w:left="35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144,748</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less allowance for doubtful accounts of $1,199 and $763, respectively</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256,438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50,502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51,613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asset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368,460</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339,738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3,853</w:t>
            </w:r>
          </w:p>
        </w:tc>
        <w:tc>
          <w:tcPr>
            <w:tcW w:w="28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 liability</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Preferred stock, $0.001 par value; 5,000,000 shares authorized; 0 shares issued and outstanding</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40" w:type="dxa"/>
            <w:vAlign w:val="bottom"/>
          </w:tcPr>
          <w:p>
            <w:pPr>
              <w:ind w:left="260"/>
              <w:spacing w:after="0"/>
              <w:rPr>
                <w:sz w:val="20"/>
                <w:szCs w:val="20"/>
                <w:color w:val="auto"/>
              </w:rPr>
            </w:pPr>
            <w:r>
              <w:rPr>
                <w:rFonts w:ascii="Arial" w:cs="Arial" w:eastAsia="Arial" w:hAnsi="Arial"/>
                <w:sz w:val="18"/>
                <w:szCs w:val="18"/>
                <w:color w:val="auto"/>
                <w:w w:val="91"/>
              </w:rPr>
              <w:t>Common stock, $0.001 par value; 55,000,000 shares authorized; 17,644,364 and 17,249,153 shares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500"/>
              <w:spacing w:after="0"/>
              <w:rPr>
                <w:sz w:val="20"/>
                <w:szCs w:val="20"/>
                <w:color w:val="auto"/>
              </w:rPr>
            </w:pPr>
            <w:r>
              <w:rPr>
                <w:rFonts w:ascii="Arial" w:cs="Arial" w:eastAsia="Arial" w:hAnsi="Arial"/>
                <w:sz w:val="18"/>
                <w:szCs w:val="18"/>
                <w:color w:val="auto"/>
              </w:rPr>
              <w:t>issued; and 17,302,572 and 17,127,006 outstanding, respectively</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 341,792 and 122,147 shares, respectively</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(19,682)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(5,815)</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323,539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301,863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310,571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368,460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 xml:space="preserve">SPS COMMERCE, INC. AND SUBSIDIARIES CONDENSED CONSOLIDATED STATEMENTS OF COMPREHENSIVE INCOME </w:t>
      </w:r>
      <w:r>
        <w:rPr>
          <w:rFonts w:ascii="Arial" w:cs="Arial" w:eastAsia="Arial" w:hAnsi="Arial"/>
          <w:sz w:val="18"/>
          <w:szCs w:val="18"/>
          <w:color w:val="auto"/>
        </w:rPr>
        <w:t>(Unaudited;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62,868</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183,051</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42,457</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11,174</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34,200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34,058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(219)</w:t>
            </w: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0.97</w:t>
            </w:r>
          </w:p>
        </w:tc>
        <w:tc>
          <w:tcPr>
            <w:tcW w:w="16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0.95</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17,219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17,223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on investments, net of tax of $41, $10, $88 and $0</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w w:val="96"/>
              </w:rPr>
              <w:t>Reclassification of unrealized (gain) loss on investments into earnings,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of tax of ($11), $44, ($64) and $29</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14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16,731</w:t>
            </w:r>
          </w:p>
        </w:tc>
        <w:tc>
          <w:tcPr>
            <w:tcW w:w="280" w:type="dxa"/>
            <w:vAlign w:val="bottom"/>
          </w:tcPr>
          <w:p>
            <w:pPr>
              <w:spacing w:after="0"/>
              <w:rPr>
                <w:sz w:val="19"/>
                <w:szCs w:val="19"/>
                <w:color w:val="auto"/>
              </w:rPr>
            </w:pPr>
          </w:p>
        </w:tc>
        <w:tc>
          <w:tcPr>
            <w:tcW w:w="560" w:type="dxa"/>
            <w:vAlign w:val="bottom"/>
            <w:gridSpan w:val="2"/>
          </w:tcPr>
          <w:p>
            <w:pPr>
              <w:jc w:val="right"/>
              <w:ind w:right="43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5,261</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Amortization of intangible assets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doubtful accounts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6,833</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net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(4,279)</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(4,476)</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Deferred costs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(3,813)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(5,188)</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and non-current assets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(681)</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compensation</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(1,517)</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Deferred rent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r>
      <w:tr>
        <w:trPr>
          <w:trHeight w:val="223"/>
        </w:trPr>
        <w:tc>
          <w:tcPr>
            <w:tcW w:w="66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(9,875)</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(5,242)</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(64,434)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(29,819)</w:t>
            </w: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investments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23,029</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Acquisitions of businesses and intangible assets, net of cash acquired</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(14,690)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(13,867)</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stock purchase plan</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Effect of foreign currency exchange rate changes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13,107</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123,127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115,877</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1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144,748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128,984</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retailers, suppliers, distributors and logistics firms orchestrate the sourcing, set up of new vendors and items and fulfillment of products that consumers buy. We derive the majority of our revenues from thousands of monthly recurring subscriptions from businesses that utilize our solutions.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 intercompany accounts and transactions have been eliminated in the unaudited condensed consolidated financial statements, which have been prepared in conformity with U.S. generally accepted accounting principles (“GAAP”) for interim financial information and with the instructions to Form 10-Q and Rule 10-01 of Regulation S-X. Accordingly, these unaudited condensed consolidated financial statements do not include all of the information and notes required by GAAP. We have included all normal recurring adjustments considered necessary to provide a fair presentation of our financial position, results of operations and cash flows for the interim periods shown. Operating results for these interim periods are not necessarily indicative of the results to be expected for the full year. For further information, refer to the consolidated financial statements and accompanying notes for the year ended December 31, 2017 included in our Annual Report on Form 10-K as filed with the SEC on February 26, 2018.</w:t>
      </w:r>
    </w:p>
    <w:p>
      <w:pPr>
        <w:spacing w:after="0" w:line="17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 xml:space="preserve">Effective January 1, 2018, we adopted the requirements of Accounting Standards Update ("ASU") No. 2014-09 (“ASU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on a retrospective basis as discussed in this Note A. All amounts and disclosures set forth in this Form 10-Q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to comply with the new standards.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 xml:space="preserve">In May 2014, the Financial Accounting Standards Board (“FASB”) issued ASU 2014-09 which requires an entity to recognize the amount of revenue to which it expects to be entitled for the transfer of promised goods or services to customers in an amount that reflects the consideration to which the entity expects to be entitled in exchange for those goods or services. This guidance replaced most existing revenue recognition guidance in GAAP. Topic 606 also includes Subtopic 340-40, </w:t>
      </w:r>
      <w:r>
        <w:rPr>
          <w:rFonts w:ascii="Arial" w:cs="Arial" w:eastAsia="Arial" w:hAnsi="Arial"/>
          <w:sz w:val="17"/>
          <w:szCs w:val="17"/>
          <w:i w:val="1"/>
          <w:iCs w:val="1"/>
          <w:color w:val="auto"/>
        </w:rPr>
        <w:t>Other Assets and Deferred Costs – Contracts with Customers</w:t>
      </w:r>
      <w:r>
        <w:rPr>
          <w:rFonts w:ascii="Arial" w:cs="Arial" w:eastAsia="Arial" w:hAnsi="Arial"/>
          <w:sz w:val="17"/>
          <w:szCs w:val="17"/>
          <w:color w:val="auto"/>
        </w:rPr>
        <w:t>, which requires the deferral of incremental costs of obtaining a contract with a customer. Collectively, we refer to Topic 606 and Subtopic 340-40 as the “new standard.” These requirements are effective for annual reporting periods beginning after December 15, 2017, and interim periods within those annual periods.</w:t>
      </w:r>
    </w:p>
    <w:p>
      <w:pPr>
        <w:spacing w:after="0" w:line="178"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adopted the new standard effective January 1, 2018, on a retrospective basis. The new standard did not impact our recognition of the recurring revenue received from customers for our cloud-based supply chain solutions; however, the adoption of the new standard impacted our accounting for certain upfront set-up fees, the periods over which the related revenues are recognized and the timing of revenue recognition for these set-up fees. The adoption of the new standard also impacted our accounting for certain costs to obtain our contracts, specifically related to the periods over which commissions are recognized as well as the timing of cost recognition.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6" w:name="page7"/>
    <w:bookmarkEnd w:id="6"/>
    <w:p>
      <w:pPr>
        <w:ind w:left="520"/>
        <w:spacing w:after="0"/>
        <w:rPr>
          <w:sz w:val="20"/>
          <w:szCs w:val="20"/>
          <w:color w:val="auto"/>
        </w:rPr>
      </w:pPr>
      <w:r>
        <w:rPr>
          <w:rFonts w:ascii="Arial" w:cs="Arial" w:eastAsia="Arial" w:hAnsi="Arial"/>
          <w:sz w:val="18"/>
          <w:szCs w:val="18"/>
          <w:color w:val="auto"/>
        </w:rPr>
        <w:t>Selected condensed consolidated balance sheet line items, which reflect the adoption of ASU 2014-09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December 31, 2017</w:t>
            </w: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w w:val="97"/>
              </w:rPr>
              <w:t>As previously</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adjusted</w:t>
            </w: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Deferred costs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25,091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4,875</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29,966</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costs, non-current</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9,967</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Deferred income tax asset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17,551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(3,854)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13,697</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15,886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15,228</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17,863</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(7,871)</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(19,902)</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(8,611)</w:t>
            </w:r>
          </w:p>
        </w:tc>
      </w:tr>
    </w:tbl>
    <w:p>
      <w:pPr>
        <w:spacing w:after="0" w:line="201"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color w:val="auto"/>
        </w:rPr>
        <w:t>Selected unaudited condensed consolidated statement of operations line items, which reflect the adoption of ASU 2014-09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 September 30, 2017</w:t>
            </w:r>
          </w:p>
        </w:tc>
        <w:tc>
          <w:tcPr>
            <w:tcW w:w="20" w:type="dxa"/>
            <w:vAlign w:val="bottom"/>
          </w:tcPr>
          <w:p>
            <w:pPr>
              <w:spacing w:after="0"/>
              <w:rPr>
                <w:sz w:val="14"/>
                <w:szCs w:val="14"/>
                <w:color w:val="auto"/>
              </w:rPr>
            </w:pPr>
          </w:p>
        </w:tc>
      </w:tr>
      <w:tr>
        <w:trPr>
          <w:trHeight w:val="252"/>
        </w:trPr>
        <w:tc>
          <w:tcPr>
            <w:tcW w:w="37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As previously</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37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reported</w:t>
            </w:r>
          </w:p>
        </w:tc>
        <w:tc>
          <w:tcPr>
            <w:tcW w:w="200" w:type="dxa"/>
            <w:vAlign w:val="bottom"/>
          </w:tcPr>
          <w:p>
            <w:pPr>
              <w:spacing w:after="0"/>
              <w:rPr>
                <w:sz w:val="19"/>
                <w:szCs w:val="19"/>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9"/>
                <w:szCs w:val="19"/>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0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56,150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30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0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Basic</w:t>
            </w:r>
          </w:p>
        </w:tc>
        <w:tc>
          <w:tcPr>
            <w:tcW w:w="3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37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For the nine months ended September 30, 2017</w:t>
            </w:r>
          </w:p>
        </w:tc>
        <w:tc>
          <w:tcPr>
            <w:tcW w:w="20" w:type="dxa"/>
            <w:vAlign w:val="bottom"/>
          </w:tcPr>
          <w:p>
            <w:pPr>
              <w:spacing w:after="0"/>
              <w:rPr>
                <w:sz w:val="24"/>
                <w:szCs w:val="24"/>
                <w:color w:val="auto"/>
              </w:rPr>
            </w:pPr>
          </w:p>
        </w:tc>
      </w:tr>
      <w:tr>
        <w:trPr>
          <w:trHeight w:val="146"/>
        </w:trPr>
        <w:tc>
          <w:tcPr>
            <w:tcW w:w="37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1"/>
              </w:rPr>
              <w:t>As previously</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1"/>
        </w:trPr>
        <w:tc>
          <w:tcPr>
            <w:tcW w:w="3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reported</w:t>
            </w:r>
          </w:p>
        </w:tc>
        <w:tc>
          <w:tcPr>
            <w:tcW w:w="20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14"/>
                <w:szCs w:val="14"/>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30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162,366</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162,028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Operating expenses</w:t>
            </w: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(1,078)</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52,981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3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8,949</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30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0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3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Basic</w:t>
            </w:r>
          </w:p>
        </w:tc>
        <w:tc>
          <w:tcPr>
            <w:tcW w:w="3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3700" w:type="dxa"/>
            <w:vAlign w:val="bottom"/>
          </w:tcPr>
          <w:p>
            <w:pPr>
              <w:spacing w:after="0"/>
              <w:rPr>
                <w:sz w:val="24"/>
                <w:szCs w:val="24"/>
                <w:color w:val="auto"/>
              </w:rPr>
            </w:pPr>
          </w:p>
        </w:tc>
        <w:tc>
          <w:tcPr>
            <w:tcW w:w="3080" w:type="dxa"/>
            <w:vAlign w:val="bottom"/>
          </w:tcPr>
          <w:p>
            <w:pPr>
              <w:jc w:val="right"/>
              <w:ind w:right="9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7" w:name="page8"/>
    <w:bookmarkEnd w:id="7"/>
    <w:p>
      <w:pPr>
        <w:ind w:right="780" w:firstLine="518"/>
        <w:spacing w:after="0" w:line="277" w:lineRule="auto"/>
        <w:rPr>
          <w:sz w:val="20"/>
          <w:szCs w:val="20"/>
          <w:color w:val="auto"/>
        </w:rPr>
      </w:pPr>
      <w:r>
        <w:rPr>
          <w:rFonts w:ascii="Arial" w:cs="Arial" w:eastAsia="Arial" w:hAnsi="Arial"/>
          <w:sz w:val="18"/>
          <w:szCs w:val="18"/>
          <w:color w:val="auto"/>
        </w:rPr>
        <w:t>Selected unaudited condensed consolidated statement of cash flows line items, which reflect the adoption of ASU 2014-09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8"/>
          </w:tcPr>
          <w:p>
            <w:pPr>
              <w:jc w:val="right"/>
              <w:ind w:right="940"/>
              <w:spacing w:after="0"/>
              <w:rPr>
                <w:sz w:val="20"/>
                <w:szCs w:val="20"/>
                <w:color w:val="auto"/>
              </w:rPr>
            </w:pPr>
            <w:r>
              <w:rPr>
                <w:rFonts w:ascii="Arial" w:cs="Arial" w:eastAsia="Arial" w:hAnsi="Arial"/>
                <w:sz w:val="14"/>
                <w:szCs w:val="14"/>
                <w:b w:val="1"/>
                <w:bCs w:val="1"/>
                <w:color w:val="auto"/>
              </w:rPr>
              <w:t>For the nine months ended September 30, 2017</w:t>
            </w:r>
          </w:p>
        </w:tc>
        <w:tc>
          <w:tcPr>
            <w:tcW w:w="0" w:type="dxa"/>
            <w:vAlign w:val="bottom"/>
          </w:tcPr>
          <w:p>
            <w:pPr>
              <w:spacing w:after="0"/>
              <w:rPr>
                <w:sz w:val="1"/>
                <w:szCs w:val="1"/>
                <w:color w:val="auto"/>
              </w:rPr>
            </w:pPr>
          </w:p>
        </w:tc>
      </w:tr>
      <w:tr>
        <w:trPr>
          <w:trHeight w:val="146"/>
        </w:trPr>
        <w:tc>
          <w:tcPr>
            <w:tcW w:w="6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right"/>
              <w:ind w:right="500"/>
              <w:spacing w:after="0" w:line="147" w:lineRule="exact"/>
              <w:rPr>
                <w:sz w:val="20"/>
                <w:szCs w:val="20"/>
                <w:color w:val="auto"/>
              </w:rPr>
            </w:pPr>
            <w:r>
              <w:rPr>
                <w:rFonts w:ascii="Arial" w:cs="Arial" w:eastAsia="Arial" w:hAnsi="Arial"/>
                <w:sz w:val="14"/>
                <w:szCs w:val="14"/>
                <w:b w:val="1"/>
                <w:bCs w:val="1"/>
                <w:color w:val="auto"/>
                <w:w w:val="97"/>
              </w:rPr>
              <w:t>As previously</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7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Adjustments</w:t>
            </w:r>
          </w:p>
        </w:tc>
        <w:tc>
          <w:tcPr>
            <w:tcW w:w="20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costs</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(4,487)</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(5,188)</w:t>
            </w:r>
          </w:p>
        </w:tc>
        <w:tc>
          <w:tcPr>
            <w:tcW w:w="0" w:type="dxa"/>
            <w:vAlign w:val="bottom"/>
          </w:tcPr>
          <w:p>
            <w:pPr>
              <w:spacing w:after="0"/>
              <w:rPr>
                <w:sz w:val="1"/>
                <w:szCs w:val="1"/>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(1,140)</w:t>
            </w: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518"/>
        <w:spacing w:after="0" w:line="312" w:lineRule="auto"/>
        <w:rPr>
          <w:sz w:val="20"/>
          <w:szCs w:val="20"/>
          <w:color w:val="auto"/>
        </w:rPr>
      </w:pPr>
      <w:r>
        <w:rPr>
          <w:rFonts w:ascii="Arial" w:cs="Arial" w:eastAsia="Arial" w:hAnsi="Arial"/>
          <w:sz w:val="16"/>
          <w:szCs w:val="16"/>
          <w:color w:val="auto"/>
        </w:rPr>
        <w:t xml:space="preserve">In March 2018, we adopted FASB ASU 2018-05, </w:t>
      </w:r>
      <w:r>
        <w:rPr>
          <w:rFonts w:ascii="Arial" w:cs="Arial" w:eastAsia="Arial" w:hAnsi="Arial"/>
          <w:sz w:val="16"/>
          <w:szCs w:val="16"/>
          <w:i w:val="1"/>
          <w:iCs w:val="1"/>
          <w:color w:val="auto"/>
        </w:rPr>
        <w:t>Income Taxes (Topic 740): Amendments to SEC Paragraphs Pursuant to SEC Staff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Bulletin No. 118</w:t>
      </w:r>
      <w:r>
        <w:rPr>
          <w:rFonts w:ascii="Arial" w:cs="Arial" w:eastAsia="Arial" w:hAnsi="Arial"/>
          <w:sz w:val="16"/>
          <w:szCs w:val="16"/>
          <w:color w:val="auto"/>
        </w:rPr>
        <w:t>, which updates the income tax accounting in U.S. GAAP to reflect the SEC interpretive guidance released on December 22, 2017,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Tax Cuts and Jobs Act (the “Tax Act”) was signed into law. Additional information regarding the adoption of this standard is contained in Note F.</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3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will supersede existing lease guidance and will require all leases with a term greater than 12 months to be recognized in the statements of financial position and eliminate current real estate-specific lease guidance, while maintaining substantially similar classification criteria for distinguishing between finance leases and operating leases. This standard is effective for fiscal years, and interim periods within those fiscal years, beginning after December 15, 2018, with early adoption permitted.</w:t>
      </w:r>
    </w:p>
    <w:p>
      <w:pPr>
        <w:spacing w:after="0" w:line="21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will adopt the new standard on January 1, 2019 and use the effective date as our date of initial application. Consequently, financial information will not be updated and the disclosures required under the new standard will not be provided for dates and periods before January 1, 2019. The new standard provides several optional practical expedients in transition. We expect to elect the ‘package of practical expedients’, which permits us not to reassess under the new standard our prior conclusions about lease identification, lease classification and initial direct costs. We do not expect to elect the use-of hindsight or the practical expedient pertaining to land easements; the latter not being applicable to us. The new standard also provides practical expedients for an entity’s ongoing accounting. We currently expect to elect the short-term lease recognition exemption for all leases that qualify which means we will not recognize right-of-use (“ROU”) assets or lease liabilities for these leases, and this includes not recognizing ROU assets or lease liabilities for existing short-term leases of those assets in transition. We also currently expect to elect the practical expedient to not separate lease and non-lease components for all leases.</w:t>
      </w:r>
    </w:p>
    <w:p>
      <w:pPr>
        <w:spacing w:after="0" w:line="193"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expect that this standard will have a material effect on our financial statements. While we continue to assess all of the effects of adoption, we currently believe the most significant effects relate to the recognition of new ROU assets and lease liabilities on our balance sheet for our existing operating leases. We are in the process of determining the financial statement impact and are currently unable to estimate the extent of the impact on our consolidated financial statements.</w:t>
      </w:r>
    </w:p>
    <w:p>
      <w:pPr>
        <w:spacing w:after="0" w:line="214"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which allows a reclassification from accumulated other comprehensive income to retained earnings for stranded tax effects resulting from the Tax Act and requires certain disclosures regarding stranded tax effects in accumulated other comprehensive income. This guidance is effective for fiscal years, and interim periods within those fiscal years, beginning after December 15, 2018, with early adoption permitted during interim or annual periods. We believe the adoption of this standard will not have a material impact on our consolidated financial statements.</w:t>
      </w:r>
    </w:p>
    <w:p>
      <w:pPr>
        <w:spacing w:after="0" w:line="215"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which simplifies the test for goodwill impairment by eliminating step two from the goodwill impairment test. Under the new guidance, an entity should recognize an impairment charge for the amount based on the excess of a reporting unit’s carrying amount over its fair value. The impairment charge will be limited to the amount of goodwill allocated to that reporting unit. This guidance is effective for annual and interim impairment tests performed in periods beginning after December 15, 2019 on a prospective basis, and earlier adoption is permitted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8" w:name="page9"/>
    <w:bookmarkEnd w:id="8"/>
    <w:p>
      <w:pPr>
        <w:ind w:right="240"/>
        <w:spacing w:after="0" w:line="277" w:lineRule="auto"/>
        <w:rPr>
          <w:sz w:val="20"/>
          <w:szCs w:val="20"/>
          <w:color w:val="auto"/>
        </w:rPr>
      </w:pPr>
      <w:r>
        <w:rPr>
          <w:rFonts w:ascii="Arial" w:cs="Arial" w:eastAsia="Arial" w:hAnsi="Arial"/>
          <w:sz w:val="18"/>
          <w:szCs w:val="18"/>
          <w:color w:val="auto"/>
        </w:rPr>
        <w:t>goodwill impairment tests performed on testing dates after January 1, 2017. We believe the adoption of this standard will not have a material impact on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Except for the accounting policies for revenue recognition and deferred commissions that were updated as a result of adopting ASU 2014-09, there were no material changes in our significant accounting policies during the nine months ended September 30, 2018. See Note A to the consolidated financial statements included in our Annual Report on Form 10-K for the year ended December 31, 2017, as filed with the SEC on February 26, 2018, for additional information regarding our significant accounting policies.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our revenues primarily from the following revenue streams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right"/>
              <w:ind w:right="73"/>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Arial" w:cs="Arial" w:eastAsia="Arial" w:hAnsi="Arial"/>
                <w:sz w:val="18"/>
                <w:szCs w:val="18"/>
                <w:color w:val="auto"/>
              </w:rPr>
              <w:t>Recurring revenues:</w:t>
            </w: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Fulfillment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48,482</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140,326</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Analytics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Recurring Revenues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58,644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51,898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169,934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One-time revenues</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62,868</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56,057</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Revenues</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deferred revenue liabilities for recurring revenue contracts are for one year or less and recognized on a ratable basis over the contract term. We have applied the optional exemption under ASC 606-10-50-14(a) and will not disclose information about the remaining performance obligations for contracts which have original durations of one year or less.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225"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 Except for our Analytics platform, we have determined the set-up fees represent a material renewal option right to our customers as they will not be incurred again upon renewal. These set-up fees and related costs are deferred and recognized ratably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 w:name="page10"/>
    <w:bookmarkEnd w:id="9"/>
    <w:p>
      <w:pPr>
        <w:jc w:val="both"/>
        <w:ind w:right="80"/>
        <w:spacing w:after="0" w:line="264" w:lineRule="auto"/>
        <w:rPr>
          <w:sz w:val="20"/>
          <w:szCs w:val="20"/>
          <w:color w:val="auto"/>
        </w:rPr>
      </w:pPr>
      <w:r>
        <w:rPr>
          <w:rFonts w:ascii="Arial" w:cs="Arial" w:eastAsia="Arial" w:hAnsi="Arial"/>
          <w:sz w:val="18"/>
          <w:szCs w:val="18"/>
          <w:color w:val="auto"/>
        </w:rPr>
        <w:t>over two years, which is the estimated connection life between the customer and the trading partner. For our Analytics platform, we have determined the set-up fees do not represent a material customer renewal right and, as such, are deferred and recognized ratably over the estimated initial contract term, which is one year.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37"/>
        </w:trPr>
        <w:tc>
          <w:tcPr>
            <w:tcW w:w="59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0"/>
                <w:szCs w:val="20"/>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9,995</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8,063</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(2,596)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(2,634)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(7,851)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(7,962)</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10,096</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17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Miscellaneous one-time fees consist of professional services and testing and certification. The deferred revenue liability for these one-time fees are for one year or less and recognized at the time service is provided. We have applied the optional exemption under ASC 606-10-50-14(a) and will not disclose information about the remaining performance obligations for contracts which have original durations of one year or less.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Costs</w:t>
      </w:r>
    </w:p>
    <w:p>
      <w:pPr>
        <w:spacing w:after="0" w:line="11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170"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operations.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deferred costs and amortization of set-up fees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37"/>
        </w:trPr>
        <w:tc>
          <w:tcPr>
            <w:tcW w:w="596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0"/>
                <w:szCs w:val="20"/>
                <w:color w:val="auto"/>
              </w:rPr>
            </w:pPr>
          </w:p>
        </w:tc>
      </w:tr>
      <w:tr>
        <w:trPr>
          <w:trHeight w:val="331"/>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Balances, at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42,544</w:t>
            </w:r>
          </w:p>
        </w:tc>
        <w:tc>
          <w:tcPr>
            <w:tcW w:w="14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35,332</w:t>
            </w:r>
          </w:p>
        </w:tc>
        <w:tc>
          <w:tcPr>
            <w:tcW w:w="160" w:type="dxa"/>
            <w:vAlign w:val="bottom"/>
            <w:shd w:val="clear" w:color="auto" w:fill="CFF0FC"/>
          </w:tcPr>
          <w:p>
            <w:pPr>
              <w:spacing w:after="0"/>
              <w:rPr>
                <w:sz w:val="24"/>
                <w:szCs w:val="2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39,933</w:t>
            </w:r>
          </w:p>
        </w:tc>
        <w:tc>
          <w:tcPr>
            <w:tcW w:w="22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120" w:type="dxa"/>
            <w:vAlign w:val="bottom"/>
            <w:shd w:val="clear" w:color="auto" w:fill="CFF0FC"/>
          </w:tcPr>
          <w:p>
            <w:pPr>
              <w:spacing w:after="0"/>
              <w:rPr>
                <w:sz w:val="24"/>
                <w:szCs w:val="24"/>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32,142</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(11,204)</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(9,316)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(33,009)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(26,949)</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Balances,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43,731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37,310</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impairment loss in relation to the costs capitalized for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Instruments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invest primarily in money market funds, certificates of deposit, highly liquid debt instruments of the U.S. government and U.S. corporate debt securities. All highly liquid investments with original maturities of 90 days or less are classified as cash equivalents. All investments with original maturities greater than 90 days and remaining maturities less than one year from the balance sheet date are classified as short-term investments. Investments with remaining maturities of more than one year from the balance sheet date are classified as long-term investments.</w:t>
      </w:r>
    </w:p>
    <w:p>
      <w:pPr>
        <w:spacing w:after="0" w:line="171" w:lineRule="exact"/>
        <w:rPr>
          <w:sz w:val="20"/>
          <w:szCs w:val="20"/>
          <w:color w:val="auto"/>
        </w:rPr>
      </w:pPr>
    </w:p>
    <w:p>
      <w:pPr>
        <w:jc w:val="both"/>
        <w:ind w:right="300" w:firstLine="518"/>
        <w:spacing w:after="0" w:line="264" w:lineRule="auto"/>
        <w:rPr>
          <w:sz w:val="20"/>
          <w:szCs w:val="20"/>
          <w:color w:val="auto"/>
        </w:rPr>
      </w:pPr>
      <w:r>
        <w:rPr>
          <w:rFonts w:ascii="Arial" w:cs="Arial" w:eastAsia="Arial" w:hAnsi="Arial"/>
          <w:sz w:val="18"/>
          <w:szCs w:val="18"/>
          <w:color w:val="auto"/>
        </w:rPr>
        <w:t>Our short- and long-term marketable securities are classified as available-for-sale. We intend to hold marketable securities until maturity; however, we may sell these securities at any time for use in current operations or for other purposes. Consequently, we may or may not keep securities with stated holding periods to maturity.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 w:name="page11"/>
    <w:bookmarkEnd w:id="10"/>
    <w:p>
      <w:pPr>
        <w:ind w:right="40" w:firstLine="518"/>
        <w:spacing w:after="0" w:line="257" w:lineRule="auto"/>
        <w:rPr>
          <w:sz w:val="20"/>
          <w:szCs w:val="20"/>
          <w:color w:val="auto"/>
        </w:rPr>
      </w:pPr>
      <w:r>
        <w:rPr>
          <w:rFonts w:ascii="Arial" w:cs="Arial" w:eastAsia="Arial" w:hAnsi="Arial"/>
          <w:sz w:val="18"/>
          <w:szCs w:val="18"/>
          <w:color w:val="auto"/>
        </w:rPr>
        <w:t>Our marketable securities are carried at fair value and unrealized gains and losses on these investments, net of taxes, are included in accumulated other comprehensive loss in the condensed consolidated balance sheets. Realized gains or losses are included in other income (expense), net, in the condensed consolidated statements of comprehensive income. When a determination has been made that an other-than-temporary decline in fair value has occurred, the amount of the decline that is related to a credit loss is realized and is included in other income (expense), net, in the condensed consolidated statements of comprehensive income.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short- and long-term investments consisted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2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Gains (Losses)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2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121,594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 of deposit</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17,323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tcPr>
          <w:p>
            <w:pPr>
              <w:spacing w:after="0"/>
              <w:rPr>
                <w:sz w:val="22"/>
                <w:szCs w:val="22"/>
                <w:color w:val="auto"/>
              </w:rPr>
            </w:pPr>
          </w:p>
        </w:tc>
        <w:tc>
          <w:tcPr>
            <w:tcW w:w="24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171,083</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171,169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2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two years</w:t>
            </w:r>
          </w:p>
        </w:tc>
        <w:tc>
          <w:tcPr>
            <w:tcW w:w="24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December 31, 2017</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7"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center"/>
              <w:ind w:right="233"/>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w:t>
            </w:r>
          </w:p>
        </w:tc>
        <w:tc>
          <w:tcPr>
            <w:tcW w:w="2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Gains (Losses)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4360" w:type="dxa"/>
            <w:vAlign w:val="bottom"/>
            <w:vMerge w:val="continue"/>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26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Certificate of deposit</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7,814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U.S. treasury securities</w:t>
            </w:r>
          </w:p>
        </w:tc>
        <w:tc>
          <w:tcPr>
            <w:tcW w:w="2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CFF0FC"/>
            </w:tcBorders>
            <w:shd w:val="clear" w:color="auto" w:fill="CFF0FC"/>
          </w:tcPr>
          <w:p>
            <w:pPr>
              <w:spacing w:after="0"/>
              <w:rPr>
                <w:sz w:val="19"/>
                <w:szCs w:val="19"/>
                <w:color w:val="auto"/>
              </w:rPr>
            </w:pPr>
          </w:p>
        </w:tc>
        <w:tc>
          <w:tcPr>
            <w:tcW w:w="24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149,953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Due within one year</w:t>
            </w: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Due within two years</w:t>
            </w:r>
          </w:p>
        </w:tc>
        <w:tc>
          <w:tcPr>
            <w:tcW w:w="2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We do not believe any of the unrealized losses represent an other-than-temporary impairment based on our valuation of available evidence as of September 30, 2018. We expect to receive the full principal and interest on all of these cash equivalents, certificate of deposit and marketable securities.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39"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1040" w:right="380" w:hanging="519"/>
        <w:spacing w:after="0" w:line="279"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We obtain the fair values of our level 2 available-for-sale securities from a professional pricing service.</w:t>
      </w:r>
    </w:p>
    <w:p>
      <w:pPr>
        <w:spacing w:after="0" w:line="63" w:lineRule="exact"/>
        <w:rPr>
          <w:rFonts w:ascii="Arial" w:cs="Arial" w:eastAsia="Arial" w:hAnsi="Arial"/>
          <w:sz w:val="17"/>
          <w:szCs w:val="17"/>
          <w:color w:val="auto"/>
        </w:rPr>
      </w:pPr>
    </w:p>
    <w:p>
      <w:pPr>
        <w:ind w:left="1040" w:hanging="519"/>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3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121,594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12,693</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12,278</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12,278</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5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104,544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17,700</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12,407</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12,407</w:t>
            </w:r>
          </w:p>
        </w:tc>
        <w:tc>
          <w:tcPr>
            <w:tcW w:w="100" w:type="dxa"/>
            <w:vAlign w:val="bottom"/>
          </w:tcPr>
          <w:p>
            <w:pPr>
              <w:spacing w:after="0"/>
              <w:rPr>
                <w:sz w:val="19"/>
                <w:szCs w:val="19"/>
                <w:color w:val="auto"/>
              </w:rPr>
            </w:pPr>
          </w:p>
        </w:tc>
      </w:tr>
      <w:tr>
        <w:trPr>
          <w:trHeight w:val="223"/>
        </w:trPr>
        <w:tc>
          <w:tcPr>
            <w:tcW w:w="5960" w:type="dxa"/>
            <w:vAlign w:val="bottom"/>
            <w:tcBorders>
              <w:top w:val="single" w:sz="8" w:color="CFF0FC"/>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net carrying amount of goodwill for the nine months ended September 30, 2018 are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Borders>
              <w:bottom w:val="single" w:sz="8" w:color="CFF0FC"/>
            </w:tcBorders>
          </w:tcPr>
          <w:p>
            <w:pPr>
              <w:spacing w:after="0"/>
              <w:rPr>
                <w:sz w:val="14"/>
                <w:szCs w:val="14"/>
                <w:color w:val="auto"/>
              </w:rPr>
            </w:pPr>
          </w:p>
        </w:tc>
        <w:tc>
          <w:tcPr>
            <w:tcW w:w="4400" w:type="dxa"/>
            <w:vAlign w:val="bottom"/>
            <w:tcBorders>
              <w:bottom w:val="single" w:sz="8" w:color="CFF0FC"/>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Balances, January 1</w:t>
            </w:r>
          </w:p>
        </w:tc>
        <w:tc>
          <w:tcPr>
            <w:tcW w:w="44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Goodwill acquired during the period</w:t>
            </w:r>
          </w:p>
        </w:tc>
        <w:tc>
          <w:tcPr>
            <w:tcW w:w="4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44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Balances, September 30</w:t>
            </w:r>
          </w:p>
        </w:tc>
        <w:tc>
          <w:tcPr>
            <w:tcW w:w="4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0" w:type="dxa"/>
            <w:vAlign w:val="bottom"/>
            <w:vMerge w:val="restart"/>
          </w:tcPr>
          <w:p>
            <w:pPr>
              <w:jc w:val="right"/>
              <w:ind w:right="2930"/>
              <w:spacing w:after="0"/>
              <w:rPr>
                <w:sz w:val="20"/>
                <w:szCs w:val="20"/>
                <w:color w:val="auto"/>
              </w:rPr>
            </w:pPr>
            <w:r>
              <w:rPr>
                <w:rFonts w:ascii="Arial" w:cs="Arial" w:eastAsia="Arial" w:hAnsi="Arial"/>
                <w:sz w:val="18"/>
                <w:szCs w:val="18"/>
                <w:color w:val="auto"/>
              </w:rPr>
              <w:t>12</w:t>
            </w:r>
          </w:p>
        </w:tc>
        <w:tc>
          <w:tcPr>
            <w:tcW w:w="5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4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12" w:name="page13"/>
    <w:bookmarkEnd w:id="12"/>
    <w:p>
      <w:pPr>
        <w:ind w:right="440" w:firstLine="518"/>
        <w:spacing w:after="0" w:line="342" w:lineRule="auto"/>
        <w:rPr>
          <w:sz w:val="20"/>
          <w:szCs w:val="20"/>
          <w:color w:val="auto"/>
        </w:rPr>
      </w:pPr>
      <w:r>
        <w:rPr>
          <w:rFonts w:ascii="Arial" w:cs="Arial" w:eastAsia="Arial" w:hAnsi="Arial"/>
          <w:sz w:val="16"/>
          <w:szCs w:val="16"/>
          <w:color w:val="auto"/>
        </w:rPr>
        <w:t>Intangible assets subject to amortization primarily include subscriber relationships, non-competition agreements and acquired technology and are amortized over their respective useful lives (ranging from 1 to 9 years). Intangible assets, net of amortization, included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(22,710)</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(2,204)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(1,859)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40,361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13,491</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Amortization</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Net</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(2,058)</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other</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Total amortization expense for intangible assets during the three months ended September 30, 2018 and 2017 was $0.9 million and $1.1 million, respectively. Total amortization expense for intangible assets during the nine months ended September 30, 2018 and 2017 was $3.1 million and $3.5 million, respectively. The estimated annual amortization expense related to intangible assets subject to amortization for the next five years is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2018</w:t>
            </w:r>
          </w:p>
        </w:tc>
        <w:tc>
          <w:tcPr>
            <w:tcW w:w="104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13,491</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D – Commitments and Contingencies</w:t>
            </w: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8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780" w:type="dxa"/>
            <w:vAlign w:val="bottom"/>
          </w:tcPr>
          <w:p>
            <w:pPr>
              <w:ind w:left="500"/>
              <w:spacing w:after="0"/>
              <w:rPr>
                <w:sz w:val="20"/>
                <w:szCs w:val="20"/>
                <w:color w:val="auto"/>
              </w:rPr>
            </w:pPr>
            <w:r>
              <w:rPr>
                <w:rFonts w:ascii="Arial" w:cs="Arial" w:eastAsia="Arial" w:hAnsi="Arial"/>
                <w:sz w:val="18"/>
                <w:szCs w:val="18"/>
                <w:color w:val="auto"/>
                <w:w w:val="94"/>
              </w:rPr>
              <w:t>At September 30, 2018, our future minimum payments under operating leases were as follows (in thousands):</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2018</w:t>
            </w:r>
          </w:p>
        </w:tc>
        <w:tc>
          <w:tcPr>
            <w:tcW w:w="1040" w:type="dxa"/>
            <w:vAlign w:val="bottom"/>
            <w:gridSpan w:val="2"/>
            <w:shd w:val="clear" w:color="auto" w:fill="CFF0FC"/>
          </w:tcPr>
          <w:p>
            <w:pPr>
              <w:jc w:val="right"/>
              <w:ind w:right="865"/>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121" w:lineRule="exact"/>
        <w:rPr>
          <w:sz w:val="20"/>
          <w:szCs w:val="20"/>
          <w:color w:val="auto"/>
        </w:rPr>
      </w:pPr>
    </w:p>
    <w:p>
      <w:pPr>
        <w:ind w:right="340" w:firstLine="518"/>
        <w:spacing w:after="0" w:line="264" w:lineRule="auto"/>
        <w:rPr>
          <w:sz w:val="20"/>
          <w:szCs w:val="20"/>
          <w:color w:val="auto"/>
        </w:rPr>
      </w:pPr>
      <w:r>
        <w:rPr>
          <w:rFonts w:ascii="Arial" w:cs="Arial" w:eastAsia="Arial" w:hAnsi="Arial"/>
          <w:sz w:val="18"/>
          <w:szCs w:val="18"/>
          <w:color w:val="auto"/>
        </w:rPr>
        <w:t>Our equity compensation plans provide for the grant of incentive and nonqualified stock options, restricted stock awards, restricted stock units and performance stock units to employees, non-employee directors and other consultants who provide services to us. We also provide an employee stock purchase plan and 401(k) stock match.</w:t>
      </w:r>
    </w:p>
    <w:p>
      <w:pPr>
        <w:spacing w:after="0" w:line="1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Restricted stock awards result in the issuance of new shares when granted. For other stock-based awards, new shares are issued when the award is exercised, vested or released according to the terms of the agreement. In January 2018, 1,027,620 additional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 w:name="page14"/>
    <w:bookmarkEnd w:id="13"/>
    <w:p>
      <w:pPr>
        <w:ind w:right="280"/>
        <w:spacing w:after="0" w:line="277" w:lineRule="auto"/>
        <w:rPr>
          <w:sz w:val="20"/>
          <w:szCs w:val="20"/>
          <w:color w:val="auto"/>
        </w:rPr>
      </w:pPr>
      <w:r>
        <w:rPr>
          <w:rFonts w:ascii="Arial" w:cs="Arial" w:eastAsia="Arial" w:hAnsi="Arial"/>
          <w:sz w:val="18"/>
          <w:szCs w:val="18"/>
          <w:color w:val="auto"/>
        </w:rPr>
        <w:t>were reserved for future issuance under our 2010 Equity Incentive Plan. At September 30, 2018, there were approximately 5.3 million shares available for grant under approved equity compensation plans.</w:t>
      </w:r>
    </w:p>
    <w:p>
      <w:pPr>
        <w:spacing w:after="0" w:line="170"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recognize stock-based compensation expense on a straight-line basis over the vesting period, except for expense relating to retirement-eligible employees, which is recognized immediately upon the employee becoming retirement-eligible.</w:t>
      </w:r>
    </w:p>
    <w:p>
      <w:pPr>
        <w:spacing w:after="0" w:line="170"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We recorded stock-based compensation expense of $3.3 million and $10.0 million for the three and nine months ended September 30, 2018 and $2.3 million and $6.8 million for the three and nine months ended September 30, 2017, respectively. This expense was allocated in the condensed consolidated statements of comprehensive income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1,753</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1,047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3,266</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2,347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by plan type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Performance share units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1,976</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1,173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401(k) stock match</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3,266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2,347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As of September 30, 2018, there was approximately $14.3 million of unrecognized stock-based compensation expense under our equity compensation plans, which is expected to be recognized on a straight-line basis over a weighted average period of 2.6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7860" w:type="dxa"/>
            <w:vAlign w:val="bottom"/>
          </w:tcPr>
          <w:p>
            <w:pPr>
              <w:spacing w:after="0"/>
              <w:rPr>
                <w:sz w:val="14"/>
                <w:szCs w:val="14"/>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r>
      <w:tr>
        <w:trPr>
          <w:trHeight w:val="156"/>
        </w:trPr>
        <w:tc>
          <w:tcPr>
            <w:tcW w:w="7860" w:type="dxa"/>
            <w:vAlign w:val="bottom"/>
          </w:tcPr>
          <w:p>
            <w:pPr>
              <w:spacing w:after="0"/>
              <w:rPr>
                <w:sz w:val="13"/>
                <w:szCs w:val="13"/>
                <w:color w:val="auto"/>
              </w:rPr>
            </w:pPr>
          </w:p>
        </w:tc>
        <w:tc>
          <w:tcPr>
            <w:tcW w:w="1580" w:type="dxa"/>
            <w:vAlign w:val="bottom"/>
            <w:tcBorders>
              <w:top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77"/>
              <w:spacing w:after="0" w:line="155"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3"/>
                <w:szCs w:val="13"/>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1,097,331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181,472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59.88</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(286,237)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(60,270)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56.71</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2018</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932,296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Of the total outstanding options at September 30, 2018, 594,300 were exercisable with a weighted average exercise price of $48.92 per share. The total outstanding options had a weighted average remaining contractual life of 3.3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ind w:right="440" w:firstLine="518"/>
        <w:spacing w:after="0" w:line="277" w:lineRule="auto"/>
        <w:rPr>
          <w:sz w:val="20"/>
          <w:szCs w:val="20"/>
          <w:color w:val="auto"/>
        </w:rPr>
      </w:pPr>
      <w:r>
        <w:rPr>
          <w:rFonts w:ascii="Arial" w:cs="Arial" w:eastAsia="Arial" w:hAnsi="Arial"/>
          <w:sz w:val="18"/>
          <w:szCs w:val="18"/>
          <w:color w:val="auto"/>
        </w:rPr>
        <w:t>The weighted average grant date fair value of options granted during the first nine months of 2018 was $19.48. This was estimated on the date of grant using the Black-Scholes option 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4.4</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tcPr>
          <w:p>
            <w:pPr>
              <w:jc w:val="right"/>
              <w:spacing w:after="0"/>
              <w:rPr>
                <w:sz w:val="20"/>
                <w:szCs w:val="20"/>
                <w:color w:val="auto"/>
              </w:rPr>
            </w:pPr>
            <w:r>
              <w:rPr>
                <w:rFonts w:ascii="Arial" w:cs="Arial" w:eastAsia="Arial" w:hAnsi="Arial"/>
                <w:sz w:val="18"/>
                <w:szCs w:val="18"/>
                <w:color w:val="auto"/>
              </w:rPr>
              <w:t>2.53%</w:t>
            </w: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Restricted Stock Units and Awards</w:t>
      </w:r>
    </w:p>
    <w:p>
      <w:pPr>
        <w:spacing w:after="0" w:line="11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February 2017, our executive officers were granted performance share unit (“PSU”) awards with vesting contingent on successful attainment of pre-determined revenue targets over the course of a three-year performance period (fiscal years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154" w:lineRule="exact"/>
        <w:rPr>
          <w:sz w:val="20"/>
          <w:szCs w:val="20"/>
          <w:color w:val="auto"/>
        </w:rPr>
      </w:pPr>
    </w:p>
    <w:p>
      <w:pPr>
        <w:jc w:val="both"/>
        <w:ind w:right="60" w:firstLine="518"/>
        <w:spacing w:after="0" w:line="257" w:lineRule="auto"/>
        <w:rPr>
          <w:sz w:val="20"/>
          <w:szCs w:val="20"/>
          <w:color w:val="auto"/>
        </w:rPr>
      </w:pPr>
      <w:r>
        <w:rPr>
          <w:rFonts w:ascii="Arial" w:cs="Arial" w:eastAsia="Arial" w:hAnsi="Arial"/>
          <w:sz w:val="18"/>
          <w:szCs w:val="18"/>
          <w:color w:val="auto"/>
        </w:rPr>
        <w:t>In February 2018, our executive officers were granted PSU awards with vesting contingent on the Company’s total shareholder return as compared to indexed total shareholder return over the course of a three-year performance period (fiscal years 2018 – 2020). The grant date fair value was estimated using a Monte Carlo simulation that utilizes multiple input variables that determine the probability of satisfying the performance conditions stipulated in the award and calculates the fair market value for the performance stock units granted. Expense is recognized on a straight-line basis over the vesting period, regardless of whether the market condition is satisfied.</w:t>
      </w:r>
    </w:p>
    <w:p>
      <w:pPr>
        <w:spacing w:after="0" w:line="188"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for our performance share units and restricted stock units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Performance Share and</w:t>
            </w:r>
          </w:p>
        </w:tc>
        <w:tc>
          <w:tcPr>
            <w:tcW w:w="220" w:type="dxa"/>
            <w:vAlign w:val="bottom"/>
          </w:tcPr>
          <w:p>
            <w:pPr>
              <w:spacing w:after="0"/>
              <w:rPr>
                <w:sz w:val="14"/>
                <w:szCs w:val="14"/>
                <w:color w:val="auto"/>
              </w:rPr>
            </w:pPr>
          </w:p>
        </w:tc>
        <w:tc>
          <w:tcPr>
            <w:tcW w:w="2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6780" w:type="dxa"/>
            <w:vAlign w:val="bottom"/>
          </w:tcPr>
          <w:p>
            <w:pPr>
              <w:spacing w:after="0"/>
              <w:rPr>
                <w:sz w:val="14"/>
                <w:szCs w:val="1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Restricted Stock Units</w:t>
            </w:r>
          </w:p>
        </w:tc>
        <w:tc>
          <w:tcPr>
            <w:tcW w:w="22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Grant Date Fair Value</w:t>
            </w:r>
          </w:p>
        </w:tc>
      </w:tr>
      <w:tr>
        <w:trPr>
          <w:trHeight w:val="156"/>
        </w:trPr>
        <w:tc>
          <w:tcPr>
            <w:tcW w:w="6780" w:type="dxa"/>
            <w:vAlign w:val="bottom"/>
          </w:tcPr>
          <w:p>
            <w:pPr>
              <w:spacing w:after="0"/>
              <w:rPr>
                <w:sz w:val="13"/>
                <w:szCs w:val="13"/>
                <w:color w:val="auto"/>
              </w:rPr>
            </w:pPr>
          </w:p>
        </w:tc>
        <w:tc>
          <w:tcPr>
            <w:tcW w:w="21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157"/>
              <w:spacing w:after="0" w:line="155" w:lineRule="exact"/>
              <w:rPr>
                <w:sz w:val="20"/>
                <w:szCs w:val="20"/>
                <w:color w:val="auto"/>
              </w:rPr>
            </w:pPr>
            <w:r>
              <w:rPr>
                <w:rFonts w:ascii="Arial" w:cs="Arial" w:eastAsia="Arial" w:hAnsi="Arial"/>
                <w:sz w:val="14"/>
                <w:szCs w:val="14"/>
                <w:b w:val="1"/>
                <w:bCs w:val="1"/>
                <w:color w:val="auto"/>
                <w:w w:val="92"/>
              </w:rPr>
              <w:t>($/share)</w:t>
            </w:r>
          </w:p>
        </w:tc>
        <w:tc>
          <w:tcPr>
            <w:tcW w:w="100" w:type="dxa"/>
            <w:vAlign w:val="bottom"/>
          </w:tcPr>
          <w:p>
            <w:pPr>
              <w:spacing w:after="0"/>
              <w:rPr>
                <w:sz w:val="13"/>
                <w:szCs w:val="13"/>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321,912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2120" w:type="dxa"/>
            <w:vAlign w:val="bottom"/>
          </w:tcPr>
          <w:p>
            <w:pPr>
              <w:jc w:val="right"/>
              <w:spacing w:after="0"/>
              <w:rPr>
                <w:sz w:val="20"/>
                <w:szCs w:val="20"/>
                <w:color w:val="auto"/>
              </w:rPr>
            </w:pPr>
            <w:r>
              <w:rPr>
                <w:rFonts w:ascii="Arial" w:cs="Arial" w:eastAsia="Arial" w:hAnsi="Arial"/>
                <w:sz w:val="18"/>
                <w:szCs w:val="18"/>
                <w:color w:val="auto"/>
              </w:rPr>
              <w:t>156,933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2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(81,427)</w:t>
            </w: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56.32</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(34,318)</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54.91</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2018</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number of restricted stock units outstanding at September 30, 2018 included 38,321 units that have vested, but for which shares of common stock have not yet been issued pursuant to the terms of the agreement.</w:t>
      </w:r>
    </w:p>
    <w:p>
      <w:pPr>
        <w:spacing w:after="0" w:line="184"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With restricted stock awards, shares of our common stock are issued when the award is granted and the restrictions lapse over one year. Our restricted stock awards activity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60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Restricted 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 Average Grant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600" w:type="dxa"/>
            <w:vAlign w:val="bottom"/>
          </w:tcPr>
          <w:p>
            <w:pPr>
              <w:jc w:val="center"/>
              <w:ind w:left="428"/>
              <w:spacing w:after="0"/>
              <w:rPr>
                <w:sz w:val="20"/>
                <w:szCs w:val="20"/>
                <w:color w:val="auto"/>
              </w:rPr>
            </w:pPr>
            <w:r>
              <w:rPr>
                <w:rFonts w:ascii="Arial" w:cs="Arial" w:eastAsia="Arial" w:hAnsi="Arial"/>
                <w:sz w:val="14"/>
                <w:szCs w:val="14"/>
                <w:b w:val="1"/>
                <w:bCs w:val="1"/>
                <w:color w:val="auto"/>
                <w:w w:val="92"/>
              </w:rPr>
              <w:t>Awards (#)</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2"/>
          </w:tcPr>
          <w:p>
            <w:pPr>
              <w:ind w:left="100"/>
              <w:spacing w:after="0"/>
              <w:rPr>
                <w:sz w:val="20"/>
                <w:szCs w:val="20"/>
                <w:color w:val="auto"/>
              </w:rPr>
            </w:pPr>
            <w:r>
              <w:rPr>
                <w:rFonts w:ascii="Arial" w:cs="Arial" w:eastAsia="Arial" w:hAnsi="Arial"/>
                <w:sz w:val="14"/>
                <w:szCs w:val="14"/>
                <w:b w:val="1"/>
                <w:bCs w:val="1"/>
                <w:color w:val="auto"/>
              </w:rPr>
              <w:t>Date Fair Value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6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Restricted common stock issued</w:t>
            </w:r>
          </w:p>
        </w:tc>
        <w:tc>
          <w:tcPr>
            <w:tcW w:w="520" w:type="dxa"/>
            <w:vAlign w:val="bottom"/>
          </w:tcPr>
          <w:p>
            <w:pPr>
              <w:jc w:val="right"/>
              <w:spacing w:after="0"/>
              <w:rPr>
                <w:sz w:val="20"/>
                <w:szCs w:val="20"/>
                <w:color w:val="auto"/>
              </w:rPr>
            </w:pPr>
            <w:r>
              <w:rPr>
                <w:rFonts w:ascii="Arial" w:cs="Arial" w:eastAsia="Arial" w:hAnsi="Arial"/>
                <w:sz w:val="18"/>
                <w:szCs w:val="18"/>
                <w:color w:val="auto"/>
              </w:rPr>
              <w:t>7,304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Restrictions lapsed</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(5,016)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2018</w:t>
            </w:r>
          </w:p>
        </w:tc>
        <w:tc>
          <w:tcPr>
            <w:tcW w:w="160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5620"/>
              <w:spacing w:after="0"/>
              <w:rPr>
                <w:sz w:val="20"/>
                <w:szCs w:val="20"/>
                <w:color w:val="auto"/>
              </w:rPr>
            </w:pPr>
            <w:r>
              <w:rPr>
                <w:rFonts w:ascii="Arial" w:cs="Arial" w:eastAsia="Arial" w:hAnsi="Arial"/>
                <w:sz w:val="18"/>
                <w:szCs w:val="18"/>
                <w:color w:val="auto"/>
              </w:rPr>
              <w:t>15</w:t>
            </w: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1.0 million shares of common stock are reserved for issuance under the plan.</w:t>
      </w:r>
    </w:p>
    <w:p>
      <w:pPr>
        <w:spacing w:after="0" w:line="18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For the offering period that began on January 1, 2018 and ended on June 30, 2018, we withheld $0.8 million from employees participating in the plan which were used to purchase 20,243 shares. For the offering period that began on July 1, 2018 and will end on December 31, 2018, we have withheld $0.5 million as of September 30, 2018 from employees participating in the plan.</w:t>
      </w:r>
    </w:p>
    <w:p>
      <w:pPr>
        <w:spacing w:after="0" w:line="18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tcPr>
          <w:p>
            <w:pPr>
              <w:jc w:val="right"/>
              <w:spacing w:after="0"/>
              <w:rPr>
                <w:sz w:val="20"/>
                <w:szCs w:val="20"/>
                <w:color w:val="auto"/>
              </w:rPr>
            </w:pPr>
            <w:r>
              <w:rPr>
                <w:rFonts w:ascii="Arial" w:cs="Arial" w:eastAsia="Arial" w:hAnsi="Arial"/>
                <w:sz w:val="18"/>
                <w:szCs w:val="18"/>
                <w:color w:val="auto"/>
              </w:rPr>
              <w:t>1.50%</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Stock Match</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We sponsor a 401(k) retirement savings plan for our U.S. employees where employees can contribute up to 100% of their compensation, subject to the limits established by law. In 2018, we increased our match to 50% of the employee’s elective deferrals, up to the first 6% of the employee’s pre-tax compensation for each pay period. A portion of our match is in company stock, which is purchased from the open market by our plan provider and immediately deposited into the employee’s 401(k) account.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2018 we do not have any unrecognized tax benefits nor any accrued interest or tax penalties.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The Tax Act, which was enacted on December 22, 2017, included broad and complex changes to the U.S tax code. The Tax Act reduced the corporate federal income tax rate to 21.0% effective January 1, 2018 and established a mandatory tax on previously untaxed foreign earnings and profits (“E&amp;P”). The Tax Act expanded the deduction limits on executive compensation under Section 162(m) and included transition rules for previously awarded compensation.</w:t>
      </w:r>
    </w:p>
    <w:p>
      <w:pPr>
        <w:spacing w:after="0" w:line="147"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color w:val="auto"/>
        </w:rPr>
        <w:t>We have completed our evaluation of the impact of the Tax Act on previously untaxed foreign E&amp;P and the deferred tax liability for withholding taxes on dividends. We have also completed our evaluation of the impact of the expanded Section 162(m) limitations and related transition rules on our deferred tax assets related to stock compensation. As a result of our evaluation, there was no material adjustment to our previously calculated discrete income tax expense relating to the Tax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121" w:lineRule="exact"/>
        <w:rPr>
          <w:sz w:val="20"/>
          <w:szCs w:val="20"/>
          <w:color w:val="auto"/>
        </w:rPr>
      </w:pPr>
    </w:p>
    <w:p>
      <w:pPr>
        <w:ind w:right="960" w:firstLine="518"/>
        <w:spacing w:after="0" w:line="286" w:lineRule="auto"/>
        <w:rPr>
          <w:sz w:val="20"/>
          <w:szCs w:val="20"/>
          <w:color w:val="auto"/>
        </w:rPr>
      </w:pPr>
      <w:r>
        <w:rPr>
          <w:rFonts w:ascii="Arial" w:cs="Arial" w:eastAsia="Arial" w:hAnsi="Arial"/>
          <w:sz w:val="17"/>
          <w:szCs w:val="17"/>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6" w:name="page17"/>
    <w:bookmarkEnd w:id="16"/>
    <w:p>
      <w:pPr>
        <w:ind w:right="420" w:firstLine="518"/>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8,061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16,731</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Weighted average common shares outstanding, basic</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17,219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17,223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17,167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Options to purchase common stock</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Restricted stock units</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Weighted average common shares outstanding, diluted</w:t>
            </w: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17,741</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17,557</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17,394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ind w:left="480"/>
              <w:spacing w:after="0"/>
              <w:rPr>
                <w:sz w:val="20"/>
                <w:szCs w:val="20"/>
                <w:color w:val="auto"/>
              </w:rPr>
            </w:pPr>
            <w:r>
              <w:rPr>
                <w:rFonts w:ascii="Arial" w:cs="Arial" w:eastAsia="Arial" w:hAnsi="Arial"/>
                <w:sz w:val="18"/>
                <w:szCs w:val="18"/>
                <w:color w:val="auto"/>
              </w:rPr>
              <w:t>Diluted</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0.45</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0.95</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vMerge w:val="restart"/>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Antidilutive shares (in thousands)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CFF0FC"/>
            </w:tcBorders>
            <w:vMerge w:val="restart"/>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17" w:name="page18"/>
    <w:bookmarkEnd w:id="17"/>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We are a leading provider of cloud-based supply chain management solutions, providing network-proven fulfillment, sourcing and item assortment management solutions, along with comprehensive retail performance analytics to thousands of customers worldwide. We provide our solutions through the SPS Commerce Platform, a cloud-based product suite that improves the way retailers, suppliers, distributors and logistics firms orchestrate the sourcing, set up of new vendors and items and fulfillment of products that consumers buy. We derive the majority of our revenues from thousands of monthly recurring subscriptions from businesses that utilize our solutions.</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For the three months ended September 30, 2018, our revenues were $62.9 million, an increase of 12% from the comparable period in 2017, and represented our 71</w:t>
      </w:r>
      <w:r>
        <w:rPr>
          <w:rFonts w:ascii="Arial" w:cs="Arial" w:eastAsia="Arial" w:hAnsi="Arial"/>
          <w:sz w:val="13"/>
          <w:szCs w:val="13"/>
          <w:color w:val="auto"/>
        </w:rPr>
        <w:t>st</w:t>
      </w:r>
      <w:r>
        <w:rPr>
          <w:rFonts w:ascii="Arial" w:cs="Arial" w:eastAsia="Arial" w:hAnsi="Arial"/>
          <w:sz w:val="16"/>
          <w:szCs w:val="16"/>
          <w:color w:val="auto"/>
        </w:rPr>
        <w:t xml:space="preserve"> consecutive quarter of increased revenues. Total operating expenses increased less than 1% for the same period in 2018 from 2017. For the nine months ended September 30, 2018, revenues increased 13% and operating expenses increased 6% compared to the same period in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use several key financial terms and metrics to analyze our business, including annualized average recurring revenues per recurring revenue customer, which we also refer to as wallet share. During the three and nine months ended September 30, 2018,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of Operations</w:t>
      </w:r>
      <w:r>
        <w:rPr>
          <w:rFonts w:ascii="Arial" w:cs="Arial" w:eastAsia="Arial" w:hAnsi="Arial"/>
          <w:sz w:val="16"/>
          <w:szCs w:val="16"/>
          <w:color w:val="auto"/>
        </w:rPr>
        <w:t>” included in our Annual Report on Form 10-K for the year ended December 31, 2017 as filed with the SEC on February 26, 2018.</w:t>
      </w:r>
    </w:p>
    <w:p>
      <w:pPr>
        <w:spacing w:after="0" w:line="154"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73"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7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and income taxes are the most critical to fully understand and evaluate our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5" w:right="259" w:bottom="1440" w:gutter="0" w:footer="0" w:header="0"/>
        </w:sectPr>
      </w:pPr>
    </w:p>
    <w:bookmarkStart w:id="18" w:name="page19"/>
    <w:bookmarkEnd w:id="18"/>
    <w:p>
      <w:pPr>
        <w:jc w:val="both"/>
        <w:ind w:right="80" w:firstLine="518"/>
        <w:spacing w:after="0" w:line="259" w:lineRule="auto"/>
        <w:rPr>
          <w:sz w:val="20"/>
          <w:szCs w:val="20"/>
          <w:color w:val="auto"/>
        </w:rPr>
      </w:pPr>
      <w:r>
        <w:rPr>
          <w:rFonts w:ascii="Arial" w:cs="Arial" w:eastAsia="Arial" w:hAnsi="Arial"/>
          <w:sz w:val="18"/>
          <w:szCs w:val="18"/>
          <w:color w:val="auto"/>
        </w:rPr>
        <w:t>During the three and nine months ended September 30, 2018, there were no changes in our significant accounting policies or estimates, except for the adoptions of ASU No. 2014-09 and ASU No. 2018-05 as detailed in Note A. See Note A to our condensed consolidated financial statements included in this Quarterly Report on Form 10-Q and in our Annual Report on Form 10-K for the year ended December 31, 2017, as filed with the SEC on February 26, 2018, for additional information regarding our accounting policies.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2018 Compared to Three months ended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62,868</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56,057</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6,811</w:t>
            </w:r>
          </w:p>
        </w:tc>
        <w:tc>
          <w:tcPr>
            <w:tcW w:w="4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42,457</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67.5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37,412</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16,952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17,638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(686)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(1,403)</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11,174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8,743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2,431</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(200)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34,200</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34,058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60.8</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8"/>
                <w:szCs w:val="18"/>
                <w:color w:val="auto"/>
              </w:rPr>
              <w:t>(219)</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431.2</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8,666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3,431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5,235</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(650)</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8,061</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September 30, 2018 increased $6.8 million, or 12%, to $62.9 million from $56.1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2017. The increase in revenues resulted from two primary factors: an increase in recurring revenue customers and an increase in annualized average recurring revenues per recurring revenue customer, which we also refer to as wallet share.</w:t>
      </w:r>
    </w:p>
    <w:p>
      <w:pPr>
        <w:spacing w:after="0" w:line="73"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6% to 26,869 at September 30, 2018 from 25,359 at September 30, 2017.</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Wallet share increased 8% to $8,838 for the three months ended September 30, 2018 from $8,219 for the same period in 2017. This increase was primarily attributable to increased usage of our solutions by our recurring revenue customers.</w:t>
      </w:r>
    </w:p>
    <w:p>
      <w:pPr>
        <w:spacing w:after="0" w:line="170"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Recurring revenues from recurring revenue customers accounted for 93% of our total revenues for the three months ended September 30, 2018 and 2017. We anticipate that the number of recurring revenue customers and wallet share will continue to increase as we increase the number of solutions we offer and increase the penetration of those solutions across our customer base.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for the three months ended September 30, 2018 increased $1.8 million, or 10%, to $20.4 million from</w:t>
      </w:r>
    </w:p>
    <w:p>
      <w:pPr>
        <w:spacing w:after="0" w:line="3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$18.6 million for the same period in 2017. The increase was primarily due to an increase in personnel-related costs of approximately $1.2 million, driven by increased salaries and benefits due to business growth and by increased contract labor, and due to an increase in depreciation expense of $0.3 million driven by continued investment in the infrastructure supporting our platform. As a percentage of revenues, cost of revenues was 33% for the three months ended September 30, 2018 and 2017.</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 w:name="page20"/>
    <w:bookmarkEnd w:id="19"/>
    <w:p>
      <w:pPr>
        <w:ind w:left="520"/>
        <w:spacing w:after="0"/>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for the three months ended September 30, 2018 decreased $0.7 million, or 4%,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$16.9 million from $17.6 million for the same period in 2017. The decrease was primarily driven by a $1.5 million decrease in personnel-related costs,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headcount which reduced salaries and benefits, offset by an increase of $0.5 million in variable compensation earned by sales personnel and referral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 as a result of new business, and by a $0.3 million increase in promotional expenses. As a percentage of revenues, sales and marketing expenses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27% and 32% for the three months ended September 30, 2018 and 2017, respectively.</w:t>
      </w:r>
    </w:p>
    <w:p>
      <w:pPr>
        <w:spacing w:after="0" w:line="21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three months ended September 30, 2018 decreased $1.4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21%, to $5.1 million from $6.5 million for the same period in 2017. The decrease was primarily due to a $1.4 million decrease in personnel-related costs, due to an increase of internally developed capitalized software, which reduces personnel expenses, and by decreases in salaries and benefits, due to decreases in headcount. As a percentage of revenues, research and development expenses were 8% and 12% for the three months ended September 30, 2018 and 2017, respectively.</w:t>
      </w:r>
    </w:p>
    <w:p>
      <w:pPr>
        <w:spacing w:after="0" w:line="18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for the three months ended September 30, 2018 increased $2.4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28%, to $11.2 million from $8.8 million for the same period in 2017. This increase was primarily driven by an increase of $1.1 million in personnel-related costs due to headcount growth and an increase of $0.7 million in stock-based compensation expense due to headcount growth and stock grants made to retirement-eligible employees which results in immediate expensing. Additionally, there was an increase of $0.6 million in other general and administrative expenses, as a result of continued growth in the business. As a percentage of revenues, general and administrative expenses were 18% and 16% for the three months ended September 30, 2018 and 2017, respectively.</w:t>
      </w:r>
    </w:p>
    <w:p>
      <w:pPr>
        <w:spacing w:after="0" w:line="193" w:lineRule="exact"/>
        <w:rPr>
          <w:sz w:val="20"/>
          <w:szCs w:val="20"/>
          <w:color w:val="auto"/>
        </w:rPr>
      </w:pPr>
    </w:p>
    <w:p>
      <w:pPr>
        <w:ind w:right="460" w:firstLine="518"/>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(expense), net, for the three months ended September 30, 2018 increased $0.3 million over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in 2017 primarily due to an increase of interest income from investments, as a result of additional cash being invested.</w:t>
      </w:r>
    </w:p>
    <w:p>
      <w:pPr>
        <w:spacing w:after="0" w:line="147"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$0.6 million for the three months ended September 30, 2018 compared to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$1.3 million for the same period in 2017. The decrease was primarily due to a reduction in the overall effective tax rate in 2018, as a result of the Tax Act and due to discrete tax benefits. The decreases were partially offset by increased pre-tax income. Discrete tax benefits increased $1.8 million, primarily due to excess tax deductions on stock activity. Under ASU 2016-09, excess tax benefits generated upon the settlement or exercise of stock awards are no longer recognized as additional paid-in capital but are instead recognized as a reduction to income tax expense. As a result of recording these excess tax benefits in income tax expense, we expect that our annual effective income tax rate will be more volatile than it has been historically.</w:t>
      </w:r>
    </w:p>
    <w:p>
      <w:pPr>
        <w:spacing w:after="0" w:line="165"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and stock-based compensation expense. The following table provides a reconciliation of net income to Adjusted EBITDA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Stock-based compensation expense</w:t>
            </w:r>
          </w:p>
        </w:tc>
        <w:tc>
          <w:tcPr>
            <w:tcW w:w="28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8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14,364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40" w:type="dxa"/>
            <w:vAlign w:val="bottom"/>
            <w:vMerge w:val="restart"/>
          </w:tcPr>
          <w:p>
            <w:pPr>
              <w:jc w:val="right"/>
              <w:ind w:right="1970"/>
              <w:spacing w:after="0"/>
              <w:rPr>
                <w:sz w:val="20"/>
                <w:szCs w:val="20"/>
                <w:color w:val="auto"/>
              </w:rPr>
            </w:pPr>
            <w:r>
              <w:rPr>
                <w:rFonts w:ascii="Arial" w:cs="Arial" w:eastAsia="Arial" w:hAnsi="Arial"/>
                <w:sz w:val="18"/>
                <w:szCs w:val="18"/>
                <w:color w:val="auto"/>
              </w:rPr>
              <w:t>20</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20" w:name="page21"/>
    <w:bookmarkEnd w:id="20"/>
    <w:p>
      <w:pPr>
        <w:ind w:right="300" w:firstLine="518"/>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stock-based compensation expense, amortization expense related to intangible assets and income tax effects of adjustments divided by the weighted average number of shares of common stock outstanding during each period. The following table provides a reconciliation of net income to Non-GAAP income per share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1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17,219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17,741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Basic</w:t>
            </w:r>
          </w:p>
        </w:tc>
        <w:tc>
          <w:tcPr>
            <w:tcW w:w="298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0.54</w:t>
            </w:r>
          </w:p>
        </w:tc>
        <w:tc>
          <w:tcPr>
            <w:tcW w:w="160" w:type="dxa"/>
            <w:vAlign w:val="bottom"/>
          </w:tcPr>
          <w:p>
            <w:pPr>
              <w:spacing w:after="0"/>
              <w:rPr>
                <w:sz w:val="19"/>
                <w:szCs w:val="19"/>
                <w:color w:val="auto"/>
              </w:rPr>
            </w:pPr>
          </w:p>
        </w:tc>
        <w:tc>
          <w:tcPr>
            <w:tcW w:w="70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980" w:type="dxa"/>
            <w:vAlign w:val="bottom"/>
            <w:gridSpan w:val="2"/>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2018 Compared to Nine Months Ended September 30,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183,051</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162,028</w:t>
            </w:r>
          </w:p>
        </w:tc>
        <w:tc>
          <w:tcPr>
            <w:tcW w:w="2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21,023</w:t>
            </w:r>
          </w:p>
        </w:tc>
        <w:tc>
          <w:tcPr>
            <w:tcW w:w="4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60,571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54,166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6,405</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122,480</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107,862</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66.6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14,618</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54,023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52,981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1,042</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17,023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(1,452)</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31,278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24,709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6,569</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(374)</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103,958</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56.8</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98,173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60.6</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net</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28"/>
              <w:spacing w:after="0"/>
              <w:rPr>
                <w:sz w:val="20"/>
                <w:szCs w:val="20"/>
                <w:color w:val="auto"/>
              </w:rPr>
            </w:pPr>
            <w:r>
              <w:rPr>
                <w:rFonts w:ascii="Arial" w:cs="Arial" w:eastAsia="Arial" w:hAnsi="Arial"/>
                <w:sz w:val="18"/>
                <w:szCs w:val="18"/>
                <w:color w:val="auto"/>
              </w:rPr>
              <w:t>(541)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(356)</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(185)</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19,570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10,037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9,533</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(69)</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16,731</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9,602</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nine months ended September 30, 2018 increased $21.0 million, or 13%, to $183.1 million from $162.0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2017. The increase in revenues resulted from two primary factors: the increase in recurring revenue customers and the increase in annualized average recurring revenues per recurring revenue customer, which we also refer to as wallet share.</w:t>
      </w:r>
    </w:p>
    <w:p>
      <w:pPr>
        <w:spacing w:after="0" w:line="73"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6% to 26,869 at September 30, 2018 from 25,359 at September 30, 2017.</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Wallet share increased 8% to $8,612 for the nine months ended September 30, 2018 from $7,973 for the same period in 2017. This increase was primarily attributable to increased usage of our solutions by our recurring revenue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1" w:name="page22"/>
    <w:bookmarkEnd w:id="21"/>
    <w:p>
      <w:pPr>
        <w:ind w:right="520" w:firstLine="518"/>
        <w:spacing w:after="0" w:line="286" w:lineRule="auto"/>
        <w:rPr>
          <w:sz w:val="20"/>
          <w:szCs w:val="20"/>
          <w:color w:val="auto"/>
        </w:rPr>
      </w:pPr>
      <w:r>
        <w:rPr>
          <w:rFonts w:ascii="Arial" w:cs="Arial" w:eastAsia="Arial" w:hAnsi="Arial"/>
          <w:sz w:val="17"/>
          <w:szCs w:val="17"/>
          <w:color w:val="auto"/>
        </w:rPr>
        <w:t>Recurring revenues from recurring revenue customers accounted for 93% of our total revenues for the nine months ended September 30, 2018, consistent with the same period in 2017. We anticipate that the number of recurring revenue customers and wallet share will continue to increase as we increase the number of solutions we offer and increase the penetration of those solutions across our customer base.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for the nine months ended September 30, 2018 increased $6.4 million, or 12%, to $60.6 million from</w:t>
      </w:r>
    </w:p>
    <w:p>
      <w:pPr>
        <w:spacing w:after="0" w:line="23"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$54.2 million for the same period in 2017. The increase was primarily due to an increase in personnel-related costs of approximately $5.2 million, driven by increased salaries and benefits due to continued business growth and by increased contract labor, and due to an increase in depreciation expense of</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$1.1 million, driven by continued investment in infrastructure supporting our platform. As a percentage of revenues, cost of revenues was 33% for the nine months ended September 30, 2018 and 2017.</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nine months ended September 30, 2018 increased $1.0 million, or 2%,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$54.0 million from $53.0 million for the same period in 2017. The increase was due to an increase of $1.6 million in variable compensation earned by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personnel and referral partners, as a result of new business, partially offset by an $0.6 million decrease in personnel expenses, due to decreased headcount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reduced salaries and benefits. As a percentage of revenues, sales and marketing expenses were 30% and 33% for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and 2017, respectively.</w:t>
      </w:r>
    </w:p>
    <w:p>
      <w:pPr>
        <w:spacing w:after="0" w:line="211" w:lineRule="exact"/>
        <w:rPr>
          <w:sz w:val="20"/>
          <w:szCs w:val="20"/>
          <w:color w:val="auto"/>
        </w:rPr>
      </w:pPr>
    </w:p>
    <w:p>
      <w:pPr>
        <w:ind w:right="120" w:firstLine="518"/>
        <w:spacing w:after="0" w:line="297"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nine months ended September 30, 2018 decreased $1.4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8%, to $15.6 million from $17.0 million for the same period in 2017. The decrease was primarily due to decreases in personnel-related costs of $1.9 million, due to an increase of internally developed capitalized software which reduces personnel expenses. These decreases were offset by increases in software subscriptions of $0.3 million and stock-based compensation of $0.3 million, both of which were consistent with business growth. As a percentage of revenues, research and development expenses were 9% and 10% for the nine months ended September 30, 2018 and 2017, respectively.</w:t>
      </w:r>
    </w:p>
    <w:p>
      <w:pPr>
        <w:spacing w:after="0" w:line="15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for the nine months ended September 30, 2018 increased $6.6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27%, to $31.3 million from $24.7 million for the same period in 2017. The increase was primarily due to an increase of $2.3 million in personnel-related costs due to headcount growth and an increase of $2.3 million in stock-based compensation due to headcount growth and stock grants made to retirement-eligible employees which results in immediate expensing. Additionally, other expenses increased by $2.0 million, primarily driven by business growth which resulted in increased costs of software subscriptions, credit card fees and bad debt expense. As a percentage of revenues, general and administrative expenses were 17% and 15% for the nine months ended September 30, 2018 and 2017 respectively.</w:t>
      </w:r>
    </w:p>
    <w:p>
      <w:pPr>
        <w:spacing w:after="0" w:line="17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nine months ended September 30, 2018 increased $0.7 million over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2017 primarily due to an increase in interest income from investments.</w:t>
      </w:r>
    </w:p>
    <w:p>
      <w:pPr>
        <w:spacing w:after="0" w:line="170"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$2.8 million for the nine months ended September 30, 2018 compared to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$2.9 million for the same period in 2017. The decrease was primarily due to a reduction in overall effective tax rate in 2018 as compared to 2017 due to the Tax Act, offset by increased pre-tax income. In addition, discrete tax benefits increased $1.6 million for the nine months ended September 30, 2018 compared to the same period in 2017. The increase is primarily due to a $1.0 million increase from stock activity and due to a $0.6 million increase in research and development tax credits. Under ASU 2016-09, excess tax benefits generated upon the settlement or exercise of stock awards are no longer recognized as additional paid-in capital but are instead recognized as a reduction to income tax expense. As a result of recording these excess tax benefits in income tax expense, we expect that our annual effective income tax rate will be more volatile than it has been historically.</w:t>
      </w:r>
    </w:p>
    <w:p>
      <w:pPr>
        <w:spacing w:after="0" w:line="167"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which is a non-GAAP measure of financial performance, consists of net income adjusted for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interest expense, interest income, income tax expense and stock-based compensation expense. The following table provides a reconciliation of net income to Adjusted EBITDA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16,731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Interest income, net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Stock-based compensation expense</w:t>
            </w:r>
          </w:p>
        </w:tc>
        <w:tc>
          <w:tcPr>
            <w:tcW w:w="28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8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37,353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40" w:type="dxa"/>
            <w:vAlign w:val="bottom"/>
            <w:vMerge w:val="restart"/>
          </w:tcPr>
          <w:p>
            <w:pPr>
              <w:jc w:val="right"/>
              <w:ind w:right="1970"/>
              <w:spacing w:after="0"/>
              <w:rPr>
                <w:sz w:val="20"/>
                <w:szCs w:val="20"/>
                <w:color w:val="auto"/>
              </w:rPr>
            </w:pPr>
            <w:r>
              <w:rPr>
                <w:rFonts w:ascii="Arial" w:cs="Arial" w:eastAsia="Arial" w:hAnsi="Arial"/>
                <w:sz w:val="18"/>
                <w:szCs w:val="18"/>
                <w:color w:val="auto"/>
              </w:rPr>
              <w:t>22</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22" w:name="page23"/>
    <w:bookmarkEnd w:id="22"/>
    <w:p>
      <w:pPr>
        <w:ind w:right="300" w:firstLine="518"/>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plus stock-based compensation expense, amortization expense related to intangible assets and income tax effects of adjustments divided by the weighted average number of shares of common stock outstanding during each period. The following table provides a reconciliation of net income to Non-GAAP income per share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85"/>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8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16,731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(5,188)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24,607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1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9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17,167</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17,557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19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60"/>
              <w:spacing w:after="0"/>
              <w:rPr>
                <w:sz w:val="20"/>
                <w:szCs w:val="20"/>
                <w:color w:val="auto"/>
              </w:rPr>
            </w:pPr>
            <w:r>
              <w:rPr>
                <w:rFonts w:ascii="Arial" w:cs="Arial" w:eastAsia="Arial" w:hAnsi="Arial"/>
                <w:sz w:val="18"/>
                <w:szCs w:val="18"/>
                <w:color w:val="auto"/>
              </w:rPr>
              <w:t>Basic</w:t>
            </w:r>
          </w:p>
        </w:tc>
        <w:tc>
          <w:tcPr>
            <w:tcW w:w="2980" w:type="dxa"/>
            <w:vAlign w:val="bottom"/>
            <w:gridSpan w:val="2"/>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9"/>
                <w:szCs w:val="19"/>
                <w:color w:val="auto"/>
              </w:rPr>
            </w:pPr>
          </w:p>
        </w:tc>
        <w:tc>
          <w:tcPr>
            <w:tcW w:w="68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980" w:type="dxa"/>
            <w:vAlign w:val="bottom"/>
            <w:gridSpan w:val="2"/>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September 30, 2018, our principal sources of liquidity were cash, cash equivalents, certificates of deposit and marketable securities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$194.3 million and accounts receivable, net of allowance for doubtful accounts, of $27.3 million. Certificates of deposit and marketable securities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invested in accordance with our investment policy, with a goal of maintaining liquidity and capital preservation. Our cash equivalents and marketable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securities are held in highly liquid money market funds, commercial paper, federal agency securities and corporate debt securities.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Net cash provided by operating activities was $37.6 million and $22.0 million for the nine months ended September 30, 2018 and 2017, respectively. The increase was primarily due to increased net income as a result of continued revenue growth and reduction in operating expenses, primarily from personnel-related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Net cash used in investing activities was $14.7 million and $12.5 million for the nine months ended September 30, 2018 and 2017, respectively. The increase was primarily due to increased capital expenditures, offset by net maturities of investments compared to net purchases of investments for the same period in 2017. Our capital expenditures are for supporting our business growth and existing customer base, as well as for our internal use, such as equipment for our employees.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jc w:val="both"/>
        <w:ind w:right="340" w:firstLine="518"/>
        <w:spacing w:after="0" w:line="312" w:lineRule="auto"/>
        <w:rPr>
          <w:sz w:val="20"/>
          <w:szCs w:val="20"/>
          <w:color w:val="auto"/>
        </w:rPr>
      </w:pPr>
      <w:r>
        <w:rPr>
          <w:rFonts w:ascii="Arial" w:cs="Arial" w:eastAsia="Arial" w:hAnsi="Arial"/>
          <w:sz w:val="16"/>
          <w:szCs w:val="16"/>
          <w:color w:val="auto"/>
        </w:rPr>
        <w:t>Net financing activities resulted in cash used of $1.2 million and cash provided of $2.3 million for the nine months ended September 30, 2018 and 2017, respectively. The decrease was primarily due to $13.9 million of common stock repurchases offset by $11.8 million of proceeds from stock-based compensation plans for the nine months ended September 30, 2018 compared to $2.3 million of proceeds from stock activity for the same period in 2017.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Our results of operations and cash flows were not materially affected by fluctuations in foreign currency exchange rates. We maintain approximately 6%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believe our cash, cash equivalents, certificates of deposit, marketable securities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2018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September 30, 2018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4"/>
                <w:szCs w:val="14"/>
                <w:b w:val="1"/>
                <w:bCs w:val="1"/>
                <w:color w:val="auto"/>
                <w:w w:val="91"/>
              </w:rPr>
              <w:t>Payments Due By Period (in thousands)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6"/>
        </w:trPr>
        <w:tc>
          <w:tcPr>
            <w:tcW w:w="15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64"/>
              <w:spacing w:after="0" w:line="147" w:lineRule="exact"/>
              <w:rPr>
                <w:sz w:val="20"/>
                <w:szCs w:val="20"/>
                <w:color w:val="auto"/>
              </w:rPr>
            </w:pPr>
            <w:r>
              <w:rPr>
                <w:rFonts w:ascii="Arial" w:cs="Arial" w:eastAsia="Arial" w:hAnsi="Arial"/>
                <w:sz w:val="14"/>
                <w:szCs w:val="14"/>
                <w:b w:val="1"/>
                <w:bCs w:val="1"/>
                <w:color w:val="auto"/>
                <w:w w:val="92"/>
              </w:rPr>
              <w:t>Less Than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82"/>
              <w:spacing w:after="0" w:line="147" w:lineRule="exact"/>
              <w:rPr>
                <w:sz w:val="20"/>
                <w:szCs w:val="20"/>
                <w:color w:val="auto"/>
              </w:rPr>
            </w:pPr>
            <w:r>
              <w:rPr>
                <w:rFonts w:ascii="Arial" w:cs="Arial" w:eastAsia="Arial" w:hAnsi="Arial"/>
                <w:sz w:val="14"/>
                <w:szCs w:val="14"/>
                <w:b w:val="1"/>
                <w:bCs w:val="1"/>
                <w:color w:val="auto"/>
                <w:w w:val="98"/>
              </w:rPr>
              <w:t>More Than</w:t>
            </w:r>
          </w:p>
        </w:tc>
      </w:tr>
      <w:tr>
        <w:trPr>
          <w:trHeight w:val="178"/>
        </w:trPr>
        <w:tc>
          <w:tcPr>
            <w:tcW w:w="1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3"/>
              </w:rPr>
              <w:t>Contractual Obligations</w:t>
            </w:r>
          </w:p>
        </w:tc>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9"/>
              <w:spacing w:after="0" w:line="158"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64"/>
              <w:spacing w:after="0" w:line="158" w:lineRule="exact"/>
              <w:rPr>
                <w:sz w:val="20"/>
                <w:szCs w:val="20"/>
                <w:color w:val="auto"/>
              </w:rPr>
            </w:pPr>
            <w:r>
              <w:rPr>
                <w:rFonts w:ascii="Arial" w:cs="Arial" w:eastAsia="Arial" w:hAnsi="Arial"/>
                <w:sz w:val="14"/>
                <w:szCs w:val="14"/>
                <w:b w:val="1"/>
                <w:bCs w:val="1"/>
                <w:color w:val="auto"/>
                <w:w w:val="95"/>
              </w:rPr>
              <w:t>1 Year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1-3 Years</w:t>
            </w:r>
          </w:p>
        </w:tc>
        <w:tc>
          <w:tcPr>
            <w:tcW w:w="140" w:type="dxa"/>
            <w:vAlign w:val="bottom"/>
          </w:tcPr>
          <w:p>
            <w:pPr>
              <w:spacing w:after="0"/>
              <w:rPr>
                <w:sz w:val="15"/>
                <w:szCs w:val="15"/>
                <w:color w:val="auto"/>
              </w:rPr>
            </w:pPr>
          </w:p>
        </w:tc>
        <w:tc>
          <w:tcPr>
            <w:tcW w:w="960" w:type="dxa"/>
            <w:vAlign w:val="bottom"/>
          </w:tcPr>
          <w:p>
            <w:pPr>
              <w:jc w:val="right"/>
              <w:ind w:right="239"/>
              <w:spacing w:after="0" w:line="158" w:lineRule="exact"/>
              <w:rPr>
                <w:sz w:val="20"/>
                <w:szCs w:val="20"/>
                <w:color w:val="auto"/>
              </w:rPr>
            </w:pPr>
            <w:r>
              <w:rPr>
                <w:rFonts w:ascii="Arial" w:cs="Arial" w:eastAsia="Arial" w:hAnsi="Arial"/>
                <w:sz w:val="14"/>
                <w:szCs w:val="14"/>
                <w:b w:val="1"/>
                <w:bCs w:val="1"/>
                <w:color w:val="auto"/>
                <w:w w:val="99"/>
              </w:rPr>
              <w:t>3-5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82"/>
              <w:spacing w:after="0" w:line="158" w:lineRule="exact"/>
              <w:rPr>
                <w:sz w:val="20"/>
                <w:szCs w:val="20"/>
                <w:color w:val="auto"/>
              </w:rPr>
            </w:pPr>
            <w:r>
              <w:rPr>
                <w:rFonts w:ascii="Arial" w:cs="Arial" w:eastAsia="Arial" w:hAnsi="Arial"/>
                <w:sz w:val="14"/>
                <w:szCs w:val="14"/>
                <w:b w:val="1"/>
                <w:bCs w:val="1"/>
                <w:color w:val="auto"/>
                <w:w w:val="92"/>
              </w:rPr>
              <w:t>5 Years</w:t>
            </w:r>
          </w:p>
        </w:tc>
      </w:tr>
      <w:tr>
        <w:trPr>
          <w:trHeight w:val="217"/>
        </w:trPr>
        <w:tc>
          <w:tcPr>
            <w:tcW w:w="5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25,685</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1,012</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7,622</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8,380</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62"/>
              <w:spacing w:after="0"/>
              <w:rPr>
                <w:sz w:val="20"/>
                <w:szCs w:val="20"/>
                <w:color w:val="auto"/>
              </w:rPr>
            </w:pPr>
            <w:r>
              <w:rPr>
                <w:rFonts w:ascii="Arial" w:cs="Arial" w:eastAsia="Arial" w:hAnsi="Arial"/>
                <w:sz w:val="18"/>
                <w:szCs w:val="18"/>
                <w:color w:val="auto"/>
              </w:rPr>
              <w:t>8,671</w:t>
            </w:r>
          </w:p>
        </w:tc>
      </w:tr>
    </w:tbl>
    <w:p>
      <w:pPr>
        <w:spacing w:after="0" w:line="3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any outstanding debt as of September 30, 2018. Therefore, we do not have any material risk to interest rate fluctuations.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We have revenue, expenses, assets and liabilities that are denominated in currencies other than the U.S. dollar, primarily the Australian dollar and Canadian dollar. As of September 30, 2018, we maintained approximately 6% of our total cash and cash equivalents outside of the U.S. in foreign currencies.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2018.</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2018 that have materially affected, or are reasonably likely to materially affect, our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75"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2017 as filed with the SEC on February 26, 2018.</w:t>
      </w: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Share Repurchases</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following table presents the total number of shares of our common stock that we purchased during the third quarter of 2018, the average price paid per share, the number of shares that we purchased as part of our publicly announced repurchase program and the approximate dollar value of shares that still could be repurchased at the end of the applicable period.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vMerge w:val="restart"/>
          </w:tcPr>
          <w:p>
            <w:pPr>
              <w:ind w:left="2680"/>
              <w:spacing w:after="0"/>
              <w:rPr>
                <w:sz w:val="20"/>
                <w:szCs w:val="20"/>
                <w:color w:val="auto"/>
              </w:rPr>
            </w:pPr>
            <w:r>
              <w:rPr>
                <w:rFonts w:ascii="Arial" w:cs="Arial" w:eastAsia="Arial" w:hAnsi="Arial"/>
                <w:sz w:val="14"/>
                <w:szCs w:val="14"/>
                <w:b w:val="1"/>
                <w:bCs w:val="1"/>
                <w:color w:val="auto"/>
              </w:rPr>
              <w:t>Period</w:t>
            </w: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 per 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xml:space="preserve">Program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July 1 -31, 2018</w:t>
            </w:r>
          </w:p>
        </w:tc>
        <w:tc>
          <w:tcPr>
            <w:tcW w:w="1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26,251</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76.11</w:t>
            </w:r>
          </w:p>
        </w:tc>
        <w:tc>
          <w:tcPr>
            <w:tcW w:w="24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26,251</w:t>
            </w: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30,318,000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August 1 - 31, 2018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September 1 - 30, 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30,318,000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third quarter 2018</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26,251</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76.11</w:t>
            </w: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26,251</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30,318,000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80" w:right="60" w:hanging="372"/>
        <w:spacing w:after="0" w:line="253"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Pursuant to a $50.0 million share repurchase program that was authorized by our board of directors on November 2, 2017. There is no expiration date governing the period over which we can repurchase shares under the November 2017 share repurchase program.</w:t>
      </w:r>
    </w:p>
    <w:p>
      <w:pPr>
        <w:spacing w:after="0" w:line="28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12"/>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91"/>
        </w:trPr>
        <w:tc>
          <w:tcPr>
            <w:tcW w:w="800" w:type="dxa"/>
            <w:vAlign w:val="bottom"/>
          </w:tcPr>
          <w:p>
            <w:pPr>
              <w:jc w:val="center"/>
              <w:ind w:right="213"/>
              <w:spacing w:after="0"/>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Borders>
              <w:bottom w:val="single" w:sz="8" w:color="0000EE"/>
            </w:tcBorders>
            <w:gridSpan w:val="7"/>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Certificate of Incorporation (incorporated by reference to Exhibit 4.1 to our Registration Statement on Form S-3 (File No. 333-182097)</w:t>
              </w:r>
            </w:hyperlink>
          </w:p>
        </w:tc>
        <w:tc>
          <w:tcPr>
            <w:tcW w:w="3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1">
              <w:r>
                <w:rPr>
                  <w:rFonts w:ascii="Arial" w:cs="Arial" w:eastAsia="Arial" w:hAnsi="Arial"/>
                  <w:sz w:val="18"/>
                  <w:szCs w:val="18"/>
                  <w:color w:val="0000EE"/>
                  <w:w w:val="90"/>
                </w:rPr>
                <w:t>filed with the SEC on September 13, 2012).</w:t>
              </w:r>
            </w:hyperlink>
          </w:p>
        </w:tc>
        <w:tc>
          <w:tcPr>
            <w:tcW w:w="6920" w:type="dxa"/>
            <w:vAlign w:val="bottom"/>
            <w:gridSpan w:val="7"/>
          </w:tcPr>
          <w:p>
            <w:pPr>
              <w:spacing w:after="0"/>
              <w:rPr>
                <w:sz w:val="17"/>
                <w:szCs w:val="17"/>
                <w:color w:val="auto"/>
              </w:rPr>
            </w:pPr>
          </w:p>
        </w:tc>
      </w:tr>
      <w:tr>
        <w:trPr>
          <w:trHeight w:val="318"/>
        </w:trPr>
        <w:tc>
          <w:tcPr>
            <w:tcW w:w="800" w:type="dxa"/>
            <w:vAlign w:val="bottom"/>
          </w:tcPr>
          <w:p>
            <w:pPr>
              <w:jc w:val="center"/>
              <w:ind w:right="213"/>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w w:val="94"/>
              </w:rPr>
            </w:pPr>
            <w:hyperlink r:id="rId42">
              <w:r>
                <w:rPr>
                  <w:rFonts w:ascii="Arial" w:cs="Arial" w:eastAsia="Arial" w:hAnsi="Arial"/>
                  <w:sz w:val="18"/>
                  <w:szCs w:val="18"/>
                  <w:color w:val="0000EE"/>
                  <w:w w:val="94"/>
                </w:rPr>
                <w:t>Amended and Restated Bylaws (incorporated by reference to Exhibit 3.1 to our Current Report on Form 8-K (File No. 001-34702) filed</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with the SEC on October 12, 2017).</w:t>
              </w:r>
            </w:hyperlink>
          </w:p>
        </w:tc>
        <w:tc>
          <w:tcPr>
            <w:tcW w:w="7180" w:type="dxa"/>
            <w:vAlign w:val="bottom"/>
            <w:tcBorders>
              <w:top w:val="single" w:sz="8" w:color="0000EE"/>
            </w:tcBorders>
            <w:gridSpan w:val="6"/>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318"/>
        </w:trPr>
        <w:tc>
          <w:tcPr>
            <w:tcW w:w="800" w:type="dxa"/>
            <w:vAlign w:val="bottom"/>
          </w:tcPr>
          <w:p>
            <w:pPr>
              <w:jc w:val="center"/>
              <w:ind w:right="193"/>
              <w:spacing w:after="0"/>
              <w:rPr>
                <w:sz w:val="20"/>
                <w:szCs w:val="20"/>
                <w:color w:val="auto"/>
              </w:rPr>
            </w:pPr>
            <w:r>
              <w:rPr>
                <w:rFonts w:ascii="Arial" w:cs="Arial" w:eastAsia="Arial" w:hAnsi="Arial"/>
                <w:sz w:val="18"/>
                <w:szCs w:val="18"/>
                <w:color w:val="auto"/>
                <w:w w:val="91"/>
              </w:rPr>
              <w:t>31.1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Certification of Principal Executive Officer pursuant to Rules 13a-14(a) under the Securities Exchange Act of 1934, as amended (filed</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herewith).</w:t>
              </w:r>
            </w:hyperlink>
          </w:p>
        </w:tc>
        <w:tc>
          <w:tcPr>
            <w:tcW w:w="8940" w:type="dxa"/>
            <w:vAlign w:val="bottom"/>
            <w:tcBorders>
              <w:top w:val="single" w:sz="8" w:color="0000EE"/>
            </w:tcBorders>
            <w:gridSpan w:val="5"/>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318"/>
        </w:trPr>
        <w:tc>
          <w:tcPr>
            <w:tcW w:w="800" w:type="dxa"/>
            <w:vAlign w:val="bottom"/>
          </w:tcPr>
          <w:p>
            <w:pPr>
              <w:jc w:val="center"/>
              <w:ind w:right="193"/>
              <w:spacing w:after="0"/>
              <w:rPr>
                <w:sz w:val="20"/>
                <w:szCs w:val="20"/>
                <w:color w:val="auto"/>
              </w:rPr>
            </w:pPr>
            <w:r>
              <w:rPr>
                <w:rFonts w:ascii="Arial" w:cs="Arial" w:eastAsia="Arial" w:hAnsi="Arial"/>
                <w:sz w:val="18"/>
                <w:szCs w:val="18"/>
                <w:color w:val="auto"/>
                <w:w w:val="91"/>
              </w:rPr>
              <w:t>31.2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Principal Financial Officer pursuant to Rules 13a-14(a) under the Securities Exchange Act of 1934, as amended (filed</w:t>
              </w:r>
            </w:hyperlink>
          </w:p>
        </w:tc>
        <w:tc>
          <w:tcPr>
            <w:tcW w:w="44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herewith).</w:t>
              </w:r>
            </w:hyperlink>
          </w:p>
        </w:tc>
        <w:tc>
          <w:tcPr>
            <w:tcW w:w="9340" w:type="dxa"/>
            <w:vAlign w:val="bottom"/>
            <w:gridSpan w:val="9"/>
          </w:tcPr>
          <w:p>
            <w:pPr>
              <w:spacing w:after="0"/>
              <w:rPr>
                <w:sz w:val="17"/>
                <w:szCs w:val="17"/>
                <w:color w:val="auto"/>
              </w:rPr>
            </w:pPr>
          </w:p>
        </w:tc>
      </w:tr>
      <w:tr>
        <w:trPr>
          <w:trHeight w:val="318"/>
        </w:trPr>
        <w:tc>
          <w:tcPr>
            <w:tcW w:w="800" w:type="dxa"/>
            <w:vAlign w:val="bottom"/>
          </w:tcPr>
          <w:p>
            <w:pPr>
              <w:jc w:val="center"/>
              <w:ind w:right="193"/>
              <w:spacing w:after="0"/>
              <w:rPr>
                <w:sz w:val="20"/>
                <w:szCs w:val="20"/>
                <w:color w:val="auto"/>
              </w:rPr>
            </w:pPr>
            <w:r>
              <w:rPr>
                <w:rFonts w:ascii="Arial" w:cs="Arial" w:eastAsia="Arial" w:hAnsi="Arial"/>
                <w:sz w:val="18"/>
                <w:szCs w:val="18"/>
                <w:color w:val="auto"/>
                <w:w w:val="91"/>
              </w:rPr>
              <w:t>32.1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0"/>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Chief Executive Officer and Chief Financial Officer pursuant to 18 U.S.C. Sec. 1350, as adopted pursuant to Section 906 of</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the Sarbanes-Oxley Act of 2002 (filed herewith).</w:t>
              </w:r>
            </w:hyperlink>
          </w:p>
        </w:tc>
        <w:tc>
          <w:tcPr>
            <w:tcW w:w="65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bl>
    <w:p>
      <w:pPr>
        <w:spacing w:after="0" w:line="134" w:lineRule="exact"/>
        <w:rPr>
          <w:sz w:val="20"/>
          <w:szCs w:val="20"/>
          <w:color w:val="auto"/>
        </w:rPr>
      </w:pPr>
    </w:p>
    <w:p>
      <w:pPr>
        <w:ind w:left="5620" w:right="4400" w:hanging="5522"/>
        <w:spacing w:after="0" w:line="778" w:lineRule="auto"/>
        <w:tabs>
          <w:tab w:leader="none" w:pos="1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7" w:name="page28"/>
    <w:bookmarkEnd w:id="27"/>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00" w:val="left"/>
        </w:tabs>
        <w:rPr>
          <w:sz w:val="20"/>
          <w:szCs w:val="20"/>
          <w:color w:val="auto"/>
        </w:rPr>
      </w:pPr>
      <w:r>
        <w:rPr>
          <w:rFonts w:ascii="Arial" w:cs="Arial" w:eastAsia="Arial" w:hAnsi="Arial"/>
          <w:sz w:val="18"/>
          <w:szCs w:val="18"/>
          <w:color w:val="auto"/>
        </w:rPr>
        <w:t>Dated: October 26, 2018</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00"/>
          </w:cols>
          <w:pgMar w:left="240" w:top="351" w:right="8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2018</w:t>
      </w:r>
    </w:p>
    <w:p>
      <w:pPr>
        <w:sectPr>
          <w:pgSz w:w="11900" w:h="16838" w:orient="portrait"/>
          <w:cols w:equalWidth="0" w:num="1">
            <w:col w:w="11420"/>
          </w:cols>
          <w:pgMar w:left="240" w:top="33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25"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040" w:right="40" w:hanging="519"/>
        <w:spacing w:after="0" w:line="291"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ind w:left="1540" w:right="220" w:hanging="506"/>
        <w:spacing w:after="0" w:line="286" w:lineRule="auto"/>
        <w:tabs>
          <w:tab w:leader="none" w:pos="15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6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40" w:right="100" w:hanging="506"/>
        <w:spacing w:after="0" w:line="34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40" w:right="20" w:hanging="506"/>
        <w:spacing w:after="0" w:line="264"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20" w:hanging="506"/>
        <w:spacing w:after="0" w:line="277"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2018</w:t>
      </w:r>
    </w:p>
    <w:p>
      <w:pPr>
        <w:sectPr>
          <w:pgSz w:w="11900" w:h="16838" w:orient="portrait"/>
          <w:cols w:equalWidth="0" w:num="1">
            <w:col w:w="11420"/>
          </w:cols>
          <w:pgMar w:left="240" w:top="337"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September 30, 2018,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39"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26, 2018</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1" Type="http://schemas.openxmlformats.org/officeDocument/2006/relationships/hyperlink" Target="http://www.sec.gov/Archives/edgar/data/1092699/000119312512269607/d365652dex41.htm" TargetMode="External"/><Relationship Id="rId42"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2019-12-28T18:45:16Z</dcterms:created>
  <dcterms:modified xsi:type="dcterms:W3CDTF">2019-12-28T18:45:16Z</dcterms:modified>
</cp:coreProperties>
</file>