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2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-291465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48"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5" w:lineRule="exact"/>
        <w:rPr>
          <w:sz w:val="24"/>
          <w:szCs w:val="24"/>
          <w:color w:val="auto"/>
        </w:rPr>
      </w:pPr>
    </w:p>
    <w:p>
      <w:pPr>
        <w:ind w:left="376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001-34702</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35560</wp:posOffset>
            </wp:positionV>
            <wp:extent cx="56578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ectPr>
          <w:pgSz w:w="11900" w:h="16838" w:orient="portrait"/>
          <w:cols w:equalWidth="0" w:num="1">
            <w:col w:w="11240"/>
          </w:cols>
          <w:pgMar w:left="320" w:top="200" w:right="339" w:bottom="1440" w:gutter="0" w:footer="0" w:header="0"/>
        </w:sectPr>
      </w:pPr>
    </w:p>
    <w:p>
      <w:pPr>
        <w:spacing w:after="0" w:line="1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41-2015127</w:t>
      </w:r>
    </w:p>
    <w:p>
      <w:pPr>
        <w:spacing w:after="0" w:line="24" w:lineRule="exact"/>
        <w:rPr>
          <w:sz w:val="24"/>
          <w:szCs w:val="24"/>
          <w:color w:val="auto"/>
        </w:rPr>
      </w:pPr>
    </w:p>
    <w:p>
      <w:pPr>
        <w:sectPr>
          <w:pgSz w:w="11900" w:h="16838" w:orient="portrait"/>
          <w:cols w:equalWidth="0" w:num="2">
            <w:col w:w="7280" w:space="720"/>
            <w:col w:w="3240"/>
          </w:cols>
          <w:pgMar w:left="320" w:top="200"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p>
      <w:pPr>
        <w:ind w:left="190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4"/>
          <w:szCs w:val="14"/>
          <w:b w:val="1"/>
          <w:bCs w:val="1"/>
          <w:i w:val="1"/>
          <w:iCs w:val="1"/>
          <w:color w:val="auto"/>
        </w:rPr>
        <w:t>(I.R.S. Employer</w:t>
      </w:r>
    </w:p>
    <w:p>
      <w:pPr>
        <w:jc w:val="center"/>
        <w:ind w:right="2260"/>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p>
      <w:pPr>
        <w:spacing w:after="0" w:line="93" w:lineRule="exact"/>
        <w:rPr>
          <w:sz w:val="24"/>
          <w:szCs w:val="24"/>
          <w:color w:val="auto"/>
        </w:rPr>
      </w:pPr>
    </w:p>
    <w:p>
      <w:pPr>
        <w:sectPr>
          <w:pgSz w:w="11900" w:h="16838" w:orient="portrait"/>
          <w:cols w:equalWidth="0" w:num="2">
            <w:col w:w="7160" w:space="720"/>
            <w:col w:w="3360"/>
          </w:cols>
          <w:pgMar w:left="320" w:top="20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333 South Seventh Street, Suite 1000, Minneapolis, MN 55402</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including Zip Code)</w:t>
      </w:r>
    </w:p>
    <w:p>
      <w:pPr>
        <w:sectPr>
          <w:pgSz w:w="11900" w:h="16838" w:orient="portrait"/>
          <w:cols w:equalWidth="0" w:num="1">
            <w:col w:w="11240"/>
          </w:cols>
          <w:pgMar w:left="320" w:top="200" w:right="33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435-9400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7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gridSpan w:val="2"/>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right="24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$0.001 per share, outstanding at October 23, 2020 was 35,308,834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360" w:type="dxa"/>
            <w:vAlign w:val="bottom"/>
          </w:tcPr>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397"/>
        </w:trPr>
        <w:tc>
          <w:tcPr>
            <w:tcW w:w="920" w:type="dxa"/>
            <w:vAlign w:val="bottom"/>
          </w:tcPr>
          <w:p>
            <w:pPr>
              <w:spacing w:after="0"/>
              <w:rPr>
                <w:sz w:val="24"/>
                <w:szCs w:val="24"/>
                <w:color w:val="auto"/>
              </w:rPr>
            </w:pPr>
          </w:p>
        </w:tc>
        <w:tc>
          <w:tcPr>
            <w:tcW w:w="79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SPS COMMERCE, INC.</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9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79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gridSpan w:val="2"/>
            <w:vMerge w:val="restart"/>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88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Comprehensive Income</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Stockholders’ Equity</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Cash Flows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Controls and Procedures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38"/>
        </w:trPr>
        <w:tc>
          <w:tcPr>
            <w:tcW w:w="888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29">
              <w:r>
                <w:rPr>
                  <w:rFonts w:ascii="Times New Roman" w:cs="Times New Roman" w:eastAsia="Times New Roman" w:hAnsi="Times New Roman"/>
                  <w:sz w:val="18"/>
                  <w:szCs w:val="18"/>
                  <w:b w:val="1"/>
                  <w:bCs w:val="1"/>
                  <w:u w:val="single" w:color="auto"/>
                  <w:color w:val="0000EE"/>
                </w:rPr>
                <w:t>PART II. OTHER INFORMATION</w:t>
              </w:r>
            </w:hyperlink>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Legal Proceedings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Risk Factors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Defaults Upon Senior Securities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Mine Safety Disclosures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Other Information</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960" w:type="dxa"/>
            <w:vAlign w:val="bottom"/>
          </w:tcPr>
          <w:p>
            <w:pPr>
              <w:ind w:left="10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Exhibits</w:t>
              </w:r>
            </w:hyperlink>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38"/>
        </w:trPr>
        <w:tc>
          <w:tcPr>
            <w:tcW w:w="9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Signatures</w:t>
              </w:r>
            </w:hyperlink>
          </w:p>
        </w:tc>
        <w:tc>
          <w:tcPr>
            <w:tcW w:w="79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2057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09"/>
        </w:trPr>
        <w:tc>
          <w:tcPr>
            <w:tcW w:w="7760" w:type="dxa"/>
            <w:vAlign w:val="bottom"/>
            <w:shd w:val="clear" w:color="auto" w:fill="CFF0FC"/>
          </w:tcPr>
          <w:p>
            <w:pPr>
              <w:ind w:left="3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right="139"/>
              <w:spacing w:after="0"/>
              <w:rPr>
                <w:sz w:val="20"/>
                <w:szCs w:val="20"/>
                <w:color w:val="auto"/>
              </w:rPr>
            </w:pPr>
            <w:r>
              <w:rPr>
                <w:rFonts w:ascii="Times New Roman" w:cs="Times New Roman" w:eastAsia="Times New Roman" w:hAnsi="Times New Roman"/>
                <w:sz w:val="16"/>
                <w:szCs w:val="16"/>
                <w:color w:val="auto"/>
              </w:rPr>
              <w:t>(unaudited)</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208,930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179,252</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33,001</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(1,469)</w:t>
            </w:r>
          </w:p>
        </w:tc>
      </w:tr>
      <w:tr>
        <w:trPr>
          <w:trHeight w:val="212"/>
        </w:trPr>
        <w:tc>
          <w:tcPr>
            <w:tcW w:w="77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30,289</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costs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11,279</w:t>
            </w:r>
          </w:p>
        </w:tc>
        <w:tc>
          <w:tcPr>
            <w:tcW w:w="100" w:type="dxa"/>
            <w:vAlign w:val="bottom"/>
            <w:shd w:val="clear" w:color="auto" w:fill="CFF0FC"/>
          </w:tcPr>
          <w:p>
            <w:pPr>
              <w:spacing w:after="0"/>
              <w:rPr>
                <w:sz w:val="19"/>
                <w:szCs w:val="19"/>
                <w:color w:val="auto"/>
              </w:rPr>
            </w:pPr>
          </w:p>
        </w:tc>
      </w:tr>
      <w:tr>
        <w:trPr>
          <w:trHeight w:val="207"/>
        </w:trPr>
        <w:tc>
          <w:tcPr>
            <w:tcW w:w="7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337,008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291,621</w:t>
            </w:r>
          </w:p>
        </w:tc>
        <w:tc>
          <w:tcPr>
            <w:tcW w:w="100" w:type="dxa"/>
            <w:vAlign w:val="bottom"/>
          </w:tcPr>
          <w:p>
            <w:pPr>
              <w:spacing w:after="0"/>
              <w:rPr>
                <w:sz w:val="17"/>
                <w:szCs w:val="17"/>
                <w:color w:val="auto"/>
              </w:rPr>
            </w:pPr>
          </w:p>
        </w:tc>
      </w:tr>
      <w:tr>
        <w:trPr>
          <w:trHeight w:val="20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less accumulated depreciation of $58,629 and $50,574,</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76,845</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costs, non-current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assets, non-current</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shd w:val="clear" w:color="auto" w:fill="CFF0FC"/>
          </w:tcPr>
          <w:p>
            <w:pPr>
              <w:spacing w:after="0"/>
              <w:rPr>
                <w:sz w:val="19"/>
                <w:szCs w:val="19"/>
                <w:color w:val="auto"/>
              </w:rPr>
            </w:pPr>
          </w:p>
        </w:tc>
      </w:tr>
      <w:tr>
        <w:trPr>
          <w:trHeight w:val="247"/>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487,686</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447,440</w:t>
            </w:r>
          </w:p>
        </w:tc>
        <w:tc>
          <w:tcPr>
            <w:tcW w:w="100" w:type="dxa"/>
            <w:vAlign w:val="bottom"/>
            <w:tcBorders>
              <w:bottom w:val="single" w:sz="8" w:color="CFF0FC"/>
            </w:tcBorders>
          </w:tcPr>
          <w:p>
            <w:pPr>
              <w:spacing w:after="0"/>
              <w:rPr>
                <w:sz w:val="21"/>
                <w:szCs w:val="21"/>
                <w:color w:val="auto"/>
              </w:rPr>
            </w:pPr>
          </w:p>
        </w:tc>
      </w:tr>
      <w:tr>
        <w:trPr>
          <w:trHeight w:val="199"/>
        </w:trPr>
        <w:tc>
          <w:tcPr>
            <w:tcW w:w="7760" w:type="dxa"/>
            <w:vAlign w:val="bottom"/>
            <w:shd w:val="clear" w:color="auto" w:fill="CFF0FC"/>
          </w:tcPr>
          <w:p>
            <w:pPr>
              <w:ind w:left="20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FF0FC"/>
          </w:tcPr>
          <w:p>
            <w:pPr>
              <w:spacing w:after="0"/>
              <w:rPr>
                <w:sz w:val="19"/>
                <w:szCs w:val="19"/>
                <w:color w:val="auto"/>
              </w:rPr>
            </w:pPr>
          </w:p>
        </w:tc>
      </w:tr>
      <w:tr>
        <w:trPr>
          <w:trHeight w:val="207"/>
        </w:trPr>
        <w:tc>
          <w:tcPr>
            <w:tcW w:w="77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70,389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68,030</w:t>
            </w:r>
          </w:p>
        </w:tc>
        <w:tc>
          <w:tcPr>
            <w:tcW w:w="100" w:type="dxa"/>
            <w:vAlign w:val="bottom"/>
          </w:tcPr>
          <w:p>
            <w:pPr>
              <w:spacing w:after="0"/>
              <w:rPr>
                <w:sz w:val="17"/>
                <w:szCs w:val="17"/>
                <w:color w:val="auto"/>
              </w:rPr>
            </w:pPr>
          </w:p>
        </w:tc>
      </w:tr>
      <w:tr>
        <w:trPr>
          <w:trHeight w:val="21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20,085</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FF0FC"/>
          </w:tcPr>
          <w:p>
            <w:pPr>
              <w:spacing w:after="0"/>
              <w:rPr>
                <w:sz w:val="19"/>
                <w:szCs w:val="19"/>
                <w:color w:val="auto"/>
              </w:rPr>
            </w:pPr>
          </w:p>
        </w:tc>
      </w:tr>
      <w:tr>
        <w:trPr>
          <w:trHeight w:val="207"/>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92,746</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92,564</w:t>
            </w:r>
          </w:p>
        </w:tc>
        <w:tc>
          <w:tcPr>
            <w:tcW w:w="100" w:type="dxa"/>
            <w:vAlign w:val="bottom"/>
            <w:tcBorders>
              <w:bottom w:val="single" w:sz="8" w:color="CFF0FC"/>
            </w:tcBorders>
          </w:tcPr>
          <w:p>
            <w:pPr>
              <w:spacing w:after="0"/>
              <w:rPr>
                <w:sz w:val="17"/>
                <w:szCs w:val="17"/>
                <w:color w:val="auto"/>
              </w:rPr>
            </w:pPr>
          </w:p>
        </w:tc>
      </w:tr>
      <w:tr>
        <w:trPr>
          <w:trHeight w:val="21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Common stock, $0.001 par value; 110,000,000 and 55,000,000 shares authorized;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36,904,856 and 36,104,619 shares issued; and</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35,291,606 and 34,863,271 outstanding, respectively</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Treasury stock, at cost; 1,613,250 and 1,241,348 shares, respectively</w:t>
            </w: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(65,247)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(46,297)</w:t>
            </w: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354,115</w:t>
            </w:r>
          </w:p>
        </w:tc>
        <w:tc>
          <w:tcPr>
            <w:tcW w:w="100" w:type="dxa"/>
            <w:vAlign w:val="bottom"/>
          </w:tcPr>
          <w:p>
            <w:pPr>
              <w:spacing w:after="0"/>
              <w:rPr>
                <w:sz w:val="18"/>
                <w:szCs w:val="18"/>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48,973</w:t>
            </w:r>
          </w:p>
        </w:tc>
        <w:tc>
          <w:tcPr>
            <w:tcW w:w="100" w:type="dxa"/>
            <w:vAlign w:val="bottom"/>
            <w:shd w:val="clear" w:color="auto" w:fill="CFF0FC"/>
          </w:tcPr>
          <w:p>
            <w:pPr>
              <w:spacing w:after="0"/>
              <w:rPr>
                <w:sz w:val="19"/>
                <w:szCs w:val="19"/>
                <w:color w:val="auto"/>
              </w:rPr>
            </w:pP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(1,951)</w:t>
            </w:r>
          </w:p>
        </w:tc>
      </w:tr>
      <w:tr>
        <w:trPr>
          <w:trHeight w:val="212"/>
        </w:trPr>
        <w:tc>
          <w:tcPr>
            <w:tcW w:w="77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394,940</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354,876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77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487,686</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447,440</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ind w:left="1028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 (Unaudited)</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70,928</w:t>
            </w:r>
          </w:p>
        </w:tc>
        <w:tc>
          <w:tcPr>
            <w:tcW w:w="1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229,322</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156,407</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40,558</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119,806</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(expense)</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(779)</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of tax of ($21), $38, $6 and $105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of (gain) loss on investments into earnings,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of tax of $2, ($49), ($51) and ($109)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4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(expense)</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31,205</w:t>
            </w:r>
          </w:p>
        </w:tc>
        <w:tc>
          <w:tcPr>
            <w:tcW w:w="24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9"/>
                <w:szCs w:val="19"/>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net income per share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057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397"/>
        </w:trPr>
        <w:tc>
          <w:tcPr>
            <w:tcW w:w="3500" w:type="dxa"/>
            <w:vAlign w:val="bottom"/>
          </w:tcPr>
          <w:p>
            <w:pPr>
              <w:spacing w:after="0"/>
              <w:rPr>
                <w:sz w:val="24"/>
                <w:szCs w:val="24"/>
                <w:color w:val="auto"/>
              </w:rPr>
            </w:pPr>
          </w:p>
        </w:tc>
        <w:tc>
          <w:tcPr>
            <w:tcW w:w="4040" w:type="dxa"/>
            <w:vAlign w:val="bottom"/>
            <w:gridSpan w:val="15"/>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SPS COMMERCE, INC. AND SUBSIDIARIES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240" w:type="dxa"/>
            <w:vAlign w:val="bottom"/>
            <w:gridSpan w:val="22"/>
          </w:tcPr>
          <w:p>
            <w:pPr>
              <w:jc w:val="center"/>
              <w:ind w:left="1932"/>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4"/>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CCF0FC"/>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shares) (Unaudited)</w:t>
            </w:r>
          </w:p>
        </w:tc>
        <w:tc>
          <w:tcPr>
            <w:tcW w:w="300" w:type="dxa"/>
            <w:vAlign w:val="bottom"/>
            <w:tcBorders>
              <w:bottom w:val="single" w:sz="8" w:color="CC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F0FC"/>
            </w:tcBorders>
          </w:tcPr>
          <w:p>
            <w:pPr>
              <w:spacing w:after="0"/>
              <w:rPr>
                <w:sz w:val="13"/>
                <w:szCs w:val="13"/>
                <w:color w:val="auto"/>
              </w:rPr>
            </w:pPr>
          </w:p>
        </w:tc>
        <w:tc>
          <w:tcPr>
            <w:tcW w:w="100" w:type="dxa"/>
            <w:vAlign w:val="bottom"/>
            <w:tcBorders>
              <w:top w:val="single" w:sz="8" w:color="auto"/>
              <w:bottom w:val="single" w:sz="8" w:color="CCF0FC"/>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CC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bottom w:val="single" w:sz="8" w:color="CCF0FC"/>
            </w:tcBorders>
          </w:tcPr>
          <w:p>
            <w:pPr>
              <w:spacing w:after="0"/>
              <w:rPr>
                <w:sz w:val="13"/>
                <w:szCs w:val="13"/>
                <w:color w:val="auto"/>
              </w:rPr>
            </w:pPr>
          </w:p>
        </w:tc>
        <w:tc>
          <w:tcPr>
            <w:tcW w:w="40" w:type="dxa"/>
            <w:vAlign w:val="bottom"/>
            <w:tcBorders>
              <w:top w:val="single" w:sz="8" w:color="auto"/>
              <w:bottom w:val="single" w:sz="8" w:color="CC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CCF0FC"/>
            </w:tcBorders>
          </w:tcPr>
          <w:p>
            <w:pPr>
              <w:spacing w:after="0"/>
              <w:rPr>
                <w:sz w:val="13"/>
                <w:szCs w:val="13"/>
                <w:color w:val="auto"/>
              </w:rPr>
            </w:pPr>
          </w:p>
        </w:tc>
        <w:tc>
          <w:tcPr>
            <w:tcW w:w="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Borders>
              <w:bottom w:val="single" w:sz="8" w:color="CC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2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shd w:val="clear" w:color="auto" w:fill="CCF0FC"/>
          </w:tcPr>
          <w:p>
            <w:pPr>
              <w:spacing w:after="0"/>
              <w:rPr>
                <w:sz w:val="20"/>
                <w:szCs w:val="20"/>
                <w:color w:val="auto"/>
              </w:rPr>
            </w:pPr>
            <w:r>
              <w:rPr>
                <w:rFonts w:ascii="Times New Roman" w:cs="Times New Roman" w:eastAsia="Times New Roman" w:hAnsi="Times New Roman"/>
                <w:sz w:val="13"/>
                <w:szCs w:val="13"/>
                <w:color w:val="auto"/>
              </w:rPr>
              <w:t>Balances, June 30, 2019</w:t>
            </w:r>
          </w:p>
        </w:tc>
        <w:tc>
          <w:tcPr>
            <w:tcW w:w="300" w:type="dxa"/>
            <w:vAlign w:val="bottom"/>
            <w:tcBorders>
              <w:right w:val="single" w:sz="8" w:color="CCF0FC"/>
            </w:tcBorders>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34,936,212</w:t>
            </w:r>
          </w:p>
        </w:tc>
        <w:tc>
          <w:tcPr>
            <w:tcW w:w="140" w:type="dxa"/>
            <w:vAlign w:val="bottom"/>
            <w:tcBorders>
              <w:left w:val="single" w:sz="8" w:color="CCF0FC"/>
            </w:tcBorders>
            <w:shd w:val="clear" w:color="auto" w:fill="CCF0FC"/>
          </w:tcPr>
          <w:p>
            <w:pPr>
              <w:spacing w:after="0"/>
              <w:rPr>
                <w:sz w:val="13"/>
                <w:szCs w:val="13"/>
                <w:color w:val="auto"/>
              </w:rPr>
            </w:pPr>
          </w:p>
        </w:tc>
        <w:tc>
          <w:tcPr>
            <w:tcW w:w="100" w:type="dxa"/>
            <w:vAlign w:val="bottom"/>
            <w:tcBorders>
              <w:right w:val="single" w:sz="8" w:color="CCF0FC"/>
            </w:tcBorders>
            <w:shd w:val="clear" w:color="auto" w:fill="CCF0FC"/>
          </w:tcPr>
          <w:p>
            <w:pPr>
              <w:spacing w:after="0"/>
              <w:rPr>
                <w:sz w:val="13"/>
                <w:szCs w:val="13"/>
                <w:color w:val="auto"/>
              </w:rPr>
            </w:pPr>
          </w:p>
        </w:tc>
        <w:tc>
          <w:tcPr>
            <w:tcW w:w="400" w:type="dxa"/>
            <w:vAlign w:val="bottom"/>
            <w:shd w:val="clear" w:color="auto" w:fill="CCF0FC"/>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Borders>
              <w:left w:val="single" w:sz="8" w:color="CCF0FC"/>
              <w:right w:val="single" w:sz="8" w:color="CCF0FC"/>
            </w:tcBorders>
            <w:shd w:val="clear" w:color="auto" w:fill="CCF0FC"/>
          </w:tcPr>
          <w:p>
            <w:pPr>
              <w:spacing w:after="0"/>
              <w:rPr>
                <w:sz w:val="13"/>
                <w:szCs w:val="13"/>
                <w:color w:val="auto"/>
              </w:rPr>
            </w:pP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1,007,478</w:t>
            </w:r>
          </w:p>
        </w:tc>
        <w:tc>
          <w:tcPr>
            <w:tcW w:w="220" w:type="dxa"/>
            <w:vAlign w:val="bottom"/>
            <w:tcBorders>
              <w:left w:val="single" w:sz="8" w:color="CCF0FC"/>
            </w:tcBorders>
            <w:gridSpan w:val="2"/>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(34,645)</w:t>
            </w:r>
          </w:p>
        </w:tc>
        <w:tc>
          <w:tcPr>
            <w:tcW w:w="100" w:type="dxa"/>
            <w:vAlign w:val="bottom"/>
            <w:gridSpan w:val="2"/>
            <w:shd w:val="clear" w:color="auto" w:fill="CC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344,232</w:t>
            </w:r>
          </w:p>
        </w:tc>
        <w:tc>
          <w:tcPr>
            <w:tcW w:w="120" w:type="dxa"/>
            <w:vAlign w:val="bottom"/>
            <w:tcBorders>
              <w:left w:val="single" w:sz="8" w:color="CCF0FC"/>
            </w:tcBorders>
            <w:shd w:val="clear" w:color="auto" w:fill="CCF0FC"/>
          </w:tcPr>
          <w:p>
            <w:pPr>
              <w:spacing w:after="0"/>
              <w:rPr>
                <w:sz w:val="13"/>
                <w:szCs w:val="13"/>
                <w:color w:val="auto"/>
              </w:rPr>
            </w:pPr>
          </w:p>
        </w:tc>
        <w:tc>
          <w:tcPr>
            <w:tcW w:w="160" w:type="dxa"/>
            <w:vAlign w:val="bottom"/>
            <w:tcBorders>
              <w:right w:val="single" w:sz="8" w:color="CCF0FC"/>
            </w:tcBorders>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30,870</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0FC"/>
          </w:tcPr>
          <w:p>
            <w:pPr>
              <w:jc w:val="right"/>
              <w:ind w:right="40"/>
              <w:spacing w:after="0"/>
              <w:rPr>
                <w:sz w:val="20"/>
                <w:szCs w:val="20"/>
                <w:color w:val="auto"/>
              </w:rPr>
            </w:pPr>
            <w:r>
              <w:rPr>
                <w:rFonts w:ascii="Times New Roman" w:cs="Times New Roman" w:eastAsia="Times New Roman" w:hAnsi="Times New Roman"/>
                <w:sz w:val="13"/>
                <w:szCs w:val="13"/>
                <w:color w:val="auto"/>
              </w:rPr>
              <w:t>(2,160)</w:t>
            </w:r>
          </w:p>
        </w:tc>
        <w:tc>
          <w:tcPr>
            <w:tcW w:w="220" w:type="dxa"/>
            <w:vAlign w:val="bottom"/>
            <w:gridSpan w:val="3"/>
            <w:shd w:val="clear" w:color="auto" w:fill="CC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338,333</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F0FC"/>
              <w:bottom w:val="single" w:sz="8" w:color="CCF0FC"/>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2,804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Exercise of stock options and issuance of restricted stock</w:t>
            </w:r>
          </w:p>
        </w:tc>
        <w:tc>
          <w:tcPr>
            <w:tcW w:w="104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80,350</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180" w:type="dxa"/>
            <w:vAlign w:val="bottom"/>
            <w:gridSpan w:val="3"/>
            <w:shd w:val="clear" w:color="auto" w:fill="CCF0FC"/>
          </w:tcPr>
          <w:p>
            <w:pPr>
              <w:jc w:val="right"/>
              <w:ind w:right="40"/>
              <w:spacing w:after="0"/>
              <w:rPr>
                <w:sz w:val="20"/>
                <w:szCs w:val="20"/>
                <w:color w:val="auto"/>
              </w:rPr>
            </w:pPr>
            <w:r>
              <w:rPr>
                <w:rFonts w:ascii="Times New Roman" w:cs="Times New Roman" w:eastAsia="Times New Roman" w:hAnsi="Times New Roman"/>
                <w:sz w:val="13"/>
                <w:szCs w:val="13"/>
                <w:color w:val="auto"/>
              </w:rPr>
              <w:t>(116,856)</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116,856</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(6,000)</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3"/>
                <w:szCs w:val="13"/>
                <w:color w:val="auto"/>
              </w:rPr>
              <w:t>(6,000)</w:t>
            </w: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0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Times New Roman" w:cs="Times New Roman" w:eastAsia="Times New Roman" w:hAnsi="Times New Roman"/>
                <w:sz w:val="13"/>
                <w:szCs w:val="13"/>
                <w:color w:val="auto"/>
              </w:rPr>
              <w:t>(958)</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3"/>
                <w:szCs w:val="13"/>
                <w:color w:val="auto"/>
              </w:rPr>
              <w:t>(958)</w:t>
            </w: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3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Reclassification of gain on investments into earnings,</w:t>
            </w:r>
          </w:p>
        </w:tc>
        <w:tc>
          <w:tcPr>
            <w:tcW w:w="300" w:type="dxa"/>
            <w:vAlign w:val="bottom"/>
            <w:tcBorders>
              <w:right w:val="single" w:sz="8" w:color="CCF0FC"/>
            </w:tcBorders>
            <w:shd w:val="clear" w:color="auto" w:fill="CCF0FC"/>
          </w:tcPr>
          <w:p>
            <w:pPr>
              <w:spacing w:after="0"/>
              <w:rPr>
                <w:sz w:val="12"/>
                <w:szCs w:val="12"/>
                <w:color w:val="auto"/>
              </w:rPr>
            </w:pPr>
          </w:p>
        </w:tc>
        <w:tc>
          <w:tcPr>
            <w:tcW w:w="740" w:type="dxa"/>
            <w:vAlign w:val="bottom"/>
            <w:shd w:val="clear" w:color="auto" w:fill="CCF0FC"/>
          </w:tcPr>
          <w:p>
            <w:pPr>
              <w:spacing w:after="0"/>
              <w:rPr>
                <w:sz w:val="12"/>
                <w:szCs w:val="12"/>
                <w:color w:val="auto"/>
              </w:rPr>
            </w:pPr>
          </w:p>
        </w:tc>
        <w:tc>
          <w:tcPr>
            <w:tcW w:w="140" w:type="dxa"/>
            <w:vAlign w:val="bottom"/>
            <w:tcBorders>
              <w:left w:val="single" w:sz="8" w:color="CCF0FC"/>
            </w:tcBorders>
            <w:shd w:val="clear" w:color="auto" w:fill="CCF0FC"/>
          </w:tcPr>
          <w:p>
            <w:pPr>
              <w:spacing w:after="0"/>
              <w:rPr>
                <w:sz w:val="12"/>
                <w:szCs w:val="12"/>
                <w:color w:val="auto"/>
              </w:rPr>
            </w:pPr>
          </w:p>
        </w:tc>
        <w:tc>
          <w:tcPr>
            <w:tcW w:w="100" w:type="dxa"/>
            <w:vAlign w:val="bottom"/>
            <w:tcBorders>
              <w:right w:val="single" w:sz="8" w:color="CCF0FC"/>
            </w:tcBorders>
            <w:shd w:val="clear" w:color="auto" w:fill="CCF0FC"/>
          </w:tcPr>
          <w:p>
            <w:pPr>
              <w:spacing w:after="0"/>
              <w:rPr>
                <w:sz w:val="12"/>
                <w:szCs w:val="12"/>
                <w:color w:val="auto"/>
              </w:rPr>
            </w:pPr>
          </w:p>
        </w:tc>
        <w:tc>
          <w:tcPr>
            <w:tcW w:w="400" w:type="dxa"/>
            <w:vAlign w:val="bottom"/>
            <w:shd w:val="clear" w:color="auto" w:fill="CCF0FC"/>
          </w:tcPr>
          <w:p>
            <w:pPr>
              <w:spacing w:after="0"/>
              <w:rPr>
                <w:sz w:val="12"/>
                <w:szCs w:val="12"/>
                <w:color w:val="auto"/>
              </w:rPr>
            </w:pPr>
          </w:p>
        </w:tc>
        <w:tc>
          <w:tcPr>
            <w:tcW w:w="260" w:type="dxa"/>
            <w:vAlign w:val="bottom"/>
            <w:shd w:val="clear" w:color="auto" w:fill="CCF0FC"/>
          </w:tcPr>
          <w:p>
            <w:pPr>
              <w:spacing w:after="0"/>
              <w:rPr>
                <w:sz w:val="12"/>
                <w:szCs w:val="12"/>
                <w:color w:val="auto"/>
              </w:rPr>
            </w:pPr>
          </w:p>
        </w:tc>
        <w:tc>
          <w:tcPr>
            <w:tcW w:w="240" w:type="dxa"/>
            <w:vAlign w:val="bottom"/>
            <w:tcBorders>
              <w:left w:val="single" w:sz="8" w:color="CCF0FC"/>
              <w:right w:val="single" w:sz="8" w:color="CCF0FC"/>
            </w:tcBorders>
            <w:shd w:val="clear" w:color="auto" w:fill="CCF0FC"/>
          </w:tcPr>
          <w:p>
            <w:pPr>
              <w:spacing w:after="0"/>
              <w:rPr>
                <w:sz w:val="12"/>
                <w:szCs w:val="12"/>
                <w:color w:val="auto"/>
              </w:rPr>
            </w:pPr>
          </w:p>
        </w:tc>
        <w:tc>
          <w:tcPr>
            <w:tcW w:w="660" w:type="dxa"/>
            <w:vAlign w:val="bottom"/>
            <w:shd w:val="clear" w:color="auto" w:fill="CCF0FC"/>
          </w:tcPr>
          <w:p>
            <w:pPr>
              <w:spacing w:after="0"/>
              <w:rPr>
                <w:sz w:val="12"/>
                <w:szCs w:val="12"/>
                <w:color w:val="auto"/>
              </w:rPr>
            </w:pPr>
          </w:p>
        </w:tc>
        <w:tc>
          <w:tcPr>
            <w:tcW w:w="180" w:type="dxa"/>
            <w:vAlign w:val="bottom"/>
            <w:tcBorders>
              <w:left w:val="single" w:sz="8" w:color="CCF0FC"/>
            </w:tcBorders>
            <w:shd w:val="clear" w:color="auto" w:fill="CCF0FC"/>
          </w:tcPr>
          <w:p>
            <w:pPr>
              <w:spacing w:after="0"/>
              <w:rPr>
                <w:sz w:val="12"/>
                <w:szCs w:val="12"/>
                <w:color w:val="auto"/>
              </w:rPr>
            </w:pPr>
          </w:p>
        </w:tc>
        <w:tc>
          <w:tcPr>
            <w:tcW w:w="40" w:type="dxa"/>
            <w:vAlign w:val="bottom"/>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600" w:type="dxa"/>
            <w:vAlign w:val="bottom"/>
            <w:shd w:val="clear" w:color="auto" w:fill="CCF0FC"/>
          </w:tcPr>
          <w:p>
            <w:pPr>
              <w:spacing w:after="0"/>
              <w:rPr>
                <w:sz w:val="12"/>
                <w:szCs w:val="12"/>
                <w:color w:val="auto"/>
              </w:rPr>
            </w:pPr>
          </w:p>
        </w:tc>
        <w:tc>
          <w:tcPr>
            <w:tcW w:w="200" w:type="dxa"/>
            <w:vAlign w:val="bottom"/>
            <w:tcBorders>
              <w:left w:val="single" w:sz="8" w:color="CCF0FC"/>
            </w:tcBorders>
            <w:shd w:val="clear" w:color="auto" w:fill="CCF0FC"/>
          </w:tcPr>
          <w:p>
            <w:pPr>
              <w:spacing w:after="0"/>
              <w:rPr>
                <w:sz w:val="12"/>
                <w:szCs w:val="12"/>
                <w:color w:val="auto"/>
              </w:rPr>
            </w:pPr>
          </w:p>
        </w:tc>
        <w:tc>
          <w:tcPr>
            <w:tcW w:w="20" w:type="dxa"/>
            <w:vAlign w:val="bottom"/>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600" w:type="dxa"/>
            <w:vAlign w:val="bottom"/>
            <w:shd w:val="clear" w:color="auto" w:fill="CCF0FC"/>
          </w:tcPr>
          <w:p>
            <w:pPr>
              <w:spacing w:after="0"/>
              <w:rPr>
                <w:sz w:val="12"/>
                <w:szCs w:val="12"/>
                <w:color w:val="auto"/>
              </w:rPr>
            </w:pPr>
          </w:p>
        </w:tc>
        <w:tc>
          <w:tcPr>
            <w:tcW w:w="120" w:type="dxa"/>
            <w:vAlign w:val="bottom"/>
            <w:tcBorders>
              <w:left w:val="single" w:sz="8" w:color="CCF0FC"/>
            </w:tcBorders>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80" w:type="dxa"/>
            <w:vAlign w:val="bottom"/>
            <w:tcBorders>
              <w:right w:val="single" w:sz="8" w:color="CCF0FC"/>
            </w:tcBorders>
            <w:shd w:val="clear" w:color="auto" w:fill="CCF0FC"/>
          </w:tcPr>
          <w:p>
            <w:pPr>
              <w:spacing w:after="0"/>
              <w:rPr>
                <w:sz w:val="12"/>
                <w:szCs w:val="12"/>
                <w:color w:val="auto"/>
              </w:rPr>
            </w:pPr>
          </w:p>
        </w:tc>
        <w:tc>
          <w:tcPr>
            <w:tcW w:w="640" w:type="dxa"/>
            <w:vAlign w:val="bottom"/>
            <w:shd w:val="clear" w:color="auto" w:fill="CCF0FC"/>
          </w:tcPr>
          <w:p>
            <w:pPr>
              <w:spacing w:after="0"/>
              <w:rPr>
                <w:sz w:val="12"/>
                <w:szCs w:val="12"/>
                <w:color w:val="auto"/>
              </w:rPr>
            </w:pPr>
          </w:p>
        </w:tc>
        <w:tc>
          <w:tcPr>
            <w:tcW w:w="180" w:type="dxa"/>
            <w:vAlign w:val="bottom"/>
            <w:shd w:val="clear" w:color="auto" w:fill="CCF0FC"/>
          </w:tcPr>
          <w:p>
            <w:pPr>
              <w:spacing w:after="0"/>
              <w:rPr>
                <w:sz w:val="12"/>
                <w:szCs w:val="12"/>
                <w:color w:val="auto"/>
              </w:rPr>
            </w:pPr>
          </w:p>
        </w:tc>
        <w:tc>
          <w:tcPr>
            <w:tcW w:w="180" w:type="dxa"/>
            <w:vAlign w:val="bottom"/>
            <w:shd w:val="clear" w:color="auto" w:fill="CCF0FC"/>
          </w:tcPr>
          <w:p>
            <w:pPr>
              <w:spacing w:after="0"/>
              <w:rPr>
                <w:sz w:val="12"/>
                <w:szCs w:val="12"/>
                <w:color w:val="auto"/>
              </w:rPr>
            </w:pPr>
          </w:p>
        </w:tc>
        <w:tc>
          <w:tcPr>
            <w:tcW w:w="720" w:type="dxa"/>
            <w:vAlign w:val="bottom"/>
            <w:shd w:val="clear" w:color="auto" w:fill="CCF0FC"/>
          </w:tcPr>
          <w:p>
            <w:pPr>
              <w:spacing w:after="0"/>
              <w:rPr>
                <w:sz w:val="12"/>
                <w:szCs w:val="12"/>
                <w:color w:val="auto"/>
              </w:rPr>
            </w:pPr>
          </w:p>
        </w:tc>
        <w:tc>
          <w:tcPr>
            <w:tcW w:w="100" w:type="dxa"/>
            <w:vAlign w:val="bottom"/>
            <w:shd w:val="clear" w:color="auto" w:fill="CCF0FC"/>
          </w:tcPr>
          <w:p>
            <w:pPr>
              <w:spacing w:after="0"/>
              <w:rPr>
                <w:sz w:val="12"/>
                <w:szCs w:val="12"/>
                <w:color w:val="auto"/>
              </w:rPr>
            </w:pPr>
          </w:p>
        </w:tc>
        <w:tc>
          <w:tcPr>
            <w:tcW w:w="100" w:type="dxa"/>
            <w:vAlign w:val="bottom"/>
            <w:shd w:val="clear" w:color="auto" w:fill="CCF0FC"/>
          </w:tcPr>
          <w:p>
            <w:pPr>
              <w:spacing w:after="0"/>
              <w:rPr>
                <w:sz w:val="12"/>
                <w:szCs w:val="12"/>
                <w:color w:val="auto"/>
              </w:rPr>
            </w:pPr>
          </w:p>
        </w:tc>
        <w:tc>
          <w:tcPr>
            <w:tcW w:w="20" w:type="dxa"/>
            <w:vAlign w:val="bottom"/>
            <w:shd w:val="clear" w:color="auto" w:fill="CCF0FC"/>
          </w:tcPr>
          <w:p>
            <w:pPr>
              <w:spacing w:after="0"/>
              <w:rPr>
                <w:sz w:val="12"/>
                <w:szCs w:val="12"/>
                <w:color w:val="auto"/>
              </w:rPr>
            </w:pPr>
          </w:p>
        </w:tc>
        <w:tc>
          <w:tcPr>
            <w:tcW w:w="100" w:type="dxa"/>
            <w:vAlign w:val="bottom"/>
            <w:shd w:val="clear" w:color="auto" w:fill="CCF0FC"/>
          </w:tcPr>
          <w:p>
            <w:pPr>
              <w:spacing w:after="0"/>
              <w:rPr>
                <w:sz w:val="12"/>
                <w:szCs w:val="12"/>
                <w:color w:val="auto"/>
              </w:rPr>
            </w:pPr>
          </w:p>
        </w:tc>
        <w:tc>
          <w:tcPr>
            <w:tcW w:w="680" w:type="dxa"/>
            <w:vAlign w:val="bottom"/>
            <w:shd w:val="clear" w:color="auto" w:fill="CCF0FC"/>
          </w:tcPr>
          <w:p>
            <w:pPr>
              <w:spacing w:after="0"/>
              <w:rPr>
                <w:sz w:val="12"/>
                <w:szCs w:val="12"/>
                <w:color w:val="auto"/>
              </w:rPr>
            </w:pPr>
          </w:p>
        </w:tc>
        <w:tc>
          <w:tcPr>
            <w:tcW w:w="100" w:type="dxa"/>
            <w:vAlign w:val="bottom"/>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shd w:val="clear" w:color="auto" w:fill="CCF0FC"/>
          </w:tcPr>
          <w:p>
            <w:pPr>
              <w:ind w:left="240"/>
              <w:spacing w:after="0"/>
              <w:rPr>
                <w:sz w:val="20"/>
                <w:szCs w:val="20"/>
                <w:color w:val="auto"/>
              </w:rPr>
            </w:pPr>
            <w:r>
              <w:rPr>
                <w:rFonts w:ascii="Times New Roman" w:cs="Times New Roman" w:eastAsia="Times New Roman" w:hAnsi="Times New Roman"/>
                <w:sz w:val="13"/>
                <w:szCs w:val="13"/>
                <w:color w:val="auto"/>
              </w:rPr>
              <w:t>net of tax</w:t>
            </w:r>
          </w:p>
        </w:tc>
        <w:tc>
          <w:tcPr>
            <w:tcW w:w="300" w:type="dxa"/>
            <w:vAlign w:val="bottom"/>
            <w:tcBorders>
              <w:right w:val="single" w:sz="8" w:color="CCF0FC"/>
            </w:tcBorders>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2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F0FC"/>
              <w:right w:val="single" w:sz="8" w:color="CCF0FC"/>
            </w:tcBorders>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40"/>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Balances, September 30, 2019</w:t>
            </w:r>
          </w:p>
        </w:tc>
        <w:tc>
          <w:tcPr>
            <w:tcW w:w="3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34,901,884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1,124,334</w:t>
            </w: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(40,645)</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349,014</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39,811</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(3,148)</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00" w:type="dxa"/>
            <w:vAlign w:val="bottom"/>
            <w:tcBorders>
              <w:top w:val="single" w:sz="8" w:color="CCF0FC"/>
            </w:tcBorders>
            <w:shd w:val="clear" w:color="auto" w:fill="CCF0FC"/>
          </w:tcPr>
          <w:p>
            <w:pPr>
              <w:spacing w:after="0"/>
              <w:rPr>
                <w:sz w:val="12"/>
                <w:szCs w:val="12"/>
                <w:color w:val="auto"/>
              </w:rPr>
            </w:pPr>
          </w:p>
        </w:tc>
        <w:tc>
          <w:tcPr>
            <w:tcW w:w="30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spacing w:after="0"/>
              <w:rPr>
                <w:sz w:val="12"/>
                <w:szCs w:val="12"/>
                <w:color w:val="auto"/>
              </w:rPr>
            </w:pP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spacing w:after="0"/>
              <w:rPr>
                <w:sz w:val="12"/>
                <w:szCs w:val="12"/>
                <w:color w:val="auto"/>
              </w:rPr>
            </w:pPr>
          </w:p>
        </w:tc>
        <w:tc>
          <w:tcPr>
            <w:tcW w:w="240" w:type="dxa"/>
            <w:vAlign w:val="bottom"/>
            <w:tcBorders>
              <w:top w:val="single" w:sz="8" w:color="CCF0FC"/>
              <w:left w:val="single" w:sz="8" w:color="CCF0FC"/>
              <w:right w:val="single" w:sz="8" w:color="CCF0FC"/>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120" w:type="dxa"/>
            <w:vAlign w:val="bottom"/>
            <w:tcBorders>
              <w:top w:val="single" w:sz="8" w:color="CCF0FC"/>
              <w:left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Balances, June 30, 2020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35,126,118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1,613,250</w:t>
            </w: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(65,247)</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373,686</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68,613</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(3,779)</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00" w:type="dxa"/>
            <w:vAlign w:val="bottom"/>
            <w:tcBorders>
              <w:top w:val="single" w:sz="8" w:color="CCF0FC"/>
            </w:tcBorders>
            <w:shd w:val="clear" w:color="auto" w:fill="CCF0FC"/>
          </w:tcPr>
          <w:p>
            <w:pPr>
              <w:ind w:left="140"/>
              <w:spacing w:after="0" w:line="143" w:lineRule="exact"/>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F0FC"/>
              <w:left w:val="single" w:sz="8" w:color="CCF0FC"/>
              <w:right w:val="single" w:sz="8" w:color="CCF0FC"/>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4,494</w:t>
            </w:r>
          </w:p>
        </w:tc>
        <w:tc>
          <w:tcPr>
            <w:tcW w:w="120" w:type="dxa"/>
            <w:vAlign w:val="bottom"/>
            <w:tcBorders>
              <w:top w:val="single" w:sz="8" w:color="CCF0FC"/>
              <w:left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CCF0FC"/>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4,494</w:t>
            </w: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 and issuance of restricted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163,478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4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00" w:type="dxa"/>
            <w:vAlign w:val="bottom"/>
            <w:tcBorders>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loss on investments, net of tax</w:t>
            </w:r>
          </w:p>
        </w:tc>
        <w:tc>
          <w:tcPr>
            <w:tcW w:w="3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49"/>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Reclassification of loss on investments into earnings,</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tcBorders>
              <w:left w:val="single" w:sz="8" w:color="CFF0FC"/>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net of tax</w:t>
            </w:r>
          </w:p>
        </w:tc>
        <w:tc>
          <w:tcPr>
            <w:tcW w:w="3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Balances, September 30, 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35,291,606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1,613,250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(65,247)</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382,992</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80,020</w:t>
            </w:r>
          </w:p>
        </w:tc>
        <w:tc>
          <w:tcPr>
            <w:tcW w:w="1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(2,862)</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4"/>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CCF0FC"/>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shares) (Unaudited)</w:t>
            </w:r>
          </w:p>
        </w:tc>
        <w:tc>
          <w:tcPr>
            <w:tcW w:w="300" w:type="dxa"/>
            <w:vAlign w:val="bottom"/>
            <w:tcBorders>
              <w:bottom w:val="single" w:sz="8" w:color="CC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F0FC"/>
            </w:tcBorders>
          </w:tcPr>
          <w:p>
            <w:pPr>
              <w:spacing w:after="0"/>
              <w:rPr>
                <w:sz w:val="13"/>
                <w:szCs w:val="13"/>
                <w:color w:val="auto"/>
              </w:rPr>
            </w:pPr>
          </w:p>
        </w:tc>
        <w:tc>
          <w:tcPr>
            <w:tcW w:w="100" w:type="dxa"/>
            <w:vAlign w:val="bottom"/>
            <w:tcBorders>
              <w:top w:val="single" w:sz="8" w:color="auto"/>
              <w:bottom w:val="single" w:sz="8" w:color="CCF0FC"/>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bottom w:val="single" w:sz="8" w:color="CC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bottom w:val="single" w:sz="8" w:color="CC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CC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Borders>
              <w:bottom w:val="single" w:sz="8" w:color="CC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2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CC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CF0FC"/>
          </w:tcPr>
          <w:p>
            <w:pPr>
              <w:spacing w:after="0"/>
              <w:rPr>
                <w:sz w:val="20"/>
                <w:szCs w:val="20"/>
                <w:color w:val="auto"/>
              </w:rPr>
            </w:pPr>
            <w:r>
              <w:rPr>
                <w:rFonts w:ascii="Times New Roman" w:cs="Times New Roman" w:eastAsia="Times New Roman" w:hAnsi="Times New Roman"/>
                <w:sz w:val="13"/>
                <w:szCs w:val="13"/>
                <w:color w:val="auto"/>
              </w:rPr>
              <w:t>Balances, December 31, 2018</w:t>
            </w:r>
          </w:p>
        </w:tc>
        <w:tc>
          <w:tcPr>
            <w:tcW w:w="300" w:type="dxa"/>
            <w:vAlign w:val="bottom"/>
            <w:tcBorders>
              <w:right w:val="single" w:sz="8" w:color="CCF0FC"/>
            </w:tcBorders>
            <w:shd w:val="clear" w:color="auto" w:fill="CCF0FC"/>
          </w:tcPr>
          <w:p>
            <w:pPr>
              <w:spacing w:after="0"/>
              <w:rPr>
                <w:sz w:val="13"/>
                <w:szCs w:val="13"/>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34,691,472</w:t>
            </w:r>
          </w:p>
        </w:tc>
        <w:tc>
          <w:tcPr>
            <w:tcW w:w="140" w:type="dxa"/>
            <w:vAlign w:val="bottom"/>
            <w:tcBorders>
              <w:left w:val="single" w:sz="8" w:color="CCF0FC"/>
            </w:tcBorders>
            <w:shd w:val="clear" w:color="auto" w:fill="CCF0FC"/>
          </w:tcPr>
          <w:p>
            <w:pPr>
              <w:spacing w:after="0"/>
              <w:rPr>
                <w:sz w:val="13"/>
                <w:szCs w:val="13"/>
                <w:color w:val="auto"/>
              </w:rPr>
            </w:pPr>
          </w:p>
        </w:tc>
        <w:tc>
          <w:tcPr>
            <w:tcW w:w="100" w:type="dxa"/>
            <w:vAlign w:val="bottom"/>
            <w:tcBorders>
              <w:right w:val="single" w:sz="8" w:color="CCF0FC"/>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F0FC"/>
          </w:tcPr>
          <w:p>
            <w:pPr>
              <w:spacing w:after="0"/>
              <w:rPr>
                <w:sz w:val="13"/>
                <w:szCs w:val="13"/>
                <w:color w:val="auto"/>
              </w:rPr>
            </w:pPr>
          </w:p>
        </w:tc>
        <w:tc>
          <w:tcPr>
            <w:tcW w:w="2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Borders>
              <w:left w:val="single" w:sz="8" w:color="CCF0FC"/>
              <w:right w:val="single" w:sz="8" w:color="CCF0FC"/>
            </w:tcBorders>
            <w:shd w:val="clear" w:color="auto" w:fill="CCF0FC"/>
          </w:tcPr>
          <w:p>
            <w:pPr>
              <w:spacing w:after="0"/>
              <w:rPr>
                <w:sz w:val="13"/>
                <w:szCs w:val="13"/>
                <w:color w:val="auto"/>
              </w:rPr>
            </w:pP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823,784</w:t>
            </w:r>
          </w:p>
        </w:tc>
        <w:tc>
          <w:tcPr>
            <w:tcW w:w="300" w:type="dxa"/>
            <w:vAlign w:val="bottom"/>
            <w:tcBorders>
              <w:left w:val="single" w:sz="8" w:color="CCF0FC"/>
            </w:tcBorders>
            <w:gridSpan w:val="3"/>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(25,679)</w:t>
            </w:r>
          </w:p>
        </w:tc>
        <w:tc>
          <w:tcPr>
            <w:tcW w:w="100" w:type="dxa"/>
            <w:vAlign w:val="bottom"/>
            <w:gridSpan w:val="2"/>
            <w:shd w:val="clear" w:color="auto" w:fill="CCF0FC"/>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332,574</w:t>
            </w:r>
          </w:p>
        </w:tc>
        <w:tc>
          <w:tcPr>
            <w:tcW w:w="120" w:type="dxa"/>
            <w:vAlign w:val="bottom"/>
            <w:tcBorders>
              <w:left w:val="single" w:sz="8" w:color="CCF0FC"/>
            </w:tcBorders>
            <w:shd w:val="clear" w:color="auto" w:fill="CCF0FC"/>
          </w:tcPr>
          <w:p>
            <w:pPr>
              <w:spacing w:after="0"/>
              <w:rPr>
                <w:sz w:val="13"/>
                <w:szCs w:val="13"/>
                <w:color w:val="auto"/>
              </w:rPr>
            </w:pPr>
          </w:p>
        </w:tc>
        <w:tc>
          <w:tcPr>
            <w:tcW w:w="160" w:type="dxa"/>
            <w:vAlign w:val="bottom"/>
            <w:tcBorders>
              <w:right w:val="single" w:sz="8" w:color="CCF0FC"/>
            </w:tcBorders>
            <w:gridSpan w:val="2"/>
            <w:shd w:val="clear" w:color="auto" w:fill="CC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15,261</w:t>
            </w:r>
          </w:p>
        </w:tc>
        <w:tc>
          <w:tcPr>
            <w:tcW w:w="180" w:type="dxa"/>
            <w:vAlign w:val="bottom"/>
            <w:shd w:val="clear" w:color="auto" w:fill="CCF0FC"/>
          </w:tcPr>
          <w:p>
            <w:pPr>
              <w:spacing w:after="0"/>
              <w:rPr>
                <w:sz w:val="13"/>
                <w:szCs w:val="13"/>
                <w:color w:val="auto"/>
              </w:rPr>
            </w:pPr>
          </w:p>
        </w:tc>
        <w:tc>
          <w:tcPr>
            <w:tcW w:w="180" w:type="dxa"/>
            <w:vAlign w:val="bottom"/>
            <w:shd w:val="clear" w:color="auto" w:fill="CCF0FC"/>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F0FC"/>
          </w:tcPr>
          <w:p>
            <w:pPr>
              <w:jc w:val="right"/>
              <w:ind w:right="40"/>
              <w:spacing w:after="0"/>
              <w:rPr>
                <w:sz w:val="20"/>
                <w:szCs w:val="20"/>
                <w:color w:val="auto"/>
              </w:rPr>
            </w:pPr>
            <w:r>
              <w:rPr>
                <w:rFonts w:ascii="Times New Roman" w:cs="Times New Roman" w:eastAsia="Times New Roman" w:hAnsi="Times New Roman"/>
                <w:sz w:val="13"/>
                <w:szCs w:val="13"/>
                <w:color w:val="auto"/>
              </w:rPr>
              <w:t>(3,218)</w:t>
            </w:r>
          </w:p>
        </w:tc>
        <w:tc>
          <w:tcPr>
            <w:tcW w:w="220" w:type="dxa"/>
            <w:vAlign w:val="bottom"/>
            <w:gridSpan w:val="3"/>
            <w:shd w:val="clear" w:color="auto" w:fill="CC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318,974</w:t>
            </w:r>
          </w:p>
        </w:tc>
        <w:tc>
          <w:tcPr>
            <w:tcW w:w="100" w:type="dxa"/>
            <w:vAlign w:val="bottom"/>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F0FC"/>
              <w:bottom w:val="single" w:sz="8" w:color="CCF0FC"/>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1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2"/>
          </w:tcPr>
          <w:p>
            <w:pPr>
              <w:jc w:val="right"/>
              <w:ind w:right="260"/>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10,312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10,312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Exercise of stock options and issuance of restricted stock</w:t>
            </w:r>
          </w:p>
        </w:tc>
        <w:tc>
          <w:tcPr>
            <w:tcW w:w="104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483,492</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5,273</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5,273</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4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(300,550)</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300,550</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(14,966)</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3"/>
                <w:szCs w:val="13"/>
                <w:color w:val="auto"/>
              </w:rPr>
              <w:t>(14,966)</w:t>
            </w: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 and subsequent return of shares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24,550</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24,550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30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Reclassification of gain on investments into earnings,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of tax</w:t>
            </w:r>
          </w:p>
        </w:tc>
        <w:tc>
          <w:tcPr>
            <w:tcW w:w="3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Adoption of ASU 2018-02</w:t>
            </w:r>
          </w:p>
        </w:tc>
        <w:tc>
          <w:tcPr>
            <w:tcW w:w="300" w:type="dxa"/>
            <w:vAlign w:val="bottom"/>
            <w:tcBorders>
              <w:right w:val="single" w:sz="8" w:color="CCF0FC"/>
            </w:tcBorders>
            <w:shd w:val="clear" w:color="auto" w:fill="CCF0FC"/>
          </w:tcPr>
          <w:p>
            <w:pPr>
              <w:spacing w:after="0"/>
              <w:rPr>
                <w:sz w:val="14"/>
                <w:szCs w:val="14"/>
                <w:color w:val="auto"/>
              </w:rPr>
            </w:pPr>
          </w:p>
        </w:tc>
        <w:tc>
          <w:tcPr>
            <w:tcW w:w="74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tcBorders>
              <w:bottom w:val="single" w:sz="8" w:color="auto"/>
            </w:tcBorders>
            <w:shd w:val="clear" w:color="auto" w:fill="CCF0FC"/>
          </w:tcPr>
          <w:p>
            <w:pPr>
              <w:spacing w:after="0"/>
              <w:rPr>
                <w:sz w:val="14"/>
                <w:szCs w:val="14"/>
                <w:color w:val="auto"/>
              </w:rPr>
            </w:pPr>
          </w:p>
        </w:tc>
        <w:tc>
          <w:tcPr>
            <w:tcW w:w="2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F0FC"/>
              <w:right w:val="single" w:sz="8" w:color="CCF0FC"/>
            </w:tcBorders>
            <w:shd w:val="clear" w:color="auto" w:fill="CCF0FC"/>
          </w:tcPr>
          <w:p>
            <w:pPr>
              <w:spacing w:after="0"/>
              <w:rPr>
                <w:sz w:val="14"/>
                <w:szCs w:val="14"/>
                <w:color w:val="auto"/>
              </w:rPr>
            </w:pPr>
          </w:p>
        </w:tc>
        <w:tc>
          <w:tcPr>
            <w:tcW w:w="6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tcBorders>
              <w:bottom w:val="single" w:sz="8" w:color="auto"/>
            </w:tcBorders>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tcBorders>
              <w:bottom w:val="single" w:sz="8" w:color="auto"/>
            </w:tcBorders>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bottom w:val="single" w:sz="8" w:color="auto"/>
              <w:right w:val="single" w:sz="8" w:color="CCF0FC"/>
            </w:tcBorders>
            <w:shd w:val="clear" w:color="auto" w:fill="CCF0FC"/>
          </w:tcPr>
          <w:p>
            <w:pPr>
              <w:spacing w:after="0"/>
              <w:rPr>
                <w:sz w:val="14"/>
                <w:szCs w:val="14"/>
                <w:color w:val="auto"/>
              </w:rPr>
            </w:pPr>
          </w:p>
        </w:tc>
        <w:tc>
          <w:tcPr>
            <w:tcW w:w="64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180" w:type="dxa"/>
            <w:vAlign w:val="bottom"/>
            <w:tcBorders>
              <w:bottom w:val="single" w:sz="8" w:color="auto"/>
            </w:tcBorders>
            <w:shd w:val="clear" w:color="auto" w:fill="CCF0FC"/>
          </w:tcPr>
          <w:p>
            <w:pPr>
              <w:spacing w:after="0"/>
              <w:rPr>
                <w:sz w:val="14"/>
                <w:szCs w:val="14"/>
                <w:color w:val="auto"/>
              </w:rPr>
            </w:pPr>
          </w:p>
        </w:tc>
        <w:tc>
          <w:tcPr>
            <w:tcW w:w="72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tcBorders>
              <w:bottom w:val="single" w:sz="8" w:color="auto"/>
            </w:tcBorders>
            <w:shd w:val="clear" w:color="auto" w:fill="CCF0FC"/>
          </w:tcPr>
          <w:p>
            <w:pPr>
              <w:spacing w:after="0"/>
              <w:rPr>
                <w:sz w:val="14"/>
                <w:szCs w:val="14"/>
                <w:color w:val="auto"/>
              </w:rPr>
            </w:pPr>
          </w:p>
        </w:tc>
        <w:tc>
          <w:tcPr>
            <w:tcW w:w="6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Balances, September 30, 2019</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34,901,884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1,124,334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(40,645)</w:t>
            </w:r>
          </w:p>
        </w:tc>
        <w:tc>
          <w:tcPr>
            <w:tcW w:w="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349,014</w:t>
            </w:r>
          </w:p>
        </w:tc>
        <w:tc>
          <w:tcPr>
            <w:tcW w:w="12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39,811</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(3,148)</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00" w:type="dxa"/>
            <w:vAlign w:val="bottom"/>
            <w:tcBorders>
              <w:top w:val="single" w:sz="8" w:color="CCF0FC"/>
            </w:tcBorders>
            <w:shd w:val="clear" w:color="auto" w:fill="CCF0FC"/>
          </w:tcPr>
          <w:p>
            <w:pPr>
              <w:spacing w:after="0"/>
              <w:rPr>
                <w:sz w:val="12"/>
                <w:szCs w:val="12"/>
                <w:color w:val="auto"/>
              </w:rPr>
            </w:pPr>
          </w:p>
        </w:tc>
        <w:tc>
          <w:tcPr>
            <w:tcW w:w="30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spacing w:after="0"/>
              <w:rPr>
                <w:sz w:val="12"/>
                <w:szCs w:val="12"/>
                <w:color w:val="auto"/>
              </w:rPr>
            </w:pP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spacing w:after="0"/>
              <w:rPr>
                <w:sz w:val="12"/>
                <w:szCs w:val="12"/>
                <w:color w:val="auto"/>
              </w:rPr>
            </w:pPr>
          </w:p>
        </w:tc>
        <w:tc>
          <w:tcPr>
            <w:tcW w:w="240" w:type="dxa"/>
            <w:vAlign w:val="bottom"/>
            <w:tcBorders>
              <w:top w:val="single" w:sz="8" w:color="CCF0FC"/>
              <w:left w:val="single" w:sz="8" w:color="CCF0FC"/>
              <w:right w:val="single" w:sz="8" w:color="CCF0FC"/>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spacing w:after="0"/>
              <w:rPr>
                <w:sz w:val="12"/>
                <w:szCs w:val="12"/>
                <w:color w:val="auto"/>
              </w:rPr>
            </w:pPr>
          </w:p>
        </w:tc>
        <w:tc>
          <w:tcPr>
            <w:tcW w:w="120" w:type="dxa"/>
            <w:vAlign w:val="bottom"/>
            <w:tcBorders>
              <w:top w:val="single" w:sz="8" w:color="CCF0FC"/>
              <w:left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spacing w:after="0"/>
              <w:rPr>
                <w:sz w:val="12"/>
                <w:szCs w:val="12"/>
                <w:color w:val="auto"/>
              </w:rPr>
            </w:pP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Balances, December 31, 2019</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34,863,271</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1,241,348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(46,297)</w:t>
            </w:r>
          </w:p>
        </w:tc>
        <w:tc>
          <w:tcPr>
            <w:tcW w:w="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354,115</w:t>
            </w:r>
          </w:p>
        </w:tc>
        <w:tc>
          <w:tcPr>
            <w:tcW w:w="12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48,973</w:t>
            </w: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(1,951)</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00" w:type="dxa"/>
            <w:vAlign w:val="bottom"/>
            <w:tcBorders>
              <w:top w:val="single" w:sz="8" w:color="CCF0FC"/>
            </w:tcBorders>
            <w:shd w:val="clear" w:color="auto" w:fill="CCF0FC"/>
          </w:tcPr>
          <w:p>
            <w:pPr>
              <w:ind w:left="140"/>
              <w:spacing w:after="0" w:line="143" w:lineRule="exact"/>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tcBorders>
              <w:top w:val="single" w:sz="8" w:color="CCF0FC"/>
              <w:right w:val="single" w:sz="8" w:color="CCF0FC"/>
            </w:tcBorders>
            <w:shd w:val="clear" w:color="auto" w:fill="CCF0FC"/>
          </w:tcPr>
          <w:p>
            <w:pPr>
              <w:spacing w:after="0"/>
              <w:rPr>
                <w:sz w:val="12"/>
                <w:szCs w:val="12"/>
                <w:color w:val="auto"/>
              </w:rPr>
            </w:pPr>
          </w:p>
        </w:tc>
        <w:tc>
          <w:tcPr>
            <w:tcW w:w="74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F0FC"/>
              <w:left w:val="single" w:sz="8" w:color="CCF0FC"/>
            </w:tcBorders>
            <w:shd w:val="clear" w:color="auto" w:fill="CCF0FC"/>
          </w:tcPr>
          <w:p>
            <w:pPr>
              <w:spacing w:after="0"/>
              <w:rPr>
                <w:sz w:val="12"/>
                <w:szCs w:val="12"/>
                <w:color w:val="auto"/>
              </w:rPr>
            </w:pPr>
          </w:p>
        </w:tc>
        <w:tc>
          <w:tcPr>
            <w:tcW w:w="100" w:type="dxa"/>
            <w:vAlign w:val="bottom"/>
            <w:tcBorders>
              <w:top w:val="single" w:sz="8" w:color="CCF0FC"/>
              <w:right w:val="single" w:sz="8" w:color="CCF0FC"/>
            </w:tcBorders>
            <w:shd w:val="clear" w:color="auto" w:fill="CCF0FC"/>
          </w:tcPr>
          <w:p>
            <w:pPr>
              <w:spacing w:after="0"/>
              <w:rPr>
                <w:sz w:val="12"/>
                <w:szCs w:val="12"/>
                <w:color w:val="auto"/>
              </w:rPr>
            </w:pPr>
          </w:p>
        </w:tc>
        <w:tc>
          <w:tcPr>
            <w:tcW w:w="400" w:type="dxa"/>
            <w:vAlign w:val="bottom"/>
            <w:tcBorders>
              <w:top w:val="single" w:sz="8" w:color="auto"/>
            </w:tcBorders>
            <w:shd w:val="clear" w:color="auto" w:fill="CCF0FC"/>
          </w:tcPr>
          <w:p>
            <w:pPr>
              <w:spacing w:after="0"/>
              <w:rPr>
                <w:sz w:val="12"/>
                <w:szCs w:val="12"/>
                <w:color w:val="auto"/>
              </w:rPr>
            </w:pPr>
          </w:p>
        </w:tc>
        <w:tc>
          <w:tcPr>
            <w:tcW w:w="26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F0FC"/>
              <w:left w:val="single" w:sz="8" w:color="CCF0FC"/>
              <w:right w:val="single" w:sz="8" w:color="CCF0FC"/>
            </w:tcBorders>
            <w:shd w:val="clear" w:color="auto" w:fill="CCF0FC"/>
          </w:tcPr>
          <w:p>
            <w:pPr>
              <w:spacing w:after="0"/>
              <w:rPr>
                <w:sz w:val="12"/>
                <w:szCs w:val="12"/>
                <w:color w:val="auto"/>
              </w:rPr>
            </w:pPr>
          </w:p>
        </w:tc>
        <w:tc>
          <w:tcPr>
            <w:tcW w:w="66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F0FC"/>
              <w:left w:val="single" w:sz="8" w:color="CCF0FC"/>
            </w:tcBorders>
            <w:shd w:val="clear" w:color="auto" w:fill="CCF0FC"/>
          </w:tcPr>
          <w:p>
            <w:pPr>
              <w:spacing w:after="0"/>
              <w:rPr>
                <w:sz w:val="12"/>
                <w:szCs w:val="12"/>
                <w:color w:val="auto"/>
              </w:rPr>
            </w:pPr>
          </w:p>
        </w:tc>
        <w:tc>
          <w:tcPr>
            <w:tcW w:w="4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F0FC"/>
              <w:left w:val="single" w:sz="8" w:color="CCF0FC"/>
            </w:tcBorders>
            <w:shd w:val="clear" w:color="auto" w:fill="CCF0FC"/>
          </w:tcPr>
          <w:p>
            <w:pPr>
              <w:spacing w:after="0"/>
              <w:rPr>
                <w:sz w:val="12"/>
                <w:szCs w:val="12"/>
                <w:color w:val="auto"/>
              </w:rPr>
            </w:pPr>
          </w:p>
        </w:tc>
        <w:tc>
          <w:tcPr>
            <w:tcW w:w="20" w:type="dxa"/>
            <w:vAlign w:val="bottom"/>
            <w:tcBorders>
              <w:top w:val="single" w:sz="8" w:color="auto"/>
            </w:tcBorders>
            <w:shd w:val="clear" w:color="auto" w:fill="CCF0FC"/>
          </w:tcPr>
          <w:p>
            <w:pPr>
              <w:spacing w:after="0"/>
              <w:rPr>
                <w:sz w:val="12"/>
                <w:szCs w:val="12"/>
                <w:color w:val="auto"/>
              </w:rPr>
            </w:pPr>
          </w:p>
        </w:tc>
        <w:tc>
          <w:tcPr>
            <w:tcW w:w="80" w:type="dxa"/>
            <w:vAlign w:val="bottom"/>
            <w:tcBorders>
              <w:top w:val="single" w:sz="8" w:color="auto"/>
            </w:tcBorders>
            <w:shd w:val="clear" w:color="auto" w:fill="CCF0FC"/>
          </w:tcPr>
          <w:p>
            <w:pPr>
              <w:spacing w:after="0"/>
              <w:rPr>
                <w:sz w:val="12"/>
                <w:szCs w:val="12"/>
                <w:color w:val="auto"/>
              </w:rPr>
            </w:pPr>
          </w:p>
        </w:tc>
        <w:tc>
          <w:tcPr>
            <w:tcW w:w="60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13,090</w:t>
            </w:r>
          </w:p>
        </w:tc>
        <w:tc>
          <w:tcPr>
            <w:tcW w:w="120" w:type="dxa"/>
            <w:vAlign w:val="bottom"/>
            <w:tcBorders>
              <w:top w:val="single" w:sz="8" w:color="CCF0FC"/>
              <w:left w:val="single" w:sz="8" w:color="CCF0FC"/>
            </w:tcBorders>
            <w:shd w:val="clear" w:color="auto" w:fill="CCF0FC"/>
          </w:tcPr>
          <w:p>
            <w:pPr>
              <w:spacing w:after="0"/>
              <w:rPr>
                <w:sz w:val="12"/>
                <w:szCs w:val="12"/>
                <w:color w:val="auto"/>
              </w:rPr>
            </w:pPr>
          </w:p>
        </w:tc>
        <w:tc>
          <w:tcPr>
            <w:tcW w:w="80" w:type="dxa"/>
            <w:vAlign w:val="bottom"/>
            <w:tcBorders>
              <w:top w:val="single" w:sz="8" w:color="CCF0FC"/>
            </w:tcBorders>
            <w:shd w:val="clear" w:color="auto" w:fill="CCF0FC"/>
          </w:tcPr>
          <w:p>
            <w:pPr>
              <w:spacing w:after="0"/>
              <w:rPr>
                <w:sz w:val="12"/>
                <w:szCs w:val="12"/>
                <w:color w:val="auto"/>
              </w:rPr>
            </w:pPr>
          </w:p>
        </w:tc>
        <w:tc>
          <w:tcPr>
            <w:tcW w:w="80" w:type="dxa"/>
            <w:vAlign w:val="bottom"/>
            <w:tcBorders>
              <w:top w:val="single" w:sz="8" w:color="auto"/>
              <w:right w:val="single" w:sz="8" w:color="CCF0FC"/>
            </w:tcBorders>
            <w:shd w:val="clear" w:color="auto" w:fill="CCF0FC"/>
          </w:tcPr>
          <w:p>
            <w:pPr>
              <w:spacing w:after="0"/>
              <w:rPr>
                <w:sz w:val="12"/>
                <w:szCs w:val="12"/>
                <w:color w:val="auto"/>
              </w:rPr>
            </w:pPr>
          </w:p>
        </w:tc>
        <w:tc>
          <w:tcPr>
            <w:tcW w:w="64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F0FC"/>
            </w:tcBorders>
            <w:shd w:val="clear" w:color="auto" w:fill="CCF0FC"/>
          </w:tcPr>
          <w:p>
            <w:pPr>
              <w:spacing w:after="0"/>
              <w:rPr>
                <w:sz w:val="12"/>
                <w:szCs w:val="12"/>
                <w:color w:val="auto"/>
              </w:rPr>
            </w:pPr>
          </w:p>
        </w:tc>
        <w:tc>
          <w:tcPr>
            <w:tcW w:w="180" w:type="dxa"/>
            <w:vAlign w:val="bottom"/>
            <w:tcBorders>
              <w:top w:val="single" w:sz="8" w:color="auto"/>
            </w:tcBorders>
            <w:shd w:val="clear" w:color="auto" w:fill="CCF0FC"/>
          </w:tcPr>
          <w:p>
            <w:pPr>
              <w:spacing w:after="0"/>
              <w:rPr>
                <w:sz w:val="12"/>
                <w:szCs w:val="12"/>
                <w:color w:val="auto"/>
              </w:rPr>
            </w:pPr>
          </w:p>
        </w:tc>
        <w:tc>
          <w:tcPr>
            <w:tcW w:w="72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CCF0FC"/>
            </w:tcBorders>
            <w:shd w:val="clear" w:color="auto" w:fill="CCF0FC"/>
          </w:tcPr>
          <w:p>
            <w:pPr>
              <w:spacing w:after="0"/>
              <w:rPr>
                <w:sz w:val="12"/>
                <w:szCs w:val="12"/>
                <w:color w:val="auto"/>
              </w:rPr>
            </w:pPr>
          </w:p>
        </w:tc>
        <w:tc>
          <w:tcPr>
            <w:tcW w:w="20" w:type="dxa"/>
            <w:vAlign w:val="bottom"/>
            <w:tcBorders>
              <w:top w:val="single" w:sz="8" w:color="CCF0FC"/>
            </w:tcBorders>
            <w:shd w:val="clear" w:color="auto" w:fill="CCF0FC"/>
          </w:tcPr>
          <w:p>
            <w:pPr>
              <w:spacing w:after="0"/>
              <w:rPr>
                <w:sz w:val="12"/>
                <w:szCs w:val="12"/>
                <w:color w:val="auto"/>
              </w:rPr>
            </w:pPr>
          </w:p>
        </w:tc>
        <w:tc>
          <w:tcPr>
            <w:tcW w:w="100" w:type="dxa"/>
            <w:vAlign w:val="bottom"/>
            <w:tcBorders>
              <w:top w:val="single" w:sz="8" w:color="auto"/>
            </w:tcBorders>
            <w:shd w:val="clear" w:color="auto" w:fill="CCF0FC"/>
          </w:tcPr>
          <w:p>
            <w:pPr>
              <w:spacing w:after="0"/>
              <w:rPr>
                <w:sz w:val="12"/>
                <w:szCs w:val="12"/>
                <w:color w:val="auto"/>
              </w:rPr>
            </w:pPr>
          </w:p>
        </w:tc>
        <w:tc>
          <w:tcPr>
            <w:tcW w:w="680" w:type="dxa"/>
            <w:vAlign w:val="bottom"/>
            <w:tcBorders>
              <w:top w:val="single" w:sz="8" w:color="auto"/>
            </w:tcBorders>
            <w:shd w:val="clear" w:color="auto" w:fill="CC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13,090</w:t>
            </w:r>
          </w:p>
        </w:tc>
        <w:tc>
          <w:tcPr>
            <w:tcW w:w="100" w:type="dxa"/>
            <w:vAlign w:val="bottom"/>
            <w:tcBorders>
              <w:top w:val="single" w:sz="8" w:color="CCF0FC"/>
            </w:tcBorders>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 and issuance of restricted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765,144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04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35,093</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(371,902)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371,902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(18,950)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(18,950)</w:t>
            </w: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32,116</w:t>
            </w:r>
          </w:p>
        </w:tc>
        <w:tc>
          <w:tcPr>
            <w:tcW w:w="18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32,116</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(779)</w:t>
            </w: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300" w:type="dxa"/>
            <w:vAlign w:val="bottom"/>
            <w:tcBorders>
              <w:right w:val="single" w:sz="8" w:color="CCF0FC"/>
            </w:tcBorders>
            <w:shd w:val="clear" w:color="auto" w:fill="CCF0FC"/>
          </w:tcPr>
          <w:p>
            <w:pPr>
              <w:spacing w:after="0"/>
              <w:rPr>
                <w:sz w:val="14"/>
                <w:szCs w:val="14"/>
                <w:color w:val="auto"/>
              </w:rPr>
            </w:pPr>
          </w:p>
        </w:tc>
        <w:tc>
          <w:tcPr>
            <w:tcW w:w="880" w:type="dxa"/>
            <w:vAlign w:val="bottom"/>
            <w:gridSpan w:val="2"/>
            <w:shd w:val="clear" w:color="auto" w:fill="CC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500" w:type="dxa"/>
            <w:vAlign w:val="bottom"/>
            <w:tcBorders>
              <w:right w:val="single" w:sz="8" w:color="CCF0FC"/>
            </w:tcBorders>
            <w:gridSpan w:val="2"/>
            <w:shd w:val="clear" w:color="auto" w:fill="CC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Reclassification of gain on investments into earnings,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of tax</w:t>
            </w:r>
          </w:p>
        </w:tc>
        <w:tc>
          <w:tcPr>
            <w:tcW w:w="3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62"/>
        </w:trPr>
        <w:tc>
          <w:tcPr>
            <w:tcW w:w="3500" w:type="dxa"/>
            <w:vAlign w:val="bottom"/>
            <w:shd w:val="clear" w:color="auto" w:fill="CCF0FC"/>
          </w:tcPr>
          <w:p>
            <w:pPr>
              <w:ind w:left="140"/>
              <w:spacing w:after="0"/>
              <w:rPr>
                <w:sz w:val="20"/>
                <w:szCs w:val="20"/>
                <w:color w:val="auto"/>
              </w:rPr>
            </w:pPr>
            <w:r>
              <w:rPr>
                <w:rFonts w:ascii="Times New Roman" w:cs="Times New Roman" w:eastAsia="Times New Roman" w:hAnsi="Times New Roman"/>
                <w:sz w:val="13"/>
                <w:szCs w:val="13"/>
                <w:color w:val="auto"/>
              </w:rPr>
              <w:t>Adoption of ASU 2016-13</w:t>
            </w:r>
          </w:p>
        </w:tc>
        <w:tc>
          <w:tcPr>
            <w:tcW w:w="300" w:type="dxa"/>
            <w:vAlign w:val="bottom"/>
            <w:tcBorders>
              <w:right w:val="single" w:sz="8" w:color="CCF0FC"/>
            </w:tcBorders>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left w:val="single" w:sz="8" w:color="CCF0FC"/>
            </w:tcBorders>
            <w:shd w:val="clear" w:color="auto" w:fill="CCF0FC"/>
          </w:tcPr>
          <w:p>
            <w:pPr>
              <w:spacing w:after="0"/>
              <w:rPr>
                <w:sz w:val="14"/>
                <w:szCs w:val="14"/>
                <w:color w:val="auto"/>
              </w:rPr>
            </w:pPr>
          </w:p>
        </w:tc>
        <w:tc>
          <w:tcPr>
            <w:tcW w:w="100" w:type="dxa"/>
            <w:vAlign w:val="bottom"/>
            <w:tcBorders>
              <w:right w:val="single" w:sz="8" w:color="CCF0FC"/>
            </w:tcBorders>
            <w:shd w:val="clear" w:color="auto" w:fill="CCF0FC"/>
          </w:tcPr>
          <w:p>
            <w:pPr>
              <w:spacing w:after="0"/>
              <w:rPr>
                <w:sz w:val="14"/>
                <w:szCs w:val="14"/>
                <w:color w:val="auto"/>
              </w:rPr>
            </w:pPr>
          </w:p>
        </w:tc>
        <w:tc>
          <w:tcPr>
            <w:tcW w:w="400" w:type="dxa"/>
            <w:vAlign w:val="bottom"/>
            <w:shd w:val="clear" w:color="auto" w:fill="CCF0FC"/>
          </w:tcPr>
          <w:p>
            <w:pPr>
              <w:spacing w:after="0"/>
              <w:rPr>
                <w:sz w:val="14"/>
                <w:szCs w:val="14"/>
                <w:color w:val="auto"/>
              </w:rPr>
            </w:pPr>
          </w:p>
        </w:tc>
        <w:tc>
          <w:tcPr>
            <w:tcW w:w="2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F0FC"/>
              <w:right w:val="single" w:sz="8" w:color="CCF0FC"/>
            </w:tcBorders>
            <w:shd w:val="clear" w:color="auto" w:fill="CCF0FC"/>
          </w:tcPr>
          <w:p>
            <w:pPr>
              <w:spacing w:after="0"/>
              <w:rPr>
                <w:sz w:val="14"/>
                <w:szCs w:val="14"/>
                <w:color w:val="auto"/>
              </w:rPr>
            </w:pPr>
          </w:p>
        </w:tc>
        <w:tc>
          <w:tcPr>
            <w:tcW w:w="6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F0FC"/>
            </w:tcBorders>
            <w:shd w:val="clear" w:color="auto" w:fill="CCF0FC"/>
          </w:tcPr>
          <w:p>
            <w:pPr>
              <w:spacing w:after="0"/>
              <w:rPr>
                <w:sz w:val="14"/>
                <w:szCs w:val="14"/>
                <w:color w:val="auto"/>
              </w:rPr>
            </w:pPr>
          </w:p>
        </w:tc>
        <w:tc>
          <w:tcPr>
            <w:tcW w:w="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F0FC"/>
            </w:tcBorders>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F0FC"/>
            </w:tcBorders>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tcBorders>
              <w:right w:val="single" w:sz="8" w:color="CCF0FC"/>
            </w:tcBorders>
            <w:shd w:val="clear" w:color="auto" w:fill="CCF0FC"/>
          </w:tcPr>
          <w:p>
            <w:pPr>
              <w:spacing w:after="0"/>
              <w:rPr>
                <w:sz w:val="14"/>
                <w:szCs w:val="14"/>
                <w:color w:val="auto"/>
              </w:rPr>
            </w:pPr>
          </w:p>
        </w:tc>
        <w:tc>
          <w:tcPr>
            <w:tcW w:w="82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3"/>
                <w:szCs w:val="13"/>
                <w:color w:val="auto"/>
              </w:rPr>
              <w:t>(1,069)</w:t>
            </w:r>
          </w:p>
        </w:tc>
        <w:tc>
          <w:tcPr>
            <w:tcW w:w="1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7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3"/>
                <w:szCs w:val="13"/>
                <w:color w:val="auto"/>
              </w:rPr>
              <w:t>(1,069)</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Balances, September 30, 2020</w:t>
            </w: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35,291,606</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1,613,250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(65,247)</w:t>
            </w:r>
          </w:p>
        </w:tc>
        <w:tc>
          <w:tcPr>
            <w:tcW w:w="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382,992</w:t>
            </w:r>
          </w:p>
        </w:tc>
        <w:tc>
          <w:tcPr>
            <w:tcW w:w="1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80,020</w:t>
            </w:r>
          </w:p>
        </w:tc>
        <w:tc>
          <w:tcPr>
            <w:tcW w:w="1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(2,862)</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0574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5</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ind w:left="1028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280" w:type="dxa"/>
            <w:vAlign w:val="bottom"/>
          </w:tcPr>
          <w:p>
            <w:pPr>
              <w:spacing w:after="0"/>
              <w:rPr>
                <w:sz w:val="19"/>
                <w:szCs w:val="19"/>
                <w:color w:val="auto"/>
              </w:rPr>
            </w:pPr>
          </w:p>
        </w:tc>
        <w:tc>
          <w:tcPr>
            <w:tcW w:w="540" w:type="dxa"/>
            <w:vAlign w:val="bottom"/>
            <w:gridSpan w:val="2"/>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costs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(1,129)</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(8,387)</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(67,636)</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(61,967)</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 of businesses and intangible assets, net of cash acquired</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(14,966)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exercise of options to purchase common stock</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proceeds from employee stock purchase plan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for earn-out liability</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SPS COMMERCE,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A – 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Business Description</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Basis of Presentation</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2019, as filed with the Securities and Exchange Commission (“SEC”).</w:t>
      </w:r>
    </w:p>
    <w:p>
      <w:pPr>
        <w:spacing w:after="0" w:line="19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1, 2020, we adopted Accounting Standards Update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with a modified-retrospective approach and recorded a $1.1 million cumulative-effect adjustment to retained earnings. Under the standard, in determining the allowances for credit losses, we pool our outstanding accounts receivable invoices based on the contractual due date of payment at the balance sheet date. We take several factors into consideration for estimated credit losses by pool, primarily our historical credit losses. Additional adjustments are made for current and future conditions, primarily the rate of retail bankruptcies across the United States.</w:t>
      </w:r>
    </w:p>
    <w:p>
      <w:pPr>
        <w:spacing w:after="0" w:line="185"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On July 25, 2019, we announced that our board of directors declared a two-for-one stock split of our common stock, effected in the form of a 100 percent stock dividend as of the record date on August 8, 2019. The stock split dividend was distributed on August 22, 2019. Earnings per share and weighted average shares outstanding are presented in this Quarterly Report on Form 10-Q after the effect of the 100 percent stock dividend. The two-for-one stock split is reflected in the share amounts in all periods presented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Use of Estimates</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00" w:type="dxa"/>
            <w:vAlign w:val="bottom"/>
          </w:tcPr>
          <w:p>
            <w:pPr>
              <w:ind w:left="254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r>
      <w:tr>
        <w:trPr>
          <w:trHeight w:val="568"/>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1F282C"/>
              </w:rPr>
              <w:t>Recently Adopted Accounting Pronouncements</w:t>
            </w:r>
          </w:p>
        </w:tc>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78"/>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3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3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Effect on the Financial Statements</w:t>
            </w:r>
          </w:p>
        </w:tc>
      </w:tr>
      <w:tr>
        <w:trPr>
          <w:trHeight w:val="205"/>
        </w:trPr>
        <w:tc>
          <w:tcPr>
            <w:tcW w:w="16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ASU 2016-13</w:t>
            </w:r>
            <w:r>
              <w:rPr>
                <w:rFonts w:ascii="Times New Roman" w:cs="Times New Roman" w:eastAsia="Times New Roman" w:hAnsi="Times New Roman"/>
                <w:sz w:val="18"/>
                <w:szCs w:val="18"/>
                <w:color w:val="auto"/>
              </w:rPr>
              <w:t>,</w:t>
            </w:r>
          </w:p>
        </w:tc>
        <w:tc>
          <w:tcPr>
            <w:tcW w:w="126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rPr>
              <w:t>June 2016</w:t>
            </w:r>
          </w:p>
        </w:tc>
        <w:tc>
          <w:tcPr>
            <w:tcW w:w="358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This amendment replaces the incurred loss</w:t>
            </w:r>
          </w:p>
        </w:tc>
        <w:tc>
          <w:tcPr>
            <w:tcW w:w="126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January 2020</w:t>
            </w:r>
          </w:p>
        </w:tc>
        <w:tc>
          <w:tcPr>
            <w:tcW w:w="350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The adoption of this standard did not have a</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methodology in current GAAP</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material impact on our condensed</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 - Credit</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a methodology that reflects expected</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 See above</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(Topic 326),</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losses on instruments within its scope,</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"Basis of Presentation" for significant</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of</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including trade receivables. This is intended</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inputs for the allowance for credit losses.</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Losses on</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provide financial statement users with</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more decision-useful information about the</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34"/>
        </w:trPr>
        <w:tc>
          <w:tcPr>
            <w:tcW w:w="16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credit losses.</w:t>
            </w:r>
          </w:p>
        </w:tc>
        <w:tc>
          <w:tcPr>
            <w:tcW w:w="1260" w:type="dxa"/>
            <w:vAlign w:val="bottom"/>
            <w:shd w:val="clear" w:color="auto" w:fill="CFF0FC"/>
          </w:tcPr>
          <w:p>
            <w:pPr>
              <w:spacing w:after="0"/>
              <w:rPr>
                <w:sz w:val="20"/>
                <w:szCs w:val="20"/>
                <w:color w:val="auto"/>
              </w:rPr>
            </w:pPr>
          </w:p>
        </w:tc>
        <w:tc>
          <w:tcPr>
            <w:tcW w:w="3500" w:type="dxa"/>
            <w:vAlign w:val="bottom"/>
            <w:shd w:val="clear" w:color="auto" w:fill="CFF0FC"/>
          </w:tcPr>
          <w:p>
            <w:pPr>
              <w:spacing w:after="0"/>
              <w:rPr>
                <w:sz w:val="20"/>
                <w:szCs w:val="20"/>
                <w:color w:val="auto"/>
              </w:rPr>
            </w:pPr>
          </w:p>
        </w:tc>
      </w:tr>
      <w:tr>
        <w:trPr>
          <w:trHeight w:val="211"/>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 2018-13</w:t>
            </w:r>
            <w:r>
              <w:rPr>
                <w:rFonts w:ascii="Times New Roman" w:cs="Times New Roman" w:eastAsia="Times New Roman" w:hAnsi="Times New Roman"/>
                <w:sz w:val="18"/>
                <w:szCs w:val="18"/>
                <w:color w:val="auto"/>
              </w:rPr>
              <w:t>, Fair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2018</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amendment adds, modifies and removes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adoption of this standard did not have a</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Value Measurement</w:t>
            </w:r>
          </w:p>
        </w:tc>
        <w:tc>
          <w:tcPr>
            <w:tcW w:w="126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several disclosure requirements relative to the</w:t>
            </w:r>
          </w:p>
        </w:tc>
        <w:tc>
          <w:tcPr>
            <w:tcW w:w="12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our condensed</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(Topic 820),</w:t>
            </w:r>
          </w:p>
        </w:tc>
        <w:tc>
          <w:tcPr>
            <w:tcW w:w="126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levels of inputs used to measure fair</w:t>
            </w:r>
          </w:p>
        </w:tc>
        <w:tc>
          <w:tcPr>
            <w:tcW w:w="126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126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 in accordance with Topic 820, Fair</w:t>
            </w: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Framework -</w:t>
            </w:r>
          </w:p>
        </w:tc>
        <w:tc>
          <w:tcPr>
            <w:tcW w:w="126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 Measurement.</w:t>
            </w: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Changes to the</w:t>
            </w:r>
          </w:p>
        </w:tc>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for</w:t>
            </w:r>
          </w:p>
        </w:tc>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Measurement</w:t>
            </w:r>
          </w:p>
        </w:tc>
        <w:tc>
          <w:tcPr>
            <w:tcW w:w="1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211"/>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ASU 2017-04</w:t>
            </w:r>
            <w:r>
              <w:rPr>
                <w:rFonts w:ascii="Times New Roman" w:cs="Times New Roman" w:eastAsia="Times New Roman" w:hAnsi="Times New Roman"/>
                <w:sz w:val="18"/>
                <w:szCs w:val="18"/>
                <w:color w:val="auto"/>
              </w:rPr>
              <w:t>,</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2017</w:t>
            </w: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This amendment eliminates Step 2 from the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adoption of this standard did not have a</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 impairment test.</w:t>
            </w: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material impact on our condensed</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(Topic 350),</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Simplifying the Test</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Goodwill</w:t>
            </w:r>
          </w:p>
        </w:tc>
        <w:tc>
          <w:tcPr>
            <w:tcW w:w="1260" w:type="dxa"/>
            <w:vAlign w:val="bottom"/>
            <w:shd w:val="clear" w:color="auto" w:fill="CFF0FC"/>
          </w:tcPr>
          <w:p>
            <w:pPr>
              <w:spacing w:after="0"/>
              <w:rPr>
                <w:sz w:val="18"/>
                <w:szCs w:val="18"/>
                <w:color w:val="auto"/>
              </w:rPr>
            </w:pPr>
          </w:p>
        </w:tc>
        <w:tc>
          <w:tcPr>
            <w:tcW w:w="35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500" w:type="dxa"/>
            <w:vAlign w:val="bottom"/>
            <w:shd w:val="clear" w:color="auto" w:fill="CFF0FC"/>
          </w:tcPr>
          <w:p>
            <w:pPr>
              <w:spacing w:after="0"/>
              <w:rPr>
                <w:sz w:val="18"/>
                <w:szCs w:val="18"/>
                <w:color w:val="auto"/>
              </w:rPr>
            </w:pPr>
          </w:p>
        </w:tc>
      </w:tr>
      <w:tr>
        <w:trPr>
          <w:trHeight w:val="234"/>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260" w:type="dxa"/>
            <w:vAlign w:val="bottom"/>
            <w:shd w:val="clear" w:color="auto" w:fill="CFF0FC"/>
          </w:tcPr>
          <w:p>
            <w:pPr>
              <w:spacing w:after="0"/>
              <w:rPr>
                <w:sz w:val="20"/>
                <w:szCs w:val="20"/>
                <w:color w:val="auto"/>
              </w:rPr>
            </w:pPr>
          </w:p>
        </w:tc>
        <w:tc>
          <w:tcPr>
            <w:tcW w:w="35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500" w:type="dxa"/>
            <w:vAlign w:val="bottom"/>
            <w:shd w:val="clear" w:color="auto" w:fill="CFF0FC"/>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Significant Accounting Policies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our significant accounting policies during the nine months ended September 30, 2020. See Note A to the consolidated financial statements included in our Annual Report on Form 10-K for the year ended December 31, 2019, as filed with the SEC, for additional information regarding our significant accounting policies.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B –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revenues from the following revenue streams: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FF0FC"/>
            </w:tcBorders>
            <w:vMerge w:val="continue"/>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2"/>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Fulfillment</w:t>
            </w:r>
          </w:p>
        </w:tc>
        <w:tc>
          <w:tcPr>
            <w:tcW w:w="21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64,115</w:t>
            </w:r>
          </w:p>
        </w:tc>
        <w:tc>
          <w:tcPr>
            <w:tcW w:w="240" w:type="dxa"/>
            <w:vAlign w:val="bottom"/>
          </w:tcPr>
          <w:p>
            <w:pPr>
              <w:spacing w:after="0"/>
              <w:rPr>
                <w:sz w:val="19"/>
                <w:szCs w:val="19"/>
                <w:color w:val="auto"/>
              </w:rPr>
            </w:pPr>
          </w:p>
        </w:tc>
        <w:tc>
          <w:tcPr>
            <w:tcW w:w="580" w:type="dxa"/>
            <w:vAlign w:val="bottom"/>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55,546</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183,963</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Analytics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75,185</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216,436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One-time revenues</w:t>
            </w:r>
          </w:p>
        </w:tc>
        <w:tc>
          <w:tcPr>
            <w:tcW w:w="1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2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SPS COMMERCE, INC.</w:t>
            </w: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38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gridSpan w:val="8"/>
          </w:tcPr>
          <w:p>
            <w:pPr>
              <w:ind w:left="500"/>
              <w:spacing w:after="0"/>
              <w:rPr>
                <w:sz w:val="20"/>
                <w:szCs w:val="20"/>
                <w:color w:val="auto"/>
              </w:rPr>
            </w:pPr>
            <w:r>
              <w:rPr>
                <w:rFonts w:ascii="Times New Roman" w:cs="Times New Roman" w:eastAsia="Times New Roman" w:hAnsi="Times New Roman"/>
                <w:sz w:val="12"/>
                <w:szCs w:val="12"/>
                <w:b w:val="1"/>
                <w:bCs w:val="1"/>
                <w:color w:val="auto"/>
                <w:w w:val="96"/>
              </w:rPr>
              <w:t>Form 10-Q for the quarterly period ended September 30, 2020</w:t>
            </w:r>
          </w:p>
        </w:tc>
        <w:tc>
          <w:tcPr>
            <w:tcW w:w="0" w:type="dxa"/>
            <w:vAlign w:val="bottom"/>
          </w:tcPr>
          <w:p>
            <w:pPr>
              <w:spacing w:after="0"/>
              <w:rPr>
                <w:sz w:val="1"/>
                <w:szCs w:val="1"/>
                <w:color w:val="auto"/>
              </w:rPr>
            </w:pPr>
          </w:p>
        </w:tc>
      </w:tr>
      <w:tr>
        <w:trPr>
          <w:trHeight w:val="166"/>
        </w:trPr>
        <w:tc>
          <w:tcPr>
            <w:tcW w:w="3800" w:type="dxa"/>
            <w:vAlign w:val="bottom"/>
            <w:tcBorders>
              <w:bottom w:val="single" w:sz="8" w:color="9A9A9A"/>
            </w:tcBorders>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Recurring Revenues</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3"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One-time 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66" w:lineRule="auto"/>
        <w:rPr>
          <w:sz w:val="20"/>
          <w:szCs w:val="20"/>
          <w:color w:val="auto"/>
        </w:rPr>
      </w:pPr>
      <w:r>
        <w:rPr>
          <w:rFonts w:ascii="Times New Roman" w:cs="Times New Roman" w:eastAsia="Times New Roman" w:hAnsi="Times New Roman"/>
          <w:sz w:val="18"/>
          <w:szCs w:val="18"/>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76"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176"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Times New Roman" w:cs="Times New Roman" w:eastAsia="Times New Roman" w:hAnsi="Times New Roman"/>
          <w:sz w:val="18"/>
          <w:szCs w:val="18"/>
          <w:color w:val="000000"/>
        </w:rPr>
        <w:t>two years</w:t>
      </w:r>
      <w:r>
        <w:rPr>
          <w:rFonts w:ascii="Times New Roman" w:cs="Times New Roman" w:eastAsia="Times New Roman" w:hAnsi="Times New Roman"/>
          <w:sz w:val="18"/>
          <w:szCs w:val="18"/>
          <w:color w:val="212529"/>
        </w:rPr>
        <w:t>, which is the estimated period for which a material right is present for our customers.</w:t>
      </w:r>
    </w:p>
    <w:p>
      <w:pPr>
        <w:spacing w:after="0" w:line="176" w:lineRule="exact"/>
        <w:rPr>
          <w:sz w:val="20"/>
          <w:szCs w:val="20"/>
          <w:color w:val="auto"/>
        </w:rPr>
      </w:pPr>
    </w:p>
    <w:p>
      <w:pPr>
        <w:jc w:val="both"/>
        <w:ind w:right="40" w:firstLine="510"/>
        <w:spacing w:after="0" w:line="282" w:lineRule="auto"/>
        <w:rPr>
          <w:sz w:val="20"/>
          <w:szCs w:val="20"/>
          <w:color w:val="auto"/>
        </w:rPr>
      </w:pPr>
      <w:r>
        <w:rPr>
          <w:rFonts w:ascii="Times New Roman" w:cs="Times New Roman" w:eastAsia="Times New Roman" w:hAnsi="Times New Roman"/>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Times New Roman" w:cs="Times New Roman" w:eastAsia="Times New Roman" w:hAnsi="Times New Roman"/>
          <w:sz w:val="18"/>
          <w:szCs w:val="18"/>
          <w:color w:val="000000"/>
        </w:rPr>
        <w:t>one year</w:t>
      </w:r>
      <w:r>
        <w:rPr>
          <w:rFonts w:ascii="Times New Roman" w:cs="Times New Roman" w:eastAsia="Times New Roman" w:hAnsi="Times New Roman"/>
          <w:sz w:val="18"/>
          <w:szCs w:val="18"/>
          <w:color w:val="212529"/>
        </w:rPr>
        <w: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activity of the portion of the deferred revenue liability relating to set-up fees: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Invoiced set-up fees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Amortized set-up fees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(2,698)</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(8,050)</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0"/>
        <w:spacing w:after="0"/>
        <w:tabs>
          <w:tab w:leader="none" w:pos="558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entire balance of set-up fees will be recognized within two years and, as such, current amounts will be recognized in the next 1-12 months and non-current amounts will be recognized in the next 13-24 months.</w:t>
      </w:r>
    </w:p>
    <w:p>
      <w:pPr>
        <w:spacing w:after="0" w:line="162"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C – Deferred Costs</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212529"/>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62"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212529"/>
        </w:rPr>
        <w:t xml:space="preserve">Costs to obtain customer contracts relating to recurring revenues are considered incremental and recoverable costs of obtaining a contract with our customer. These costs are deferred and amortized over the expected period of benefit which we have determined to be </w:t>
      </w:r>
      <w:r>
        <w:rPr>
          <w:rFonts w:ascii="Times New Roman" w:cs="Times New Roman" w:eastAsia="Times New Roman" w:hAnsi="Times New Roman"/>
          <w:sz w:val="18"/>
          <w:szCs w:val="18"/>
          <w:color w:val="000000"/>
        </w:rPr>
        <w:t>two years</w:t>
      </w:r>
      <w:r>
        <w:rPr>
          <w:rFonts w:ascii="Times New Roman" w:cs="Times New Roman" w:eastAsia="Times New Roman" w:hAnsi="Times New Roman"/>
          <w:sz w:val="18"/>
          <w:szCs w:val="18"/>
          <w:color w:val="212529"/>
        </w:rPr>
        <w:t>. Amortization expense is included in sales and marketing expenses in the accompanying condensed consolidated statements of comprehensive income.</w:t>
      </w:r>
    </w:p>
    <w:p>
      <w:pPr>
        <w:spacing w:after="0" w:line="176" w:lineRule="exact"/>
        <w:rPr>
          <w:sz w:val="20"/>
          <w:szCs w:val="20"/>
          <w:color w:val="auto"/>
        </w:rPr>
      </w:pPr>
    </w:p>
    <w:p>
      <w:pPr>
        <w:ind w:right="500" w:firstLine="510"/>
        <w:spacing w:after="0" w:line="266" w:lineRule="auto"/>
        <w:rPr>
          <w:sz w:val="20"/>
          <w:szCs w:val="20"/>
          <w:color w:val="auto"/>
        </w:rPr>
      </w:pPr>
      <w:r>
        <w:rPr>
          <w:rFonts w:ascii="Times New Roman" w:cs="Times New Roman" w:eastAsia="Times New Roman" w:hAnsi="Times New Roman"/>
          <w:sz w:val="18"/>
          <w:szCs w:val="18"/>
          <w:color w:val="212529"/>
        </w:rPr>
        <w:t xml:space="preserve">Costs to fulfill customer contracts are considered incremental and recoverable costs of obtaining a contract with our customer. These costs are deferred and amortized over the expected period of benefit which we have determined to be </w:t>
      </w:r>
      <w:r>
        <w:rPr>
          <w:rFonts w:ascii="Times New Roman" w:cs="Times New Roman" w:eastAsia="Times New Roman" w:hAnsi="Times New Roman"/>
          <w:sz w:val="18"/>
          <w:szCs w:val="18"/>
          <w:color w:val="000000"/>
        </w:rPr>
        <w:t>two years</w:t>
      </w:r>
      <w:r>
        <w:rPr>
          <w:rFonts w:ascii="Times New Roman" w:cs="Times New Roman" w:eastAsia="Times New Roman" w:hAnsi="Times New Roman"/>
          <w:sz w:val="18"/>
          <w:szCs w:val="18"/>
          <w:color w:val="212529"/>
        </w:rPr>
        <w:t>. Amortization expense is included in cost of revenues in the accompanying condensed consolidated statements of comprehensive income.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activity of deferred costs and amortization of deferred costs: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vMerge w:val="continue"/>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Incurred deferred costs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Amortized deferred costs</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(12,774)</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(38,137)</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(36,782)</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48,133</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D –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Cash equivalents and investments</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invest primarily in money market funds, certificates of deposit, highly liquid debt instruments of the U.S. government and U.S. corporate debt securities. Highly liquid investments with original maturities of 90 days or less are classified as cash equivalents. Investments with remaining maturities of less than one year from the balance sheet date are classified as short-term investments whereas those with remaining maturities of more than one year from the balance sheet date are classified as investments. Our marketable securities are classified as available-for-sale. We intend to hold marketable securities until maturity; however, we may sell these securities at any time for use in current operations or for other purposes.</w:t>
      </w:r>
    </w:p>
    <w:p>
      <w:pPr>
        <w:spacing w:after="0" w:line="18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05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10</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18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635"/>
        </w:trPr>
        <w:tc>
          <w:tcPr>
            <w:tcW w:w="5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Cash equivalents and investments consisted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tcPr>
          <w:p>
            <w:pPr>
              <w:jc w:val="center"/>
              <w:ind w:right="214"/>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3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230,691</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8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Maturing within one to two years</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230,626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35"/>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tcPr>
          <w:p>
            <w:pPr>
              <w:jc w:val="center"/>
              <w:ind w:right="214"/>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 net</w:t>
            </w:r>
          </w:p>
        </w:tc>
        <w:tc>
          <w:tcPr>
            <w:tcW w:w="3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Certificates of deposit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800" w:type="dxa"/>
            <w:vAlign w:val="bottom"/>
          </w:tcPr>
          <w:p>
            <w:pPr>
              <w:spacing w:after="0"/>
              <w:rPr>
                <w:sz w:val="24"/>
                <w:szCs w:val="24"/>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FF2FC"/>
            </w:tcBorders>
            <w:shd w:val="clear" w:color="auto" w:fill="CFF2FC"/>
          </w:tcPr>
          <w:p>
            <w:pPr>
              <w:spacing w:after="0"/>
              <w:rPr>
                <w:sz w:val="20"/>
                <w:szCs w:val="20"/>
                <w:color w:val="auto"/>
              </w:rPr>
            </w:pPr>
            <w:r>
              <w:rPr>
                <w:rFonts w:ascii="Times New Roman" w:cs="Times New Roman" w:eastAsia="Times New Roman" w:hAnsi="Times New Roman"/>
                <w:sz w:val="18"/>
                <w:szCs w:val="18"/>
                <w:color w:val="auto"/>
              </w:rPr>
              <w:t>Maturing within one year</w:t>
            </w:r>
          </w:p>
        </w:tc>
        <w:tc>
          <w:tcPr>
            <w:tcW w:w="860" w:type="dxa"/>
            <w:vAlign w:val="bottom"/>
            <w:tcBorders>
              <w:top w:val="single" w:sz="8" w:color="CFF2FC"/>
            </w:tcBorders>
            <w:shd w:val="clear" w:color="auto" w:fill="CFF2FC"/>
          </w:tcPr>
          <w:p>
            <w:pPr>
              <w:spacing w:after="0"/>
              <w:rPr>
                <w:sz w:val="18"/>
                <w:szCs w:val="18"/>
                <w:color w:val="auto"/>
              </w:rPr>
            </w:pPr>
          </w:p>
        </w:tc>
        <w:tc>
          <w:tcPr>
            <w:tcW w:w="200" w:type="dxa"/>
            <w:vAlign w:val="bottom"/>
            <w:tcBorders>
              <w:top w:val="single" w:sz="8" w:color="auto"/>
            </w:tcBorders>
            <w:shd w:val="clear" w:color="auto" w:fill="CFF2FC"/>
          </w:tcPr>
          <w:p>
            <w:pPr>
              <w:spacing w:after="0"/>
              <w:rPr>
                <w:sz w:val="18"/>
                <w:szCs w:val="18"/>
                <w:color w:val="auto"/>
              </w:rPr>
            </w:pPr>
          </w:p>
        </w:tc>
        <w:tc>
          <w:tcPr>
            <w:tcW w:w="1120" w:type="dxa"/>
            <w:vAlign w:val="bottom"/>
            <w:tcBorders>
              <w:top w:val="single" w:sz="8" w:color="auto"/>
            </w:tcBorders>
            <w:shd w:val="clear" w:color="auto" w:fill="CFF2FC"/>
          </w:tcPr>
          <w:p>
            <w:pPr>
              <w:spacing w:after="0"/>
              <w:rPr>
                <w:sz w:val="18"/>
                <w:szCs w:val="18"/>
                <w:color w:val="auto"/>
              </w:rPr>
            </w:pPr>
          </w:p>
        </w:tc>
        <w:tc>
          <w:tcPr>
            <w:tcW w:w="240" w:type="dxa"/>
            <w:vAlign w:val="bottom"/>
            <w:tcBorders>
              <w:top w:val="single" w:sz="8" w:color="CFF2FC"/>
            </w:tcBorders>
            <w:shd w:val="clear" w:color="auto" w:fill="CFF2FC"/>
          </w:tcPr>
          <w:p>
            <w:pPr>
              <w:spacing w:after="0"/>
              <w:rPr>
                <w:sz w:val="18"/>
                <w:szCs w:val="18"/>
                <w:color w:val="auto"/>
              </w:rPr>
            </w:pPr>
          </w:p>
        </w:tc>
        <w:tc>
          <w:tcPr>
            <w:tcW w:w="160" w:type="dxa"/>
            <w:vAlign w:val="bottom"/>
            <w:tcBorders>
              <w:top w:val="single" w:sz="8" w:color="auto"/>
            </w:tcBorders>
            <w:shd w:val="clear" w:color="auto" w:fill="CFF2FC"/>
          </w:tcPr>
          <w:p>
            <w:pPr>
              <w:spacing w:after="0"/>
              <w:rPr>
                <w:sz w:val="18"/>
                <w:szCs w:val="18"/>
                <w:color w:val="auto"/>
              </w:rPr>
            </w:pPr>
          </w:p>
        </w:tc>
        <w:tc>
          <w:tcPr>
            <w:tcW w:w="1180" w:type="dxa"/>
            <w:vAlign w:val="bottom"/>
            <w:tcBorders>
              <w:top w:val="single" w:sz="8" w:color="auto"/>
            </w:tcBorders>
            <w:shd w:val="clear" w:color="auto" w:fill="CFF2FC"/>
          </w:tcPr>
          <w:p>
            <w:pPr>
              <w:spacing w:after="0"/>
              <w:rPr>
                <w:sz w:val="18"/>
                <w:szCs w:val="18"/>
                <w:color w:val="auto"/>
              </w:rPr>
            </w:pPr>
          </w:p>
        </w:tc>
        <w:tc>
          <w:tcPr>
            <w:tcW w:w="240" w:type="dxa"/>
            <w:vAlign w:val="bottom"/>
            <w:tcBorders>
              <w:top w:val="single" w:sz="8" w:color="CFF2FC"/>
            </w:tcBorders>
            <w:shd w:val="clear" w:color="auto" w:fill="CFF2FC"/>
          </w:tcPr>
          <w:p>
            <w:pPr>
              <w:spacing w:after="0"/>
              <w:rPr>
                <w:sz w:val="18"/>
                <w:szCs w:val="18"/>
                <w:color w:val="auto"/>
              </w:rPr>
            </w:pPr>
          </w:p>
        </w:tc>
        <w:tc>
          <w:tcPr>
            <w:tcW w:w="300" w:type="dxa"/>
            <w:vAlign w:val="bottom"/>
            <w:tcBorders>
              <w:top w:val="single" w:sz="8" w:color="auto"/>
              <w:bottom w:val="single" w:sz="8" w:color="auto"/>
            </w:tcBorders>
            <w:shd w:val="clear" w:color="auto" w:fill="CFF2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Times New Roman" w:cs="Times New Roman" w:eastAsia="Times New Roman" w:hAnsi="Times New Roman"/>
                <w:sz w:val="18"/>
                <w:szCs w:val="18"/>
                <w:color w:val="auto"/>
              </w:rPr>
              <w:t>185,550</w:t>
            </w:r>
          </w:p>
        </w:tc>
        <w:tc>
          <w:tcPr>
            <w:tcW w:w="100" w:type="dxa"/>
            <w:vAlign w:val="bottom"/>
            <w:tcBorders>
              <w:top w:val="single" w:sz="8" w:color="CFF2FC"/>
            </w:tcBorders>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Recurring Fair Value Measurements</w:t>
      </w:r>
    </w:p>
    <w:p>
      <w:pPr>
        <w:spacing w:after="0" w:line="121"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72" w:lineRule="exact"/>
        <w:rPr>
          <w:sz w:val="20"/>
          <w:szCs w:val="20"/>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obtain the fair values of our level 2 available-for-sale securities from a professional pricing service.</w:t>
      </w:r>
    </w:p>
    <w:p>
      <w:pPr>
        <w:spacing w:after="0" w:line="22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For the earn-out liability related to the EDIAdmin acquisition, we utilized the Monte Carlo simulation method to estimate the fair value of this contingent liability as of the balance sheet date. Thousands of iterations of the simulation were performed using forecasted revenues to develop a distribution of future values of recurring revenue which, in turn, provided indicated earn-out payments. The total estimated fair value equals the sum of the average present values of the indicated earn-out payments. Changes in the assumptions used in the simulations described above could have an impact on the payout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175,850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firstLine="510"/>
        <w:spacing w:after="0" w:line="262" w:lineRule="auto"/>
        <w:rPr>
          <w:sz w:val="20"/>
          <w:szCs w:val="20"/>
          <w:color w:val="auto"/>
        </w:rPr>
      </w:pPr>
      <w:r>
        <w:rPr>
          <w:rFonts w:ascii="Times New Roman" w:cs="Times New Roman" w:eastAsia="Times New Roman" w:hAnsi="Times New Roman"/>
          <w:sz w:val="18"/>
          <w:szCs w:val="18"/>
          <w:color w:val="auto"/>
        </w:rPr>
        <w:t xml:space="preserve">During the three months ended September 30, 2020, there was no change in the earn-out liability. During the nine months ended September 30, 2020, </w:t>
      </w:r>
      <w:r>
        <w:rPr>
          <w:rFonts w:ascii="Times New Roman" w:cs="Times New Roman" w:eastAsia="Times New Roman" w:hAnsi="Times New Roman"/>
          <w:sz w:val="18"/>
          <w:szCs w:val="18"/>
          <w:color w:val="212529"/>
        </w:rPr>
        <w:t>we recognized an expense of $0.1 million in our condensed consolidated statements of comprehensive income due to the remeasurement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contingent liability and, additionally, we transferred $0.2 million out of Level 3. The remaining earn-out liability is expected to be paid in the first quarter of 2021 and has been measured as Level 3 given the unobservable inputs that are significant to the measurement of the liability. The earn-out has a maximum potential payout of $1.7 million, of which $0.7 million was paid.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12529"/>
        </w:rPr>
        <w:t>There were no other transfers in or out of our Level 1, 2, or 3 assets or liabilities during the nine months ended September 30, 2020 and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Nonrecurring Fair Value Measurements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12529"/>
        </w:rPr>
        <w:t>measure certain assets and liabilities at fair value on a nonrecurring basis. Assets that are measured at fair value on a nonrecurring basis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long-lived assets, goodwill and indefinite-lived intangible assets, which would generally be recorded at fair value as a result of an impairment charge. Assets acquired and liabilities assumed as part of business combinations are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Other Fair Value Disclosures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carrying values of our financial instruments, including cash and cash equivalents, accounts receivable, and accounts payable, when applicable, approximate their respective fair values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E – Allowance for Credit Losses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allowance for credit losses activity, included in accounts receivable, net,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Adoption of ASU 2016-13</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AAE5"/>
              </w:rPr>
              <w:t>NOTE F – Goodwill and Intangible Assets, net</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net carrying amount of goodwill was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Intangible assets subject to amortization are amortized over their respective useful lives (ranging from three to ten years). Intangible assets, net included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(2,408)</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4"/>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(2,643)</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annual amortization expense related to intangible assets subject to amortization for the next five years and thereafter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AAE5"/>
              </w:rPr>
              <w:t>NOTE G – Other Assets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920" w:type="dxa"/>
            <w:vAlign w:val="bottom"/>
            <w:gridSpan w:val="10"/>
          </w:tcPr>
          <w:p>
            <w:pPr>
              <w:ind w:left="520"/>
              <w:spacing w:after="0"/>
              <w:rPr>
                <w:sz w:val="20"/>
                <w:szCs w:val="20"/>
                <w:color w:val="auto"/>
              </w:rPr>
            </w:pPr>
            <w:r>
              <w:rPr>
                <w:rFonts w:ascii="Times New Roman" w:cs="Times New Roman" w:eastAsia="Times New Roman" w:hAnsi="Times New Roman"/>
                <w:sz w:val="18"/>
                <w:szCs w:val="18"/>
                <w:color w:val="auto"/>
              </w:rPr>
              <w:t>The changes in the net amount of capitalized implementation costs for software hosting arrangements is as follows:</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4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implementation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implementation fees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There were no impairment losses in relation to the capitalized implementation costs for the nine months ended September 30, 2020 and 2019.</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H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obligated under non-cancellable operating leases, primarily for office space and certain equipment,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6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40" w:type="dxa"/>
            <w:vAlign w:val="bottom"/>
          </w:tcPr>
          <w:p>
            <w:pPr>
              <w:spacing w:after="0"/>
              <w:rPr>
                <w:sz w:val="15"/>
                <w:szCs w:val="15"/>
                <w:color w:val="auto"/>
              </w:rPr>
            </w:pPr>
          </w:p>
        </w:tc>
        <w:tc>
          <w:tcPr>
            <w:tcW w:w="27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31"/>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remaining term)</w:t>
            </w:r>
          </w:p>
        </w:tc>
        <w:tc>
          <w:tcPr>
            <w:tcW w:w="1220" w:type="dxa"/>
            <w:vAlign w:val="bottom"/>
            <w:tcBorders>
              <w:top w:val="single" w:sz="8" w:color="auto"/>
            </w:tcBorders>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Right-of-Use</w:t>
            </w:r>
          </w:p>
        </w:tc>
        <w:tc>
          <w:tcPr>
            <w:tcW w:w="240" w:type="dxa"/>
            <w:vAlign w:val="bottom"/>
          </w:tcPr>
          <w:p>
            <w:pPr>
              <w:spacing w:after="0"/>
              <w:rPr>
                <w:sz w:val="11"/>
                <w:szCs w:val="11"/>
                <w:color w:val="auto"/>
              </w:rPr>
            </w:pPr>
          </w:p>
        </w:tc>
        <w:tc>
          <w:tcPr>
            <w:tcW w:w="1240" w:type="dxa"/>
            <w:vAlign w:val="bottom"/>
            <w:tcBorders>
              <w:top w:val="single" w:sz="8" w:color="auto"/>
            </w:tcBorders>
          </w:tcPr>
          <w:p>
            <w:pPr>
              <w:jc w:val="right"/>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Right-of-Use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560" w:type="dxa"/>
            <w:vAlign w:val="bottom"/>
            <w:vMerge w:val="continue"/>
          </w:tcPr>
          <w:p>
            <w:pPr>
              <w:spacing w:after="0"/>
              <w:rPr>
                <w:sz w:val="15"/>
                <w:szCs w:val="15"/>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5"/>
                <w:szCs w:val="15"/>
                <w:color w:val="auto"/>
              </w:rPr>
            </w:pPr>
          </w:p>
        </w:tc>
        <w:tc>
          <w:tcPr>
            <w:tcW w:w="12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Minneapolis, MN lease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Kyiv, Ukraine lease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Little Falls, NJ lease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leases</w:t>
            </w: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&lt;1 - 5 years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&lt;1 - 5 years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Some of our leases may include options to extend the leases for up to five years. The options to extend our leases are not recognized as part of our Right-of-Use (“ROU”) assets and lease liabilities as it is not reasonably certain that we will exercise those options. Additionally, our agreements do not include options to terminate the leases.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FF0FC"/>
            </w:tcBorders>
            <w:vMerge w:val="continue"/>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9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1,743</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1,371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SPS COMMERCE, INC.</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3780" w:type="dxa"/>
            <w:vAlign w:val="bottom"/>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gridSpan w:val="8"/>
          </w:tcPr>
          <w:p>
            <w:pPr>
              <w:ind w:left="380"/>
              <w:spacing w:after="0"/>
              <w:rPr>
                <w:sz w:val="20"/>
                <w:szCs w:val="20"/>
                <w:color w:val="auto"/>
              </w:rPr>
            </w:pPr>
            <w:r>
              <w:rPr>
                <w:rFonts w:ascii="Times New Roman" w:cs="Times New Roman" w:eastAsia="Times New Roman" w:hAnsi="Times New Roman"/>
                <w:sz w:val="12"/>
                <w:szCs w:val="12"/>
                <w:b w:val="1"/>
                <w:bCs w:val="1"/>
                <w:color w:val="auto"/>
                <w:w w:val="96"/>
              </w:rPr>
              <w:t>Form 10-Q for the quarterly period ended September 30, 2020</w:t>
            </w:r>
          </w:p>
        </w:tc>
        <w:tc>
          <w:tcPr>
            <w:tcW w:w="0" w:type="dxa"/>
            <w:vAlign w:val="bottom"/>
          </w:tcPr>
          <w:p>
            <w:pPr>
              <w:spacing w:after="0"/>
              <w:rPr>
                <w:sz w:val="1"/>
                <w:szCs w:val="1"/>
                <w:color w:val="auto"/>
              </w:rPr>
            </w:pPr>
          </w:p>
        </w:tc>
      </w:tr>
      <w:tr>
        <w:trPr>
          <w:trHeight w:val="166"/>
        </w:trPr>
        <w:tc>
          <w:tcPr>
            <w:tcW w:w="3780" w:type="dxa"/>
            <w:vAlign w:val="bottom"/>
            <w:tcBorders>
              <w:bottom w:val="single" w:sz="8" w:color="9A9A9A"/>
            </w:tcBorders>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4"/>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3"/>
          </w:tcPr>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c>
          <w:tcPr>
            <w:tcW w:w="0" w:type="dxa"/>
            <w:vAlign w:val="bottom"/>
          </w:tcPr>
          <w:p>
            <w:pPr>
              <w:spacing w:after="0"/>
              <w:rPr>
                <w:sz w:val="1"/>
                <w:szCs w:val="1"/>
                <w:color w:val="auto"/>
              </w:rPr>
            </w:pPr>
          </w:p>
        </w:tc>
      </w:tr>
      <w:tr>
        <w:trPr>
          <w:trHeight w:val="460"/>
        </w:trPr>
        <w:tc>
          <w:tcPr>
            <w:tcW w:w="7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8"/>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80" w:type="dxa"/>
            <w:vAlign w:val="bottom"/>
            <w:gridSpan w:val="8"/>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7360" w:type="dxa"/>
            <w:vAlign w:val="bottom"/>
            <w:tcBorders>
              <w:bottom w:val="single" w:sz="8" w:color="CFF0FC"/>
            </w:tcBorders>
            <w:gridSpan w:val="2"/>
            <w:vMerge w:val="continue"/>
          </w:tcPr>
          <w:p>
            <w:pPr>
              <w:spacing w:after="0"/>
              <w:rPr>
                <w:sz w:val="13"/>
                <w:szCs w:val="13"/>
                <w:color w:val="auto"/>
              </w:rPr>
            </w:pPr>
          </w:p>
        </w:tc>
        <w:tc>
          <w:tcPr>
            <w:tcW w:w="1780" w:type="dxa"/>
            <w:vAlign w:val="bottom"/>
            <w:tcBorders>
              <w:top w:val="single" w:sz="8" w:color="auto"/>
              <w:bottom w:val="single" w:sz="8" w:color="auto"/>
            </w:tcBorders>
          </w:tcPr>
          <w:p>
            <w:pPr>
              <w:jc w:val="right"/>
              <w:ind w:right="69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7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8"/>
                <w:szCs w:val="18"/>
                <w:color w:val="auto"/>
              </w:rPr>
              <w:t>4.3 years</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68"/>
        </w:trPr>
        <w:tc>
          <w:tcPr>
            <w:tcW w:w="7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At September 30, 2020, our future minimum payments under operating leases were as follows:</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2040" w:type="dxa"/>
            <w:vAlign w:val="bottom"/>
            <w:gridSpan w:val="5"/>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Purchase Commitments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1F282C"/>
        </w:rPr>
        <w:t>In May 2020, we entered into a noncancelable agreement with a computing infrastructure vendor for services through May 2023. At September 30, 2020, the remaining purchase commitment was $14.4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I – Stock-Based Compensation</w:t>
      </w:r>
    </w:p>
    <w:p>
      <w:pPr>
        <w:spacing w:after="0" w:line="121" w:lineRule="exact"/>
        <w:rPr>
          <w:sz w:val="20"/>
          <w:szCs w:val="20"/>
          <w:color w:val="auto"/>
        </w:rPr>
      </w:pPr>
    </w:p>
    <w:p>
      <w:pPr>
        <w:ind w:right="120" w:firstLine="510"/>
        <w:spacing w:after="0" w:line="289" w:lineRule="auto"/>
        <w:rPr>
          <w:sz w:val="20"/>
          <w:szCs w:val="20"/>
          <w:color w:val="auto"/>
        </w:rPr>
      </w:pPr>
      <w:r>
        <w:rPr>
          <w:rFonts w:ascii="Times New Roman" w:cs="Times New Roman" w:eastAsia="Times New Roman" w:hAnsi="Times New Roman"/>
          <w:sz w:val="17"/>
          <w:szCs w:val="17"/>
          <w:color w:val="auto"/>
        </w:rPr>
        <w:t>Our equity compensation plans provide for the grant of incentive and nonqualified stock options, as well as other stock-based awards including performance share units (“PSU”), restricted stock awards (“RSA”), restricted stock units (“RSU”), and deferred stock units (“DSU”), to employees, non-employee directors and other consultants who provide services to us. We also provide an employee stock purchase plan (“ESPP”) and 401(k) stock match.</w:t>
      </w:r>
    </w:p>
    <w:p>
      <w:pPr>
        <w:spacing w:after="0" w:line="158" w:lineRule="exact"/>
        <w:rPr>
          <w:sz w:val="20"/>
          <w:szCs w:val="20"/>
          <w:color w:val="auto"/>
        </w:rPr>
      </w:pPr>
    </w:p>
    <w:p>
      <w:pPr>
        <w:ind w:right="40" w:firstLine="510"/>
        <w:spacing w:after="0" w:line="289" w:lineRule="auto"/>
        <w:rPr>
          <w:sz w:val="20"/>
          <w:szCs w:val="20"/>
          <w:color w:val="auto"/>
        </w:rPr>
      </w:pPr>
      <w:r>
        <w:rPr>
          <w:rFonts w:ascii="Times New Roman" w:cs="Times New Roman" w:eastAsia="Times New Roman" w:hAnsi="Times New Roman"/>
          <w:sz w:val="17"/>
          <w:szCs w:val="17"/>
          <w:color w:val="auto"/>
        </w:rPr>
        <w:t>RSAs result in the issuance of new shares when granted. For other stock-based awards, new shares are issued when the award is exercised, vested or released according to the terms of the agreement. In February 2020, 2.1 million additional shares were reserved for future issuance under our 2010 Equity Incentive Plan. At September 30, 2020, there were approximately 13.9 million shares available for grant under approved equity compensation plans.</w:t>
      </w:r>
    </w:p>
    <w:p>
      <w:pPr>
        <w:spacing w:after="0" w:line="15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generally recognize stock-based compensation expense on a straight-line basis over the vesting period. Exceptions include when retirement-eligible employees have not given their required notice, in which case expense is recognized on a continuous pro-rata basis relative to the time period until notice is given, and for PSUs, in which case expense is recognized on a straight-line basis from the grant date through the end of the performance period, regardless of whether the market condition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in the condensed consolidated statements of comprehensive income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5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4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5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plan type was as follows:</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40" w:type="dxa"/>
            <w:vAlign w:val="bottom"/>
            <w:tcBorders>
              <w:bottom w:val="single" w:sz="8" w:color="CFF0FC"/>
            </w:tcBorders>
            <w:vMerge w:val="continue"/>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RSAs and DSUs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401(k) stock match</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2020, there was $26.5 million of unrecognized stock-based compensation expense under our equity compensation plans, which is expected to be recognized over a weighted average period of 2.6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Stock Options</w:t>
      </w:r>
    </w:p>
    <w:p>
      <w:pPr>
        <w:spacing w:after="0" w:line="12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four years and have a contractual term of seven to ten years from the date of grant. Our stock option activity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4560" w:type="dxa"/>
            <w:vAlign w:val="bottom"/>
            <w:tcBorders>
              <w:bottom w:val="single" w:sz="8" w:color="auto"/>
            </w:tcBorders>
            <w:gridSpan w:val="5"/>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r>
      <w:tr>
        <w:trPr>
          <w:trHeight w:val="144"/>
        </w:trPr>
        <w:tc>
          <w:tcPr>
            <w:tcW w:w="6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Pr>
          <w:p>
            <w:pPr>
              <w:jc w:val="right"/>
              <w:ind w:right="515"/>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6680" w:type="dxa"/>
            <w:vAlign w:val="bottom"/>
          </w:tcPr>
          <w:p>
            <w:pPr>
              <w:spacing w:after="0"/>
              <w:rPr>
                <w:sz w:val="15"/>
                <w:szCs w:val="15"/>
                <w:color w:val="auto"/>
              </w:rPr>
            </w:pPr>
          </w:p>
        </w:tc>
        <w:tc>
          <w:tcPr>
            <w:tcW w:w="22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1,543,912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58.88</w:t>
            </w: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(558,954)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25.30</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44.87</w:t>
            </w: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end of period</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1,103,438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40" w:type="dxa"/>
            <w:vAlign w:val="bottom"/>
            <w:tcBorders>
              <w:top w:val="single" w:sz="8" w:color="CFF0FC"/>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35.64</w:t>
            </w:r>
          </w:p>
        </w:tc>
      </w:tr>
      <w:tr>
        <w:trPr>
          <w:trHeight w:val="20"/>
        </w:trPr>
        <w:tc>
          <w:tcPr>
            <w:tcW w:w="66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Of the total outstanding options at September 30, 2020, 0.8 million were exercisable. The outstanding and exercisable options had a weighted average exercise price of $31.40 per share and a weighted average remaining contractual life of 3.2 years.</w:t>
      </w:r>
    </w:p>
    <w:p>
      <w:pPr>
        <w:spacing w:after="0" w:line="162"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first nine months of 2020 was $16.13 per share. This was estimated on the date of grant using the Black-Scholes option 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expected volatility of the options is based on the historical volatility of our common stock. We have not issued dividends on our common stock and do not expect to do so in the foreseeable future. Beginning with awards granted in 2020, the expected term of options is derived from historical data on employee exercises and post-vesting employment termination behavior. For awards granted prior to 2020, the expected term of the options was based on the simplified method which did not consider historical employee exercise behavior. The risk-free interest rate is based on the U.S. Treasury rates at the date of grant with maturity dates approximately equal to the expected life at the 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Performance Share Units, Restricted Stock Units and Awards, and Deferred Stock Units</w:t>
      </w:r>
    </w:p>
    <w:p>
      <w:pPr>
        <w:spacing w:after="0" w:line="12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In February 2017, our executive officers were granted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w:t>
      </w:r>
    </w:p>
    <w:p>
      <w:pPr>
        <w:spacing w:after="0" w:line="176"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February 2018, 2019, and 2020, our executive officers were granted PSU awards with vesting contingent on our total shareholder return as compared to indexed total shareholder return over the course of a fiscal based three-year performance period, starting in the fiscal year of grant. The grant date fair value was estimated using a Monte Carlo simulation that utilizes multiple input variables that determine the probability of satisfying the performance conditions stipulated in the award and calculates the fair market value for the PSUs granted.</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RSUs generally vest over four years and, upon vesting, the holder is entitled to receive shares of our common stock.</w:t>
      </w:r>
    </w:p>
    <w:p>
      <w:pPr>
        <w:spacing w:after="0" w:line="225" w:lineRule="exact"/>
        <w:rPr>
          <w:sz w:val="20"/>
          <w:szCs w:val="20"/>
          <w:color w:val="auto"/>
        </w:rPr>
      </w:pPr>
    </w:p>
    <w:p>
      <w:pPr>
        <w:jc w:val="both"/>
        <w:ind w:right="60" w:firstLine="510"/>
        <w:spacing w:after="0" w:line="312" w:lineRule="auto"/>
        <w:rPr>
          <w:sz w:val="20"/>
          <w:szCs w:val="20"/>
          <w:color w:val="auto"/>
        </w:rPr>
      </w:pPr>
      <w:r>
        <w:rPr>
          <w:rFonts w:ascii="Times New Roman" w:cs="Times New Roman" w:eastAsia="Times New Roman" w:hAnsi="Times New Roman"/>
          <w:sz w:val="17"/>
          <w:szCs w:val="17"/>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the Company.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for our PSU, RSU, RSA, and DSU was as follows:</w:t>
      </w:r>
    </w:p>
    <w:p>
      <w:pPr>
        <w:spacing w:after="0" w:line="31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6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right"/>
              <w:ind w:right="315"/>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7940" w:type="dxa"/>
            <w:vAlign w:val="bottom"/>
            <w:gridSpan w:val="2"/>
          </w:tcPr>
          <w:p>
            <w:pPr>
              <w:ind w:left="76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1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38.80</w:t>
            </w:r>
          </w:p>
        </w:tc>
      </w:tr>
      <w:tr>
        <w:trPr>
          <w:trHeight w:val="229"/>
        </w:trPr>
        <w:tc>
          <w:tcPr>
            <w:tcW w:w="7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61.12</w:t>
            </w:r>
          </w:p>
        </w:tc>
      </w:tr>
      <w:tr>
        <w:trPr>
          <w:trHeight w:val="230"/>
        </w:trPr>
        <w:tc>
          <w:tcPr>
            <w:tcW w:w="79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(205,050)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34.97</w:t>
            </w:r>
          </w:p>
        </w:tc>
      </w:tr>
      <w:tr>
        <w:trPr>
          <w:trHeight w:val="229"/>
        </w:trPr>
        <w:tc>
          <w:tcPr>
            <w:tcW w:w="7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29.69</w:t>
            </w: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end of period</w:t>
            </w:r>
          </w:p>
        </w:tc>
        <w:tc>
          <w:tcPr>
            <w:tcW w:w="12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746,575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51.27</w:t>
            </w:r>
          </w:p>
        </w:tc>
      </w:tr>
      <w:tr>
        <w:trPr>
          <w:trHeight w:val="20"/>
        </w:trPr>
        <w:tc>
          <w:tcPr>
            <w:tcW w:w="6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Employee Stock Purchase Plan</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have an ESPP which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common stock at the beginning or end of each stock purchase period. The plan consists of two six-month offering periods, beginning on January 1 and July 1 of each calendar year, respectively. A total of 1.9 million shares of common stock are reserved for issuance under the plan as of September 30, 2020.</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ESPP activity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060" w:type="dxa"/>
            <w:vAlign w:val="bottom"/>
            <w:gridSpan w:val="4"/>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4"/>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vMerge w:val="continue"/>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for shares purchased</w:t>
            </w:r>
          </w:p>
        </w:tc>
        <w:tc>
          <w:tcPr>
            <w:tcW w:w="700" w:type="dxa"/>
            <w:vAlign w:val="bottom"/>
            <w:shd w:val="clear" w:color="auto" w:fill="CFF0FC"/>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700" w:type="dxa"/>
            <w:vAlign w:val="bottom"/>
          </w:tcPr>
          <w:p>
            <w:pPr>
              <w:spacing w:after="0"/>
              <w:rPr>
                <w:sz w:val="20"/>
                <w:szCs w:val="20"/>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93"/>
              </w:rPr>
              <w:t>2,010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35,093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32,992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0574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fair value was estimated based on the market price of our common stock at the beginning of the offering period using the 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401(k) Stock Match</w:t>
      </w:r>
    </w:p>
    <w:p>
      <w:pPr>
        <w:spacing w:after="0" w:line="121"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We sponsor a 401(k) retirement savings plan for our U.S. employees where participants can contribute up to 80% of their compensation, subject to the limits established by law. We match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J – Income Taxes</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2020, we do not have any unrecognized tax benefits nor any material accrued interest or tax penalties.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K – Net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net income per share has been computed using the weighted average number of shares of common stock outstanding during each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per share also includes the impact of our outstanding potential common shares, including options, PSUs, RSUs, RSAs, and DSUs.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common shares that are anti-dilutive are excluded from the calculation of diluted net income per share.</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computation of basic and diluted net income per share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PSUs, RSUs, RSAs, and DSUs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20"/>
                <w:szCs w:val="20"/>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0574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50" w:lineRule="exact"/>
        <w:rPr>
          <w:sz w:val="20"/>
          <w:szCs w:val="20"/>
          <w:color w:val="auto"/>
        </w:rPr>
      </w:pPr>
    </w:p>
    <w:p>
      <w:pPr>
        <w:jc w:val="both"/>
        <w:ind w:right="20" w:firstLine="51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effect of the outstanding potential common shares that were excluded from the calculation of diluted net income per share as they were anti-dilutive: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Borders>
              <w:bottom w:val="single" w:sz="8" w:color="auto"/>
            </w:tcBorders>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Borders>
              <w:bottom w:val="single" w:sz="8" w:color="auto"/>
            </w:tcBorders>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L – Geographic Information</w:t>
      </w:r>
    </w:p>
    <w:p>
      <w:pPr>
        <w:spacing w:after="0" w:line="135"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85% of our revenue was attributable to customers based within the United States. No single jurisdiction outside of the U.S. had revenues in excess of 10%.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2020 and 2019, 9% of property and equipment, net was located at subsidiary and office locations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0574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2.</w:t>
      </w:r>
      <w:r>
        <w:rPr>
          <w:sz w:val="20"/>
          <w:szCs w:val="20"/>
          <w:color w:val="auto"/>
        </w:rPr>
        <w:tab/>
      </w:r>
      <w:r>
        <w:rPr>
          <w:rFonts w:ascii="Times New Roman" w:cs="Times New Roman" w:eastAsia="Times New Roman" w:hAnsi="Times New Roman"/>
          <w:sz w:val="17"/>
          <w:szCs w:val="17"/>
          <w:b w:val="1"/>
          <w:bCs w:val="1"/>
          <w:color w:val="00AAE5"/>
        </w:rPr>
        <w:t>Management’s Discussion and Analysis of Financial Condition and Results of Operations</w:t>
      </w:r>
    </w:p>
    <w:p>
      <w:pPr>
        <w:spacing w:after="0" w:line="11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2019, as may be updated in our subsequent Quarterly Reports on Form 10-Q from time to time, including the updates in this Quarterly Report on Form 10-Q.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Overview</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80"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0"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our revenues were $79.6 million, an increase of 12% from the comparable period in 2019, and represented our 79th consecutive quarter of increased revenues. Total operating expenses increased 10% for the same period in 2020 from 2019. For the nine months ended September 30, 2020, revenues increased 11% and operating expenses increased 9% compared to the same period in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Impact of COVID-19</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Although the global emergence of COVID-19 did not have a material adverse effect on our business, operating results, and overall financial performance for the nine months ended September 30, 2020, the future impact remains uncertain and depends on several factors, including, but not limited to, the pandemic’s duration and continued spread, impact on our customers, impact on our partners or employees, and impact on the economic environment and financial markets, all of which are uncertain and cannot be predicted. We will continue to actively monitor the situation and may take further actions that alter our business operations, as may be required by federal, state, or local authorities, or that we determine are in the best interests of our employees, customers, partners, and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Key Financial Terms and Metrics</w:t>
      </w:r>
    </w:p>
    <w:p>
      <w:pPr>
        <w:spacing w:after="0" w:line="12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have several key financial terms and metrics, including annualized average recurring revenues per recurring revenue customer. During the three and nine months ended September 30, 2020, there were no changes in the definitions of our key financial terms and metrics, which are discussed in more detail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our Annual Report on Form 10-K for the year ended December 31, 2019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20</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8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Critical Accounting Policies and Estimates</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business combinations are the most critical to fully understand and evaluate our financial condition and results of operations.</w:t>
      </w:r>
    </w:p>
    <w:p>
      <w:pPr>
        <w:spacing w:after="0" w:line="180"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there were no changes in our critical accounting policies or estimates. See Note A to our condensed consolidated financial statements included in this Quarterly Report on Form 10-Q and in our Annual Report on Form 10-K for the year ended December 31, 2019, as filed with the SEC, for additional information regarding our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ind w:left="1028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Three Months Ended September 30, 2020 Compared to Three Months Ended September 30, 2019</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680" w:type="dxa"/>
            <w:vAlign w:val="bottom"/>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70,928</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7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1F282C"/>
        </w:rPr>
        <w:t>Revenues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The increase in revenues resulted from two primary factors: the increase in recurring revenue customers and an increase in annualized</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average recurring revenues per recurring revenue customer, which we also refer to as wallet share.</w:t>
      </w:r>
    </w:p>
    <w:p>
      <w:pPr>
        <w:spacing w:after="0" w:line="51"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5% to 32,025 at September 30, 2020 from 30,551 at September 30, 2019.</w:t>
      </w:r>
    </w:p>
    <w:p>
      <w:pPr>
        <w:spacing w:after="0" w:line="117"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Wallet share increased 8% to $9,473 for the three months ended September 30, 2020 from $8,793 for the same period in 2019. The increase was primarily attributable to increased usage of our solutions by our recurring revenue customers.</w:t>
      </w:r>
    </w:p>
    <w:p>
      <w:pPr>
        <w:spacing w:after="0" w:line="16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Recurring revenues from recurring revenue customers accounted for 95% and 94% of our total revenues for the three months ended September 30, 2020 and 2019, respectively. We anticipate that the number of recurring revenue customers and wallet share will increase as we increase the number of solutions we offer and increase the penetration of those solutions across our customer base.</w:t>
      </w:r>
    </w:p>
    <w:p>
      <w:pPr>
        <w:spacing w:after="0" w:line="172"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7"/>
          <w:szCs w:val="17"/>
          <w:b w:val="1"/>
          <w:bCs w:val="1"/>
          <w:i w:val="1"/>
          <w:iCs w:val="1"/>
          <w:color w:val="1F282C"/>
        </w:rPr>
        <w:t xml:space="preserve">Cost of Revenues. </w:t>
      </w:r>
      <w:r>
        <w:rPr>
          <w:rFonts w:ascii="Times New Roman" w:cs="Times New Roman" w:eastAsia="Times New Roman" w:hAnsi="Times New Roman"/>
          <w:sz w:val="17"/>
          <w:szCs w:val="17"/>
          <w:color w:val="000000"/>
        </w:rPr>
        <w:t>The increase in cost of revenues for the three months ended September 30, 2020 was primarily due to increased headcount which</w:t>
      </w:r>
      <w:r>
        <w:rPr>
          <w:rFonts w:ascii="Times New Roman" w:cs="Times New Roman" w:eastAsia="Times New Roman" w:hAnsi="Times New Roman"/>
          <w:sz w:val="17"/>
          <w:szCs w:val="17"/>
          <w:b w:val="1"/>
          <w:bCs w:val="1"/>
          <w:i w:val="1"/>
          <w:iCs w:val="1"/>
          <w:color w:val="1F282C"/>
        </w:rPr>
        <w:t xml:space="preserve"> </w:t>
      </w:r>
      <w:r>
        <w:rPr>
          <w:rFonts w:ascii="Times New Roman" w:cs="Times New Roman" w:eastAsia="Times New Roman" w:hAnsi="Times New Roman"/>
          <w:sz w:val="17"/>
          <w:szCs w:val="17"/>
          <w:color w:val="000000"/>
        </w:rPr>
        <w:t>resulted in an increase of $1.4 million in personnel-related costs, driven by increased salaries and benefits and increased contract labor and an increase of $0.2 million in stock-based compensation expense. Additionally, a $0.4 million increase in depreciation expense pertaining to continued investment in infrastructure to support our platform contributed to the increase in cost of revenue, partially offset by a $0.3 million decrease in network costs.</w:t>
      </w:r>
    </w:p>
    <w:p>
      <w:pPr>
        <w:spacing w:after="0" w:line="161"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Sales and Marketing Expenses. </w:t>
      </w:r>
      <w:r>
        <w:rPr>
          <w:rFonts w:ascii="Times New Roman" w:cs="Times New Roman" w:eastAsia="Times New Roman" w:hAnsi="Times New Roman"/>
          <w:sz w:val="18"/>
          <w:szCs w:val="18"/>
          <w:color w:val="000000"/>
        </w:rPr>
        <w:t>The increase in sales and marketing expense for the three months ended September 30, 2020 was primarily due to</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an increase of $0.9 million in variable compensation earned by sales personnel and referral partners. Additionally, increased headcount led to increased personnel-related costs of $0.5 million, primarily driven by increased salaries and benefits, and increases of $0.4 million in promotional expenses and $0.3 million in stock-based compensation expense.</w:t>
      </w:r>
    </w:p>
    <w:p>
      <w:pPr>
        <w:spacing w:after="0" w:line="176" w:lineRule="exact"/>
        <w:rPr>
          <w:sz w:val="20"/>
          <w:szCs w:val="20"/>
          <w:color w:val="auto"/>
        </w:rPr>
      </w:pPr>
    </w:p>
    <w:p>
      <w:pPr>
        <w:ind w:right="4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1F282C"/>
        </w:rPr>
        <w:t>Research and Development Expenses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The increase in research and development expense for the three months ended September 30, 2020 was</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primarily due to an increase in stock-based compensation expense of $0.3 million.</w:t>
      </w:r>
    </w:p>
    <w:p>
      <w:pPr>
        <w:spacing w:after="0" w:line="155" w:lineRule="exact"/>
        <w:rPr>
          <w:sz w:val="20"/>
          <w:szCs w:val="20"/>
          <w:color w:val="auto"/>
        </w:rPr>
      </w:pPr>
    </w:p>
    <w:p>
      <w:pPr>
        <w:ind w:right="10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General and Administrative Expenses. </w:t>
      </w:r>
      <w:r>
        <w:rPr>
          <w:rFonts w:ascii="Times New Roman" w:cs="Times New Roman" w:eastAsia="Times New Roman" w:hAnsi="Times New Roman"/>
          <w:sz w:val="18"/>
          <w:szCs w:val="18"/>
          <w:color w:val="000000"/>
        </w:rPr>
        <w:t>The increase in general and administrative expense for the three months ended September 30, 2020 was</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driven by an increase in stock-based compensation expense of $0.9 million and an increase of $0.4 million of charitable donations, partially offset by a decrease of $0.5 million in total consulting and contract labor expenses. Additionally, as a result of continued business growth, bad debt expense increased $0.3 million, compared to the same period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0574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Other Income (Expense). </w:t>
      </w:r>
      <w:r>
        <w:rPr>
          <w:rFonts w:ascii="Times New Roman" w:cs="Times New Roman" w:eastAsia="Times New Roman" w:hAnsi="Times New Roman"/>
          <w:sz w:val="18"/>
          <w:szCs w:val="18"/>
          <w:color w:val="1F282C"/>
        </w:rPr>
        <w:t>The decrease in other income (expense)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for the three months ended September 30, 2020</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1F282C"/>
        </w:rPr>
        <w:t>was due primarily to the decrease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1F282C"/>
        </w:rPr>
        <w:t xml:space="preserve">in </w:t>
      </w:r>
      <w:r>
        <w:rPr>
          <w:rFonts w:ascii="Times New Roman" w:cs="Times New Roman" w:eastAsia="Times New Roman" w:hAnsi="Times New Roman"/>
          <w:sz w:val="18"/>
          <w:szCs w:val="18"/>
          <w:color w:val="000000"/>
        </w:rPr>
        <w:t>income from investments.</w:t>
      </w:r>
    </w:p>
    <w:p>
      <w:pPr>
        <w:spacing w:after="0" w:line="155"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Income Tax Expense. </w:t>
      </w:r>
      <w:r>
        <w:rPr>
          <w:rFonts w:ascii="Times New Roman" w:cs="Times New Roman" w:eastAsia="Times New Roman" w:hAnsi="Times New Roman"/>
          <w:sz w:val="18"/>
          <w:szCs w:val="18"/>
          <w:color w:val="000000"/>
        </w:rPr>
        <w:t>The increase in income tax expense for the three months ended September 30, 2020 was primarily due to the increase in pre-tax income and a change in the estimated R&amp;D tax credit in 2020, partially offset by discrete tax benefits. Excess tax benefits generated upon the settlement or exercise of stock awards are recognized as a reduction to income tax expense and, as a result, we expect that our annual effective income tax rate will fluctuate.</w:t>
      </w:r>
    </w:p>
    <w:p>
      <w:pPr>
        <w:spacing w:after="0" w:line="176" w:lineRule="exact"/>
        <w:rPr>
          <w:sz w:val="20"/>
          <w:szCs w:val="20"/>
          <w:color w:val="auto"/>
        </w:rPr>
      </w:pPr>
    </w:p>
    <w:p>
      <w:pPr>
        <w:ind w:right="240" w:firstLine="510"/>
        <w:spacing w:after="0" w:line="257"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Adjusted EBITDA. </w:t>
      </w:r>
      <w:r>
        <w:rPr>
          <w:rFonts w:ascii="Times New Roman" w:cs="Times New Roman" w:eastAsia="Times New Roman" w:hAnsi="Times New Roman"/>
          <w:sz w:val="18"/>
          <w:szCs w:val="18"/>
          <w:color w:val="000000"/>
        </w:rPr>
        <w:t>Adjusted EBITDA, which is a non-GAAP measure of financial performance, consists of net income adjusted for depreciation</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Solutions (“Toolbox”), and impairment of internally developed software. The following table provides a reconciliation of net income to Adjusted EBITDA: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income,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Realized gain from foreign currency on cash and investments held</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Non-GAAP Income per Share. </w:t>
      </w:r>
      <w:r>
        <w:rPr>
          <w:rFonts w:ascii="Times New Roman" w:cs="Times New Roman" w:eastAsia="Times New Roman" w:hAnsi="Times New Roman"/>
          <w:sz w:val="18"/>
          <w:szCs w:val="18"/>
          <w:color w:val="000000"/>
        </w:rPr>
        <w:t>Non-GAAP income per share, which is also a non-GAAP measure of financial performance, consists of net income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non-GAAP income per share: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gain from foreign currency on cash and investments held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2057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ind w:left="1028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Nine Months Ended September 30, 2020 </w:t>
      </w:r>
      <w:r>
        <w:rPr>
          <w:rFonts w:ascii="Times New Roman" w:cs="Times New Roman" w:eastAsia="Times New Roman" w:hAnsi="Times New Roman"/>
          <w:sz w:val="18"/>
          <w:szCs w:val="18"/>
          <w:b w:val="1"/>
          <w:bCs w:val="1"/>
          <w:i w:val="1"/>
          <w:iCs w:val="1"/>
          <w:color w:val="1F282C"/>
        </w:rPr>
        <w:t>Compared to Nine Months Ended September 30, 2019</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7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3"/>
                <w:szCs w:val="13"/>
                <w:color w:val="auto"/>
              </w:rPr>
            </w:pPr>
          </w:p>
        </w:tc>
        <w:tc>
          <w:tcPr>
            <w:tcW w:w="66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229,322</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206,391</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72,915</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68,330</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4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156,407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20,444</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119,806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4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30,269</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4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1F282C"/>
        </w:rPr>
        <w:t>Revenues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The increase in revenues resulted from two primary factors: the increase in recurring revenue customers and an increase in annualized</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average recurring revenues per recurring revenue customer, which we also refer to as wallet share.</w:t>
      </w:r>
    </w:p>
    <w:p>
      <w:pPr>
        <w:spacing w:after="0" w:line="51" w:lineRule="exact"/>
        <w:rPr>
          <w:sz w:val="20"/>
          <w:szCs w:val="20"/>
          <w:color w:val="auto"/>
        </w:rPr>
      </w:pPr>
    </w:p>
    <w:p>
      <w:pPr>
        <w:ind w:left="1000" w:hanging="493"/>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5% to 32,025 at September 30, 2020 from 30,551 at September 30, 2019.</w:t>
      </w:r>
    </w:p>
    <w:p>
      <w:pPr>
        <w:spacing w:after="0" w:line="117" w:lineRule="exact"/>
        <w:rPr>
          <w:rFonts w:ascii="Times New Roman" w:cs="Times New Roman" w:eastAsia="Times New Roman" w:hAnsi="Times New Roman"/>
          <w:sz w:val="18"/>
          <w:szCs w:val="18"/>
          <w:color w:val="auto"/>
        </w:rPr>
      </w:pPr>
    </w:p>
    <w:p>
      <w:pPr>
        <w:ind w:left="1000" w:right="22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Wallet share increased 7% to $9,191 for the nine months ended September 30, 2020 from $8,622 for the same period in 2019. The increase was primarily attributable to increased usage of our solutions by our recurring revenue customers.</w:t>
      </w:r>
    </w:p>
    <w:p>
      <w:pPr>
        <w:spacing w:after="0" w:line="162"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Recurring revenues from recurring revenue customers accounted for 94% of our total revenues for the nine months ended September 30, 2020 and 2019. We anticipate that the number of recurring revenue customers and wallet share will increase as we increase the number of solutions we offer and increase the penetration of those solutions across our customer base.</w:t>
      </w:r>
    </w:p>
    <w:p>
      <w:pPr>
        <w:spacing w:after="0" w:line="172" w:lineRule="exact"/>
        <w:rPr>
          <w:sz w:val="20"/>
          <w:szCs w:val="20"/>
          <w:color w:val="auto"/>
        </w:rPr>
      </w:pPr>
    </w:p>
    <w:p>
      <w:pPr>
        <w:ind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Cost of Revenues. </w:t>
      </w:r>
      <w:r>
        <w:rPr>
          <w:rFonts w:ascii="Times New Roman" w:cs="Times New Roman" w:eastAsia="Times New Roman" w:hAnsi="Times New Roman"/>
          <w:sz w:val="18"/>
          <w:szCs w:val="18"/>
          <w:color w:val="000000"/>
        </w:rPr>
        <w:t>The increase in cost of revenues for the nine months ended September 30, 2020 was primarily due to increased headcount which</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resulted in an increase of $3.0 million in personnel-related costs, driven by increased salaries and benefits and increased contract labor, and increases of $0.7 million in stock-based compensation expense and $0.5 million in software subscriptions. Additionally, a $1.1 million increase in depreciation expense pertaining to continued investment in infrastructure to support our platform contributed to the increase in cost of revenues, partially offset by a $0.7 million decrease in direct network expense.</w:t>
      </w:r>
    </w:p>
    <w:p>
      <w:pPr>
        <w:spacing w:after="0" w:line="179" w:lineRule="exact"/>
        <w:rPr>
          <w:sz w:val="20"/>
          <w:szCs w:val="20"/>
          <w:color w:val="auto"/>
        </w:rPr>
      </w:pPr>
    </w:p>
    <w:p>
      <w:pPr>
        <w:ind w:right="2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Sales and Marketing Expenses. </w:t>
      </w:r>
      <w:r>
        <w:rPr>
          <w:rFonts w:ascii="Times New Roman" w:cs="Times New Roman" w:eastAsia="Times New Roman" w:hAnsi="Times New Roman"/>
          <w:sz w:val="18"/>
          <w:szCs w:val="18"/>
          <w:color w:val="000000"/>
        </w:rPr>
        <w:t>The increase in sales and marketing expense for the nine months ended September 30, 2020 was primarily due to</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increased headcount which resulted in an increase of $1.8 million in personnel-related costs, driven by increased salaries and benefits, and increases of $0.7 million in stock-based compensation expense, $0.3 million in variable compensation earned by sales personnel and referral partners, $0.4 million in promotional expense, and $0.3 million in software subscriptions.</w:t>
      </w:r>
    </w:p>
    <w:p>
      <w:pPr>
        <w:spacing w:after="0" w:line="176"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1F282C"/>
        </w:rPr>
        <w:t>Research and Development Expenses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The increase in research and development expense for the nine months ended September 30, 2020 was</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primarily due to increased headcount which resulted in an increase in personnel costs of $0.9 million and increases in stock-based compensation expense of $1.0 million, occupancy expense of $0.4 million, and depreciation expense of $0.2 million.</w:t>
      </w:r>
    </w:p>
    <w:p>
      <w:pPr>
        <w:spacing w:after="0" w:line="171" w:lineRule="exact"/>
        <w:rPr>
          <w:sz w:val="20"/>
          <w:szCs w:val="20"/>
          <w:color w:val="auto"/>
        </w:rPr>
      </w:pPr>
    </w:p>
    <w:p>
      <w:pPr>
        <w:ind w:right="120" w:firstLine="510"/>
        <w:spacing w:after="0" w:line="291" w:lineRule="auto"/>
        <w:rPr>
          <w:sz w:val="20"/>
          <w:szCs w:val="20"/>
          <w:color w:val="auto"/>
        </w:rPr>
      </w:pPr>
      <w:r>
        <w:rPr>
          <w:rFonts w:ascii="Times New Roman" w:cs="Times New Roman" w:eastAsia="Times New Roman" w:hAnsi="Times New Roman"/>
          <w:sz w:val="17"/>
          <w:szCs w:val="17"/>
          <w:b w:val="1"/>
          <w:bCs w:val="1"/>
          <w:i w:val="1"/>
          <w:iCs w:val="1"/>
          <w:color w:val="1F282C"/>
        </w:rPr>
        <w:t xml:space="preserve">General and Administrative Expenses. </w:t>
      </w:r>
      <w:r>
        <w:rPr>
          <w:rFonts w:ascii="Times New Roman" w:cs="Times New Roman" w:eastAsia="Times New Roman" w:hAnsi="Times New Roman"/>
          <w:sz w:val="17"/>
          <w:szCs w:val="17"/>
          <w:color w:val="000000"/>
        </w:rPr>
        <w:t>The increase in general and administrative expense for the nine months ended September 30, 2020 was</w:t>
      </w:r>
      <w:r>
        <w:rPr>
          <w:rFonts w:ascii="Times New Roman" w:cs="Times New Roman" w:eastAsia="Times New Roman" w:hAnsi="Times New Roman"/>
          <w:sz w:val="17"/>
          <w:szCs w:val="17"/>
          <w:b w:val="1"/>
          <w:bCs w:val="1"/>
          <w:i w:val="1"/>
          <w:iCs w:val="1"/>
          <w:color w:val="1F282C"/>
        </w:rPr>
        <w:t xml:space="preserve"> </w:t>
      </w:r>
      <w:r>
        <w:rPr>
          <w:rFonts w:ascii="Times New Roman" w:cs="Times New Roman" w:eastAsia="Times New Roman" w:hAnsi="Times New Roman"/>
          <w:sz w:val="17"/>
          <w:szCs w:val="17"/>
          <w:color w:val="000000"/>
        </w:rPr>
        <w:t>driven by an increase of $1.8 million in bad debt expense due to continued business growth. Additionally, increases of $1.0 million in charitable donations and $0.5 in stock-based compensation expenses led to the overall increase, partially offset by a decrease of $0.5 million in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2057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Other Income (Expense). </w:t>
      </w:r>
      <w:r>
        <w:rPr>
          <w:rFonts w:ascii="Times New Roman" w:cs="Times New Roman" w:eastAsia="Times New Roman" w:hAnsi="Times New Roman"/>
          <w:sz w:val="18"/>
          <w:szCs w:val="18"/>
          <w:color w:val="000000"/>
        </w:rPr>
        <w:t>The decrease in</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1F282C"/>
        </w:rPr>
        <w:t>other income (expense)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for the nine months ended September 30, 2020 was due primarily to the decrease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in investment income.</w:t>
      </w:r>
    </w:p>
    <w:p>
      <w:pPr>
        <w:spacing w:after="0" w:line="155" w:lineRule="exact"/>
        <w:rPr>
          <w:sz w:val="20"/>
          <w:szCs w:val="20"/>
          <w:color w:val="auto"/>
        </w:rPr>
      </w:pPr>
    </w:p>
    <w:p>
      <w:pPr>
        <w:ind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Income Tax Expense. </w:t>
      </w:r>
      <w:r>
        <w:rPr>
          <w:rFonts w:ascii="Times New Roman" w:cs="Times New Roman" w:eastAsia="Times New Roman" w:hAnsi="Times New Roman"/>
          <w:sz w:val="18"/>
          <w:szCs w:val="18"/>
          <w:color w:val="000000"/>
        </w:rPr>
        <w:t>The relatively consistent income tax expense for the nine months ended September 30, 2020 was due to the increase in pre-tax income and a change in the estimated R&amp;D tax credit in 2020, partially offset by discrete tax benefits. Excess tax benefits generated upon the settlement or exercise of stock awards are recognized as a reduction to income tax expense and, as a result, we expect that our annual effective income tax rate will fluctuate.</w:t>
      </w:r>
    </w:p>
    <w:p>
      <w:pPr>
        <w:spacing w:after="0" w:line="176" w:lineRule="exact"/>
        <w:rPr>
          <w:sz w:val="20"/>
          <w:szCs w:val="20"/>
          <w:color w:val="auto"/>
        </w:rPr>
      </w:pPr>
    </w:p>
    <w:p>
      <w:pPr>
        <w:ind w:right="240" w:firstLine="510"/>
        <w:spacing w:after="0" w:line="257"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Adjusted EBITDA. </w:t>
      </w:r>
      <w:r>
        <w:rPr>
          <w:rFonts w:ascii="Times New Roman" w:cs="Times New Roman" w:eastAsia="Times New Roman" w:hAnsi="Times New Roman"/>
          <w:sz w:val="18"/>
          <w:szCs w:val="18"/>
          <w:color w:val="000000"/>
        </w:rPr>
        <w:t>Adjusted EBITDA, which is a non-GAAP measure of financial performance, consists of net income adjusted for depreciation</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and amortization, investment income (interest income/expense, realized investments gain/loss excluding realized gain/loss from foreign currency on investments), income tax expense, stock-based compensation expense, realized gain/loss from foreign currency on cash and investments held, and other adjustments as necessary for a fair presentation.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Adjusted EBITDA: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7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income, net</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Realized gain from foreign currency on cash and investments held</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Borders>
              <w:top w:val="single" w:sz="8" w:color="auto"/>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b w:val="1"/>
          <w:bCs w:val="1"/>
          <w:i w:val="1"/>
          <w:iCs w:val="1"/>
          <w:color w:val="1F282C"/>
        </w:rPr>
        <w:t xml:space="preserve">Non-GAAP Income per Share. </w:t>
      </w:r>
      <w:r>
        <w:rPr>
          <w:rFonts w:ascii="Times New Roman" w:cs="Times New Roman" w:eastAsia="Times New Roman" w:hAnsi="Times New Roman"/>
          <w:sz w:val="18"/>
          <w:szCs w:val="18"/>
          <w:color w:val="000000"/>
        </w:rPr>
        <w:t>Non-GAAP income per share, which is also a non-GAAP measure of financial performance, consists of net income</w:t>
      </w:r>
      <w:r>
        <w:rPr>
          <w:rFonts w:ascii="Times New Roman" w:cs="Times New Roman" w:eastAsia="Times New Roman" w:hAnsi="Times New Roman"/>
          <w:sz w:val="18"/>
          <w:szCs w:val="18"/>
          <w:b w:val="1"/>
          <w:bCs w:val="1"/>
          <w:i w:val="1"/>
          <w:iCs w:val="1"/>
          <w:color w:val="1F282C"/>
        </w:rPr>
        <w:t xml:space="preserve"> </w:t>
      </w:r>
      <w:r>
        <w:rPr>
          <w:rFonts w:ascii="Times New Roman" w:cs="Times New Roman" w:eastAsia="Times New Roman" w:hAnsi="Times New Roman"/>
          <w:sz w:val="18"/>
          <w:szCs w:val="18"/>
          <w:color w:val="000000"/>
        </w:rPr>
        <w:t>plus stock-based compensation expense, amortization expense related to intangible assets, realized gain/loss from foreign currency on cash and investments held,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in 2019 related to the acquisition of ToolBox, and impairment of internally developed software. The following table provides a reconciliation of net income to non-GAAP income per share: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gain from foreign currency on cash and investments held</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9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960" w:type="dxa"/>
            <w:vAlign w:val="bottom"/>
            <w:tcBorders>
              <w:top w:val="single" w:sz="8" w:color="auto"/>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9"/>
                <w:szCs w:val="19"/>
                <w:color w:val="auto"/>
              </w:rPr>
            </w:pPr>
          </w:p>
        </w:tc>
        <w:tc>
          <w:tcPr>
            <w:tcW w:w="6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Liquidity and Capital Resources</w:t>
      </w:r>
    </w:p>
    <w:p>
      <w:pPr>
        <w:spacing w:after="0" w:line="12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At September 30, 2020, our principal sources of liquidity were cash, cash equivalents, certificates of deposit, and short-term investments of $261.2 million and accounts receivable, net of provision for credit losses of $30.3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summarizes the activity within the condensed consolidated statements of cash flows: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(31,975)</w:t>
            </w:r>
          </w:p>
        </w:tc>
        <w:tc>
          <w:tcPr>
            <w:tcW w:w="5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(26,629)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(3,850)</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(8,538)</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Net Cash Flows from Operating Activities</w:t>
      </w:r>
    </w:p>
    <w:p>
      <w:pPr>
        <w:spacing w:after="0" w:line="121"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The increase in operating cash flows was primarily driven by continued business growth, which resulted in increased net income and decreased deferred tax assets, as well as increased depreciation, provisions for credit losses, and stock-based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Net Cash Flows used in Investing Activities</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investing activities was primarily due to an increase of net purchases of investments, partially offset by cash used for an acquisition in 2019. Additionally, the increase was due to increased capital expenditures, based on our business growth and continued investment in our technology.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Net Cash Flows used in Financing Activities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decrease in net cash used in financing activities was primarily due to the increase in net proceeds from stock option exercises, partially offset by increases in cash used for share repurchases and an earn-out payment.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Effect of Foreign Currency Exchange Rate Changes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results of operations and cash flows were not materially affected by fluctuations in foreign currency exchange rates. We maintain 4% of our total cash and cash equivalents outside of the U.S. in foreign currencies, primarily in Australian and Canadian dollars. We believe that a significant change in foreign currency exchange rates or an inability to access these funds would not materially affect our ability to meet our operational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Adequacy of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and implement new solutions and applications, if any;</w:t>
      </w:r>
    </w:p>
    <w:p>
      <w:pPr>
        <w:spacing w:after="0" w:line="117"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needed to further penetrate our market and gain acceptance of new solutions and applications that we may develop;</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 the United States and internationally;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of competitors to our solutions and applications;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capital for acquisitions, if any.</w:t>
      </w:r>
    </w:p>
    <w:p>
      <w:pPr>
        <w:spacing w:after="0" w:line="225"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62"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Inflation and changing prices did not have a material effect on our business during the nine months ended September 30, 2020 and we do not expect that inflation or changing prices will materially affect our business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Off-Balance Sheet Arrangements</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Contractual and Commercial Commitment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September 30, 2020 are summarized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15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15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0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5"/>
                <w:szCs w:val="15"/>
                <w:color w:val="auto"/>
              </w:rPr>
            </w:pPr>
          </w:p>
        </w:tc>
        <w:tc>
          <w:tcPr>
            <w:tcW w:w="860" w:type="dxa"/>
            <w:vAlign w:val="bottom"/>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5 Years</w:t>
            </w:r>
          </w:p>
        </w:tc>
        <w:tc>
          <w:tcPr>
            <w:tcW w:w="220" w:type="dxa"/>
            <w:vAlign w:val="bottom"/>
          </w:tcPr>
          <w:p>
            <w:pPr>
              <w:spacing w:after="0"/>
              <w:rPr>
                <w:sz w:val="15"/>
                <w:szCs w:val="15"/>
                <w:color w:val="auto"/>
              </w:rPr>
            </w:pPr>
          </w:p>
        </w:tc>
        <w:tc>
          <w:tcPr>
            <w:tcW w:w="92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7"/>
        </w:trPr>
        <w:tc>
          <w:tcPr>
            <w:tcW w:w="52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including imputed interest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commitment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2057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3.</w:t>
      </w:r>
      <w:r>
        <w:rPr>
          <w:sz w:val="20"/>
          <w:szCs w:val="20"/>
          <w:color w:val="auto"/>
        </w:rPr>
        <w:tab/>
      </w:r>
      <w:r>
        <w:rPr>
          <w:rFonts w:ascii="Times New Roman" w:cs="Times New Roman" w:eastAsia="Times New Roman" w:hAnsi="Times New Roman"/>
          <w:sz w:val="17"/>
          <w:szCs w:val="17"/>
          <w:b w:val="1"/>
          <w:bCs w:val="1"/>
          <w:color w:val="00AAE5"/>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Interest Rate Sensitivity Risk</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outstanding debt as of September 30, 2020. Therefore, we do not have any material risk to interest rate fluctuations.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Foreign Currency Exchange Risk</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have revenue, expenses, assets and liabilities that are denominated in currencies other than the U.S. dollar, primarily the Australian dollar and Canadian dollar. As of September 30, 2020, we maintained 4% of our total cash and cash equivalents outside of the U.S. in foreign currencies. We believe that a hypothetical 10% change in foreign currency exchange rates or an inability to access foreign funds would not materially affect our ability to meet our operational needs or result in a material foreign currency loss.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4.</w:t>
      </w:r>
      <w:r>
        <w:rPr>
          <w:sz w:val="20"/>
          <w:szCs w:val="20"/>
          <w:color w:val="auto"/>
        </w:rPr>
        <w:tab/>
      </w:r>
      <w:r>
        <w:rPr>
          <w:rFonts w:ascii="Times New Roman" w:cs="Times New Roman" w:eastAsia="Times New Roman" w:hAnsi="Times New Roman"/>
          <w:sz w:val="17"/>
          <w:szCs w:val="17"/>
          <w:b w:val="1"/>
          <w:bCs w:val="1"/>
          <w:color w:val="00AAE5"/>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Evaluation of Disclosure Controls and Procedures</w:t>
      </w:r>
    </w:p>
    <w:p>
      <w:pPr>
        <w:spacing w:after="0" w:line="121" w:lineRule="exact"/>
        <w:rPr>
          <w:sz w:val="20"/>
          <w:szCs w:val="20"/>
          <w:color w:val="auto"/>
        </w:rPr>
      </w:pPr>
    </w:p>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Changes in Internal Control over Financial Reporting</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management’s assessment of internal control over financial reporting excluded the internal control of the MAPADOC business, an operating unit of SWK Technologies, Inc., which was acquired on August 26, 2019. Our assessment of the effectiveness of internal control over financial reporting as of September 30, 2020 included MAPADOC.</w:t>
      </w:r>
    </w:p>
    <w:p>
      <w:pPr>
        <w:spacing w:after="0" w:line="176"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the quarter ended September 30, 2020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1.</w:t>
      </w:r>
      <w:r>
        <w:rPr>
          <w:sz w:val="20"/>
          <w:szCs w:val="20"/>
          <w:color w:val="auto"/>
        </w:rPr>
        <w:tab/>
      </w:r>
      <w:r>
        <w:rPr>
          <w:rFonts w:ascii="Times New Roman" w:cs="Times New Roman" w:eastAsia="Times New Roman" w:hAnsi="Times New Roman"/>
          <w:sz w:val="17"/>
          <w:szCs w:val="17"/>
          <w:b w:val="1"/>
          <w:bCs w:val="1"/>
          <w:color w:val="00AAE5"/>
        </w:rPr>
        <w:t>Legal Proceedings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8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1A.</w:t>
      </w:r>
      <w:r>
        <w:rPr>
          <w:sz w:val="20"/>
          <w:szCs w:val="20"/>
          <w:color w:val="auto"/>
        </w:rPr>
        <w:tab/>
      </w:r>
      <w:r>
        <w:rPr>
          <w:rFonts w:ascii="Times New Roman" w:cs="Times New Roman" w:eastAsia="Times New Roman" w:hAnsi="Times New Roman"/>
          <w:sz w:val="18"/>
          <w:szCs w:val="18"/>
          <w:b w:val="1"/>
          <w:bCs w:val="1"/>
          <w:color w:val="00AAE5"/>
        </w:rPr>
        <w:t>Risk Factors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 xml:space="preserve">With the exception of the addition of the risk factor noted below, there have been no material changes in our risk factors from those disclosed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31, 2019 as filed with the SEC.</w:t>
      </w:r>
    </w:p>
    <w:p>
      <w:pPr>
        <w:spacing w:after="0" w:line="162"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The extent to which the COVID-19 outbreak and measures taken in response thereto impact our business, results of operations and financial condition will depend on on-going and future developments and outcomes, which are highly uncertain and cannot be predicted.</w:t>
      </w:r>
    </w:p>
    <w:p>
      <w:pPr>
        <w:spacing w:after="0" w:line="16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Our business and financial results may be adversely impacted by health epidemics, pandemics and similar outbreaks. The recent and rapidly spreading COVID-19 pandemic could have adverse impacts on our business, including causing significant volatility in demand for our services due to disruption and downturns in our customers’ businesses and related supply chains, our customers’ ability to pay for our services when due or in full, disruptions to our third party technology providers, limitations on our employees' ability to work and travel, and significant changes in the economic or political conditions in markets in which we operate. Despite our efforts to manage these impacts, their ultimate impact also depends on factors beyond our knowledge or control, including the duration and severity of any such outbreak and actions taken to contain its spread and mitigate its public health effects. Any of these events could cause or amplify the risks and uncertainties set forth in our Annual Report on Form 10-K for the year ended December 31, 2019, as filed with the SEC, and could materially adversely affect our business, financial condition, results of operations and/or stock price.</w:t>
      </w:r>
    </w:p>
    <w:p>
      <w:pPr>
        <w:spacing w:after="0" w:line="29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2.</w:t>
      </w:r>
      <w:r>
        <w:rPr>
          <w:sz w:val="20"/>
          <w:szCs w:val="20"/>
          <w:color w:val="auto"/>
        </w:rPr>
        <w:tab/>
      </w:r>
      <w:r>
        <w:rPr>
          <w:rFonts w:ascii="Times New Roman" w:cs="Times New Roman" w:eastAsia="Times New Roman" w:hAnsi="Times New Roman"/>
          <w:sz w:val="17"/>
          <w:szCs w:val="17"/>
          <w:b w:val="1"/>
          <w:bCs w:val="1"/>
          <w:color w:val="00AAE5"/>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282C"/>
        </w:rPr>
        <w:t>(c) Share Repurchases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Under a share repurchase program announced by our board of directors on November 2, 2019, from time to time we can repurchase up to a total of $50 million of our stock in the open market through November 2, 2021. We did not make any purchases in the third quarter of 2020. At September 30, 2020, we had approximately $31.1 million remaining for shares that can be repurchased under the plan.</w:t>
      </w:r>
    </w:p>
    <w:p>
      <w:pPr>
        <w:spacing w:after="0" w:line="3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3.</w:t>
      </w:r>
      <w:r>
        <w:rPr>
          <w:sz w:val="20"/>
          <w:szCs w:val="20"/>
          <w:color w:val="auto"/>
        </w:rPr>
        <w:tab/>
      </w:r>
      <w:r>
        <w:rPr>
          <w:rFonts w:ascii="Times New Roman" w:cs="Times New Roman" w:eastAsia="Times New Roman" w:hAnsi="Times New Roman"/>
          <w:sz w:val="17"/>
          <w:szCs w:val="17"/>
          <w:b w:val="1"/>
          <w:bCs w:val="1"/>
          <w:color w:val="00AAE5"/>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4.</w:t>
      </w:r>
      <w:r>
        <w:rPr>
          <w:sz w:val="20"/>
          <w:szCs w:val="20"/>
          <w:color w:val="auto"/>
        </w:rPr>
        <w:tab/>
      </w:r>
      <w:r>
        <w:rPr>
          <w:rFonts w:ascii="Times New Roman" w:cs="Times New Roman" w:eastAsia="Times New Roman" w:hAnsi="Times New Roman"/>
          <w:sz w:val="17"/>
          <w:szCs w:val="17"/>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00AAE5"/>
        </w:rPr>
        <w:t>Item 5.</w:t>
      </w:r>
      <w:r>
        <w:rPr>
          <w:sz w:val="20"/>
          <w:szCs w:val="20"/>
          <w:color w:val="auto"/>
        </w:rPr>
        <w:tab/>
      </w:r>
      <w:r>
        <w:rPr>
          <w:rFonts w:ascii="Times New Roman" w:cs="Times New Roman" w:eastAsia="Times New Roman" w:hAnsi="Times New Roman"/>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057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80" w:type="dxa"/>
            <w:vAlign w:val="bottom"/>
            <w:gridSpan w:val="6"/>
          </w:tcPr>
          <w:p>
            <w:pPr>
              <w:ind w:left="5720"/>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tc>
      </w:tr>
      <w:tr>
        <w:trPr>
          <w:trHeight w:val="41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AAE5"/>
              </w:rPr>
              <w:t>Item 6.</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AAE5"/>
              </w:rPr>
              <w:t>Exhibits</w:t>
            </w:r>
          </w:p>
        </w:tc>
      </w:tr>
      <w:tr>
        <w:trPr>
          <w:trHeight w:val="364"/>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920" w:type="dxa"/>
            <w:vAlign w:val="bottom"/>
            <w:tcBorders>
              <w:top w:val="single" w:sz="8" w:color="auto"/>
            </w:tcBorders>
          </w:tcPr>
          <w:p>
            <w:pPr>
              <w:jc w:val="right"/>
              <w:ind w:right="513"/>
              <w:spacing w:after="0"/>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3.1</w:t>
              </w:r>
            </w:hyperlink>
          </w:p>
        </w:tc>
        <w:tc>
          <w:tcPr>
            <w:tcW w:w="100" w:type="dxa"/>
            <w:vAlign w:val="bottom"/>
          </w:tcPr>
          <w:p>
            <w:pPr>
              <w:spacing w:after="0"/>
              <w:rPr>
                <w:sz w:val="24"/>
                <w:szCs w:val="24"/>
                <w:color w:val="auto"/>
              </w:rPr>
            </w:pPr>
          </w:p>
        </w:tc>
        <w:tc>
          <w:tcPr>
            <w:tcW w:w="10220" w:type="dxa"/>
            <w:vAlign w:val="bottom"/>
            <w:tcBorders>
              <w:top w:val="single" w:sz="8" w:color="auto"/>
            </w:tcBorders>
            <w:gridSpan w:val="10"/>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Certificate of Incorporation (incorporated by reference to Exhibit 3.2 to our Current Report on Form 8-K (File No. 001-34702) filed with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SEC on May 21, 2020).</w:t>
              </w:r>
            </w:hyperlink>
          </w:p>
        </w:tc>
        <w:tc>
          <w:tcPr>
            <w:tcW w:w="10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920" w:type="dxa"/>
            <w:vAlign w:val="bottom"/>
          </w:tcPr>
          <w:p>
            <w:pPr>
              <w:jc w:val="right"/>
              <w:ind w:right="513"/>
              <w:spacing w:after="0"/>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3.2</w:t>
              </w:r>
            </w:hyperlink>
          </w:p>
        </w:tc>
        <w:tc>
          <w:tcPr>
            <w:tcW w:w="10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Amended and Restated Bylaws (incorporated by reference to Exhibit 3.1 to our Current Report on Form 8-K (File No. 001-34702) filed with</w:t>
              </w:r>
            </w:hyperlink>
          </w:p>
        </w:tc>
        <w:tc>
          <w:tcPr>
            <w:tcW w:w="8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the SEC on October 17, 2017).</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18"/>
        </w:trPr>
        <w:tc>
          <w:tcPr>
            <w:tcW w:w="920" w:type="dxa"/>
            <w:vAlign w:val="bottom"/>
          </w:tcPr>
          <w:p>
            <w:pPr>
              <w:jc w:val="right"/>
              <w:ind w:right="513"/>
              <w:spacing w:after="0"/>
              <w:rPr>
                <w:rFonts w:ascii="Times New Roman" w:cs="Times New Roman" w:eastAsia="Times New Roman" w:hAnsi="Times New Roman"/>
                <w:sz w:val="18"/>
                <w:szCs w:val="18"/>
                <w:u w:val="single" w:color="auto"/>
                <w:color w:val="0000EE"/>
                <w:w w:val="95"/>
              </w:rPr>
            </w:pPr>
            <w:hyperlink w:anchor="page32">
              <w:r>
                <w:rPr>
                  <w:rFonts w:ascii="Times New Roman" w:cs="Times New Roman" w:eastAsia="Times New Roman" w:hAnsi="Times New Roman"/>
                  <w:sz w:val="18"/>
                  <w:szCs w:val="18"/>
                  <w:u w:val="single" w:color="auto"/>
                  <w:color w:val="0000EE"/>
                  <w:w w:val="95"/>
                </w:rPr>
                <w:t>31.1</w:t>
              </w:r>
            </w:hyperlink>
          </w:p>
        </w:tc>
        <w:tc>
          <w:tcPr>
            <w:tcW w:w="100" w:type="dxa"/>
            <w:vAlign w:val="bottom"/>
          </w:tcPr>
          <w:p>
            <w:pPr>
              <w:spacing w:after="0"/>
              <w:rPr>
                <w:sz w:val="24"/>
                <w:szCs w:val="24"/>
                <w:color w:val="auto"/>
              </w:rPr>
            </w:pPr>
          </w:p>
        </w:tc>
        <w:tc>
          <w:tcPr>
            <w:tcW w:w="9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Certification of Principal Executive Officer pursuant to Rules 13a-14(a) under the Securities Exchange Act of 1934, as amended (filed</w:t>
              </w:r>
            </w:hyperlink>
          </w:p>
        </w:tc>
        <w:tc>
          <w:tcPr>
            <w:tcW w:w="5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herewith).</w:t>
              </w:r>
            </w:hyperlink>
          </w:p>
        </w:tc>
        <w:tc>
          <w:tcPr>
            <w:tcW w:w="9480" w:type="dxa"/>
            <w:vAlign w:val="bottom"/>
            <w:gridSpan w:val="9"/>
          </w:tcPr>
          <w:p>
            <w:pPr>
              <w:spacing w:after="0"/>
              <w:rPr>
                <w:sz w:val="17"/>
                <w:szCs w:val="17"/>
                <w:color w:val="auto"/>
              </w:rPr>
            </w:pPr>
          </w:p>
        </w:tc>
      </w:tr>
      <w:tr>
        <w:trPr>
          <w:trHeight w:val="318"/>
        </w:trPr>
        <w:tc>
          <w:tcPr>
            <w:tcW w:w="920" w:type="dxa"/>
            <w:vAlign w:val="bottom"/>
          </w:tcPr>
          <w:p>
            <w:pPr>
              <w:jc w:val="right"/>
              <w:ind w:right="513"/>
              <w:spacing w:after="0"/>
              <w:rPr>
                <w:rFonts w:ascii="Times New Roman" w:cs="Times New Roman" w:eastAsia="Times New Roman" w:hAnsi="Times New Roman"/>
                <w:sz w:val="18"/>
                <w:szCs w:val="18"/>
                <w:u w:val="single" w:color="auto"/>
                <w:color w:val="0000EE"/>
                <w:w w:val="95"/>
              </w:rPr>
            </w:pPr>
            <w:hyperlink w:anchor="page33">
              <w:r>
                <w:rPr>
                  <w:rFonts w:ascii="Times New Roman" w:cs="Times New Roman" w:eastAsia="Times New Roman" w:hAnsi="Times New Roman"/>
                  <w:sz w:val="18"/>
                  <w:szCs w:val="18"/>
                  <w:u w:val="single" w:color="auto"/>
                  <w:color w:val="0000EE"/>
                  <w:w w:val="95"/>
                </w:rPr>
                <w:t>31.2</w:t>
              </w:r>
            </w:hyperlink>
          </w:p>
        </w:tc>
        <w:tc>
          <w:tcPr>
            <w:tcW w:w="10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Certification of Principal Financial Officer pursuant to Rules 13a-14(a) under the Securities Exchange Act of 1934, as amended (filed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herewith).</w:t>
              </w:r>
            </w:hyperlink>
          </w:p>
        </w:tc>
        <w:tc>
          <w:tcPr>
            <w:tcW w:w="8880" w:type="dxa"/>
            <w:vAlign w:val="bottom"/>
            <w:tcBorders>
              <w:top w:val="single" w:sz="8" w:color="0000EE"/>
            </w:tcBorders>
            <w:gridSpan w:val="4"/>
          </w:tcPr>
          <w:p>
            <w:pPr>
              <w:spacing w:after="0"/>
              <w:rPr>
                <w:sz w:val="17"/>
                <w:szCs w:val="17"/>
                <w:color w:val="auto"/>
              </w:rPr>
            </w:pPr>
          </w:p>
        </w:tc>
        <w:tc>
          <w:tcPr>
            <w:tcW w:w="600" w:type="dxa"/>
            <w:vAlign w:val="bottom"/>
            <w:gridSpan w:val="5"/>
          </w:tcPr>
          <w:p>
            <w:pPr>
              <w:spacing w:after="0"/>
              <w:rPr>
                <w:sz w:val="17"/>
                <w:szCs w:val="17"/>
                <w:color w:val="auto"/>
              </w:rPr>
            </w:pPr>
          </w:p>
        </w:tc>
      </w:tr>
      <w:tr>
        <w:trPr>
          <w:trHeight w:val="318"/>
        </w:trPr>
        <w:tc>
          <w:tcPr>
            <w:tcW w:w="920" w:type="dxa"/>
            <w:vAlign w:val="bottom"/>
          </w:tcPr>
          <w:p>
            <w:pPr>
              <w:jc w:val="right"/>
              <w:ind w:right="513"/>
              <w:spacing w:after="0"/>
              <w:rPr>
                <w:rFonts w:ascii="Times New Roman" w:cs="Times New Roman" w:eastAsia="Times New Roman" w:hAnsi="Times New Roman"/>
                <w:sz w:val="18"/>
                <w:szCs w:val="18"/>
                <w:u w:val="single" w:color="auto"/>
                <w:color w:val="0000EE"/>
                <w:w w:val="95"/>
              </w:rPr>
            </w:pPr>
            <w:hyperlink w:anchor="page34">
              <w:r>
                <w:rPr>
                  <w:rFonts w:ascii="Times New Roman" w:cs="Times New Roman" w:eastAsia="Times New Roman" w:hAnsi="Times New Roman"/>
                  <w:sz w:val="18"/>
                  <w:szCs w:val="18"/>
                  <w:u w:val="single" w:color="auto"/>
                  <w:color w:val="0000EE"/>
                  <w:w w:val="95"/>
                </w:rPr>
                <w:t>32.1</w:t>
              </w:r>
            </w:hyperlink>
          </w:p>
        </w:tc>
        <w:tc>
          <w:tcPr>
            <w:tcW w:w="100" w:type="dxa"/>
            <w:vAlign w:val="bottom"/>
          </w:tcPr>
          <w:p>
            <w:pPr>
              <w:spacing w:after="0"/>
              <w:rPr>
                <w:sz w:val="24"/>
                <w:szCs w:val="24"/>
                <w:color w:val="auto"/>
              </w:rPr>
            </w:pPr>
          </w:p>
        </w:tc>
        <w:tc>
          <w:tcPr>
            <w:tcW w:w="10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Certification of Chief Executive Officer and Chief Financial Officer pursuant to 18 U.S.C. Sec. 1350, as adopted pursuant to Section 906 of</w:t>
              </w:r>
            </w:hyperlink>
          </w:p>
        </w:tc>
        <w:tc>
          <w:tcPr>
            <w:tcW w:w="1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the Sarbanes-Oxley Act of 2002 (filed herewith).</w:t>
              </w:r>
            </w:hyperlink>
          </w:p>
        </w:tc>
        <w:tc>
          <w:tcPr>
            <w:tcW w:w="6680" w:type="dxa"/>
            <w:vAlign w:val="bottom"/>
            <w:gridSpan w:val="6"/>
          </w:tcPr>
          <w:p>
            <w:pPr>
              <w:spacing w:after="0"/>
              <w:rPr>
                <w:sz w:val="17"/>
                <w:szCs w:val="17"/>
                <w:color w:val="auto"/>
              </w:rPr>
            </w:pPr>
          </w:p>
        </w:tc>
      </w:tr>
    </w:tbl>
    <w:p>
      <w:pPr>
        <w:spacing w:after="0" w:line="144" w:lineRule="exact"/>
        <w:rPr>
          <w:sz w:val="20"/>
          <w:szCs w:val="20"/>
          <w:color w:val="auto"/>
        </w:rPr>
      </w:pPr>
    </w:p>
    <w:p>
      <w:pPr>
        <w:ind w:left="1020" w:right="680" w:hanging="1012"/>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the Quarterly Report on Form 10-Q for the quarter ended September 30, 2020,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057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30</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jc w:val="right"/>
        <w:spacing w:after="0"/>
        <w:rPr>
          <w:rFonts w:ascii="Times New Roman" w:cs="Times New Roman" w:eastAsia="Times New Roman" w:hAnsi="Times New Roman"/>
          <w:sz w:val="13"/>
          <w:szCs w:val="13"/>
          <w:u w:val="single" w:color="auto"/>
          <w:color w:val="0000EE"/>
        </w:rPr>
      </w:pPr>
      <w:hyperlink w:anchor="page2">
        <w:r>
          <w:rPr>
            <w:rFonts w:ascii="Times New Roman" w:cs="Times New Roman" w:eastAsia="Times New Roman" w:hAnsi="Times New Roman"/>
            <w:sz w:val="13"/>
            <w:szCs w:val="13"/>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18"/>
          <w:szCs w:val="18"/>
          <w:color w:val="auto"/>
        </w:rPr>
        <w:t>Dated: October 28, 2020</w:t>
      </w:r>
      <w:r>
        <w:rPr>
          <w:sz w:val="20"/>
          <w:szCs w:val="20"/>
          <w:color w:val="auto"/>
        </w:rPr>
        <w:tab/>
      </w:r>
      <w:r>
        <w:rPr>
          <w:rFonts w:ascii="Times New Roman" w:cs="Times New Roman" w:eastAsia="Times New Roman" w:hAnsi="Times New Roman"/>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20574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40" w:val="left"/>
          <w:tab w:leader="none" w:pos="8120" w:val="left"/>
        </w:tabs>
        <w:rPr>
          <w:sz w:val="20"/>
          <w:szCs w:val="20"/>
          <w:color w:val="auto"/>
        </w:rPr>
      </w:pPr>
      <w:r>
        <w:rPr>
          <w:rFonts w:ascii="Times New Roman" w:cs="Times New Roman" w:eastAsia="Times New Roman" w:hAnsi="Times New Roman"/>
          <w:sz w:val="14"/>
          <w:szCs w:val="14"/>
          <w:b w:val="1"/>
          <w:bCs w:val="1"/>
          <w:color w:val="auto"/>
        </w:rPr>
        <w:t>SPS COMMERCE, INC.</w:t>
      </w:r>
      <w:r>
        <w:rPr>
          <w:sz w:val="20"/>
          <w:szCs w:val="20"/>
          <w:color w:val="auto"/>
        </w:rPr>
        <w:tab/>
      </w: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1"/>
          <w:szCs w:val="11"/>
          <w:b w:val="1"/>
          <w:bCs w:val="1"/>
          <w:color w:val="auto"/>
        </w:rPr>
        <w:t>Form 10-Q for the quarterly period ended September 30, 2020</w:t>
      </w:r>
    </w:p>
    <w:p>
      <w:pPr>
        <w:sectPr>
          <w:pgSz w:w="11900" w:h="16838" w:orient="portrait"/>
          <w:cols w:equalWidth="0" w:num="1">
            <w:col w:w="11240"/>
          </w:cols>
          <w:pgMar w:left="320" w:top="12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SPS Commerce, Inc.;</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60" w:hanging="493"/>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00" w:right="8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20" w:right="80" w:hanging="500"/>
        <w:spacing w:after="0" w:line="266"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20" w:right="200" w:hanging="500"/>
        <w:spacing w:after="0" w:line="266"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20" w:right="40" w:hanging="500"/>
        <w:spacing w:after="0" w:line="266"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20" w:right="260" w:hanging="500"/>
        <w:spacing w:after="0" w:line="266"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40" w:hanging="493"/>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20" w:right="240" w:hanging="500"/>
        <w:spacing w:after="0" w:line="282"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20" w:right="460" w:hanging="500"/>
        <w:spacing w:after="0" w:line="282" w:lineRule="auto"/>
        <w:tabs>
          <w:tab w:leader="none" w:pos="15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2020</w:t>
      </w:r>
    </w:p>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SPS Commerce, Inc.;</w:t>
      </w:r>
    </w:p>
    <w:p>
      <w:pPr>
        <w:spacing w:after="0" w:line="225"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00" w:right="460" w:hanging="493"/>
        <w:spacing w:after="0" w:line="31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00" w:right="80" w:hanging="493"/>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20" w:right="80" w:hanging="500"/>
        <w:spacing w:after="0" w:line="26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20" w:right="200" w:hanging="500"/>
        <w:spacing w:after="0" w:line="26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20" w:right="40" w:hanging="500"/>
        <w:spacing w:after="0" w:line="26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20" w:right="260" w:hanging="500"/>
        <w:spacing w:after="0" w:line="26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00" w:right="40" w:hanging="493"/>
        <w:spacing w:after="0" w:line="31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20" w:right="240" w:hanging="500"/>
        <w:spacing w:after="0" w:line="282"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20" w:right="460" w:hanging="500"/>
        <w:spacing w:after="0" w:line="282"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2020</w:t>
      </w:r>
    </w:p>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SPS Commerce, Inc. (the “Company”) for the period ended September 30, 2020,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72"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2020</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4" Type="http://schemas.openxmlformats.org/officeDocument/2006/relationships/image" Target="media/image64.jpe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1" Type="http://schemas.openxmlformats.org/officeDocument/2006/relationships/hyperlink" Target="http://www.sec.gov/Archives/edgar/data/1092699/000119312520148645/d833455dex32.htm" TargetMode="External"/><Relationship Id="rId72" Type="http://schemas.openxmlformats.org/officeDocument/2006/relationships/hyperlink" Target="http://www.sec.gov/Archives/edgar/data/1092699/000119312512269607/d365652dex41.htm" TargetMode="External"/><Relationship Id="rId73"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2020-10-28T15:19:41Z</dcterms:created>
  <dcterms:modified xsi:type="dcterms:W3CDTF">2020-10-28T15:19:41Z</dcterms:modified>
</cp:coreProperties>
</file>