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Mark One)</w:t>
      </w:r>
    </w:p>
    <w:p>
      <w:pPr>
        <w:spacing w:after="0" w:line="12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001-34702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4380" w:type="dxa"/>
            <w:vAlign w:val="bottom"/>
          </w:tcPr>
          <w:p>
            <w:pPr>
              <w:ind w:left="800"/>
              <w:spacing w:after="0"/>
              <w:rPr>
                <w:sz w:val="20"/>
                <w:szCs w:val="20"/>
                <w:color w:val="auto"/>
              </w:rPr>
            </w:pPr>
            <w:r>
              <w:rPr>
                <w:rFonts w:ascii="Arial" w:cs="Arial" w:eastAsia="Arial" w:hAnsi="Arial"/>
                <w:sz w:val="18"/>
                <w:szCs w:val="18"/>
                <w:b w:val="1"/>
                <w:bCs w:val="1"/>
                <w:color w:val="auto"/>
              </w:rPr>
              <w:t>Delaware</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41-2015127</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Incorporation or Organization)</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(Address of Principal Executive Offices, Including 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20" w:type="dxa"/>
            <w:vAlign w:val="bottom"/>
          </w:tcPr>
          <w:p>
            <w:pPr>
              <w:ind w:left="280"/>
              <w:spacing w:after="0"/>
              <w:rPr>
                <w:sz w:val="20"/>
                <w:szCs w:val="20"/>
                <w:color w:val="auto"/>
              </w:rPr>
            </w:pPr>
            <w:r>
              <w:rPr>
                <w:rFonts w:ascii="Arial" w:cs="Arial" w:eastAsia="Arial" w:hAnsi="Arial"/>
                <w:sz w:val="18"/>
                <w:szCs w:val="18"/>
                <w:color w:val="auto"/>
              </w:rPr>
              <w:t>Large Accelerated Filer o</w:t>
            </w:r>
          </w:p>
        </w:tc>
        <w:tc>
          <w:tcPr>
            <w:tcW w:w="2600" w:type="dxa"/>
            <w:vAlign w:val="bottom"/>
          </w:tcPr>
          <w:p>
            <w:pPr>
              <w:ind w:left="840"/>
              <w:spacing w:after="0"/>
              <w:rPr>
                <w:sz w:val="20"/>
                <w:szCs w:val="20"/>
                <w:color w:val="auto"/>
              </w:rPr>
            </w:pPr>
            <w:r>
              <w:rPr>
                <w:rFonts w:ascii="Arial" w:cs="Arial" w:eastAsia="Arial" w:hAnsi="Arial"/>
                <w:sz w:val="18"/>
                <w:szCs w:val="18"/>
                <w:color w:val="auto"/>
              </w:rPr>
              <w:t>Accelerated Filer o</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60" w:type="dxa"/>
            <w:vAlign w:val="bottom"/>
          </w:tcPr>
          <w:p>
            <w:pPr>
              <w:jc w:val="center"/>
              <w:ind w:right="810"/>
              <w:spacing w:after="0"/>
              <w:rPr>
                <w:sz w:val="20"/>
                <w:szCs w:val="20"/>
                <w:color w:val="auto"/>
              </w:rPr>
            </w:pPr>
            <w:r>
              <w:rPr>
                <w:rFonts w:ascii="Arial" w:cs="Arial" w:eastAsia="Arial" w:hAnsi="Arial"/>
                <w:sz w:val="18"/>
                <w:szCs w:val="18"/>
                <w:color w:val="auto"/>
                <w:w w:val="93"/>
              </w:rPr>
              <w:t>Non-Accelerated Filer o</w:t>
            </w:r>
          </w:p>
        </w:tc>
        <w:tc>
          <w:tcPr>
            <w:tcW w:w="256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Smaller Reporting Company </w:t>
            </w:r>
            <w:r>
              <w:rPr>
                <w:rFonts w:ascii="MS PGothic" w:cs="MS PGothic" w:eastAsia="MS PGothic" w:hAnsi="MS PGothic"/>
                <w:sz w:val="18"/>
                <w:szCs w:val="18"/>
                <w:color w:val="auto"/>
                <w:w w:val="94"/>
              </w:rPr>
              <w:t>☑</w:t>
            </w:r>
          </w:p>
        </w:tc>
      </w:tr>
      <w:tr>
        <w:trPr>
          <w:trHeight w:val="230"/>
        </w:trPr>
        <w:tc>
          <w:tcPr>
            <w:tcW w:w="2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940" w:type="dxa"/>
            <w:vAlign w:val="bottom"/>
            <w:gridSpan w:val="3"/>
          </w:tcPr>
          <w:p>
            <w:pPr>
              <w:jc w:val="center"/>
              <w:ind w:left="70"/>
              <w:spacing w:after="0"/>
              <w:rPr>
                <w:sz w:val="20"/>
                <w:szCs w:val="20"/>
                <w:color w:val="auto"/>
              </w:rPr>
            </w:pPr>
            <w:r>
              <w:rPr>
                <w:rFonts w:ascii="Arial" w:cs="Arial" w:eastAsia="Arial" w:hAnsi="Arial"/>
                <w:sz w:val="18"/>
                <w:szCs w:val="18"/>
                <w:color w:val="auto"/>
                <w:w w:val="91"/>
              </w:rPr>
              <w:t>(Do not check if a smaller reporting company)</w:t>
            </w:r>
          </w:p>
        </w:tc>
        <w:tc>
          <w:tcPr>
            <w:tcW w:w="2560" w:type="dxa"/>
            <w:vAlign w:val="bottom"/>
          </w:tcPr>
          <w:p>
            <w:pPr>
              <w:spacing w:after="0"/>
              <w:rPr>
                <w:sz w:val="20"/>
                <w:szCs w:val="20"/>
                <w:color w:val="auto"/>
              </w:rPr>
            </w:pPr>
          </w:p>
        </w:tc>
      </w:tr>
      <w:tr>
        <w:trPr>
          <w:trHeight w:val="344"/>
        </w:trPr>
        <w:tc>
          <w:tcPr>
            <w:tcW w:w="8860" w:type="dxa"/>
            <w:vAlign w:val="bottom"/>
            <w:gridSpan w:val="5"/>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 Yes o</w:t>
            </w:r>
          </w:p>
        </w:tc>
        <w:tc>
          <w:tcPr>
            <w:tcW w:w="256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8860" w:type="dxa"/>
            <w:vAlign w:val="bottom"/>
            <w:gridSpan w:val="5"/>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560" w:type="dxa"/>
            <w:vAlign w:val="bottom"/>
          </w:tcPr>
          <w:p>
            <w:pPr>
              <w:spacing w:after="0"/>
              <w:rPr>
                <w:sz w:val="24"/>
                <w:szCs w:val="24"/>
                <w:color w:val="auto"/>
              </w:rPr>
            </w:pPr>
          </w:p>
        </w:tc>
      </w:tr>
      <w:tr>
        <w:trPr>
          <w:trHeight w:val="432"/>
        </w:trPr>
        <w:tc>
          <w:tcPr>
            <w:tcW w:w="492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89"/>
              </w:rPr>
              <w:t>Common Stock, par value $.0001 per share</w:t>
            </w:r>
          </w:p>
        </w:tc>
        <w:tc>
          <w:tcPr>
            <w:tcW w:w="5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11,605,534 shares</w:t>
            </w:r>
          </w:p>
        </w:tc>
      </w:tr>
      <w:tr>
        <w:trPr>
          <w:trHeight w:val="224"/>
        </w:trPr>
        <w:tc>
          <w:tcPr>
            <w:tcW w:w="2320" w:type="dxa"/>
            <w:vAlign w:val="bottom"/>
          </w:tcPr>
          <w:p>
            <w:pPr>
              <w:spacing w:after="0"/>
              <w:rPr>
                <w:sz w:val="19"/>
                <w:szCs w:val="19"/>
                <w:color w:val="auto"/>
              </w:rPr>
            </w:pPr>
          </w:p>
        </w:tc>
        <w:tc>
          <w:tcPr>
            <w:tcW w:w="2600" w:type="dxa"/>
            <w:vAlign w:val="bottom"/>
          </w:tcPr>
          <w:p>
            <w:pPr>
              <w:jc w:val="center"/>
              <w:ind w:right="1710"/>
              <w:spacing w:after="0"/>
              <w:rPr>
                <w:sz w:val="20"/>
                <w:szCs w:val="20"/>
                <w:color w:val="auto"/>
              </w:rPr>
            </w:pPr>
            <w:r>
              <w:rPr>
                <w:rFonts w:ascii="Arial" w:cs="Arial" w:eastAsia="Arial" w:hAnsi="Arial"/>
                <w:sz w:val="18"/>
                <w:szCs w:val="18"/>
                <w:color w:val="auto"/>
                <w:w w:val="88"/>
              </w:rPr>
              <w:t>Class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gridSpan w:val="2"/>
          </w:tcPr>
          <w:p>
            <w:pPr>
              <w:jc w:val="center"/>
              <w:spacing w:after="0"/>
              <w:rPr>
                <w:sz w:val="20"/>
                <w:szCs w:val="20"/>
                <w:color w:val="auto"/>
              </w:rPr>
            </w:pPr>
            <w:r>
              <w:rPr>
                <w:rFonts w:ascii="Arial" w:cs="Arial" w:eastAsia="Arial" w:hAnsi="Arial"/>
                <w:sz w:val="18"/>
                <w:szCs w:val="18"/>
                <w:color w:val="auto"/>
                <w:w w:val="92"/>
              </w:rPr>
              <w:t>Outstanding at April 30, 2010</w:t>
            </w:r>
          </w:p>
        </w:tc>
      </w:tr>
      <w:tr>
        <w:trPr>
          <w:trHeight w:val="236"/>
        </w:trPr>
        <w:tc>
          <w:tcPr>
            <w:tcW w:w="2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31"/>
        </w:trPr>
        <w:tc>
          <w:tcPr>
            <w:tcW w:w="23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040" w:type="dxa"/>
            <w:vAlign w:val="bottom"/>
            <w:gridSpan w:val="8"/>
            <w:vMerge w:val="restart"/>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220" w:type="dxa"/>
            <w:vAlign w:val="bottom"/>
            <w:tcBorders>
              <w:bottom w:val="single" w:sz="8" w:color="0000EE"/>
            </w:tcBorders>
            <w:gridSpan w:val="12"/>
            <w:vMerge w:val="continue"/>
          </w:tcPr>
          <w:p>
            <w:pPr>
              <w:spacing w:after="0"/>
              <w:rPr>
                <w:sz w:val="13"/>
                <w:szCs w:val="13"/>
                <w:color w:val="auto"/>
              </w:rPr>
            </w:pPr>
          </w:p>
        </w:tc>
        <w:tc>
          <w:tcPr>
            <w:tcW w:w="6040" w:type="dxa"/>
            <w:vAlign w:val="bottom"/>
            <w:gridSpan w:val="8"/>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2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March 31, 2010 (unaudited) and December 31, 2009</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for the three months ended March 31, 2010 and 2009 (unaudited)</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Cash Flows for the three months ended March 31, 2010 and 2009 (unaudited)</w:t>
              </w:r>
            </w:hyperlink>
          </w:p>
        </w:tc>
        <w:tc>
          <w:tcPr>
            <w:tcW w:w="15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6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2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4. Controls and Procedures</w:t>
              </w:r>
            </w:hyperlink>
          </w:p>
        </w:tc>
        <w:tc>
          <w:tcPr>
            <w:tcW w:w="6920" w:type="dxa"/>
            <w:vAlign w:val="bottom"/>
            <w:gridSpan w:val="11"/>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926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6360" w:type="dxa"/>
            <w:vAlign w:val="bottom"/>
            <w:gridSpan w:val="9"/>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7660" w:type="dxa"/>
            <w:vAlign w:val="bottom"/>
            <w:gridSpan w:val="1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438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434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8720" w:type="dxa"/>
            <w:vAlign w:val="bottom"/>
            <w:gridSpan w:val="18"/>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4"/>
          </w:tcPr>
          <w:p>
            <w:pPr>
              <w:spacing w:after="0"/>
              <w:rPr>
                <w:sz w:val="24"/>
                <w:szCs w:val="24"/>
                <w:color w:val="auto"/>
              </w:rPr>
            </w:pPr>
          </w:p>
        </w:tc>
        <w:tc>
          <w:tcPr>
            <w:tcW w:w="6380" w:type="dxa"/>
            <w:vAlign w:val="bottom"/>
            <w:gridSpan w:val="10"/>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6.</w:t>
              </w:r>
            </w:hyperlink>
          </w:p>
        </w:tc>
        <w:tc>
          <w:tcPr>
            <w:tcW w:w="8720" w:type="dxa"/>
            <w:vAlign w:val="bottom"/>
            <w:gridSpan w:val="18"/>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8100" w:type="dxa"/>
            <w:vAlign w:val="bottom"/>
            <w:gridSpan w:val="1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the final prospectus for our initial public offering dated April 22,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6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(see Note 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$231 and $226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5,125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4,766</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r>
      <w:tr>
        <w:trPr>
          <w:trHeight w:val="223"/>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17,393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16,263</w:t>
            </w: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3,005</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23"/>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w:t>
            </w: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4,158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r>
        <w:trPr>
          <w:trHeight w:val="230"/>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16,658</w:t>
            </w:r>
          </w:p>
        </w:tc>
        <w:tc>
          <w:tcPr>
            <w:tcW w:w="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200"/>
              <w:spacing w:after="0" w:line="201" w:lineRule="exact"/>
              <w:rPr>
                <w:sz w:val="20"/>
                <w:szCs w:val="20"/>
                <w:color w:val="auto"/>
              </w:rPr>
            </w:pPr>
            <w:r>
              <w:rPr>
                <w:rFonts w:ascii="Arial" w:cs="Arial" w:eastAsia="Arial" w:hAnsi="Arial"/>
                <w:sz w:val="18"/>
                <w:szCs w:val="18"/>
                <w:color w:val="auto"/>
                <w:w w:val="93"/>
              </w:rPr>
              <w:t>Series A redeemable convertible preferred stock, $0.001 par value, 1,182,217 shares authorized, 1,154,151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issued and outstanding; aggregate liquidation preference of $10,000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37,676</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37,676</w:t>
            </w: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Series B redeemable convertible preferred stock, $0.001 par value, 6,274,329 shares authorized, 5,688,116 shares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aggregate liquidation preference of $21,112</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20,658</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20,658</w:t>
            </w:r>
          </w:p>
        </w:tc>
      </w:tr>
      <w:tr>
        <w:trPr>
          <w:trHeight w:val="202"/>
        </w:trPr>
        <w:tc>
          <w:tcPr>
            <w:tcW w:w="20" w:type="dxa"/>
            <w:vAlign w:val="bottom"/>
          </w:tcPr>
          <w:p>
            <w:pPr>
              <w:spacing w:after="0"/>
              <w:rPr>
                <w:sz w:val="17"/>
                <w:szCs w:val="17"/>
                <w:color w:val="auto"/>
              </w:rPr>
            </w:pPr>
          </w:p>
        </w:tc>
        <w:tc>
          <w:tcPr>
            <w:tcW w:w="8820" w:type="dxa"/>
            <w:vAlign w:val="bottom"/>
          </w:tcPr>
          <w:p>
            <w:pPr>
              <w:ind w:left="200"/>
              <w:spacing w:after="0" w:line="201" w:lineRule="exact"/>
              <w:rPr>
                <w:sz w:val="20"/>
                <w:szCs w:val="20"/>
                <w:color w:val="auto"/>
              </w:rPr>
            </w:pPr>
            <w:r>
              <w:rPr>
                <w:rFonts w:ascii="Arial" w:cs="Arial" w:eastAsia="Arial" w:hAnsi="Arial"/>
                <w:sz w:val="18"/>
                <w:szCs w:val="18"/>
                <w:color w:val="auto"/>
                <w:w w:val="93"/>
              </w:rPr>
              <w:t>Series C redeemable convertible preferred stock, $0.001 par value, 1,602,000 shares authorized, 1,251,559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issued and outstanding, aggregate liquidation preference of $7,500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redeemable convertible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65,778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65,778</w:t>
            </w: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$0.001 par value; 13,442,303 shares authorized; 327,113 shares issued and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5,237</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5,186</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(64,733)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(65,652)</w:t>
            </w:r>
          </w:p>
        </w:tc>
      </w:tr>
      <w:tr>
        <w:trPr>
          <w:trHeight w:val="230"/>
        </w:trPr>
        <w:tc>
          <w:tcPr>
            <w:tcW w:w="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(59,496)</w:t>
            </w:r>
          </w:p>
        </w:tc>
        <w:tc>
          <w:tcPr>
            <w:tcW w:w="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(60,466)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21,919</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10,243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Fully diluted</w:t>
            </w:r>
          </w:p>
        </w:tc>
        <w:tc>
          <w:tcPr>
            <w:tcW w:w="19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(loss) per share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diluted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(loss) to net cash provided by 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carrying value of preferred stock warrants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used in investing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Payments on term loan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Net cash flows used in financing activities</w:t>
            </w: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5,931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for interim financial information and with the instructions to Form 10-Q and Rule 10-01 of Regulation S-X. Accordingly, these condensed financial statements do not include all of the information and footnotes required by accounting principles generally accepted in the United States of America.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2009 balance sheet data was derived from our audited financial statements at that date. For further information, refer to the financial statements and accompanying notes for the year ended December 31, 2009 included in the final prospectus for our initial public offering dated April 22, 2010 as filed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Preparing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jc w:val="both"/>
        <w:ind w:right="460" w:firstLine="225"/>
        <w:spacing w:after="0" w:line="264" w:lineRule="auto"/>
        <w:rPr>
          <w:sz w:val="20"/>
          <w:szCs w:val="20"/>
          <w:color w:val="auto"/>
        </w:rPr>
      </w:pPr>
      <w:r>
        <w:rPr>
          <w:rFonts w:ascii="Arial" w:cs="Arial" w:eastAsia="Arial" w:hAnsi="Arial"/>
          <w:sz w:val="18"/>
          <w:szCs w:val="18"/>
          <w:color w:val="auto"/>
        </w:rPr>
        <w:t>During the three months ended March 31, 2010, there were no significant changes in our significant accounting policies. See Note A to our financial statements included in the final prospectus for our initial public offering dated April 22, 2010 as filed with the Securities and Exchange Commission for additional information regarding our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 xml:space="preserve">In May 2009, the FASB issued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ASC 855 incorporates guidance into accounting literature that was previously addressed only in auditing standards. The statement refers to subsequent events that provide additional evidence about conditions that existed at the balance-sheet date as “recognized subsequent events”. Subsequent events that provide evidence about conditions that arose after the balance-sheet date but prior to the issuance of the financial statements are referred to as ‘non-recognized subsequent events”. The disclosure requirements of ASC 855 are effective for interim and annual periods ending after June 15, 2009. In February 2010, ASU 2010-09, Subsequent Events (Topic 855), </w:t>
      </w:r>
      <w:r>
        <w:rPr>
          <w:rFonts w:ascii="Arial" w:cs="Arial" w:eastAsia="Arial" w:hAnsi="Arial"/>
          <w:sz w:val="16"/>
          <w:szCs w:val="16"/>
          <w:i w:val="1"/>
          <w:iCs w:val="1"/>
          <w:color w:val="auto"/>
        </w:rPr>
        <w:t>Amendments to Certain Recognition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was issued to clarify disclosure requirements and align with SEC subsequent event disclosure guidelines. We have adopted this new standard.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June 2009, the FASB issued guidance that establishes the FASB Accounting Standards Codification (the Codification) as the source of authoritative accounting principles recognized by the FASB to be applied by nongovernmental entities in the preparation of financial statements in conformity with generally accepted accounting principles (GAAP). Use of the new Codification is effective for interim and annual periods ending after September 15, 2009. We have used the new Codification in reference to GAAP in this report.</w:t>
      </w:r>
    </w:p>
    <w:p>
      <w:pPr>
        <w:spacing w:after="0" w:line="7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In October 2009, the FASB issued ASU No. 2009-13, Revenue Recognition (ASC Topic 605), </w:t>
      </w:r>
      <w:r>
        <w:rPr>
          <w:rFonts w:ascii="Arial" w:cs="Arial" w:eastAsia="Arial" w:hAnsi="Arial"/>
          <w:sz w:val="16"/>
          <w:szCs w:val="16"/>
          <w:i w:val="1"/>
          <w:iCs w:val="1"/>
          <w:color w:val="auto"/>
        </w:rPr>
        <w:t>Multiple-Deliverable Revenue Arrangements, a consensus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FASB Emerging Issues Task Force. </w:t>
      </w:r>
      <w:r>
        <w:rPr>
          <w:rFonts w:ascii="Arial" w:cs="Arial" w:eastAsia="Arial" w:hAnsi="Arial"/>
          <w:sz w:val="16"/>
          <w:szCs w:val="16"/>
          <w:color w:val="auto"/>
        </w:rPr>
        <w:t>This guidance modifies the fair value requirements of ASC subtopic 605-25,</w:t>
      </w:r>
      <w:r>
        <w:rPr>
          <w:rFonts w:ascii="Arial" w:cs="Arial" w:eastAsia="Arial" w:hAnsi="Arial"/>
          <w:sz w:val="16"/>
          <w:szCs w:val="16"/>
          <w:i w:val="1"/>
          <w:iCs w:val="1"/>
          <w:color w:val="auto"/>
        </w:rPr>
        <w:t xml:space="preserve"> Revenue Recognition-Multiple Element Arrangements, </w:t>
      </w:r>
      <w:r>
        <w:rPr>
          <w:rFonts w:ascii="Arial" w:cs="Arial" w:eastAsia="Arial" w:hAnsi="Arial"/>
          <w:sz w:val="16"/>
          <w:szCs w:val="16"/>
          <w:color w:val="auto"/>
        </w:rPr>
        <w:t>by allowing the use of the “best estimate of selling price” in addition to Vendor Objective Evidence (now referred to as third-party evidence or</w:t>
      </w:r>
      <w:r>
        <w:rPr>
          <w:rFonts w:ascii="Arial" w:cs="Arial" w:eastAsia="Arial" w:hAnsi="Arial"/>
          <w:sz w:val="16"/>
          <w:szCs w:val="16"/>
          <w:i w:val="1"/>
          <w:iCs w:val="1"/>
          <w:color w:val="auto"/>
        </w:rPr>
        <w:t xml:space="preserve"> </w:t>
      </w:r>
      <w:r>
        <w:rPr>
          <w:rFonts w:ascii="Arial" w:cs="Arial" w:eastAsia="Arial" w:hAnsi="Arial"/>
          <w:sz w:val="16"/>
          <w:szCs w:val="16"/>
          <w:color w:val="auto"/>
        </w:rPr>
        <w:t>TPE) for determining the selling price of a deliverable. A vendor is now required to use its best estimate of the selling price when VSOE or TPE of the selling price cannot be determined. In addition, the residual method of allocating arrangement consideration is no longer permitted.</w:t>
      </w:r>
    </w:p>
    <w:p>
      <w:pPr>
        <w:spacing w:after="0" w:line="5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October 2009, the FASB issued ASU No. 2009-14, Software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80"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ASU No. 2009-13 and ASU No. 2009-14 both require expanded qualitative and quantitative disclosures and are effective for fiscal years beginning on or after June 15, 2010. However, companies may elect to adopt the updated requirements as early as interim periods ended September 30, 2009. These updates may be applied either prospectively from the beginning of the fiscal year for new or materially modified arrangements or retrospectively. We are currently evaluating the impact of adopting these updates.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March 31, 2010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December 31, 2009</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Carrying</w:t>
            </w:r>
          </w:p>
        </w:tc>
        <w:tc>
          <w:tcPr>
            <w:tcW w:w="380" w:type="dxa"/>
            <w:vAlign w:val="bottom"/>
          </w:tcPr>
          <w:p>
            <w:pPr>
              <w:spacing w:after="0"/>
              <w:rPr>
                <w:sz w:val="10"/>
                <w:szCs w:val="10"/>
                <w:color w:val="auto"/>
              </w:rPr>
            </w:pPr>
          </w:p>
        </w:tc>
        <w:tc>
          <w:tcPr>
            <w:tcW w:w="112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rPr>
              <w:t>Carrying</w:t>
            </w:r>
          </w:p>
        </w:tc>
        <w:tc>
          <w:tcPr>
            <w:tcW w:w="42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w w:val="95"/>
              </w:rPr>
              <w:t>Amount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Amount</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Net</w:t>
            </w:r>
          </w:p>
        </w:tc>
      </w:tr>
      <w:tr>
        <w:trPr>
          <w:trHeight w:val="20"/>
        </w:trPr>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There was no amortization expense for intangible assets for the three months ended March 31, 2010. Amortization expense was $144,000 for the three months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for initial public offering</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80" w:type="dxa"/>
            <w:vAlign w:val="bottom"/>
            <w:vMerge w:val="restart"/>
          </w:tcPr>
          <w:p>
            <w:pPr>
              <w:jc w:val="right"/>
              <w:ind w:right="331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Costs accrued for initial public offering</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753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7"/>
        </w:trPr>
        <w:tc>
          <w:tcPr>
            <w:tcW w:w="6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0"/>
        </w:trPr>
        <w:tc>
          <w:tcPr>
            <w:tcW w:w="6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of Financial Instruments</w:t>
      </w:r>
    </w:p>
    <w:p>
      <w:pPr>
        <w:spacing w:after="0" w:line="121" w:lineRule="exact"/>
        <w:rPr>
          <w:sz w:val="20"/>
          <w:szCs w:val="20"/>
          <w:color w:val="auto"/>
        </w:rPr>
      </w:pPr>
    </w:p>
    <w:p>
      <w:pPr>
        <w:jc w:val="both"/>
        <w:ind w:right="420" w:firstLine="222"/>
        <w:spacing w:after="0" w:line="264"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 their fair values due to their short maturities. Based on borrowing rates currently available to us for loans with similar terms, the carrying value of our debt and capital lease obligations approximates fair value.</w:t>
      </w:r>
    </w:p>
    <w:p>
      <w:pPr>
        <w:spacing w:after="0" w:line="73" w:lineRule="exact"/>
        <w:rPr>
          <w:sz w:val="20"/>
          <w:szCs w:val="20"/>
          <w:color w:val="auto"/>
        </w:rPr>
      </w:pPr>
    </w:p>
    <w:p>
      <w:pPr>
        <w:jc w:val="both"/>
        <w:ind w:right="300" w:firstLine="215"/>
        <w:spacing w:after="0" w:line="264"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for an asset or paid to transfer a liability (an exit price) in the principal or most advantageous market for the asset or liability in an orderly transaction between market participants on the measurement date. ASC 820 also describes three levels of inputs that may be used to measure fair value:</w:t>
      </w:r>
    </w:p>
    <w:p>
      <w:pPr>
        <w:spacing w:after="0" w:line="73"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220" w:right="20" w:firstLine="126"/>
        <w:spacing w:after="0" w:line="440"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Level 3 — unobservable inputs in which there is little or no market data available, which require the reporting entity to develop its own assumptions. The table below presents our assets and liabilities measured at fair value on a recurring basis as of March 31, 2010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540" w:type="dxa"/>
            <w:vAlign w:val="bottom"/>
          </w:tcPr>
          <w:p>
            <w:pPr>
              <w:spacing w:after="0"/>
              <w:rPr>
                <w:sz w:val="14"/>
                <w:szCs w:val="14"/>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line="195" w:lineRule="exact"/>
              <w:rPr>
                <w:sz w:val="20"/>
                <w:szCs w:val="20"/>
                <w:color w:val="auto"/>
              </w:rPr>
            </w:pPr>
            <w:r>
              <w:rPr>
                <w:rFonts w:ascii="Arial" w:cs="Arial" w:eastAsia="Arial" w:hAnsi="Arial"/>
                <w:sz w:val="18"/>
                <w:szCs w:val="18"/>
                <w:color w:val="auto"/>
                <w:w w:val="88"/>
              </w:rPr>
              <w:t>5,996</w:t>
            </w:r>
          </w:p>
        </w:tc>
        <w:tc>
          <w:tcPr>
            <w:tcW w:w="5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84"/>
              </w:rPr>
              <w:t>5,996</w:t>
            </w:r>
          </w:p>
        </w:tc>
        <w:tc>
          <w:tcPr>
            <w:tcW w:w="540" w:type="dxa"/>
            <w:vAlign w:val="bottom"/>
          </w:tcPr>
          <w:p>
            <w:pPr>
              <w:spacing w:after="0"/>
              <w:rPr>
                <w:sz w:val="16"/>
                <w:szCs w:val="16"/>
                <w:color w:val="auto"/>
              </w:rPr>
            </w:pPr>
          </w:p>
        </w:tc>
        <w:tc>
          <w:tcPr>
            <w:tcW w:w="820" w:type="dxa"/>
            <w:vAlign w:val="bottom"/>
          </w:tcPr>
          <w:p>
            <w:pPr>
              <w:ind w:left="220"/>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340" w:type="dxa"/>
            <w:vAlign w:val="bottom"/>
          </w:tcPr>
          <w:p>
            <w:pPr>
              <w:ind w:left="240"/>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596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596</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The following is a reconciliation of the fair value of our preferred stock warrants (in thousands):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2009</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Total losses recognized</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2010</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have maintained a credit facility with BlueCrest Venture Finance Master Fund Limited which has provided us a series of equipment and term loans as well as a revolving line of credit. We have terminated this credit facility, effective March 31, 2010, such that no new borrowings will be made and all outstanding indebtedness will be repaid according to its terms. The amount of the revolving loan commitment was $3.5 million, subject to borrowing base limitations. As of March 31, 2010, the maximum amount we could borrow under the revolving line of credit was $1.6 million, all of which we had borrowed and was outstanding at an interest rate of 9% per annum.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Preferred Stock Warrants</w:t>
      </w:r>
    </w:p>
    <w:p>
      <w:pPr>
        <w:spacing w:after="0" w:line="121" w:lineRule="exact"/>
        <w:rPr>
          <w:sz w:val="20"/>
          <w:szCs w:val="20"/>
          <w:color w:val="auto"/>
        </w:rPr>
      </w:pPr>
    </w:p>
    <w:p>
      <w:pPr>
        <w:ind w:right="440" w:firstLine="215"/>
        <w:spacing w:after="0" w:line="308" w:lineRule="auto"/>
        <w:rPr>
          <w:sz w:val="20"/>
          <w:szCs w:val="20"/>
          <w:color w:val="auto"/>
        </w:rPr>
      </w:pPr>
      <w:r>
        <w:rPr>
          <w:rFonts w:ascii="Arial" w:cs="Arial" w:eastAsia="Arial" w:hAnsi="Arial"/>
          <w:sz w:val="17"/>
          <w:szCs w:val="17"/>
          <w:color w:val="auto"/>
        </w:rPr>
        <w:t>At March 31, 2010 and December 31, 2009, we had warrants outstanding to purchase 68,201 shares of our Series B redeemable convertible preferred stock. These warrants have an exercise price of $3.67 per share and expire on dates ranging from May 2011 to February 2016.</w:t>
      </w:r>
    </w:p>
    <w:p>
      <w:pPr>
        <w:spacing w:after="0" w:line="38"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are required to classify these outstanding warrants as a liability in our balance sheets and record adjustments to their fair value as income or expense in our statements of operations. The warrants are subject to revaluation at each balance sheet date and any change in fair value is recognized as a component of other income (expense) until their conversion to common stock warrants upon completion of our initial public offering (see Note I). Accordingly, we recorded other expense of $27,000 and other income of $115,000 for the three months ended March 31, 2010 and 2009, respectively, for changes in the fair market value of these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Our 2001 Stock Option Plan provides for the grant of incentive and nonqualified stock options to employees, non-employee directors and other consultants who provide services to us. Stock options generally vest over three to four years and have a contractual term of ten years from the date of grant. At March 31, 2010 there were approximately 123,000 options available for grant under approved stock option plans.</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recorded stock-based compensation expense of $51,000 and $48,000 for the three months ended March 31, 2010 and 2009, respectively. The expense was allocated as follows (in thousands):</w:t>
      </w:r>
    </w:p>
    <w:p>
      <w:pPr>
        <w:spacing w:after="0" w:line="16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8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2"/>
              </w:rPr>
              <w:t>($/share)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options granted or exercised during the three months ended March 31, 2010.</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recorded a provision for income taxes of $65,000 and $11,000 for the three months ended March 31, 2010 and 2009, respectively.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79"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As of December 31, 2009, we had net operating loss carryforwards of $53.4 million for U.S. federal tax purposes and $32.5 million for state tax purposes. These loss carryforwards expire between 2010 and 2029. Section 382 of the U.S. Internal Revenue Code generally imposes an annual limitation on the amount of net operating loss carryforwards that might be used to offset taxable income when a corporation has undergone significant changes in stock ownership. We believe that $17.6 million of the $53.4 million Federal losses will expire unused due to Section 382 limitations. Therefore, we have reduced the deferred tax asset relating to our NOL carryforwards by $17.6 million.</w:t>
      </w:r>
    </w:p>
    <w:p>
      <w:pPr>
        <w:spacing w:after="0" w:line="80"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subject to income taxes in the U.S. federal jurisdiction and various state jurisdictions. As of March 31, 2010, we are no longer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tax examinations for tax years before 2006. We are subject to state tax audits until the applicable statutes of limitations expire.</w:t>
      </w:r>
    </w:p>
    <w:p>
      <w:pPr>
        <w:spacing w:after="0" w:line="103" w:lineRule="exact"/>
        <w:rPr>
          <w:sz w:val="20"/>
          <w:szCs w:val="20"/>
          <w:color w:val="auto"/>
        </w:rPr>
      </w:pPr>
    </w:p>
    <w:p>
      <w:pPr>
        <w:ind w:right="60" w:firstLine="215"/>
        <w:spacing w:after="0" w:line="342" w:lineRule="auto"/>
        <w:rPr>
          <w:sz w:val="20"/>
          <w:szCs w:val="20"/>
          <w:color w:val="auto"/>
        </w:rPr>
      </w:pPr>
      <w:r>
        <w:rPr>
          <w:rFonts w:ascii="Arial" w:cs="Arial" w:eastAsia="Arial" w:hAnsi="Arial"/>
          <w:sz w:val="16"/>
          <w:szCs w:val="16"/>
          <w:color w:val="auto"/>
        </w:rPr>
        <w:t>As of March 31, 2010,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(Loss) Per Share</w:t>
      </w:r>
    </w:p>
    <w:p>
      <w:pPr>
        <w:spacing w:after="0" w:line="121"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Net income (loss) per share has been computed using the weighted average number of shares of common stock outstanding during each period. Diluted amounts per share include the impact of outstanding potential common shares, such as options and warrants and redeemable convertible preferred stock. Potential common shares that are anti-dilutive are excluded from the calculation of diluted net income (loss) per common share.</w:t>
      </w:r>
    </w:p>
    <w:p>
      <w:pPr>
        <w:spacing w:after="0" w:line="5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(loss) per share for the periods indicated (dollars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center"/>
              <w:ind w:right="1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55"/>
              <w:spacing w:after="0"/>
              <w:rPr>
                <w:sz w:val="20"/>
                <w:szCs w:val="20"/>
                <w:color w:val="auto"/>
              </w:rPr>
            </w:pPr>
            <w:r>
              <w:rPr>
                <w:rFonts w:ascii="Arial" w:cs="Arial" w:eastAsia="Arial" w:hAnsi="Arial"/>
                <w:sz w:val="14"/>
                <w:szCs w:val="14"/>
                <w:color w:val="auto"/>
                <w:w w:val="96"/>
              </w:rPr>
              <w:t>March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color w:val="auto"/>
              </w:rPr>
              <w:t>2010</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919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327,113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331,229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Options and warrants to purchase common and preferred stock</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1,103,602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420"/>
              <w:spacing w:after="0"/>
              <w:rPr>
                <w:sz w:val="20"/>
                <w:szCs w:val="20"/>
                <w:color w:val="auto"/>
              </w:rPr>
            </w:pPr>
            <w:r>
              <w:rPr>
                <w:rFonts w:ascii="Arial" w:cs="Arial" w:eastAsia="Arial" w:hAnsi="Arial"/>
                <w:sz w:val="18"/>
                <w:szCs w:val="18"/>
                <w:color w:val="auto"/>
              </w:rPr>
              <w:t>Redeemable convertible preferred stock</w:t>
            </w:r>
          </w:p>
        </w:tc>
        <w:tc>
          <w:tcPr>
            <w:tcW w:w="3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8,093,826</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9,524,541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331,229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20" w:type="dxa"/>
            <w:vAlign w:val="bottom"/>
            <w:vMerge w:val="restart"/>
          </w:tcPr>
          <w:p>
            <w:pPr>
              <w:jc w:val="right"/>
              <w:ind w:right="32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following outstanding options, warrants and redeemable convertible preferred stock were excluded from the computation of diluted net income (loss) per share for the periods indicated because they were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3"/>
          </w:tcPr>
          <w:p>
            <w:pPr>
              <w:jc w:val="center"/>
              <w:ind w:right="63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67"/>
        </w:trPr>
        <w:tc>
          <w:tcPr>
            <w:tcW w:w="8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8580" w:type="dxa"/>
            <w:vAlign w:val="bottom"/>
            <w:vMerge w:val="restart"/>
          </w:tcPr>
          <w:p>
            <w:pPr>
              <w:spacing w:after="0"/>
              <w:rPr>
                <w:sz w:val="20"/>
                <w:szCs w:val="20"/>
                <w:color w:val="auto"/>
              </w:rPr>
            </w:pPr>
            <w:r>
              <w:rPr>
                <w:rFonts w:ascii="Arial" w:cs="Arial" w:eastAsia="Arial" w:hAnsi="Arial"/>
                <w:sz w:val="18"/>
                <w:szCs w:val="18"/>
                <w:color w:val="auto"/>
              </w:rPr>
              <w:t>Options and warrants to purchase common and preferred stock</w:t>
            </w:r>
          </w:p>
        </w:tc>
        <w:tc>
          <w:tcPr>
            <w:tcW w:w="720" w:type="dxa"/>
            <w:vAlign w:val="bottom"/>
          </w:tcPr>
          <w:p>
            <w:pPr>
              <w:jc w:val="right"/>
              <w:ind w:right="36"/>
              <w:spacing w:after="0" w:line="142" w:lineRule="exact"/>
              <w:rPr>
                <w:sz w:val="20"/>
                <w:szCs w:val="20"/>
                <w:color w:val="auto"/>
              </w:rPr>
            </w:pPr>
            <w:r>
              <w:rPr>
                <w:rFonts w:ascii="Arial" w:cs="Arial" w:eastAsia="Arial" w:hAnsi="Arial"/>
                <w:sz w:val="14"/>
                <w:szCs w:val="14"/>
                <w:color w:val="auto"/>
              </w:rPr>
              <w:t>2010</w:t>
            </w:r>
          </w:p>
        </w:tc>
        <w:tc>
          <w:tcPr>
            <w:tcW w:w="2120" w:type="dxa"/>
            <w:vAlign w:val="bottom"/>
            <w:gridSpan w:val="3"/>
          </w:tcPr>
          <w:p>
            <w:pPr>
              <w:jc w:val="center"/>
              <w:ind w:left="662"/>
              <w:spacing w:after="0" w:line="142" w:lineRule="exact"/>
              <w:rPr>
                <w:sz w:val="20"/>
                <w:szCs w:val="20"/>
                <w:color w:val="auto"/>
              </w:rPr>
            </w:pPr>
            <w:r>
              <w:rPr>
                <w:rFonts w:ascii="Arial" w:cs="Arial" w:eastAsia="Arial" w:hAnsi="Arial"/>
                <w:sz w:val="14"/>
                <w:szCs w:val="14"/>
                <w:color w:val="auto"/>
                <w:w w:val="96"/>
              </w:rPr>
              <w:t>2009</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720" w:type="dxa"/>
            <w:vAlign w:val="bottom"/>
            <w:tcBorders>
              <w:top w:val="single" w:sz="8" w:color="auto"/>
            </w:tcBorders>
          </w:tcPr>
          <w:p>
            <w:pPr>
              <w:jc w:val="right"/>
              <w:ind w:right="36"/>
              <w:spacing w:after="0" w:line="195" w:lineRule="exact"/>
              <w:rPr>
                <w:sz w:val="20"/>
                <w:szCs w:val="20"/>
                <w:color w:val="auto"/>
              </w:rPr>
            </w:pPr>
            <w:r>
              <w:rPr>
                <w:rFonts w:ascii="Arial" w:cs="Arial" w:eastAsia="Arial" w:hAnsi="Arial"/>
                <w:sz w:val="18"/>
                <w:szCs w:val="18"/>
                <w:color w:val="auto"/>
              </w:rPr>
              <w:t>849</w:t>
            </w:r>
          </w:p>
        </w:tc>
        <w:tc>
          <w:tcPr>
            <w:tcW w:w="20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1,334,773</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center"/>
              <w:ind w:left="682"/>
              <w:spacing w:after="0"/>
              <w:rPr>
                <w:sz w:val="20"/>
                <w:szCs w:val="20"/>
                <w:color w:val="auto"/>
              </w:rPr>
            </w:pPr>
            <w:r>
              <w:rPr>
                <w:rFonts w:ascii="Arial" w:cs="Arial" w:eastAsia="Arial" w:hAnsi="Arial"/>
                <w:sz w:val="18"/>
                <w:szCs w:val="18"/>
                <w:color w:val="auto"/>
                <w:w w:val="89"/>
              </w:rPr>
              <w:t>8,164,956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On April 13, 2010, we effected a 0.267 for 1 reverse stock split in the form of a combination of our outstanding stock. All shares and per share amounts in the accompanying financial statements and notes have been retroactively adjusted for all periods presented to give effect to the reverse stock split.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614,505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80"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At the close of the initial public offering, our outstanding shares of redeemable convertible preferred stock were automatically converted into 8,093,826 shares of common stock and a warrant to purchase 68,201 shares of redeemable convertible preferred stock was converted into a warrant to purchase 68,201 shares of common stock. Accordingly, the related warrant liability of approximately $596,000 was transferred to additional paid-in capital in our balance sheets.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79"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614,505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have several key financial terms and metrics, including annualized average recurring revenues per recurring revenue customer and Adjusted EBITDA, which is a non-GAAP measure of financial performance. During the three months ended March 31, 2010, there were no changes in the definitions of our key financial terms and metrics, which are discussed in more detail under the heading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included in the final prospectus for our initial public offering dated April 22, 2010 as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50"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46"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valuation of goodwill.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During the three months ended March 31, 2010, there were no significant changes in our critical accounting policies or estimates. See Note A to our financial statements included elsewhere in this Quarterly Report on Form 10-Q and in the final prospectus for our initial public offering dated April 22, 2010 as filed with the Securities and Exchange Commission for additional information regarding our critical accounting policies, as well as a description of our other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20"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Three Months Ended</w:t>
      </w:r>
    </w:p>
    <w:p>
      <w:pPr>
        <w:jc w:val="center"/>
        <w:ind w:left="74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31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2010</w:t>
            </w:r>
          </w:p>
        </w:tc>
        <w:tc>
          <w:tcPr>
            <w:tcW w:w="8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2009</w:t>
            </w:r>
          </w:p>
        </w:tc>
        <w:tc>
          <w:tcPr>
            <w:tcW w:w="8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2"/>
          </w:tcPr>
          <w:p>
            <w:pPr>
              <w:jc w:val="right"/>
              <w:ind w:right="940"/>
              <w:spacing w:after="0" w:line="142" w:lineRule="exact"/>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9"/>
              </w:rPr>
              <w:t>% of revenue</w:t>
            </w: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7"/>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10,243</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8,531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1,712</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revenues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2,981</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2,837</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33.3</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144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7,262</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5,694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66.7</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1,568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3,507</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1,043</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1,044</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1,665</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31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6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60.7</w:t>
            </w: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5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444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1,047</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1,124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123</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0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919</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973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2010 compared to Three Months Ended March 31, 2009</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March 31, 2010 increased $1.7 million, or 20%, to $10.2 million from $8.5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Our fiscal quarter ended March 31, 2010 represented our 37th consecutive quarter of increased revenues. The increase in revenues resulted from an</w:t>
      </w:r>
    </w:p>
    <w:p>
      <w:pPr>
        <w:ind w:right="20"/>
        <w:spacing w:after="0" w:line="269" w:lineRule="auto"/>
        <w:rPr>
          <w:sz w:val="20"/>
          <w:szCs w:val="20"/>
          <w:color w:val="auto"/>
        </w:rPr>
      </w:pPr>
      <w:r>
        <w:rPr>
          <w:rFonts w:ascii="Arial" w:cs="Arial" w:eastAsia="Arial" w:hAnsi="Arial"/>
          <w:sz w:val="17"/>
          <w:szCs w:val="17"/>
          <w:color w:val="auto"/>
        </w:rPr>
        <w:t>11% increase in recurring revenue customers to 11,392 at March 31, 2010 from 10,273 at March 31, 2009, as well as an 11% increase in annualized average recurring revenues per recurring revenue customer to $3,008 for the three months ended March 31, 2010 from $2,718 for the same period in 2009. The increase in average recurring revenues per recurring revenue customer was primarily attributable to increased fees resulting from increased usage of our solutions by our recurring revenue customers. Recurring revenues from recurring revenue customers accounted for 82% and 81% of our total revenues for the three months ended March 31, 2010 and 2009, respectively. We anticipate that average recurring revenues per recurring revenue customer will continue to increase as we increase the number of solutions we offer, such as the Trading Partner Intelligence solution we introduced in 2009, and increase the penetration of those solutions across our customer base.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three months ended March 31, 2010 increased $144,000, or 5%, to $3.0 million from $2.8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2009. The increase in costs was primarily attributable to higher costs of network services and depreciation. As a percentage of revenues, cost of revenues was 29% for the three months ended March 31, 2010 compared to 33% for the same period in 2009. This decrease, as a percentage of revenue, and the corresponding increase in gross margin, was due primarily to the increase in revenues as discussed above. Going forward, we anticipate that cost of revenues will increase in absolute dollars as we continue to build our business.</w:t>
      </w:r>
    </w:p>
    <w:p>
      <w:pPr>
        <w:spacing w:after="0" w:line="64"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2010 increased $432,000, or 14%, to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$3.1 million for the same period in 2009. The increase in sales and marketing expenses was due primarily to higher commissions earned by sales personnel from new business. As a percentage of revenues, sales and marketing expenses were 34% for the three months ended March 31, 2010 compared to 36% for the same period in 2009. The increased revenues in 2010 compared to 2009 allowed us to leverage our fixed sales and marketing expenses and contributed to the decrease in sales and marketing expenses as a percentage of revenues. As we work to grow our business, we will continue to add resources to our sales and marketing efforts over time, and we expect that these expenses will increase in absolute dollars.</w:t>
      </w:r>
    </w:p>
    <w:p>
      <w:pPr>
        <w:spacing w:after="0" w:line="7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2010 were $1.0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the same period in 2009. As a percentage of revenues, research and development expenses were 10% for the three months ended March 31, 2010 compared to 12% for the same period in 2009 as the increased revenues contributed to the decrease in research and development expenses as a percentage of revenues. We expect research and development expenses will increase in absolute dollars as we continue to enhance and expand our solutions and applications.</w:t>
      </w:r>
    </w:p>
    <w:p>
      <w:pPr>
        <w:spacing w:after="0" w:line="80"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2010 were $1.7 million,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to the same period in 2009. As a percentage of revenues, general and administrative expenses were 16% for the three months ended March 31, 2010 compared to 19% for the same period in 2009. The increased revenues in 2010, compared to 2009, allowed us to leverage our fixed general and administrative expenses and contributed to the decrease in general and administrative expenses as a percentage of revenues. Going forward, we expect to incur additional general and administrative expenses associated with being a public company, including substantially higher legal, audit and insurance fees.</w:t>
      </w:r>
    </w:p>
    <w:p>
      <w:pPr>
        <w:spacing w:after="0" w:line="50"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Interest expense for the three months ended March 31, 2010 decreased $44,000, or 49%, to $45,000 from $89,000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2009. The decrease in interest expense was principally due to reduced equipment borrowings. Other expense for the three months ended March 31, 2010 was $18,000 compared to other income of $123,000 for the same period in 2009. The other income (expense) change was driven by updating the value of our outstanding preferred stock warrants to fair market value as required by generally accepted accounting principles. We expect that there will be no further income or expense related to these warrants as they were converted to common stock warrants with the completion of our initial public offering in April 2010.</w:t>
      </w:r>
    </w:p>
    <w:p>
      <w:pPr>
        <w:spacing w:after="0" w:line="85"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$65,000 for the three months ended March 31, 2010 compared to $11,000 for the same period in 2009.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(loss)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income tax expense and non-cash, share-based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(loss) to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3"/>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Non-cash, share-based compensation expense</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At March 31, 2010, our principal sources of liquidity were cash and cash equivalents of $6.0 million and accounts receivable, net of allowance for doubtful accounts, of $5.1 million. Our working capital at March 31, 2010 was $6.0 million compared to $5.0 million at December 31, 2009. The increase in working capital from December 31, 2009 to March 31, 2010 resulted primarily from the following:</w:t>
      </w:r>
    </w:p>
    <w:p>
      <w:pPr>
        <w:spacing w:after="0" w:line="73"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$359,000 increase in net accounts receivable, due to new business for the three months ended March 31, 2010;</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$573,000 increase in prepaid expense and other current assets, due to prepaid expenses related to our initial public offering;</w:t>
      </w:r>
    </w:p>
    <w:p>
      <w:pPr>
        <w:spacing w:after="0" w:line="130"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$338,000 decrease in accrued compensation and benefits, as bonuses accrued as of December 31, 2009 were paid during the three months ended March 31, 2010;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$261,000 increase in accrued expenses and other current liabilities, due to accrued expenses related to our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Net cash provided by operating activities was $254,000 for the three months ended March 31, 2010, compared to $1.2 million for the same period in 2009, as the $973,000 increase in net income was more than offset by the changes in working capital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Net cash used in investing activities was $130,000 for the three months ended March 31, 2010 and $68,000 for the same period in 2009, all for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Net cash used in financing activities was $59,000 for the three months ended March 31, 2010 and $528,000 for the same period in 2009, all for repayments of our outstanding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have maintained a credit facility with BlueCrest Venture Finance Master Fund Limited which has provided us a series of equipment and term loans as well as a revolving line of credit. We have terminated this credit facility, effective March 31, 2010, such that no new borrowings will be made and all outstanding indebtedness will be repaid according to its terms. We are currently reviewing our future needs for a credit facility.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amount of the BlueCrest revolving loan commitment was $3.5 million, subject to borrowing base limitations. As of March 31, 2010, the maximum amount we could borrow under the revolving line of credit was $1.6 million, all of which we had borrowed and was outstanding at an interest rate of 9% per annum. The BlueCrest equipment loans are secured by a first lien on substantially all of our personal property. As of March 31, 2010, equipment loans in the aggregate of $594,000 were outstanding at interest rates ranging from 11.5% to 12.5%. These equipment loans are due in installments through January 1, 2012.</w:t>
      </w:r>
    </w:p>
    <w:p>
      <w:pPr>
        <w:spacing w:after="0" w:line="80"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BlueCrest credit facility permits BlueCrest to accelerate the loans upon the occurrence of various events of default, including a change in control or a material adverse change in our assets, business, operations or condition. This credit facility is discussed in more detail under the heading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and in Note D to our financial statements included in the final prospectus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public offering dated April 22, 2010 as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and the response of competitors to our solutions and applications. Historically, we have experienced increases in our expenditures consistent with the growth in our operations and personnel, and we anticipate that our expenditures will increase as we continue to grow our business.</w:t>
      </w:r>
    </w:p>
    <w:p>
      <w:pPr>
        <w:spacing w:after="0" w:line="8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believe our cash and cash equivalents, the proceeds from our initial public offering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2010. We do not expect that inflation or changing prices will materially affect our business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See Note A to our financial statements elsewhere in this Quarterly Report on Form 10-Q and in the final prospectus for our initial public offering dated April 22, 2010 as filed with the Securities and Exchange Commission for a full description of recent accounting pronouncements, including the respective expected dates of adoption and effects on our results of operations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2010 that have materially affected, or are reasonably likely to materially affect, our internal control over financial reporting.</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Our business is subject to a number of risks and uncertainties, which are discussed in detail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final prospectus for our initial public offering dated April 22, 2010 as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April 27, 2010, we completed the initial public offering of our common stock pursuant to our Registration Statement on Form S-1 (File No. 333-163476), which was declared effective by the Securities and Exchange Commission on April 21, 2010. The underwriters for the offering were Thomas Weisel Partners LLC, William Blair &amp; Company, L.L.C., Needham &amp; Company, LLC and JMP Securities LLC.</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offering included a total of 4,711,198 shares of common stock at an offering price of $12.00 per share. We issued and sold 3,114,504 shares, including 614,505 shares sold pursuant to the exercise in full of the underwriters’ over-allotment option, and the selling stockholders sold 1,596,694 shares. The aggregate sale price for all of the shares sold by us was $37.3 million, resulting in net proceeds to us of approximately $33.0 million after payment of underwriting discounts and commissions and legal, accounting and other fees incurred in connection with the offering. The aggregate sales price for all of the shares sold by the selling stockholders was approximately $19.2 million. We did not receive any of the proceeds from the sale of shares of common stock by the selling stockholders.</w:t>
      </w:r>
    </w:p>
    <w:p>
      <w:pPr>
        <w:spacing w:after="0" w:line="85"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On April 30, 2010, we used approximately $555,000 of the net proceeds received from our initial public offering to repay principal and interest on certain outstanding equipment loans. The balance of the net proceeds was deposited into our checking and money market bank accounts. We expect to use the remaining net proceeds to fund working capital and general corporate purposes, which may include the expansion of our content and service offerings and potential acquisitions of businesses, products and technologies. The amounts we actually spend for these purposes may vary significantly and will depend on a number of factors. Accordingly, our management will retain broad discretion in the allocation of the net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filed as part of this Quarterly Report on Form 10-Q are listed in the Exhibit Index immediately following the signatures to this report.</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May 17, 2010</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Exhibit</w:t>
      </w:r>
    </w:p>
    <w:p>
      <w:pPr>
        <w:ind w:left="20"/>
        <w:spacing w:after="0"/>
        <w:tabs>
          <w:tab w:leader="none" w:pos="780" w:val="left"/>
        </w:tabs>
        <w:rPr>
          <w:sz w:val="20"/>
          <w:szCs w:val="20"/>
          <w:color w:val="auto"/>
        </w:rPr>
      </w:pPr>
      <w:r>
        <w:rPr>
          <w:rFonts w:ascii="Arial" w:cs="Arial" w:eastAsia="Arial" w:hAnsi="Arial"/>
          <w:sz w:val="14"/>
          <w:szCs w:val="14"/>
          <w:i w:val="1"/>
          <w:iCs w:val="1"/>
          <w:u w:val="single" w:color="auto"/>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-3175</wp:posOffset>
            </wp:positionV>
            <wp:extent cx="6740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8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209"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225" w:lineRule="exact"/>
        <w:rPr>
          <w:sz w:val="20"/>
          <w:szCs w:val="20"/>
          <w:color w:val="auto"/>
        </w:rPr>
      </w:pPr>
    </w:p>
    <w:p>
      <w:pPr>
        <w:ind w:left="800" w:right="120" w:hanging="717"/>
        <w:spacing w:after="0" w:line="277"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19" w:right="3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4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0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4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hanging="326"/>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20" w:hanging="326"/>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260" w:hanging="326"/>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160" w:hanging="326"/>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326"/>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160" w:hanging="326"/>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2010</w:t>
      </w:r>
    </w:p>
    <w:p>
      <w:pPr>
        <w:sectPr>
          <w:pgSz w:w="11900" w:h="16838" w:orient="portrait"/>
          <w:cols w:equalWidth="0" w:num="1">
            <w:col w:w="11380"/>
          </w:cols>
          <w:pgMar w:left="240" w:top="121" w:right="27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4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00" w:hanging="314"/>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4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hanging="326"/>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20" w:hanging="326"/>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260" w:hanging="326"/>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160" w:hanging="326"/>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314"/>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326"/>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160" w:hanging="326"/>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2010</w:t>
      </w:r>
    </w:p>
    <w:p>
      <w:pPr>
        <w:sectPr>
          <w:pgSz w:w="11900" w:h="16838" w:orient="portrait"/>
          <w:cols w:equalWidth="0" w:num="1">
            <w:col w:w="11380"/>
          </w:cols>
          <w:pgMar w:left="240" w:top="121" w:right="27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17, 2010</w:t>
      </w:r>
    </w:p>
    <w:sectPr>
      <w:pgSz w:w="11900" w:h="16838" w:orient="portrait"/>
      <w:cols w:equalWidth="0" w:num="1">
        <w:col w:w="11220"/>
      </w:cols>
      <w:pgMar w:left="2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2019-12-10T18:34:07Z</dcterms:created>
  <dcterms:modified xsi:type="dcterms:W3CDTF">2019-12-10T18:34:07Z</dcterms:modified>
</cp:coreProperties>
</file>