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207010</wp:posOffset>
            </wp:positionH>
            <wp:positionV relativeFrom="page">
              <wp:posOffset>290830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307340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9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(Amendment No.  )</w:t>
      </w:r>
    </w:p>
    <w:p>
      <w:pPr>
        <w:spacing w:after="0" w:line="20" w:lineRule="exact"/>
        <w:rPr>
          <w:sz w:val="24"/>
          <w:szCs w:val="24"/>
          <w:color w:val="auto"/>
        </w:rPr>
      </w:pPr>
    </w:p>
    <w:p>
      <w:pPr>
        <w:spacing w:after="0" w:line="207" w:lineRule="exact"/>
        <w:tabs>
          <w:tab w:leader="none" w:pos="34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45" w:lineRule="exact"/>
        <w:rPr>
          <w:sz w:val="24"/>
          <w:szCs w:val="24"/>
          <w:color w:val="auto"/>
        </w:rPr>
      </w:pPr>
    </w:p>
    <w:p>
      <w:pPr>
        <w:ind w:left="580" w:hanging="574"/>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42" w:lineRule="exact"/>
        <w:rPr>
          <w:rFonts w:ascii="MS PGothic" w:cs="MS PGothic" w:eastAsia="MS PGothic" w:hAnsi="MS PGothic"/>
          <w:sz w:val="18"/>
          <w:szCs w:val="18"/>
          <w:color w:val="auto"/>
        </w:rPr>
      </w:pPr>
    </w:p>
    <w:p>
      <w:pPr>
        <w:ind w:left="580" w:hanging="574"/>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44"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Definitive Proxy Statement</w:t>
      </w:r>
    </w:p>
    <w:p>
      <w:pPr>
        <w:spacing w:after="0" w:line="47" w:lineRule="exact"/>
        <w:rPr>
          <w:rFonts w:ascii="MS PGothic" w:cs="MS PGothic" w:eastAsia="MS PGothic" w:hAnsi="MS PGothic"/>
          <w:sz w:val="18"/>
          <w:szCs w:val="18"/>
          <w:color w:val="auto"/>
        </w:rPr>
      </w:pPr>
    </w:p>
    <w:p>
      <w:pPr>
        <w:ind w:left="580" w:hanging="574"/>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44" w:lineRule="exact"/>
        <w:rPr>
          <w:rFonts w:ascii="MS PGothic" w:cs="MS PGothic" w:eastAsia="MS PGothic" w:hAnsi="MS PGothic"/>
          <w:sz w:val="18"/>
          <w:szCs w:val="18"/>
          <w:color w:val="auto"/>
        </w:rPr>
      </w:pPr>
    </w:p>
    <w:p>
      <w:pPr>
        <w:ind w:left="580" w:hanging="574"/>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2"/>
          <w:szCs w:val="42"/>
          <w:b w:val="1"/>
          <w:bCs w:val="1"/>
          <w:color w:val="auto"/>
        </w:rPr>
        <w:t>SPS COMMERCE,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3293745</wp:posOffset>
            </wp:positionH>
            <wp:positionV relativeFrom="paragraph">
              <wp:posOffset>78105</wp:posOffset>
            </wp:positionV>
            <wp:extent cx="555625" cy="555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5625" cy="555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67"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45" w:lineRule="exact"/>
        <w:rPr>
          <w:sz w:val="24"/>
          <w:szCs w:val="24"/>
          <w:color w:val="auto"/>
        </w:rPr>
      </w:pPr>
    </w:p>
    <w:p>
      <w:pPr>
        <w:ind w:left="580" w:hanging="574"/>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45" w:lineRule="exact"/>
        <w:rPr>
          <w:sz w:val="24"/>
          <w:szCs w:val="24"/>
          <w:color w:val="auto"/>
        </w:rPr>
      </w:pPr>
    </w:p>
    <w:p>
      <w:pPr>
        <w:ind w:left="580" w:hanging="574"/>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58" w:lineRule="exact"/>
        <w:rPr>
          <w:rFonts w:ascii="MS PGothic" w:cs="MS PGothic" w:eastAsia="MS PGothic" w:hAnsi="MS PGothic"/>
          <w:sz w:val="18"/>
          <w:szCs w:val="18"/>
          <w:color w:val="auto"/>
        </w:rPr>
      </w:pPr>
    </w:p>
    <w:p>
      <w:pPr>
        <w:ind w:left="1160" w:hanging="571"/>
        <w:spacing w:after="0"/>
        <w:tabs>
          <w:tab w:leader="none" w:pos="11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97" w:lineRule="exact"/>
        <w:rPr>
          <w:rFonts w:ascii="Times New Roman" w:cs="Times New Roman" w:eastAsia="Times New Roman" w:hAnsi="Times New Roman"/>
          <w:sz w:val="18"/>
          <w:szCs w:val="18"/>
          <w:color w:val="auto"/>
        </w:rPr>
      </w:pPr>
    </w:p>
    <w:p>
      <w:pPr>
        <w:ind w:left="1140" w:hanging="551"/>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111" w:lineRule="exact"/>
        <w:rPr>
          <w:rFonts w:ascii="Times New Roman" w:cs="Times New Roman" w:eastAsia="Times New Roman" w:hAnsi="Times New Roman"/>
          <w:sz w:val="18"/>
          <w:szCs w:val="18"/>
          <w:color w:val="auto"/>
        </w:rPr>
      </w:pPr>
    </w:p>
    <w:p>
      <w:pPr>
        <w:ind w:left="1140" w:hanging="551"/>
        <w:spacing w:after="0" w:line="274" w:lineRule="auto"/>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44" w:lineRule="exact"/>
        <w:rPr>
          <w:rFonts w:ascii="Times New Roman" w:cs="Times New Roman" w:eastAsia="Times New Roman" w:hAnsi="Times New Roman"/>
          <w:sz w:val="18"/>
          <w:szCs w:val="18"/>
          <w:color w:val="auto"/>
        </w:rPr>
      </w:pPr>
    </w:p>
    <w:p>
      <w:pPr>
        <w:ind w:left="1140" w:hanging="551"/>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97"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177" w:lineRule="exact"/>
        <w:rPr>
          <w:rFonts w:ascii="Times New Roman" w:cs="Times New Roman" w:eastAsia="Times New Roman" w:hAnsi="Times New Roman"/>
          <w:sz w:val="18"/>
          <w:szCs w:val="18"/>
          <w:color w:val="auto"/>
        </w:rPr>
      </w:pPr>
    </w:p>
    <w:p>
      <w:pPr>
        <w:ind w:left="580" w:hanging="574"/>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58" w:lineRule="exact"/>
        <w:rPr>
          <w:rFonts w:ascii="MS PGothic" w:cs="MS PGothic" w:eastAsia="MS PGothic" w:hAnsi="MS PGothic"/>
          <w:sz w:val="18"/>
          <w:szCs w:val="18"/>
          <w:color w:val="auto"/>
        </w:rPr>
      </w:pPr>
    </w:p>
    <w:p>
      <w:pPr>
        <w:ind w:left="580" w:right="300" w:hanging="574"/>
        <w:spacing w:after="0" w:line="274" w:lineRule="auto"/>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8"/>
          <w:szCs w:val="18"/>
          <w:color w:val="auto"/>
        </w:rPr>
      </w:pPr>
    </w:p>
    <w:p>
      <w:pPr>
        <w:ind w:left="1160" w:hanging="571"/>
        <w:spacing w:after="0"/>
        <w:tabs>
          <w:tab w:leader="none" w:pos="11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97"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97"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111"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752475</wp:posOffset>
            </wp:positionH>
            <wp:positionV relativeFrom="paragraph">
              <wp:posOffset>-2155190</wp:posOffset>
            </wp:positionV>
            <wp:extent cx="63861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752475</wp:posOffset>
            </wp:positionH>
            <wp:positionV relativeFrom="paragraph">
              <wp:posOffset>-1953260</wp:posOffset>
            </wp:positionV>
            <wp:extent cx="63861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752475</wp:posOffset>
            </wp:positionH>
            <wp:positionV relativeFrom="paragraph">
              <wp:posOffset>-1624965</wp:posOffset>
            </wp:positionV>
            <wp:extent cx="63861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752475</wp:posOffset>
            </wp:positionH>
            <wp:positionV relativeFrom="paragraph">
              <wp:posOffset>-1431925</wp:posOffset>
            </wp:positionV>
            <wp:extent cx="6386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752475</wp:posOffset>
            </wp:positionH>
            <wp:positionV relativeFrom="paragraph">
              <wp:posOffset>-1229995</wp:posOffset>
            </wp:positionV>
            <wp:extent cx="63861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752475</wp:posOffset>
            </wp:positionH>
            <wp:positionV relativeFrom="paragraph">
              <wp:posOffset>-523240</wp:posOffset>
            </wp:positionV>
            <wp:extent cx="63861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752475</wp:posOffset>
            </wp:positionH>
            <wp:positionV relativeFrom="paragraph">
              <wp:posOffset>-329565</wp:posOffset>
            </wp:positionV>
            <wp:extent cx="63861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752475</wp:posOffset>
            </wp:positionH>
            <wp:positionV relativeFrom="paragraph">
              <wp:posOffset>-127635</wp:posOffset>
            </wp:positionV>
            <wp:extent cx="63861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752475</wp:posOffset>
            </wp:positionH>
            <wp:positionV relativeFrom="paragraph">
              <wp:posOffset>65405</wp:posOffset>
            </wp:positionV>
            <wp:extent cx="63861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149225</wp:posOffset>
            </wp:positionV>
            <wp:extent cx="7134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166370</wp:posOffset>
            </wp:positionV>
            <wp:extent cx="7134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738505</wp:posOffset>
            </wp:positionV>
            <wp:extent cx="715137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1370" cy="16510"/>
                    </a:xfrm>
                    <a:prstGeom prst="rect">
                      <a:avLst/>
                    </a:prstGeom>
                    <a:noFill/>
                  </pic:spPr>
                </pic:pic>
              </a:graphicData>
            </a:graphic>
          </wp:anchor>
        </w:drawing>
      </w:r>
    </w:p>
    <w:p>
      <w:pPr>
        <w:sectPr>
          <w:pgSz w:w="11900" w:h="16838" w:orient="portrait"/>
          <w:cols w:equalWidth="0" w:num="1">
            <w:col w:w="11200"/>
          </w:cols>
          <w:pgMar w:left="320" w:top="543" w:right="3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375285</wp:posOffset>
            </wp:positionV>
            <wp:extent cx="2927985" cy="799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927985" cy="79946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South Seventh Street, Suite 1000</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(612) 435-9400</w:t>
      </w:r>
    </w:p>
    <w:p>
      <w:pPr>
        <w:spacing w:after="0" w:line="1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6, 2020</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164" w:lineRule="exact"/>
        <w:rPr>
          <w:sz w:val="20"/>
          <w:szCs w:val="20"/>
          <w:color w:val="auto"/>
        </w:rPr>
      </w:pPr>
    </w:p>
    <w:p>
      <w:pPr>
        <w:ind w:right="80" w:firstLine="589"/>
        <w:spacing w:after="0" w:line="271" w:lineRule="auto"/>
        <w:rPr>
          <w:sz w:val="20"/>
          <w:szCs w:val="20"/>
          <w:color w:val="auto"/>
        </w:rPr>
      </w:pPr>
      <w:r>
        <w:rPr>
          <w:rFonts w:ascii="Times New Roman" w:cs="Times New Roman" w:eastAsia="Times New Roman" w:hAnsi="Times New Roman"/>
          <w:sz w:val="17"/>
          <w:szCs w:val="17"/>
          <w:color w:val="auto"/>
        </w:rPr>
        <w:t>You are cordially invited to join us for our 2020 annual meeting of stockholders, which will be held on Monday, May 18, 2020, at 1:00 p.m., Central Time, at SPS Tower, 333 South Seventh Street, Suite 1000, Minneapolis, Minnesota 55402. The notice of annual meeting of stockholders and the proxy statement that follow describe the business to be conducted at the meeting. Whether or not you plan to attend the meeting, your vote is important and we encourage you to vote your shares promptly. You may vote your shares using a toll-free telephone number, using the internet or you may sign, date and mail a proxy card which can be requested and mailed to you free of charge. Instructions regarding the three methods of voting are contained in the proxy materials.</w:t>
      </w:r>
    </w:p>
    <w:p>
      <w:pPr>
        <w:spacing w:after="0" w:line="115" w:lineRule="exact"/>
        <w:rPr>
          <w:sz w:val="20"/>
          <w:szCs w:val="20"/>
          <w:color w:val="auto"/>
        </w:rPr>
      </w:pPr>
    </w:p>
    <w:p>
      <w:pPr>
        <w:ind w:firstLine="770"/>
        <w:spacing w:after="0" w:line="248" w:lineRule="auto"/>
        <w:rPr>
          <w:sz w:val="20"/>
          <w:szCs w:val="20"/>
          <w:color w:val="auto"/>
        </w:rPr>
      </w:pPr>
      <w:r>
        <w:rPr>
          <w:rFonts w:ascii="Times New Roman" w:cs="Times New Roman" w:eastAsia="Times New Roman" w:hAnsi="Times New Roman"/>
          <w:sz w:val="18"/>
          <w:szCs w:val="18"/>
          <w:color w:val="auto"/>
        </w:rPr>
        <w:t>We are pleased to take advantage of Securities and Exchange Commission (“SEC”) rules that allow companies to furnish their proxy materials over the internet. We are mailing to many of our stockholders a Notice of Internet Availability of Proxy Materials (the “Notice”) instead of a paper copy of our proxy materials and our 2019 Annual Report to Stockholders (the “Annual Report”). The Notice contains instructions on how to access those documents and to cast your vote via the internet. The Notice also contains instructions on how to request a paper copy of our proxy materials and our Annual Report. All stockholders who do not receive a Notice will receive a paper copy of the proxy materials and the Annual Report by mail. This process allows us to provide our stockholders with the information they need on a more timely basis, while reducing the environmental impact and lowering the costs of printing and distributing our proxy materials. Please note that the date, time and physical location of the 2020 annual meeting of stockholders have been changed since the proxy card and Notice were printed so please rely on the information in the accompanying Notice of 2020 Annual Meeting of Stockholders and in the “How to Vote” section of the proxy statement regarding the meeting date, time and location and voting deadlines. The proxy card included with the proxy materials may continue to be used to vote your shares in connection with the annual meeting.</w:t>
      </w:r>
    </w:p>
    <w:p>
      <w:pPr>
        <w:spacing w:after="0" w:line="14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look forward to seeing you at the annual meeting.</w:t>
      </w:r>
    </w:p>
    <w:p>
      <w:pPr>
        <w:spacing w:after="0" w:line="24"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154305</wp:posOffset>
            </wp:positionV>
            <wp:extent cx="1607185" cy="445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0718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Archie C. Black</w:t>
      </w:r>
    </w:p>
    <w:p>
      <w:pPr>
        <w:spacing w:after="0" w:line="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726440</wp:posOffset>
            </wp:positionV>
            <wp:extent cx="715137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137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248920</wp:posOffset>
            </wp:positionV>
            <wp:extent cx="2397760" cy="655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397760" cy="6559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SPS Commerce,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South Seventh Street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172" w:lineRule="exact"/>
        <w:rPr>
          <w:sz w:val="20"/>
          <w:szCs w:val="20"/>
          <w:color w:val="auto"/>
        </w:rPr>
      </w:pPr>
    </w:p>
    <w:p>
      <w:pPr>
        <w:spacing w:after="0"/>
        <w:rPr>
          <w:sz w:val="20"/>
          <w:szCs w:val="20"/>
          <w:color w:val="auto"/>
        </w:rPr>
      </w:pPr>
      <w:r>
        <w:rPr>
          <w:rFonts w:ascii="Arial" w:cs="Arial" w:eastAsia="Arial" w:hAnsi="Arial"/>
          <w:sz w:val="38"/>
          <w:szCs w:val="38"/>
          <w:color w:val="auto"/>
        </w:rPr>
        <w:t>Notice of 2020 Annual Meeting of Stockholders</w:t>
      </w:r>
    </w:p>
    <w:p>
      <w:pPr>
        <w:sectPr>
          <w:pgSz w:w="11900" w:h="16838" w:orient="portrait"/>
          <w:cols w:equalWidth="0" w:num="1">
            <w:col w:w="11180"/>
          </w:cols>
          <w:pgMar w:left="320" w:top="1440" w:right="399" w:bottom="1440" w:gutter="0" w:footer="0" w:header="0"/>
        </w:sectPr>
      </w:pPr>
    </w:p>
    <w:p>
      <w:pPr>
        <w:spacing w:after="0" w:line="163" w:lineRule="exact"/>
        <w:rPr>
          <w:sz w:val="20"/>
          <w:szCs w:val="20"/>
          <w:color w:val="auto"/>
        </w:rPr>
      </w:pPr>
    </w:p>
    <w:p>
      <w:pPr>
        <w:ind w:left="340"/>
        <w:spacing w:after="0"/>
        <w:rPr>
          <w:sz w:val="20"/>
          <w:szCs w:val="20"/>
          <w:color w:val="auto"/>
        </w:rPr>
      </w:pPr>
      <w:r>
        <w:rPr>
          <w:sz w:val="1"/>
          <w:szCs w:val="1"/>
          <w:color w:val="auto"/>
        </w:rPr>
        <w:drawing>
          <wp:inline distT="0" distB="0" distL="0" distR="0">
            <wp:extent cx="142875" cy="13462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2875" cy="134620"/>
                    </a:xfrm>
                    <a:prstGeom prst="rect">
                      <a:avLst/>
                    </a:prstGeom>
                    <a:noFill/>
                    <a:ln>
                      <a:noFill/>
                    </a:ln>
                  </pic:spPr>
                </pic:pic>
              </a:graphicData>
            </a:graphic>
          </wp:inline>
        </w:drawing>
      </w:r>
      <w:r>
        <w:rPr>
          <w:rFonts w:ascii="Times New Roman" w:cs="Times New Roman" w:eastAsia="Times New Roman" w:hAnsi="Times New Roman"/>
          <w:sz w:val="15"/>
          <w:szCs w:val="15"/>
          <w:b w:val="1"/>
          <w:bCs w:val="1"/>
          <w:color w:val="00AAE5"/>
        </w:rPr>
        <w:t xml:space="preserve"> Time and Date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center"/>
        <w:ind w:right="4600"/>
        <w:spacing w:after="0"/>
        <w:rPr>
          <w:sz w:val="20"/>
          <w:szCs w:val="20"/>
          <w:color w:val="auto"/>
        </w:rPr>
      </w:pPr>
      <w:r>
        <w:rPr>
          <w:sz w:val="1"/>
          <w:szCs w:val="1"/>
          <w:color w:val="auto"/>
        </w:rPr>
        <w:drawing>
          <wp:inline distT="0" distB="0" distL="0" distR="0">
            <wp:extent cx="142875" cy="1346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2875" cy="134620"/>
                    </a:xfrm>
                    <a:prstGeom prst="rect">
                      <a:avLst/>
                    </a:prstGeom>
                    <a:noFill/>
                    <a:ln>
                      <a:noFill/>
                    </a:ln>
                  </pic:spPr>
                </pic:pic>
              </a:graphicData>
            </a:graphic>
          </wp:inline>
        </w:drawing>
      </w:r>
      <w:r>
        <w:rPr>
          <w:rFonts w:ascii="Times New Roman" w:cs="Times New Roman" w:eastAsia="Times New Roman" w:hAnsi="Times New Roman"/>
          <w:sz w:val="15"/>
          <w:szCs w:val="15"/>
          <w:b w:val="1"/>
          <w:bCs w:val="1"/>
          <w:color w:val="00AAE5"/>
        </w:rPr>
        <w:t>Place</w:t>
      </w:r>
    </w:p>
    <w:p>
      <w:pPr>
        <w:spacing w:after="0" w:line="108" w:lineRule="exact"/>
        <w:rPr>
          <w:sz w:val="20"/>
          <w:szCs w:val="20"/>
          <w:color w:val="auto"/>
        </w:rPr>
      </w:pPr>
    </w:p>
    <w:p>
      <w:pPr>
        <w:sectPr>
          <w:pgSz w:w="11900" w:h="16838" w:orient="portrait"/>
          <w:cols w:equalWidth="0" w:num="2">
            <w:col w:w="5240" w:space="720"/>
            <w:col w:w="5220"/>
          </w:cols>
          <w:pgMar w:left="320" w:top="1440" w:right="39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1:00 p.m., Central Daylight Time</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Monday, May 18,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SPS Tower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333 South Seventh Street, Suite 1000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MN 55402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137160</wp:posOffset>
            </wp:positionV>
            <wp:extent cx="7134860" cy="1430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4306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220"/>
          </w:cols>
          <w:pgMar w:left="320" w:top="1440" w:right="399" w:bottom="1440" w:gutter="0" w:footer="0" w:header="0"/>
          <w:type w:val="continuous"/>
        </w:sectPr>
      </w:pP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AAE5"/>
        </w:rPr>
        <w:t>Items of Business</w:t>
      </w:r>
    </w:p>
    <w:p>
      <w:pPr>
        <w:spacing w:after="0" w:line="111" w:lineRule="exact"/>
        <w:rPr>
          <w:sz w:val="20"/>
          <w:szCs w:val="20"/>
          <w:color w:val="auto"/>
        </w:rPr>
      </w:pPr>
    </w:p>
    <w:p>
      <w:pPr>
        <w:ind w:left="580" w:hanging="455"/>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the seven directors identified in the Proxy Statement, each for a one-year term.</w:t>
      </w:r>
    </w:p>
    <w:p>
      <w:pPr>
        <w:spacing w:after="0" w:line="111" w:lineRule="exact"/>
        <w:rPr>
          <w:rFonts w:ascii="Times New Roman" w:cs="Times New Roman" w:eastAsia="Times New Roman" w:hAnsi="Times New Roman"/>
          <w:sz w:val="18"/>
          <w:szCs w:val="18"/>
          <w:color w:val="auto"/>
        </w:rPr>
      </w:pPr>
    </w:p>
    <w:p>
      <w:pPr>
        <w:ind w:left="580" w:hanging="455"/>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of KPMG LLP as independent auditor of SPS Commerce, Inc. for the fiscal year ending December 31, 2020.</w:t>
      </w:r>
    </w:p>
    <w:p>
      <w:pPr>
        <w:spacing w:after="0" w:line="111" w:lineRule="exact"/>
        <w:rPr>
          <w:rFonts w:ascii="Times New Roman" w:cs="Times New Roman" w:eastAsia="Times New Roman" w:hAnsi="Times New Roman"/>
          <w:sz w:val="18"/>
          <w:szCs w:val="18"/>
          <w:color w:val="auto"/>
        </w:rPr>
      </w:pPr>
    </w:p>
    <w:p>
      <w:pPr>
        <w:ind w:left="580" w:hanging="455"/>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vote to approve the compensation of our named executive officers as disclosed in the attached proxy statement.</w:t>
      </w:r>
    </w:p>
    <w:p>
      <w:pPr>
        <w:spacing w:after="0" w:line="111" w:lineRule="exact"/>
        <w:rPr>
          <w:rFonts w:ascii="Times New Roman" w:cs="Times New Roman" w:eastAsia="Times New Roman" w:hAnsi="Times New Roman"/>
          <w:sz w:val="18"/>
          <w:szCs w:val="18"/>
          <w:color w:val="auto"/>
        </w:rPr>
      </w:pPr>
    </w:p>
    <w:p>
      <w:pPr>
        <w:ind w:left="580" w:right="700" w:hanging="455"/>
        <w:spacing w:after="0" w:line="274"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amendment to our Eighth Amended and Restated Certificate of Incorporation to increase the number of authorized shares of common stock.</w:t>
      </w:r>
    </w:p>
    <w:p>
      <w:pPr>
        <w:spacing w:after="0" w:line="57" w:lineRule="exact"/>
        <w:rPr>
          <w:rFonts w:ascii="Times New Roman" w:cs="Times New Roman" w:eastAsia="Times New Roman" w:hAnsi="Times New Roman"/>
          <w:sz w:val="18"/>
          <w:szCs w:val="18"/>
          <w:color w:val="auto"/>
        </w:rPr>
      </w:pPr>
    </w:p>
    <w:p>
      <w:pPr>
        <w:ind w:left="580" w:hanging="455"/>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that may properly be considered at the meeting or any adjournment or postponement of the meeting.</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AAE5"/>
        </w:rPr>
        <w:t xml:space="preserve">Record Date </w:t>
      </w:r>
      <w:r>
        <w:rPr>
          <w:rFonts w:ascii="Times New Roman" w:cs="Times New Roman" w:eastAsia="Times New Roman" w:hAnsi="Times New Roman"/>
          <w:sz w:val="18"/>
          <w:szCs w:val="18"/>
          <w:color w:val="000000"/>
        </w:rPr>
        <w:t>– You may vote at the meeting if you were a stockholder of record at the close of business on March 25, 2020.</w:t>
      </w:r>
    </w:p>
    <w:p>
      <w:pPr>
        <w:spacing w:after="0" w:line="16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00AAE5"/>
        </w:rPr>
        <w:t xml:space="preserve">Voting by Proxy </w:t>
      </w:r>
      <w:r>
        <w:rPr>
          <w:rFonts w:ascii="Times New Roman" w:cs="Times New Roman" w:eastAsia="Times New Roman" w:hAnsi="Times New Roman"/>
          <w:sz w:val="18"/>
          <w:szCs w:val="18"/>
          <w:color w:val="000000"/>
        </w:rPr>
        <w:t>– Whether or not you plan to attend the annual meeting, please vote your shares by proxy to ensure they are represented at the meeting. To</w:t>
      </w:r>
      <w:r>
        <w:rPr>
          <w:rFonts w:ascii="Times New Roman" w:cs="Times New Roman" w:eastAsia="Times New Roman" w:hAnsi="Times New Roman"/>
          <w:sz w:val="18"/>
          <w:szCs w:val="18"/>
          <w:color w:val="00AAE5"/>
        </w:rPr>
        <w:t xml:space="preserve"> </w:t>
      </w:r>
      <w:r>
        <w:rPr>
          <w:rFonts w:ascii="Times New Roman" w:cs="Times New Roman" w:eastAsia="Times New Roman" w:hAnsi="Times New Roman"/>
          <w:sz w:val="18"/>
          <w:szCs w:val="18"/>
          <w:color w:val="000000"/>
        </w:rPr>
        <w:t>submit your proxy vote, you may follow the instructions for voting via telephone or the internet as described in the Notice of Internet Availability of Proxy Materials and the following proxy statement. If you received a paper copy of the proxy card by mail, you may sign, date and mail the proxy card in the envelope provided. Our vote tabulator is Broadridge Financial Solutions, Inc., and no postage is required if the request for a paper copy of the proxy materials is mailed in the United States.</w:t>
      </w:r>
    </w:p>
    <w:p>
      <w:pPr>
        <w:spacing w:after="0" w:line="132"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00AAE5"/>
        </w:rPr>
        <w:t xml:space="preserve">Note </w:t>
      </w:r>
      <w:r>
        <w:rPr>
          <w:rFonts w:ascii="Times New Roman" w:cs="Times New Roman" w:eastAsia="Times New Roman" w:hAnsi="Times New Roman"/>
          <w:sz w:val="17"/>
          <w:szCs w:val="17"/>
          <w:color w:val="000000"/>
        </w:rPr>
        <w:t>– The date, time and physical location of the 2020 Annual Meeting of Stockholders have been updated since the proxy card and Notice of Internet</w:t>
      </w:r>
      <w:r>
        <w:rPr>
          <w:rFonts w:ascii="Times New Roman" w:cs="Times New Roman" w:eastAsia="Times New Roman" w:hAnsi="Times New Roman"/>
          <w:sz w:val="17"/>
          <w:szCs w:val="17"/>
          <w:color w:val="00AAE5"/>
        </w:rPr>
        <w:t xml:space="preserve"> </w:t>
      </w:r>
      <w:r>
        <w:rPr>
          <w:rFonts w:ascii="Times New Roman" w:cs="Times New Roman" w:eastAsia="Times New Roman" w:hAnsi="Times New Roman"/>
          <w:sz w:val="17"/>
          <w:szCs w:val="17"/>
          <w:color w:val="000000"/>
        </w:rPr>
        <w:t>Availability of Proxy Materials were printed so please rely on the information in this Notice of 2020 Annual Meeting of Stockholders and in the “How to Vote” section of the proxy statement regarding the meeting date, time and location and voting deadlines. The proxy card included with the proxy materials may continue to be used to vote your shares in connection with the annual meeting. As noted above, we intend to hold our annual meeting in person. However, we are actively monitoring the coronavirus (COVID-19); we are sensitive to the public health and travel concerns our stockholders may have and the protocols that federal, state, and local governments may impose. In the event it is not possible or advisable to hold our annual meeting in person or at the scheduled location, we will announce alternative arrangements for the meeting as promptly as practicable, which may include holding the meeting solely by means of remote communication. Please monitor https://investors.spscommerce.com/ for updated information. If you are planning to attend our meeting, please check the website one week prior to the meeting date. As always, we encourage you to vote your shares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637540</wp:posOffset>
            </wp:positionV>
            <wp:extent cx="715137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1370" cy="165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1539875" cy="302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39875" cy="30289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Archie C. Black</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134860" cy="690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690245"/>
                    </a:xfrm>
                    <a:prstGeom prst="rect">
                      <a:avLst/>
                    </a:prstGeom>
                    <a:noFill/>
                  </pic:spPr>
                </pic:pic>
              </a:graphicData>
            </a:graphic>
          </wp:anchor>
        </w:drawing>
      </w:r>
    </w:p>
    <w:p>
      <w:pPr>
        <w:spacing w:after="0" w:line="295" w:lineRule="exact"/>
        <w:rPr>
          <w:sz w:val="20"/>
          <w:szCs w:val="20"/>
          <w:color w:val="auto"/>
        </w:rPr>
      </w:pPr>
    </w:p>
    <w:p>
      <w:pPr>
        <w:jc w:val="center"/>
        <w:ind w:left="440"/>
        <w:spacing w:after="0" w:line="276" w:lineRule="auto"/>
        <w:rPr>
          <w:sz w:val="20"/>
          <w:szCs w:val="20"/>
          <w:color w:val="auto"/>
        </w:rPr>
      </w:pPr>
      <w:r>
        <w:rPr>
          <w:rFonts w:ascii="Times New Roman" w:cs="Times New Roman" w:eastAsia="Times New Roman" w:hAnsi="Times New Roman"/>
          <w:sz w:val="18"/>
          <w:szCs w:val="18"/>
          <w:b w:val="1"/>
          <w:bCs w:val="1"/>
          <w:color w:val="00AAE5"/>
        </w:rPr>
        <w:t>IMPORTANT NOTICE REGARDING THE AVAILABILITY OF PROXY MATERIALS FOR THE ANNUAL MEETING OF STOCKHOLDERS TO BE HELD ON MAY 18, 2020:</w:t>
      </w:r>
    </w:p>
    <w:p>
      <w:pPr>
        <w:spacing w:after="0" w:line="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00AAE5"/>
        </w:rPr>
        <w:t>The Notice of Annual Meeting, Proxy Statement, and 2019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680720</wp:posOffset>
            </wp:positionV>
            <wp:extent cx="71513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20"/>
          </w:cols>
          <w:pgMar w:left="320" w:top="492"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6"/>
          <w:szCs w:val="26"/>
          <w:b w:val="1"/>
          <w:bCs w:val="1"/>
          <w:color w:val="auto"/>
        </w:rPr>
        <w:t>How to Vote</w:t>
      </w:r>
    </w:p>
    <w:p>
      <w:pPr>
        <w:spacing w:after="0" w:line="17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Whether or not you plan to attend the meeting, please provide your proxy by either using the Internet or telephone as further explained in this proxy statement or filling in, signing, dating, and promptly mailing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92710" cy="168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2710" cy="168275"/>
                    </a:xfrm>
                    <a:prstGeom prst="rect">
                      <a:avLst/>
                    </a:prstGeom>
                    <a:noFill/>
                  </pic:spPr>
                </pic:pic>
              </a:graphicData>
            </a:graphic>
          </wp:anchor>
        </w:drawing>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00AAE5"/>
        </w:rPr>
        <w:t>BY TELEPHONE</w:t>
      </w:r>
    </w:p>
    <w:p>
      <w:pPr>
        <w:spacing w:after="0" w:line="151" w:lineRule="exact"/>
        <w:rPr>
          <w:sz w:val="20"/>
          <w:szCs w:val="20"/>
          <w:color w:val="auto"/>
        </w:rPr>
      </w:pPr>
    </w:p>
    <w:p>
      <w:pPr>
        <w:ind w:left="860" w:hanging="430"/>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need to use a control number that was provided to you by our vote tabulator, Broadridge Financial Solutions.</w:t>
      </w:r>
    </w:p>
    <w:p>
      <w:pPr>
        <w:spacing w:after="0" w:line="111" w:lineRule="exact"/>
        <w:rPr>
          <w:rFonts w:ascii="Times New Roman" w:cs="Times New Roman" w:eastAsia="Times New Roman" w:hAnsi="Times New Roman"/>
          <w:sz w:val="18"/>
          <w:szCs w:val="18"/>
          <w:color w:val="auto"/>
        </w:rPr>
      </w:pPr>
    </w:p>
    <w:p>
      <w:pPr>
        <w:ind w:left="860" w:right="160" w:hanging="430"/>
        <w:spacing w:after="0" w:line="274"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the toll-free number on your Notice or proxy card, 24 hours a day, seven days a week, through 11:59 p.m. (ET) on May 17, 2020 for shares held directly, and through 11:59 p.m. (ET) on May 13, 2020 for shares held in a Plan.</w:t>
      </w:r>
    </w:p>
    <w:p>
      <w:pPr>
        <w:spacing w:after="0" w:line="57" w:lineRule="exact"/>
        <w:rPr>
          <w:rFonts w:ascii="Times New Roman" w:cs="Times New Roman" w:eastAsia="Times New Roman" w:hAnsi="Times New Roman"/>
          <w:sz w:val="18"/>
          <w:szCs w:val="18"/>
          <w:color w:val="auto"/>
        </w:rPr>
      </w:pPr>
    </w:p>
    <w:p>
      <w:pPr>
        <w:ind w:left="860" w:hanging="430"/>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have your Notice or proxy card available and follow the additional steps when prompted.</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00AAE5"/>
        </w:rPr>
        <w:t>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142875" cy="134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2875" cy="134620"/>
                    </a:xfrm>
                    <a:prstGeom prst="rect">
                      <a:avLst/>
                    </a:prstGeom>
                    <a:noFill/>
                  </pic:spPr>
                </pic:pic>
              </a:graphicData>
            </a:graphic>
          </wp:anchor>
        </w:drawing>
      </w:r>
    </w:p>
    <w:p>
      <w:pPr>
        <w:spacing w:after="0" w:line="118" w:lineRule="exact"/>
        <w:rPr>
          <w:sz w:val="20"/>
          <w:szCs w:val="20"/>
          <w:color w:val="auto"/>
        </w:rPr>
      </w:pPr>
    </w:p>
    <w:p>
      <w:pPr>
        <w:ind w:left="860" w:right="80" w:hanging="430"/>
        <w:spacing w:after="0" w:line="274"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 to the web site at www.proxyvote.com, 24 hours a day, seven days a week, through 11:59 p.m. (ET) on May 17, 2020 for shares held directly, and through 11:59 p.m. (ET) on May 13, 2020 for shares held in a Plan.</w:t>
      </w:r>
    </w:p>
    <w:p>
      <w:pPr>
        <w:spacing w:after="0" w:line="57" w:lineRule="exact"/>
        <w:rPr>
          <w:rFonts w:ascii="Times New Roman" w:cs="Times New Roman" w:eastAsia="Times New Roman" w:hAnsi="Times New Roman"/>
          <w:sz w:val="18"/>
          <w:szCs w:val="18"/>
          <w:color w:val="auto"/>
        </w:rPr>
      </w:pPr>
    </w:p>
    <w:p>
      <w:pPr>
        <w:ind w:left="860" w:right="340" w:hanging="430"/>
        <w:spacing w:after="0" w:line="274"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have your Notice or proxy card available and follow the instructions provided to obtain your records and to create an electronic voting instruction form.</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00AAE5"/>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126365" cy="1009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6365" cy="100965"/>
                    </a:xfrm>
                    <a:prstGeom prst="rect">
                      <a:avLst/>
                    </a:prstGeom>
                    <a:noFill/>
                  </pic:spPr>
                </pic:pic>
              </a:graphicData>
            </a:graphic>
          </wp:anchor>
        </w:drawing>
      </w:r>
    </w:p>
    <w:p>
      <w:pPr>
        <w:spacing w:after="0" w:line="118" w:lineRule="exact"/>
        <w:rPr>
          <w:sz w:val="20"/>
          <w:szCs w:val="20"/>
          <w:color w:val="auto"/>
        </w:rPr>
      </w:pPr>
    </w:p>
    <w:p>
      <w:pPr>
        <w:ind w:left="860" w:right="200" w:hanging="430"/>
        <w:spacing w:after="0" w:line="274"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received a Notice, first request a paper copy of the proxy materials as directed in the Notice on or before May 4, 2020 to facilitate timely delivery.</w:t>
      </w:r>
    </w:p>
    <w:p>
      <w:pPr>
        <w:spacing w:after="0" w:line="57" w:lineRule="exact"/>
        <w:rPr>
          <w:rFonts w:ascii="Times New Roman" w:cs="Times New Roman" w:eastAsia="Times New Roman" w:hAnsi="Times New Roman"/>
          <w:sz w:val="18"/>
          <w:szCs w:val="18"/>
          <w:color w:val="auto"/>
        </w:rPr>
      </w:pPr>
    </w:p>
    <w:p>
      <w:pPr>
        <w:ind w:left="860" w:hanging="430"/>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sign and date your proxy card.</w:t>
      </w:r>
    </w:p>
    <w:p>
      <w:pPr>
        <w:spacing w:after="0" w:line="111" w:lineRule="exact"/>
        <w:rPr>
          <w:rFonts w:ascii="Times New Roman" w:cs="Times New Roman" w:eastAsia="Times New Roman" w:hAnsi="Times New Roman"/>
          <w:sz w:val="18"/>
          <w:szCs w:val="18"/>
          <w:color w:val="auto"/>
        </w:rPr>
      </w:pPr>
    </w:p>
    <w:p>
      <w:pPr>
        <w:ind w:left="860" w:hanging="430"/>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it in the postage-paid envelope provided.</w:t>
      </w:r>
    </w:p>
    <w:p>
      <w:pPr>
        <w:spacing w:after="0" w:line="16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your shares are held in an account at a brokerage firm, bank or similar organization, you will receive voting instructions from the organization holding your account and you must follow those instructions to vote your shares. You will receive a Notice Regarding the Availability of Proxy Materials that will tell you how to access our proxy materials on the Internet and vote your shares over the Internet. It will also tell you how to request a paper or e-mail copy of our proxy materials.</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YOUR VOTE IS IMPORTANT. THANK YOU FOR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1000760</wp:posOffset>
            </wp:positionV>
            <wp:extent cx="715137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1370" cy="16510"/>
                    </a:xfrm>
                    <a:prstGeom prst="rect">
                      <a:avLst/>
                    </a:prstGeom>
                    <a:noFill/>
                  </pic:spPr>
                </pic:pic>
              </a:graphicData>
            </a:graphic>
          </wp:anchor>
        </w:drawing>
      </w:r>
    </w:p>
    <w:p>
      <w:pPr>
        <w:sectPr>
          <w:pgSz w:w="11900" w:h="16838" w:orient="portrait"/>
          <w:cols w:equalWidth="0" w:num="1">
            <w:col w:w="11180"/>
          </w:cols>
          <w:pgMar w:left="320" w:top="320" w:right="39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PROXY STATEMENT</w:t>
      </w:r>
    </w:p>
    <w:p>
      <w:pPr>
        <w:spacing w:after="0" w:line="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500" w:type="dxa"/>
            <w:vAlign w:val="bottom"/>
            <w:gridSpan w:val="4"/>
          </w:tcPr>
          <w:p>
            <w:pPr>
              <w:spacing w:after="0"/>
              <w:rPr>
                <w:rFonts w:ascii="Times New Roman" w:cs="Times New Roman" w:eastAsia="Times New Roman" w:hAnsi="Times New Roman"/>
                <w:sz w:val="18"/>
                <w:szCs w:val="18"/>
                <w:b w:val="1"/>
                <w:bCs w:val="1"/>
                <w:u w:val="single" w:color="auto"/>
                <w:color w:val="0000EE"/>
              </w:rPr>
            </w:pPr>
            <w:hyperlink w:anchor="page7">
              <w:r>
                <w:rPr>
                  <w:rFonts w:ascii="Times New Roman" w:cs="Times New Roman" w:eastAsia="Times New Roman" w:hAnsi="Times New Roman"/>
                  <w:sz w:val="18"/>
                  <w:szCs w:val="18"/>
                  <w:b w:val="1"/>
                  <w:bCs w:val="1"/>
                  <w:u w:val="single" w:color="auto"/>
                  <w:color w:val="0000EE"/>
                </w:rPr>
                <w:t>PROXY SUMMARY</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14"/>
        </w:trPr>
        <w:tc>
          <w:tcPr>
            <w:tcW w:w="10500" w:type="dxa"/>
            <w:vAlign w:val="bottom"/>
            <w:gridSpan w:val="4"/>
          </w:tcPr>
          <w:p>
            <w:pPr>
              <w:spacing w:after="0"/>
              <w:rPr>
                <w:rFonts w:ascii="Times New Roman" w:cs="Times New Roman" w:eastAsia="Times New Roman" w:hAnsi="Times New Roman"/>
                <w:sz w:val="18"/>
                <w:szCs w:val="18"/>
                <w:b w:val="1"/>
                <w:bCs w:val="1"/>
                <w:u w:val="single" w:color="auto"/>
                <w:color w:val="0000EE"/>
              </w:rPr>
            </w:pPr>
            <w:hyperlink w:anchor="page9">
              <w:r>
                <w:rPr>
                  <w:rFonts w:ascii="Times New Roman" w:cs="Times New Roman" w:eastAsia="Times New Roman" w:hAnsi="Times New Roman"/>
                  <w:sz w:val="18"/>
                  <w:szCs w:val="18"/>
                  <w:b w:val="1"/>
                  <w:bCs w:val="1"/>
                  <w:u w:val="single" w:color="auto"/>
                  <w:color w:val="0000EE"/>
                </w:rPr>
                <w:t>QUESTIONS AND ANSWERS ABOUT THE ANNUAL MEETING AND VOTING</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Purpose of the Annual Meeting</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Annual Meeting Voting Rights and Attendance</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Information about the Notice and Proxy Materials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Voting</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4"/>
        </w:trPr>
        <w:tc>
          <w:tcPr>
            <w:tcW w:w="10500" w:type="dxa"/>
            <w:vAlign w:val="bottom"/>
            <w:gridSpan w:val="4"/>
          </w:tcPr>
          <w:p>
            <w:pPr>
              <w:spacing w:after="0"/>
              <w:rPr>
                <w:rFonts w:ascii="Times New Roman" w:cs="Times New Roman" w:eastAsia="Times New Roman" w:hAnsi="Times New Roman"/>
                <w:sz w:val="18"/>
                <w:szCs w:val="18"/>
                <w:b w:val="1"/>
                <w:bCs w:val="1"/>
                <w:u w:val="single" w:color="auto"/>
                <w:color w:val="0000EE"/>
              </w:rPr>
            </w:pPr>
            <w:hyperlink w:anchor="page13">
              <w:r>
                <w:rPr>
                  <w:rFonts w:ascii="Times New Roman" w:cs="Times New Roman" w:eastAsia="Times New Roman" w:hAnsi="Times New Roman"/>
                  <w:sz w:val="18"/>
                  <w:szCs w:val="18"/>
                  <w:b w:val="1"/>
                  <w:bCs w:val="1"/>
                  <w:u w:val="single" w:color="auto"/>
                  <w:color w:val="0000EE"/>
                </w:rPr>
                <w:t>ITEM 1 – ELECTION OF DIRECTORS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10"/>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Nominees for Director</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4"/>
        </w:trPr>
        <w:tc>
          <w:tcPr>
            <w:tcW w:w="10500" w:type="dxa"/>
            <w:vAlign w:val="bottom"/>
            <w:gridSpan w:val="4"/>
          </w:tcPr>
          <w:p>
            <w:pPr>
              <w:spacing w:after="0"/>
              <w:rPr>
                <w:rFonts w:ascii="Times New Roman" w:cs="Times New Roman" w:eastAsia="Times New Roman" w:hAnsi="Times New Roman"/>
                <w:sz w:val="18"/>
                <w:szCs w:val="18"/>
                <w:b w:val="1"/>
                <w:bCs w:val="1"/>
                <w:u w:val="single" w:color="auto"/>
                <w:color w:val="0000EE"/>
              </w:rPr>
            </w:pPr>
            <w:hyperlink w:anchor="page18">
              <w:r>
                <w:rPr>
                  <w:rFonts w:ascii="Times New Roman" w:cs="Times New Roman" w:eastAsia="Times New Roman" w:hAnsi="Times New Roman"/>
                  <w:sz w:val="18"/>
                  <w:szCs w:val="18"/>
                  <w:b w:val="1"/>
                  <w:bCs w:val="1"/>
                  <w:u w:val="single" w:color="auto"/>
                  <w:color w:val="0000EE"/>
                </w:rPr>
                <w:t>INFORMATION REGARDING THE BOARD OF DIRECTORS AND CORPORATE GOVERNANCE</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Director Independence</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Board Leadership Structure</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Board Involvement in Risk Oversight</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Board Committees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Meeting Attendance</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Procedures for Contacting the Board of Directors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Procedures for Selecting and Nominating Director Candidates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Hedging, Pledging and Other Restricted Transactions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Director Compensation</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4"/>
        </w:trPr>
        <w:tc>
          <w:tcPr>
            <w:tcW w:w="10500" w:type="dxa"/>
            <w:vAlign w:val="bottom"/>
            <w:gridSpan w:val="4"/>
          </w:tcPr>
          <w:p>
            <w:pPr>
              <w:spacing w:after="0"/>
              <w:rPr>
                <w:rFonts w:ascii="Times New Roman" w:cs="Times New Roman" w:eastAsia="Times New Roman" w:hAnsi="Times New Roman"/>
                <w:sz w:val="18"/>
                <w:szCs w:val="18"/>
                <w:b w:val="1"/>
                <w:bCs w:val="1"/>
                <w:u w:val="single" w:color="auto"/>
                <w:color w:val="0000EE"/>
              </w:rPr>
            </w:pPr>
            <w:hyperlink w:anchor="page24">
              <w:r>
                <w:rPr>
                  <w:rFonts w:ascii="Times New Roman" w:cs="Times New Roman" w:eastAsia="Times New Roman" w:hAnsi="Times New Roman"/>
                  <w:sz w:val="18"/>
                  <w:szCs w:val="18"/>
                  <w:b w:val="1"/>
                  <w:bCs w:val="1"/>
                  <w:u w:val="single" w:color="auto"/>
                  <w:color w:val="0000EE"/>
                </w:rPr>
                <w:t>EXECUTIVE COMPENSATION</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Compensation Discussion and Analysis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Compensation Committee Report</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2019 Summary Compensation Table</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2019 Grants of Plan-Based Awards Table</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Outstanding Equity Awards at Fiscal Year-End Table</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2019 Options Exercised and Stock Vested Table</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Pension Benefits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Non-Qualified Deferred Compensation</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Employment Agreements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Potential Payments Upon Termination or Change-in-Control</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CEO Pay Ratio</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4"/>
        </w:trPr>
        <w:tc>
          <w:tcPr>
            <w:tcW w:w="10500" w:type="dxa"/>
            <w:vAlign w:val="bottom"/>
            <w:gridSpan w:val="4"/>
          </w:tcPr>
          <w:p>
            <w:pPr>
              <w:spacing w:after="0"/>
              <w:rPr>
                <w:rFonts w:ascii="Times New Roman" w:cs="Times New Roman" w:eastAsia="Times New Roman" w:hAnsi="Times New Roman"/>
                <w:sz w:val="18"/>
                <w:szCs w:val="18"/>
                <w:b w:val="1"/>
                <w:bCs w:val="1"/>
                <w:u w:val="single" w:color="auto"/>
                <w:color w:val="0000EE"/>
              </w:rPr>
            </w:pPr>
            <w:hyperlink w:anchor="page40">
              <w:r>
                <w:rPr>
                  <w:rFonts w:ascii="Times New Roman" w:cs="Times New Roman" w:eastAsia="Times New Roman" w:hAnsi="Times New Roman"/>
                  <w:sz w:val="18"/>
                  <w:szCs w:val="18"/>
                  <w:b w:val="1"/>
                  <w:bCs w:val="1"/>
                  <w:u w:val="single" w:color="auto"/>
                  <w:color w:val="0000EE"/>
                </w:rPr>
                <w:t>AUDIT COMMITTEE REPORT AND PAYMENT OF FEES TO OUR INDEPENDENT AUDITOR</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Audit Committee Report</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Auditor Fees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0"/>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Auditor Services Pre-Approval Policy</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b w:val="1"/>
                <w:bCs w:val="1"/>
                <w:u w:val="single" w:color="auto"/>
                <w:color w:val="0000EE"/>
              </w:rPr>
            </w:pPr>
            <w:hyperlink w:anchor="page42">
              <w:r>
                <w:rPr>
                  <w:rFonts w:ascii="Times New Roman" w:cs="Times New Roman" w:eastAsia="Times New Roman" w:hAnsi="Times New Roman"/>
                  <w:sz w:val="18"/>
                  <w:szCs w:val="18"/>
                  <w:b w:val="1"/>
                  <w:bCs w:val="1"/>
                  <w:u w:val="single" w:color="auto"/>
                  <w:color w:val="0000EE"/>
                </w:rPr>
                <w:t>ITEM 2 — RATIFICATION OF SELECTION OF INDEPENDENT AUDITOR</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b w:val="1"/>
                <w:bCs w:val="1"/>
                <w:u w:val="single" w:color="auto"/>
                <w:color w:val="0000EE"/>
              </w:rPr>
            </w:pPr>
            <w:hyperlink w:anchor="page43">
              <w:r>
                <w:rPr>
                  <w:rFonts w:ascii="Times New Roman" w:cs="Times New Roman" w:eastAsia="Times New Roman" w:hAnsi="Times New Roman"/>
                  <w:sz w:val="18"/>
                  <w:szCs w:val="18"/>
                  <w:b w:val="1"/>
                  <w:bCs w:val="1"/>
                  <w:u w:val="single" w:color="auto"/>
                  <w:color w:val="0000EE"/>
                </w:rPr>
                <w:t>ITEM 3 — ADVISORY VOTE TO APPROVE THE COMPENSATION OF THE COMPANY’S NAMED EXECUTIVE OFFICERS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0" w:type="dxa"/>
            <w:vAlign w:val="bottom"/>
          </w:tcPr>
          <w:p>
            <w:pPr>
              <w:spacing w:after="0"/>
              <w:rPr>
                <w:sz w:val="1"/>
                <w:szCs w:val="1"/>
                <w:color w:val="auto"/>
              </w:rPr>
            </w:pPr>
          </w:p>
        </w:tc>
      </w:tr>
      <w:tr>
        <w:trPr>
          <w:trHeight w:val="193"/>
        </w:trPr>
        <w:tc>
          <w:tcPr>
            <w:tcW w:w="10500" w:type="dxa"/>
            <w:vAlign w:val="bottom"/>
            <w:gridSpan w:val="4"/>
          </w:tcPr>
          <w:p>
            <w:pPr>
              <w:spacing w:after="0" w:line="193" w:lineRule="exact"/>
              <w:rPr>
                <w:rFonts w:ascii="Times New Roman" w:cs="Times New Roman" w:eastAsia="Times New Roman" w:hAnsi="Times New Roman"/>
                <w:sz w:val="18"/>
                <w:szCs w:val="18"/>
                <w:b w:val="1"/>
                <w:bCs w:val="1"/>
                <w:color w:val="0000EE"/>
              </w:rPr>
            </w:pPr>
            <w:hyperlink w:anchor="page44">
              <w:r>
                <w:rPr>
                  <w:rFonts w:ascii="Times New Roman" w:cs="Times New Roman" w:eastAsia="Times New Roman" w:hAnsi="Times New Roman"/>
                  <w:sz w:val="18"/>
                  <w:szCs w:val="18"/>
                  <w:b w:val="1"/>
                  <w:bCs w:val="1"/>
                  <w:color w:val="0000EE"/>
                </w:rPr>
                <w:t>ITEM 4 — APPROVAL OF AN AMENDMENT TO OUR EIGHTH AMENDED AND RESTATED CERTIFICATE OF</w:t>
              </w:r>
            </w:hyperlink>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r>
        <w:trPr>
          <w:trHeight w:val="211"/>
        </w:trPr>
        <w:tc>
          <w:tcPr>
            <w:tcW w:w="9040" w:type="dxa"/>
            <w:vAlign w:val="bottom"/>
            <w:tcBorders>
              <w:top w:val="single" w:sz="8" w:color="0000EE"/>
            </w:tcBorders>
            <w:gridSpan w:val="2"/>
          </w:tcPr>
          <w:p>
            <w:pPr>
              <w:ind w:left="180"/>
              <w:spacing w:after="0"/>
              <w:rPr>
                <w:rFonts w:ascii="Times New Roman" w:cs="Times New Roman" w:eastAsia="Times New Roman" w:hAnsi="Times New Roman"/>
                <w:sz w:val="18"/>
                <w:szCs w:val="18"/>
                <w:b w:val="1"/>
                <w:bCs w:val="1"/>
                <w:u w:val="single" w:color="auto"/>
                <w:color w:val="0000EE"/>
              </w:rPr>
            </w:pPr>
            <w:hyperlink w:anchor="page44">
              <w:r>
                <w:rPr>
                  <w:rFonts w:ascii="Times New Roman" w:cs="Times New Roman" w:eastAsia="Times New Roman" w:hAnsi="Times New Roman"/>
                  <w:sz w:val="18"/>
                  <w:szCs w:val="18"/>
                  <w:b w:val="1"/>
                  <w:bCs w:val="1"/>
                  <w:u w:val="single" w:color="auto"/>
                  <w:color w:val="0000EE"/>
                </w:rPr>
                <w:t>INCORPORATION TO INCREASE THE NUMBER OF AUTHORIZED SHARES OF COMMON STOCK</w:t>
              </w:r>
            </w:hyperlink>
          </w:p>
        </w:tc>
        <w:tc>
          <w:tcPr>
            <w:tcW w:w="1460" w:type="dxa"/>
            <w:vAlign w:val="bottom"/>
            <w:gridSpan w:val="2"/>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00" w:type="dxa"/>
            <w:vAlign w:val="bottom"/>
            <w:gridSpan w:val="4"/>
          </w:tcPr>
          <w:p>
            <w:pPr>
              <w:spacing w:after="0"/>
              <w:rPr>
                <w:rFonts w:ascii="Times New Roman" w:cs="Times New Roman" w:eastAsia="Times New Roman" w:hAnsi="Times New Roman"/>
                <w:sz w:val="18"/>
                <w:szCs w:val="18"/>
                <w:b w:val="1"/>
                <w:bCs w:val="1"/>
                <w:u w:val="single" w:color="auto"/>
                <w:color w:val="0000EE"/>
              </w:rPr>
            </w:pPr>
            <w:hyperlink w:anchor="page46">
              <w:r>
                <w:rPr>
                  <w:rFonts w:ascii="Times New Roman" w:cs="Times New Roman" w:eastAsia="Times New Roman" w:hAnsi="Times New Roman"/>
                  <w:sz w:val="18"/>
                  <w:szCs w:val="18"/>
                  <w:b w:val="1"/>
                  <w:bCs w:val="1"/>
                  <w:u w:val="single" w:color="auto"/>
                  <w:color w:val="0000EE"/>
                </w:rPr>
                <w:t>SECURITY OWNERSHIP</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0" w:type="dxa"/>
            <w:vAlign w:val="bottom"/>
          </w:tcPr>
          <w:p>
            <w:pPr>
              <w:spacing w:after="0"/>
              <w:rPr>
                <w:sz w:val="1"/>
                <w:szCs w:val="1"/>
                <w:color w:val="auto"/>
              </w:rPr>
            </w:pPr>
          </w:p>
        </w:tc>
      </w:tr>
      <w:tr>
        <w:trPr>
          <w:trHeight w:val="210"/>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Beneficial Ownership of Directors, Nominees, Executive Officers and Beneficial Owners of More than Five Percent of Our Common Stock</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4"/>
        </w:trPr>
        <w:tc>
          <w:tcPr>
            <w:tcW w:w="10500" w:type="dxa"/>
            <w:vAlign w:val="bottom"/>
            <w:gridSpan w:val="4"/>
          </w:tcPr>
          <w:p>
            <w:pPr>
              <w:spacing w:after="0"/>
              <w:rPr>
                <w:rFonts w:ascii="Times New Roman" w:cs="Times New Roman" w:eastAsia="Times New Roman" w:hAnsi="Times New Roman"/>
                <w:sz w:val="18"/>
                <w:szCs w:val="18"/>
                <w:b w:val="1"/>
                <w:bCs w:val="1"/>
                <w:u w:val="single" w:color="auto"/>
                <w:color w:val="0000EE"/>
              </w:rPr>
            </w:pPr>
            <w:hyperlink w:anchor="page48">
              <w:r>
                <w:rPr>
                  <w:rFonts w:ascii="Times New Roman" w:cs="Times New Roman" w:eastAsia="Times New Roman" w:hAnsi="Times New Roman"/>
                  <w:sz w:val="18"/>
                  <w:szCs w:val="18"/>
                  <w:b w:val="1"/>
                  <w:bCs w:val="1"/>
                  <w:u w:val="single" w:color="auto"/>
                  <w:color w:val="0000EE"/>
                </w:rPr>
                <w:t>CERTAIN RELATIONSHIPS AND RELATED TRANSACTIONS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Transactions with Related Persons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Policy for Approval of Related Person Transactions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4"/>
        </w:trPr>
        <w:tc>
          <w:tcPr>
            <w:tcW w:w="10500" w:type="dxa"/>
            <w:vAlign w:val="bottom"/>
            <w:gridSpan w:val="4"/>
          </w:tcPr>
          <w:p>
            <w:pPr>
              <w:spacing w:after="0"/>
              <w:rPr>
                <w:rFonts w:ascii="Times New Roman" w:cs="Times New Roman" w:eastAsia="Times New Roman" w:hAnsi="Times New Roman"/>
                <w:sz w:val="18"/>
                <w:szCs w:val="18"/>
                <w:b w:val="1"/>
                <w:bCs w:val="1"/>
                <w:u w:val="single" w:color="auto"/>
                <w:color w:val="0000EE"/>
              </w:rPr>
            </w:pPr>
            <w:hyperlink w:anchor="page49">
              <w:r>
                <w:rPr>
                  <w:rFonts w:ascii="Times New Roman" w:cs="Times New Roman" w:eastAsia="Times New Roman" w:hAnsi="Times New Roman"/>
                  <w:sz w:val="18"/>
                  <w:szCs w:val="18"/>
                  <w:b w:val="1"/>
                  <w:bCs w:val="1"/>
                  <w:u w:val="single" w:color="auto"/>
                  <w:color w:val="0000EE"/>
                </w:rPr>
                <w:t>OTHER INFORMATION</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Delinquent Section 16(a) Reports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Stockholder Proposals for the 2021 Annual Meeting</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Householding of Proxy Materials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Other Matters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0"/>
        </w:trPr>
        <w:tc>
          <w:tcPr>
            <w:tcW w:w="10500" w:type="dxa"/>
            <w:vAlign w:val="bottom"/>
            <w:gridSpan w:val="4"/>
          </w:tcPr>
          <w:p>
            <w:pPr>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Location of SPS Commerce, Inc. Annual Meeting of Stockholders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2"/>
        </w:trPr>
        <w:tc>
          <w:tcPr>
            <w:tcW w:w="10500" w:type="dxa"/>
            <w:vAlign w:val="bottom"/>
            <w:gridSpan w:val="4"/>
          </w:tcPr>
          <w:p>
            <w:pPr>
              <w:spacing w:after="0"/>
              <w:rPr>
                <w:rFonts w:ascii="Times New Roman" w:cs="Times New Roman" w:eastAsia="Times New Roman" w:hAnsi="Times New Roman"/>
                <w:sz w:val="18"/>
                <w:szCs w:val="18"/>
                <w:b w:val="1"/>
                <w:bCs w:val="1"/>
                <w:u w:val="single" w:color="auto"/>
                <w:color w:val="0000EE"/>
              </w:rPr>
            </w:pPr>
            <w:hyperlink w:anchor="page51">
              <w:r>
                <w:rPr>
                  <w:rFonts w:ascii="Times New Roman" w:cs="Times New Roman" w:eastAsia="Times New Roman" w:hAnsi="Times New Roman"/>
                  <w:sz w:val="18"/>
                  <w:szCs w:val="18"/>
                  <w:b w:val="1"/>
                  <w:bCs w:val="1"/>
                  <w:u w:val="single" w:color="auto"/>
                  <w:color w:val="0000EE"/>
                </w:rPr>
                <w:t>APPENDIX A - RECONCILIATION OF NON-GAAP FINANCIAL MEASURES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A-1</w:t>
            </w:r>
          </w:p>
        </w:tc>
        <w:tc>
          <w:tcPr>
            <w:tcW w:w="0" w:type="dxa"/>
            <w:vAlign w:val="bottom"/>
          </w:tcPr>
          <w:p>
            <w:pPr>
              <w:spacing w:after="0"/>
              <w:rPr>
                <w:sz w:val="1"/>
                <w:szCs w:val="1"/>
                <w:color w:val="auto"/>
              </w:rPr>
            </w:pPr>
          </w:p>
        </w:tc>
      </w:tr>
      <w:tr>
        <w:trPr>
          <w:trHeight w:val="193"/>
        </w:trPr>
        <w:tc>
          <w:tcPr>
            <w:tcW w:w="9960" w:type="dxa"/>
            <w:vAlign w:val="bottom"/>
            <w:tcBorders>
              <w:bottom w:val="single" w:sz="8" w:color="0000EE"/>
            </w:tcBorders>
            <w:gridSpan w:val="3"/>
          </w:tcPr>
          <w:p>
            <w:pPr>
              <w:spacing w:after="0" w:line="193" w:lineRule="exact"/>
              <w:rPr>
                <w:rFonts w:ascii="Times New Roman" w:cs="Times New Roman" w:eastAsia="Times New Roman" w:hAnsi="Times New Roman"/>
                <w:sz w:val="18"/>
                <w:szCs w:val="18"/>
                <w:b w:val="1"/>
                <w:bCs w:val="1"/>
                <w:color w:val="0000EE"/>
                <w:w w:val="97"/>
              </w:rPr>
            </w:pPr>
            <w:hyperlink w:anchor="page53">
              <w:r>
                <w:rPr>
                  <w:rFonts w:ascii="Times New Roman" w:cs="Times New Roman" w:eastAsia="Times New Roman" w:hAnsi="Times New Roman"/>
                  <w:sz w:val="18"/>
                  <w:szCs w:val="18"/>
                  <w:b w:val="1"/>
                  <w:bCs w:val="1"/>
                  <w:color w:val="0000EE"/>
                  <w:w w:val="97"/>
                </w:rPr>
                <w:t>APPENDIX B – PROPOSED AMENDMENT TO SECTION 4.1 OF OUR EIGHTH AMENDED AND RESTATED CERTIFICATE</w:t>
              </w:r>
            </w:hyperlink>
          </w:p>
        </w:tc>
        <w:tc>
          <w:tcPr>
            <w:tcW w:w="5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B-1</w:t>
            </w:r>
          </w:p>
        </w:tc>
        <w:tc>
          <w:tcPr>
            <w:tcW w:w="0" w:type="dxa"/>
            <w:vAlign w:val="bottom"/>
          </w:tcPr>
          <w:p>
            <w:pPr>
              <w:spacing w:after="0"/>
              <w:rPr>
                <w:sz w:val="1"/>
                <w:szCs w:val="1"/>
                <w:color w:val="auto"/>
              </w:rPr>
            </w:pPr>
          </w:p>
        </w:tc>
      </w:tr>
      <w:tr>
        <w:trPr>
          <w:trHeight w:val="192"/>
        </w:trPr>
        <w:tc>
          <w:tcPr>
            <w:tcW w:w="10500" w:type="dxa"/>
            <w:vAlign w:val="bottom"/>
            <w:gridSpan w:val="4"/>
          </w:tcPr>
          <w:p>
            <w:pPr>
              <w:spacing w:after="0" w:line="192" w:lineRule="exact"/>
              <w:rPr>
                <w:rFonts w:ascii="Times New Roman" w:cs="Times New Roman" w:eastAsia="Times New Roman" w:hAnsi="Times New Roman"/>
                <w:sz w:val="18"/>
                <w:szCs w:val="18"/>
                <w:b w:val="1"/>
                <w:bCs w:val="1"/>
                <w:color w:val="0000EE"/>
              </w:rPr>
            </w:pPr>
            <w:hyperlink w:anchor="page53">
              <w:r>
                <w:rPr>
                  <w:rFonts w:ascii="Times New Roman" w:cs="Times New Roman" w:eastAsia="Times New Roman" w:hAnsi="Times New Roman"/>
                  <w:sz w:val="18"/>
                  <w:szCs w:val="18"/>
                  <w:b w:val="1"/>
                  <w:bCs w:val="1"/>
                  <w:color w:val="0000EE"/>
                </w:rPr>
                <w:t>OF INCORPORATION</w:t>
              </w:r>
            </w:hyperlink>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5"/>
        </w:trPr>
        <w:tc>
          <w:tcPr>
            <w:tcW w:w="1820" w:type="dxa"/>
            <w:vAlign w:val="bottom"/>
            <w:tcBorders>
              <w:top w:val="single" w:sz="8" w:color="0000EE"/>
            </w:tcBorders>
          </w:tcPr>
          <w:p>
            <w:pPr>
              <w:spacing w:after="0"/>
              <w:rPr>
                <w:sz w:val="24"/>
                <w:szCs w:val="24"/>
                <w:color w:val="auto"/>
              </w:rPr>
            </w:pPr>
          </w:p>
        </w:tc>
        <w:tc>
          <w:tcPr>
            <w:tcW w:w="7220" w:type="dxa"/>
            <w:vAlign w:val="bottom"/>
          </w:tcPr>
          <w:p>
            <w:pPr>
              <w:jc w:val="right"/>
              <w:ind w:right="3292"/>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2"/>
        </w:trPr>
        <w:tc>
          <w:tcPr>
            <w:tcW w:w="1820" w:type="dxa"/>
            <w:vAlign w:val="bottom"/>
            <w:tcBorders>
              <w:bottom w:val="single" w:sz="8" w:color="9A9A9A"/>
            </w:tcBorders>
          </w:tcPr>
          <w:p>
            <w:pPr>
              <w:spacing w:after="0"/>
              <w:rPr>
                <w:sz w:val="24"/>
                <w:szCs w:val="24"/>
                <w:color w:val="auto"/>
              </w:rPr>
            </w:pPr>
          </w:p>
        </w:tc>
        <w:tc>
          <w:tcPr>
            <w:tcW w:w="7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-15875</wp:posOffset>
            </wp:positionV>
            <wp:extent cx="825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35"/>
          <w:szCs w:val="35"/>
          <w:b w:val="1"/>
          <w:bCs w:val="1"/>
          <w:color w:val="00AAE5"/>
        </w:rPr>
        <w:t>PROXY SUMMARY</w:t>
      </w:r>
    </w:p>
    <w:p>
      <w:pPr>
        <w:spacing w:after="0" w:line="201" w:lineRule="exact"/>
        <w:rPr>
          <w:sz w:val="20"/>
          <w:szCs w:val="20"/>
          <w:color w:val="auto"/>
        </w:rPr>
      </w:pPr>
    </w:p>
    <w:p>
      <w:pPr>
        <w:ind w:firstLine="589"/>
        <w:spacing w:after="0" w:line="255" w:lineRule="auto"/>
        <w:rPr>
          <w:sz w:val="20"/>
          <w:szCs w:val="20"/>
          <w:color w:val="auto"/>
        </w:rPr>
      </w:pPr>
      <w:r>
        <w:rPr>
          <w:rFonts w:ascii="Times New Roman" w:cs="Times New Roman" w:eastAsia="Times New Roman" w:hAnsi="Times New Roman"/>
          <w:sz w:val="18"/>
          <w:szCs w:val="18"/>
          <w:color w:val="auto"/>
        </w:rPr>
        <w:t>This summary highlights information contained elsewhere in this proxy statement. We encourage you to review the entire proxy statement. This proxy statement and our Annual Report for the year ended December 31, 2019 are first being mailed to our shareholders on or about April 6, 2020. Website addresses included throughout this proxy statement are for reference only. The information contained on our website is not incorporated by reference into this proxy statement.</w:t>
      </w:r>
    </w:p>
    <w:p>
      <w:pPr>
        <w:spacing w:after="0" w:line="175"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Business Results</w:t>
      </w:r>
    </w:p>
    <w:p>
      <w:pPr>
        <w:spacing w:after="0" w:line="184" w:lineRule="exact"/>
        <w:rPr>
          <w:sz w:val="20"/>
          <w:szCs w:val="20"/>
          <w:color w:val="auto"/>
        </w:rPr>
      </w:pPr>
    </w:p>
    <w:p>
      <w:pPr>
        <w:ind w:right="60" w:firstLine="589"/>
        <w:spacing w:after="0" w:line="274" w:lineRule="auto"/>
        <w:rPr>
          <w:sz w:val="20"/>
          <w:szCs w:val="20"/>
          <w:color w:val="auto"/>
        </w:rPr>
      </w:pPr>
      <w:r>
        <w:rPr>
          <w:rFonts w:ascii="Times New Roman" w:cs="Times New Roman" w:eastAsia="Times New Roman" w:hAnsi="Times New Roman"/>
          <w:sz w:val="18"/>
          <w:szCs w:val="18"/>
          <w:color w:val="auto"/>
        </w:rPr>
        <w:t>We are a technology company with revenue of $279.1 million in 2019. We are a leading provider of cloud-based supply chain management solutions, providing network-proven integrations and comprehensive retail performance analytics to tens of thousands of customers worldwide.</w:t>
      </w:r>
    </w:p>
    <w:p>
      <w:pPr>
        <w:spacing w:after="0" w:line="110" w:lineRule="exact"/>
        <w:rPr>
          <w:sz w:val="20"/>
          <w:szCs w:val="20"/>
          <w:color w:val="auto"/>
        </w:rPr>
      </w:pPr>
    </w:p>
    <w:p>
      <w:pPr>
        <w:ind w:right="40" w:firstLine="589"/>
        <w:spacing w:after="0" w:line="255" w:lineRule="auto"/>
        <w:rPr>
          <w:sz w:val="20"/>
          <w:szCs w:val="20"/>
          <w:color w:val="auto"/>
        </w:rPr>
      </w:pPr>
      <w:r>
        <w:rPr>
          <w:rFonts w:ascii="Times New Roman" w:cs="Times New Roman" w:eastAsia="Times New Roman" w:hAnsi="Times New Roman"/>
          <w:sz w:val="18"/>
          <w:szCs w:val="18"/>
          <w:color w:val="auto"/>
        </w:rPr>
        <w:t>2019 was a year of continued execution for SPS Commerce, in an industry that is in transition. We achieved year-over-year recurring revenue growth, customer growth and wallet share growth and delivered strong revenue and adjusted EBITDA growth in 2019. We also executed one strategic acquisition, effected a two-for-one stock split of our common stock, authorized a new stock repurchase program to repurchase up to $50 million of common stock, and continued to repurchase shares through our buyback program. Additional information regarding our performance in 2019 follows.</w:t>
      </w:r>
    </w:p>
    <w:p>
      <w:pPr>
        <w:spacing w:after="0" w:line="74" w:lineRule="exact"/>
        <w:rPr>
          <w:sz w:val="20"/>
          <w:szCs w:val="20"/>
          <w:color w:val="auto"/>
        </w:rPr>
      </w:pPr>
    </w:p>
    <w:p>
      <w:pPr>
        <w:ind w:left="860" w:hanging="430"/>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sequential revenue growth for all four quarters of 2019 and now have 76 consecutive quarters of sequential revenue growth.</w:t>
      </w:r>
    </w:p>
    <w:p>
      <w:pPr>
        <w:spacing w:after="0" w:line="111" w:lineRule="exact"/>
        <w:rPr>
          <w:rFonts w:ascii="Times New Roman" w:cs="Times New Roman" w:eastAsia="Times New Roman" w:hAnsi="Times New Roman"/>
          <w:sz w:val="18"/>
          <w:szCs w:val="18"/>
          <w:color w:val="auto"/>
        </w:rPr>
      </w:pPr>
    </w:p>
    <w:p>
      <w:pPr>
        <w:ind w:left="860" w:right="20" w:hanging="430"/>
        <w:spacing w:after="0" w:line="274" w:lineRule="auto"/>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of $279.1 million for 2019, compared to $248.2 million for 2018, reflect 12% growth from 2018. Recurring revenue grew 14% from 2018.</w:t>
      </w:r>
    </w:p>
    <w:p>
      <w:pPr>
        <w:spacing w:after="0" w:line="57" w:lineRule="exact"/>
        <w:rPr>
          <w:rFonts w:ascii="Times New Roman" w:cs="Times New Roman" w:eastAsia="Times New Roman" w:hAnsi="Times New Roman"/>
          <w:sz w:val="18"/>
          <w:szCs w:val="18"/>
          <w:color w:val="auto"/>
        </w:rPr>
      </w:pPr>
    </w:p>
    <w:p>
      <w:pPr>
        <w:ind w:left="860" w:right="60" w:hanging="430"/>
        <w:spacing w:after="0" w:line="274" w:lineRule="auto"/>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average recurring revenue per recurring revenue customer increased 4% from 2018, and the number of recurring revenue customers grew 5% from 2018.</w:t>
      </w:r>
    </w:p>
    <w:p>
      <w:pPr>
        <w:spacing w:after="0" w:line="57" w:lineRule="exact"/>
        <w:rPr>
          <w:rFonts w:ascii="Times New Roman" w:cs="Times New Roman" w:eastAsia="Times New Roman" w:hAnsi="Times New Roman"/>
          <w:sz w:val="18"/>
          <w:szCs w:val="18"/>
          <w:color w:val="auto"/>
        </w:rPr>
      </w:pPr>
    </w:p>
    <w:p>
      <w:pPr>
        <w:ind w:left="860" w:right="180" w:hanging="430"/>
        <w:spacing w:after="0" w:line="274" w:lineRule="auto"/>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achieved improvements in operational efficiency that produced Adjusted EBITDA of $69.8 million, compared to $51.3 million in 2018, and non-GAAP net income per diluted share of $1.28 in 2019 compared to split adjusted $0.96 in 2018.</w:t>
      </w:r>
      <w:r>
        <w:rPr>
          <w:rFonts w:ascii="Times New Roman" w:cs="Times New Roman" w:eastAsia="Times New Roman" w:hAnsi="Times New Roman"/>
          <w:sz w:val="15"/>
          <w:szCs w:val="15"/>
          <w:color w:val="auto"/>
        </w:rPr>
        <w:t>1</w:t>
      </w:r>
    </w:p>
    <w:p>
      <w:pPr>
        <w:spacing w:after="0" w:line="153" w:lineRule="exact"/>
        <w:rPr>
          <w:sz w:val="20"/>
          <w:szCs w:val="20"/>
          <w:color w:val="auto"/>
        </w:rPr>
      </w:pPr>
    </w:p>
    <w:p>
      <w:pPr>
        <w:ind w:right="620" w:firstLine="6"/>
        <w:spacing w:after="0" w:line="198" w:lineRule="auto"/>
        <w:tabs>
          <w:tab w:leader="none" w:pos="107"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i w:val="1"/>
          <w:iCs w:val="1"/>
          <w:color w:val="auto"/>
        </w:rPr>
        <w:t>Adjusted EBITDA, Non-GAAP income and non-GAAP income per diluted share are non-GAAP financial measures. Refer to Appendix A in this proxy statement for a reconciliation of these non-GAAP financial measures to the corresponding GAAP measures.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20"/>
          </w:cols>
          <w:pgMar w:left="320" w:top="313" w:right="359" w:bottom="1440" w:gutter="0" w:footer="0" w:header="0"/>
        </w:sectPr>
      </w:pPr>
    </w:p>
    <w:bookmarkStart w:id="7" w:name="page8"/>
    <w:bookmarkEnd w:id="7"/>
    <w:p>
      <w:pPr>
        <w:spacing w:after="0"/>
        <w:rPr>
          <w:sz w:val="20"/>
          <w:szCs w:val="20"/>
          <w:color w:val="auto"/>
        </w:rPr>
      </w:pPr>
      <w:r>
        <w:rPr>
          <w:rFonts w:ascii="Arial" w:cs="Arial" w:eastAsia="Arial" w:hAnsi="Arial"/>
          <w:sz w:val="26"/>
          <w:szCs w:val="26"/>
          <w:b w:val="1"/>
          <w:bCs w:val="1"/>
          <w:color w:val="auto"/>
        </w:rPr>
        <w:t>Voting Matters and Voting Recommendations</w:t>
      </w:r>
    </w:p>
    <w:p>
      <w:pPr>
        <w:spacing w:after="0" w:line="184" w:lineRule="exact"/>
        <w:rPr>
          <w:sz w:val="20"/>
          <w:szCs w:val="20"/>
          <w:color w:val="auto"/>
        </w:rPr>
      </w:pPr>
    </w:p>
    <w:p>
      <w:pPr>
        <w:ind w:right="20" w:firstLine="589"/>
        <w:spacing w:after="0" w:line="274" w:lineRule="auto"/>
        <w:rPr>
          <w:sz w:val="20"/>
          <w:szCs w:val="20"/>
          <w:color w:val="auto"/>
        </w:rPr>
      </w:pPr>
      <w:r>
        <w:rPr>
          <w:rFonts w:ascii="Times New Roman" w:cs="Times New Roman" w:eastAsia="Times New Roman" w:hAnsi="Times New Roman"/>
          <w:sz w:val="18"/>
          <w:szCs w:val="18"/>
          <w:color w:val="auto"/>
        </w:rPr>
        <w:t>The following proposals are included in this proxy statement and are scheduled to be voted on at the meeting. Our board of directors recommends that you vote your shares as indicated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00" w:type="dxa"/>
            <w:vAlign w:val="bottom"/>
            <w:gridSpan w:val="2"/>
            <w:vMerge w:val="restart"/>
          </w:tcPr>
          <w:p>
            <w:pPr>
              <w:spacing w:after="0"/>
              <w:rPr>
                <w:sz w:val="20"/>
                <w:szCs w:val="20"/>
                <w:color w:val="auto"/>
              </w:rPr>
            </w:pPr>
            <w:r>
              <w:rPr>
                <w:rFonts w:ascii="Arial" w:cs="Arial" w:eastAsia="Arial" w:hAnsi="Arial"/>
                <w:sz w:val="12"/>
                <w:szCs w:val="12"/>
                <w:color w:val="00AAE5"/>
              </w:rPr>
              <w:t>PROPOSALS:</w:t>
            </w:r>
          </w:p>
        </w:tc>
        <w:tc>
          <w:tcPr>
            <w:tcW w:w="2380" w:type="dxa"/>
            <w:vAlign w:val="bottom"/>
          </w:tcPr>
          <w:p>
            <w:pPr>
              <w:ind w:left="300"/>
              <w:spacing w:after="0"/>
              <w:rPr>
                <w:sz w:val="20"/>
                <w:szCs w:val="20"/>
                <w:color w:val="auto"/>
              </w:rPr>
            </w:pPr>
            <w:r>
              <w:rPr>
                <w:rFonts w:ascii="Arial" w:cs="Arial" w:eastAsia="Arial" w:hAnsi="Arial"/>
                <w:sz w:val="12"/>
                <w:szCs w:val="12"/>
                <w:color w:val="00AAE5"/>
              </w:rPr>
              <w:t>THE BOARD OF DIRECTOR’S</w:t>
            </w:r>
          </w:p>
        </w:tc>
        <w:tc>
          <w:tcPr>
            <w:tcW w:w="4020" w:type="dxa"/>
            <w:vAlign w:val="bottom"/>
            <w:vMerge w:val="restart"/>
          </w:tcPr>
          <w:p>
            <w:pPr>
              <w:ind w:left="80"/>
              <w:spacing w:after="0"/>
              <w:rPr>
                <w:sz w:val="20"/>
                <w:szCs w:val="20"/>
                <w:color w:val="auto"/>
              </w:rPr>
            </w:pPr>
            <w:r>
              <w:rPr>
                <w:rFonts w:ascii="Arial" w:cs="Arial" w:eastAsia="Arial" w:hAnsi="Arial"/>
                <w:sz w:val="12"/>
                <w:szCs w:val="12"/>
                <w:color w:val="00AAE5"/>
              </w:rPr>
              <w:t>RATIONALE FOR SUPPORT:</w:t>
            </w:r>
          </w:p>
        </w:tc>
        <w:tc>
          <w:tcPr>
            <w:tcW w:w="1340" w:type="dxa"/>
            <w:vAlign w:val="bottom"/>
          </w:tcPr>
          <w:p>
            <w:pPr>
              <w:ind w:left="140"/>
              <w:spacing w:after="0"/>
              <w:rPr>
                <w:sz w:val="20"/>
                <w:szCs w:val="20"/>
                <w:color w:val="auto"/>
              </w:rPr>
            </w:pPr>
            <w:r>
              <w:rPr>
                <w:rFonts w:ascii="Arial" w:cs="Arial" w:eastAsia="Arial" w:hAnsi="Arial"/>
                <w:sz w:val="12"/>
                <w:szCs w:val="12"/>
                <w:color w:val="00AAE5"/>
              </w:rPr>
              <w:t>FOR FURTHER</w:t>
            </w:r>
          </w:p>
        </w:tc>
        <w:tc>
          <w:tcPr>
            <w:tcW w:w="0" w:type="dxa"/>
            <w:vAlign w:val="bottom"/>
          </w:tcPr>
          <w:p>
            <w:pPr>
              <w:spacing w:after="0"/>
              <w:rPr>
                <w:sz w:val="1"/>
                <w:szCs w:val="1"/>
                <w:color w:val="auto"/>
              </w:rPr>
            </w:pPr>
          </w:p>
        </w:tc>
      </w:tr>
      <w:tr>
        <w:trPr>
          <w:trHeight w:val="174"/>
        </w:trPr>
        <w:tc>
          <w:tcPr>
            <w:tcW w:w="3500" w:type="dxa"/>
            <w:vAlign w:val="bottom"/>
            <w:tcBorders>
              <w:bottom w:val="single" w:sz="8" w:color="00AAE5"/>
            </w:tcBorders>
            <w:gridSpan w:val="2"/>
            <w:vMerge w:val="continue"/>
          </w:tcPr>
          <w:p>
            <w:pPr>
              <w:spacing w:after="0"/>
              <w:rPr>
                <w:sz w:val="15"/>
                <w:szCs w:val="15"/>
                <w:color w:val="auto"/>
              </w:rPr>
            </w:pPr>
          </w:p>
        </w:tc>
        <w:tc>
          <w:tcPr>
            <w:tcW w:w="2380" w:type="dxa"/>
            <w:vAlign w:val="bottom"/>
            <w:tcBorders>
              <w:bottom w:val="single" w:sz="8" w:color="00AAE5"/>
            </w:tcBorders>
          </w:tcPr>
          <w:p>
            <w:pPr>
              <w:ind w:left="300"/>
              <w:spacing w:after="0"/>
              <w:rPr>
                <w:sz w:val="20"/>
                <w:szCs w:val="20"/>
                <w:color w:val="auto"/>
              </w:rPr>
            </w:pPr>
            <w:r>
              <w:rPr>
                <w:rFonts w:ascii="Arial" w:cs="Arial" w:eastAsia="Arial" w:hAnsi="Arial"/>
                <w:sz w:val="12"/>
                <w:szCs w:val="12"/>
                <w:color w:val="00AAE5"/>
              </w:rPr>
              <w:t>VOTING RECOMMENDATIONS:</w:t>
            </w:r>
          </w:p>
        </w:tc>
        <w:tc>
          <w:tcPr>
            <w:tcW w:w="4020" w:type="dxa"/>
            <w:vAlign w:val="bottom"/>
            <w:tcBorders>
              <w:bottom w:val="single" w:sz="8" w:color="00AAE5"/>
            </w:tcBorders>
            <w:vMerge w:val="continue"/>
          </w:tcPr>
          <w:p>
            <w:pPr>
              <w:spacing w:after="0"/>
              <w:rPr>
                <w:sz w:val="15"/>
                <w:szCs w:val="15"/>
                <w:color w:val="auto"/>
              </w:rPr>
            </w:pPr>
          </w:p>
        </w:tc>
        <w:tc>
          <w:tcPr>
            <w:tcW w:w="1340" w:type="dxa"/>
            <w:vAlign w:val="bottom"/>
            <w:tcBorders>
              <w:bottom w:val="single" w:sz="8" w:color="00AAE5"/>
            </w:tcBorders>
          </w:tcPr>
          <w:p>
            <w:pPr>
              <w:ind w:left="140"/>
              <w:spacing w:after="0"/>
              <w:rPr>
                <w:sz w:val="20"/>
                <w:szCs w:val="20"/>
                <w:color w:val="auto"/>
              </w:rPr>
            </w:pPr>
            <w:r>
              <w:rPr>
                <w:rFonts w:ascii="Arial" w:cs="Arial" w:eastAsia="Arial" w:hAnsi="Arial"/>
                <w:sz w:val="12"/>
                <w:szCs w:val="12"/>
                <w:color w:val="00AAE5"/>
              </w:rPr>
              <w:t>DETAILS:</w:t>
            </w:r>
          </w:p>
        </w:tc>
        <w:tc>
          <w:tcPr>
            <w:tcW w:w="0" w:type="dxa"/>
            <w:vAlign w:val="bottom"/>
          </w:tcPr>
          <w:p>
            <w:pPr>
              <w:spacing w:after="0"/>
              <w:rPr>
                <w:sz w:val="1"/>
                <w:szCs w:val="1"/>
                <w:color w:val="auto"/>
              </w:rPr>
            </w:pPr>
          </w:p>
        </w:tc>
      </w:tr>
      <w:tr>
        <w:trPr>
          <w:trHeight w:val="155"/>
        </w:trPr>
        <w:tc>
          <w:tcPr>
            <w:tcW w:w="300" w:type="dxa"/>
            <w:vAlign w:val="bottom"/>
          </w:tcPr>
          <w:p>
            <w:pPr>
              <w:spacing w:after="0"/>
              <w:rPr>
                <w:sz w:val="20"/>
                <w:szCs w:val="20"/>
                <w:color w:val="auto"/>
              </w:rPr>
            </w:pPr>
            <w:r>
              <w:rPr>
                <w:rFonts w:ascii="Arial" w:cs="Arial" w:eastAsia="Arial" w:hAnsi="Arial"/>
                <w:sz w:val="13"/>
                <w:szCs w:val="13"/>
                <w:color w:val="auto"/>
              </w:rPr>
              <w:t>1.</w:t>
            </w:r>
          </w:p>
        </w:tc>
        <w:tc>
          <w:tcPr>
            <w:tcW w:w="3200" w:type="dxa"/>
            <w:vAlign w:val="bottom"/>
          </w:tcPr>
          <w:p>
            <w:pPr>
              <w:ind w:left="180"/>
              <w:spacing w:after="0"/>
              <w:rPr>
                <w:sz w:val="20"/>
                <w:szCs w:val="20"/>
                <w:color w:val="auto"/>
              </w:rPr>
            </w:pPr>
            <w:r>
              <w:rPr>
                <w:rFonts w:ascii="Arial" w:cs="Arial" w:eastAsia="Arial" w:hAnsi="Arial"/>
                <w:sz w:val="13"/>
                <w:szCs w:val="13"/>
                <w:color w:val="auto"/>
              </w:rPr>
              <w:t>Election of the seven directors identified in this</w:t>
            </w:r>
          </w:p>
        </w:tc>
        <w:tc>
          <w:tcPr>
            <w:tcW w:w="2380" w:type="dxa"/>
            <w:vAlign w:val="bottom"/>
          </w:tcPr>
          <w:p>
            <w:pPr>
              <w:ind w:left="300"/>
              <w:spacing w:after="0"/>
              <w:rPr>
                <w:sz w:val="20"/>
                <w:szCs w:val="20"/>
                <w:color w:val="auto"/>
              </w:rPr>
            </w:pPr>
            <w:r>
              <w:rPr>
                <w:rFonts w:ascii="Arial" w:cs="Arial" w:eastAsia="Arial" w:hAnsi="Arial"/>
                <w:sz w:val="13"/>
                <w:szCs w:val="13"/>
                <w:color w:val="auto"/>
              </w:rPr>
              <w:t>“FOR” each nominee to the Board</w:t>
            </w:r>
          </w:p>
        </w:tc>
        <w:tc>
          <w:tcPr>
            <w:tcW w:w="4020" w:type="dxa"/>
            <w:vAlign w:val="bottom"/>
          </w:tcPr>
          <w:p>
            <w:pPr>
              <w:ind w:left="80"/>
              <w:spacing w:after="0"/>
              <w:rPr>
                <w:sz w:val="20"/>
                <w:szCs w:val="20"/>
                <w:color w:val="auto"/>
              </w:rPr>
            </w:pPr>
            <w:r>
              <w:rPr>
                <w:rFonts w:ascii="Arial" w:cs="Arial" w:eastAsia="Arial" w:hAnsi="Arial"/>
                <w:sz w:val="13"/>
                <w:szCs w:val="13"/>
                <w:color w:val="auto"/>
              </w:rPr>
              <w:t>Our nominees are distinguished leaders who bring a mix of skills</w:t>
            </w:r>
          </w:p>
        </w:tc>
        <w:tc>
          <w:tcPr>
            <w:tcW w:w="1340" w:type="dxa"/>
            <w:vAlign w:val="bottom"/>
          </w:tcPr>
          <w:p>
            <w:pPr>
              <w:ind w:left="140"/>
              <w:spacing w:after="0"/>
              <w:rPr>
                <w:sz w:val="20"/>
                <w:szCs w:val="20"/>
                <w:color w:val="auto"/>
              </w:rPr>
            </w:pPr>
            <w:r>
              <w:rPr>
                <w:rFonts w:ascii="Arial" w:cs="Arial" w:eastAsia="Arial" w:hAnsi="Arial"/>
                <w:sz w:val="13"/>
                <w:szCs w:val="13"/>
                <w:color w:val="auto"/>
              </w:rPr>
              <w:t>Page 8</w:t>
            </w:r>
          </w:p>
        </w:tc>
        <w:tc>
          <w:tcPr>
            <w:tcW w:w="0" w:type="dxa"/>
            <w:vAlign w:val="bottom"/>
          </w:tcPr>
          <w:p>
            <w:pPr>
              <w:spacing w:after="0"/>
              <w:rPr>
                <w:sz w:val="1"/>
                <w:szCs w:val="1"/>
                <w:color w:val="auto"/>
              </w:rPr>
            </w:pPr>
          </w:p>
        </w:tc>
      </w:tr>
      <w:tr>
        <w:trPr>
          <w:trHeight w:val="146"/>
        </w:trPr>
        <w:tc>
          <w:tcPr>
            <w:tcW w:w="300" w:type="dxa"/>
            <w:vAlign w:val="bottom"/>
          </w:tcPr>
          <w:p>
            <w:pPr>
              <w:spacing w:after="0"/>
              <w:rPr>
                <w:sz w:val="12"/>
                <w:szCs w:val="12"/>
                <w:color w:val="auto"/>
              </w:rPr>
            </w:pPr>
          </w:p>
        </w:tc>
        <w:tc>
          <w:tcPr>
            <w:tcW w:w="3200" w:type="dxa"/>
            <w:vAlign w:val="bottom"/>
          </w:tcPr>
          <w:p>
            <w:pPr>
              <w:ind w:left="180"/>
              <w:spacing w:after="0" w:line="146" w:lineRule="exact"/>
              <w:rPr>
                <w:sz w:val="20"/>
                <w:szCs w:val="20"/>
                <w:color w:val="auto"/>
              </w:rPr>
            </w:pPr>
            <w:r>
              <w:rPr>
                <w:rFonts w:ascii="Arial" w:cs="Arial" w:eastAsia="Arial" w:hAnsi="Arial"/>
                <w:sz w:val="13"/>
                <w:szCs w:val="13"/>
                <w:color w:val="auto"/>
              </w:rPr>
              <w:t>Proxy Statement, each for a term of one year.</w:t>
            </w:r>
          </w:p>
        </w:tc>
        <w:tc>
          <w:tcPr>
            <w:tcW w:w="2380" w:type="dxa"/>
            <w:vAlign w:val="bottom"/>
          </w:tcPr>
          <w:p>
            <w:pPr>
              <w:spacing w:after="0"/>
              <w:rPr>
                <w:sz w:val="12"/>
                <w:szCs w:val="12"/>
                <w:color w:val="auto"/>
              </w:rPr>
            </w:pPr>
          </w:p>
        </w:tc>
        <w:tc>
          <w:tcPr>
            <w:tcW w:w="4020" w:type="dxa"/>
            <w:vAlign w:val="bottom"/>
          </w:tcPr>
          <w:p>
            <w:pPr>
              <w:ind w:left="80"/>
              <w:spacing w:after="0" w:line="146" w:lineRule="exact"/>
              <w:rPr>
                <w:sz w:val="20"/>
                <w:szCs w:val="20"/>
                <w:color w:val="auto"/>
              </w:rPr>
            </w:pPr>
            <w:r>
              <w:rPr>
                <w:rFonts w:ascii="Arial" w:cs="Arial" w:eastAsia="Arial" w:hAnsi="Arial"/>
                <w:sz w:val="13"/>
                <w:szCs w:val="13"/>
                <w:color w:val="auto"/>
              </w:rPr>
              <w:t>and qualifications to our board of directors and can represent the</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020" w:type="dxa"/>
            <w:vAlign w:val="bottom"/>
          </w:tcPr>
          <w:p>
            <w:pPr>
              <w:ind w:left="80"/>
              <w:spacing w:after="0"/>
              <w:rPr>
                <w:sz w:val="20"/>
                <w:szCs w:val="20"/>
                <w:color w:val="auto"/>
              </w:rPr>
            </w:pPr>
            <w:r>
              <w:rPr>
                <w:rFonts w:ascii="Arial" w:cs="Arial" w:eastAsia="Arial" w:hAnsi="Arial"/>
                <w:sz w:val="13"/>
                <w:szCs w:val="13"/>
                <w:color w:val="auto"/>
              </w:rPr>
              <w:t>interests of all stockholders.</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 w:type="dxa"/>
            <w:vAlign w:val="bottom"/>
          </w:tcPr>
          <w:p>
            <w:pPr>
              <w:jc w:val="right"/>
              <w:ind w:right="114"/>
              <w:spacing w:after="0"/>
              <w:rPr>
                <w:sz w:val="20"/>
                <w:szCs w:val="20"/>
                <w:color w:val="auto"/>
              </w:rPr>
            </w:pPr>
            <w:r>
              <w:rPr>
                <w:rFonts w:ascii="Arial" w:cs="Arial" w:eastAsia="Arial" w:hAnsi="Arial"/>
                <w:sz w:val="13"/>
                <w:szCs w:val="13"/>
                <w:color w:val="auto"/>
                <w:w w:val="91"/>
              </w:rPr>
              <w:t>2.</w:t>
            </w:r>
          </w:p>
        </w:tc>
        <w:tc>
          <w:tcPr>
            <w:tcW w:w="3280" w:type="dxa"/>
            <w:vAlign w:val="bottom"/>
          </w:tcPr>
          <w:p>
            <w:pPr>
              <w:ind w:left="180"/>
              <w:spacing w:after="0"/>
              <w:rPr>
                <w:sz w:val="20"/>
                <w:szCs w:val="20"/>
                <w:color w:val="auto"/>
              </w:rPr>
            </w:pPr>
            <w:r>
              <w:rPr>
                <w:rFonts w:ascii="Arial" w:cs="Arial" w:eastAsia="Arial" w:hAnsi="Arial"/>
                <w:sz w:val="13"/>
                <w:szCs w:val="13"/>
                <w:color w:val="auto"/>
              </w:rPr>
              <w:t>Ratification of the selection of KPMG LLP (“KPMG“)</w:t>
            </w:r>
          </w:p>
        </w:tc>
        <w:tc>
          <w:tcPr>
            <w:tcW w:w="580" w:type="dxa"/>
            <w:vAlign w:val="bottom"/>
            <w:gridSpan w:val="2"/>
          </w:tcPr>
          <w:p>
            <w:pPr>
              <w:ind w:left="220"/>
              <w:spacing w:after="0"/>
              <w:rPr>
                <w:sz w:val="20"/>
                <w:szCs w:val="20"/>
                <w:color w:val="auto"/>
              </w:rPr>
            </w:pPr>
            <w:r>
              <w:rPr>
                <w:rFonts w:ascii="Arial" w:cs="Arial" w:eastAsia="Arial" w:hAnsi="Arial"/>
                <w:sz w:val="13"/>
                <w:szCs w:val="13"/>
                <w:color w:val="auto"/>
                <w:w w:val="94"/>
              </w:rPr>
              <w:t>“FOR”</w:t>
            </w:r>
          </w:p>
        </w:tc>
      </w:tr>
      <w:tr>
        <w:trPr>
          <w:trHeight w:val="146"/>
        </w:trPr>
        <w:tc>
          <w:tcPr>
            <w:tcW w:w="300" w:type="dxa"/>
            <w:vAlign w:val="bottom"/>
          </w:tcPr>
          <w:p>
            <w:pPr>
              <w:spacing w:after="0"/>
              <w:rPr>
                <w:sz w:val="12"/>
                <w:szCs w:val="12"/>
                <w:color w:val="auto"/>
              </w:rPr>
            </w:pPr>
          </w:p>
        </w:tc>
        <w:tc>
          <w:tcPr>
            <w:tcW w:w="3280" w:type="dxa"/>
            <w:vAlign w:val="bottom"/>
          </w:tcPr>
          <w:p>
            <w:pPr>
              <w:ind w:left="180"/>
              <w:spacing w:after="0" w:line="146" w:lineRule="exact"/>
              <w:rPr>
                <w:sz w:val="20"/>
                <w:szCs w:val="20"/>
                <w:color w:val="auto"/>
              </w:rPr>
            </w:pPr>
            <w:r>
              <w:rPr>
                <w:rFonts w:ascii="Arial" w:cs="Arial" w:eastAsia="Arial" w:hAnsi="Arial"/>
                <w:sz w:val="13"/>
                <w:szCs w:val="13"/>
                <w:color w:val="auto"/>
              </w:rPr>
              <w:t>as independent auditor of SPS Commerce, Inc. for</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83"/>
        </w:trPr>
        <w:tc>
          <w:tcPr>
            <w:tcW w:w="300" w:type="dxa"/>
            <w:vAlign w:val="bottom"/>
            <w:tcBorders>
              <w:bottom w:val="single" w:sz="8" w:color="00AAE5"/>
            </w:tcBorders>
          </w:tcPr>
          <w:p>
            <w:pPr>
              <w:spacing w:after="0"/>
              <w:rPr>
                <w:sz w:val="15"/>
                <w:szCs w:val="15"/>
                <w:color w:val="auto"/>
              </w:rPr>
            </w:pPr>
          </w:p>
        </w:tc>
        <w:tc>
          <w:tcPr>
            <w:tcW w:w="3280" w:type="dxa"/>
            <w:vAlign w:val="bottom"/>
            <w:tcBorders>
              <w:bottom w:val="single" w:sz="8" w:color="00AAE5"/>
            </w:tcBorders>
          </w:tcPr>
          <w:p>
            <w:pPr>
              <w:ind w:left="180"/>
              <w:spacing w:after="0"/>
              <w:rPr>
                <w:sz w:val="20"/>
                <w:szCs w:val="20"/>
                <w:color w:val="auto"/>
              </w:rPr>
            </w:pPr>
            <w:r>
              <w:rPr>
                <w:rFonts w:ascii="Arial" w:cs="Arial" w:eastAsia="Arial" w:hAnsi="Arial"/>
                <w:sz w:val="13"/>
                <w:szCs w:val="13"/>
                <w:color w:val="auto"/>
              </w:rPr>
              <w:t>the fiscal year ending December 31, 2020.</w:t>
            </w:r>
          </w:p>
        </w:tc>
        <w:tc>
          <w:tcPr>
            <w:tcW w:w="220" w:type="dxa"/>
            <w:vAlign w:val="bottom"/>
            <w:tcBorders>
              <w:bottom w:val="single" w:sz="8" w:color="99CCFF"/>
            </w:tcBorders>
          </w:tcPr>
          <w:p>
            <w:pPr>
              <w:spacing w:after="0"/>
              <w:rPr>
                <w:sz w:val="15"/>
                <w:szCs w:val="15"/>
                <w:color w:val="auto"/>
              </w:rPr>
            </w:pPr>
          </w:p>
        </w:tc>
        <w:tc>
          <w:tcPr>
            <w:tcW w:w="360" w:type="dxa"/>
            <w:vAlign w:val="bottom"/>
          </w:tcPr>
          <w:p>
            <w:pPr>
              <w:spacing w:after="0"/>
              <w:rPr>
                <w:sz w:val="15"/>
                <w:szCs w:val="15"/>
                <w:color w:val="auto"/>
              </w:rPr>
            </w:pPr>
          </w:p>
        </w:tc>
      </w:tr>
      <w:tr>
        <w:trPr>
          <w:trHeight w:val="154"/>
        </w:trPr>
        <w:tc>
          <w:tcPr>
            <w:tcW w:w="300" w:type="dxa"/>
            <w:vAlign w:val="bottom"/>
          </w:tcPr>
          <w:p>
            <w:pPr>
              <w:jc w:val="right"/>
              <w:ind w:right="114"/>
              <w:spacing w:after="0"/>
              <w:rPr>
                <w:sz w:val="20"/>
                <w:szCs w:val="20"/>
                <w:color w:val="auto"/>
              </w:rPr>
            </w:pPr>
            <w:r>
              <w:rPr>
                <w:rFonts w:ascii="Arial" w:cs="Arial" w:eastAsia="Arial" w:hAnsi="Arial"/>
                <w:sz w:val="13"/>
                <w:szCs w:val="13"/>
                <w:color w:val="auto"/>
                <w:w w:val="91"/>
              </w:rPr>
              <w:t>3.</w:t>
            </w:r>
          </w:p>
        </w:tc>
        <w:tc>
          <w:tcPr>
            <w:tcW w:w="3280" w:type="dxa"/>
            <w:vAlign w:val="bottom"/>
          </w:tcPr>
          <w:p>
            <w:pPr>
              <w:ind w:left="180"/>
              <w:spacing w:after="0"/>
              <w:rPr>
                <w:sz w:val="20"/>
                <w:szCs w:val="20"/>
                <w:color w:val="auto"/>
              </w:rPr>
            </w:pPr>
            <w:r>
              <w:rPr>
                <w:rFonts w:ascii="Arial" w:cs="Arial" w:eastAsia="Arial" w:hAnsi="Arial"/>
                <w:sz w:val="13"/>
                <w:szCs w:val="13"/>
                <w:color w:val="auto"/>
              </w:rPr>
              <w:t>An advisory vote to approve the compensation of</w:t>
            </w:r>
          </w:p>
        </w:tc>
        <w:tc>
          <w:tcPr>
            <w:tcW w:w="580" w:type="dxa"/>
            <w:vAlign w:val="bottom"/>
            <w:gridSpan w:val="2"/>
          </w:tcPr>
          <w:p>
            <w:pPr>
              <w:ind w:left="220"/>
              <w:spacing w:after="0"/>
              <w:rPr>
                <w:sz w:val="20"/>
                <w:szCs w:val="20"/>
                <w:color w:val="auto"/>
              </w:rPr>
            </w:pPr>
            <w:r>
              <w:rPr>
                <w:rFonts w:ascii="Arial" w:cs="Arial" w:eastAsia="Arial" w:hAnsi="Arial"/>
                <w:sz w:val="13"/>
                <w:szCs w:val="13"/>
                <w:color w:val="auto"/>
                <w:w w:val="94"/>
              </w:rPr>
              <w:t>“FOR”</w:t>
            </w:r>
          </w:p>
        </w:tc>
      </w:tr>
      <w:tr>
        <w:trPr>
          <w:trHeight w:val="178"/>
        </w:trPr>
        <w:tc>
          <w:tcPr>
            <w:tcW w:w="300" w:type="dxa"/>
            <w:vAlign w:val="bottom"/>
          </w:tcPr>
          <w:p>
            <w:pPr>
              <w:spacing w:after="0"/>
              <w:rPr>
                <w:sz w:val="15"/>
                <w:szCs w:val="15"/>
                <w:color w:val="auto"/>
              </w:rPr>
            </w:pPr>
          </w:p>
        </w:tc>
        <w:tc>
          <w:tcPr>
            <w:tcW w:w="3280" w:type="dxa"/>
            <w:vAlign w:val="bottom"/>
          </w:tcPr>
          <w:p>
            <w:pPr>
              <w:ind w:left="180"/>
              <w:spacing w:after="0"/>
              <w:rPr>
                <w:sz w:val="20"/>
                <w:szCs w:val="20"/>
                <w:color w:val="auto"/>
              </w:rPr>
            </w:pPr>
            <w:r>
              <w:rPr>
                <w:rFonts w:ascii="Arial" w:cs="Arial" w:eastAsia="Arial" w:hAnsi="Arial"/>
                <w:sz w:val="13"/>
                <w:szCs w:val="13"/>
                <w:color w:val="auto"/>
              </w:rPr>
              <w:t>our named executive officers.</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700"/>
        <w:spacing w:after="0" w:line="256" w:lineRule="auto"/>
        <w:rPr>
          <w:sz w:val="20"/>
          <w:szCs w:val="20"/>
          <w:color w:val="auto"/>
        </w:rPr>
      </w:pPr>
      <w:r>
        <w:rPr>
          <w:rFonts w:ascii="Arial" w:cs="Arial" w:eastAsia="Arial" w:hAnsi="Arial"/>
          <w:sz w:val="13"/>
          <w:szCs w:val="13"/>
          <w:color w:val="auto"/>
        </w:rPr>
        <w:t>Based on its assessment of the qualifications and performance of Page 37 KPMG, the Audit Committee believes that it is in the best interests of the company and its stockholders to retain KPMG.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1270</wp:posOffset>
            </wp:positionV>
            <wp:extent cx="4728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28210" cy="8255"/>
                    </a:xfrm>
                    <a:prstGeom prst="rect">
                      <a:avLst/>
                    </a:prstGeom>
                    <a:noFill/>
                  </pic:spPr>
                </pic:pic>
              </a:graphicData>
            </a:graphic>
          </wp:anchor>
        </w:drawing>
      </w:r>
    </w:p>
    <w:p>
      <w:pPr>
        <w:spacing w:after="0" w:line="5" w:lineRule="exact"/>
        <w:rPr>
          <w:sz w:val="20"/>
          <w:szCs w:val="20"/>
          <w:color w:val="auto"/>
        </w:rPr>
      </w:pPr>
    </w:p>
    <w:p>
      <w:pPr>
        <w:spacing w:after="0"/>
        <w:tabs>
          <w:tab w:leader="none" w:pos="4060" w:val="left"/>
        </w:tabs>
        <w:rPr>
          <w:sz w:val="20"/>
          <w:szCs w:val="20"/>
          <w:color w:val="auto"/>
        </w:rPr>
      </w:pPr>
      <w:r>
        <w:rPr>
          <w:rFonts w:ascii="Arial" w:cs="Arial" w:eastAsia="Arial" w:hAnsi="Arial"/>
          <w:sz w:val="13"/>
          <w:szCs w:val="13"/>
          <w:color w:val="auto"/>
        </w:rPr>
        <w:t>Our executive compensation program is designed to attract and</w:t>
      </w:r>
      <w:r>
        <w:rPr>
          <w:sz w:val="20"/>
          <w:szCs w:val="20"/>
          <w:color w:val="auto"/>
        </w:rPr>
        <w:tab/>
      </w:r>
      <w:r>
        <w:rPr>
          <w:rFonts w:ascii="Arial" w:cs="Arial" w:eastAsia="Arial" w:hAnsi="Arial"/>
          <w:sz w:val="13"/>
          <w:szCs w:val="13"/>
          <w:color w:val="auto"/>
        </w:rPr>
        <w:t>Page 38</w:t>
      </w:r>
    </w:p>
    <w:p>
      <w:pPr>
        <w:spacing w:after="0" w:line="12" w:lineRule="exact"/>
        <w:rPr>
          <w:sz w:val="20"/>
          <w:szCs w:val="20"/>
          <w:color w:val="auto"/>
        </w:rPr>
      </w:pPr>
    </w:p>
    <w:p>
      <w:pPr>
        <w:ind w:right="1420"/>
        <w:spacing w:after="0" w:line="243" w:lineRule="auto"/>
        <w:rPr>
          <w:sz w:val="20"/>
          <w:szCs w:val="20"/>
          <w:color w:val="auto"/>
        </w:rPr>
      </w:pPr>
      <w:r>
        <w:rPr>
          <w:rFonts w:ascii="Arial" w:cs="Arial" w:eastAsia="Arial" w:hAnsi="Arial"/>
          <w:sz w:val="13"/>
          <w:szCs w:val="13"/>
          <w:color w:val="auto"/>
        </w:rPr>
        <w:t>retain talented and highly experienced executives and to motivate our executives to achieve the goals that are important to the company’s growth and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6350</wp:posOffset>
            </wp:positionV>
            <wp:extent cx="71348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3" w:lineRule="exact"/>
        <w:rPr>
          <w:sz w:val="20"/>
          <w:szCs w:val="20"/>
          <w:color w:val="auto"/>
        </w:rPr>
      </w:pPr>
    </w:p>
    <w:p>
      <w:pPr>
        <w:sectPr>
          <w:pgSz w:w="11900" w:h="16838" w:orient="portrait"/>
          <w:cols w:equalWidth="0" w:num="2">
            <w:col w:w="5240" w:space="720"/>
            <w:col w:w="5280"/>
          </w:cols>
          <w:pgMar w:left="320" w:top="553" w:right="339" w:bottom="1440" w:gutter="0" w:footer="0" w:header="0"/>
          <w:type w:val="continuous"/>
        </w:sectPr>
      </w:pPr>
    </w:p>
    <w:p>
      <w:pPr>
        <w:ind w:left="480" w:right="1080" w:hanging="479"/>
        <w:spacing w:after="0" w:line="246" w:lineRule="auto"/>
        <w:tabs>
          <w:tab w:leader="none" w:pos="460" w:val="left"/>
        </w:tabs>
        <w:rPr>
          <w:sz w:val="20"/>
          <w:szCs w:val="20"/>
          <w:color w:val="auto"/>
        </w:rPr>
      </w:pPr>
      <w:r>
        <w:rPr>
          <w:rFonts w:ascii="Arial" w:cs="Arial" w:eastAsia="Arial" w:hAnsi="Arial"/>
          <w:sz w:val="13"/>
          <w:szCs w:val="13"/>
          <w:color w:val="auto"/>
        </w:rPr>
        <w:t>4.</w:t>
      </w:r>
      <w:r>
        <w:rPr>
          <w:sz w:val="20"/>
          <w:szCs w:val="20"/>
          <w:color w:val="auto"/>
        </w:rPr>
        <w:tab/>
      </w:r>
      <w:r>
        <w:rPr>
          <w:rFonts w:ascii="Arial" w:cs="Arial" w:eastAsia="Arial" w:hAnsi="Arial"/>
          <w:sz w:val="13"/>
          <w:szCs w:val="13"/>
          <w:color w:val="auto"/>
        </w:rPr>
        <w:t>Approval of an amendment to our Eighth Amended “FOR” and Restated Certificate of Incorporation to increase</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the number of authorized shares of common stock.</w:t>
      </w:r>
    </w:p>
    <w:p>
      <w:pPr>
        <w:spacing w:after="0" w:line="20" w:lineRule="exact"/>
        <w:rPr>
          <w:sz w:val="20"/>
          <w:szCs w:val="20"/>
          <w:color w:val="auto"/>
        </w:rPr>
      </w:pPr>
      <w:r>
        <w:rPr>
          <w:sz w:val="20"/>
          <w:szCs w:val="20"/>
          <w:color w:val="auto"/>
        </w:rPr>
        <w:br w:type="column"/>
      </w:r>
    </w:p>
    <w:p>
      <w:pPr>
        <w:spacing w:after="0"/>
        <w:tabs>
          <w:tab w:leader="none" w:pos="4060" w:val="left"/>
        </w:tabs>
        <w:rPr>
          <w:sz w:val="20"/>
          <w:szCs w:val="20"/>
          <w:color w:val="auto"/>
        </w:rPr>
      </w:pPr>
      <w:r>
        <w:rPr>
          <w:rFonts w:ascii="Arial" w:cs="Arial" w:eastAsia="Arial" w:hAnsi="Arial"/>
          <w:sz w:val="13"/>
          <w:szCs w:val="13"/>
          <w:color w:val="auto"/>
        </w:rPr>
        <w:t>Our board of directors believes that the amendment is necessary</w:t>
      </w:r>
      <w:r>
        <w:rPr>
          <w:sz w:val="20"/>
          <w:szCs w:val="20"/>
          <w:color w:val="auto"/>
        </w:rPr>
        <w:tab/>
      </w:r>
      <w:r>
        <w:rPr>
          <w:rFonts w:ascii="Arial" w:cs="Arial" w:eastAsia="Arial" w:hAnsi="Arial"/>
          <w:sz w:val="13"/>
          <w:szCs w:val="13"/>
          <w:color w:val="auto"/>
        </w:rPr>
        <w:t>Page 39</w:t>
      </w:r>
    </w:p>
    <w:p>
      <w:pPr>
        <w:spacing w:after="0" w:line="12" w:lineRule="exact"/>
        <w:rPr>
          <w:sz w:val="20"/>
          <w:szCs w:val="20"/>
          <w:color w:val="auto"/>
        </w:rPr>
      </w:pPr>
    </w:p>
    <w:p>
      <w:pPr>
        <w:ind w:right="1560"/>
        <w:spacing w:after="0" w:line="253" w:lineRule="auto"/>
        <w:rPr>
          <w:sz w:val="20"/>
          <w:szCs w:val="20"/>
          <w:color w:val="auto"/>
        </w:rPr>
      </w:pPr>
      <w:r>
        <w:rPr>
          <w:rFonts w:ascii="Arial" w:cs="Arial" w:eastAsia="Arial" w:hAnsi="Arial"/>
          <w:sz w:val="13"/>
          <w:szCs w:val="13"/>
          <w:color w:val="auto"/>
        </w:rPr>
        <w:t>to maintain flexibility to issue shares of common stock for future corporate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1905</wp:posOffset>
            </wp:positionV>
            <wp:extent cx="7134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280"/>
          </w:cols>
          <w:pgMar w:left="320" w:top="553" w:right="339" w:bottom="1440" w:gutter="0" w:footer="0" w:header="0"/>
          <w:type w:val="continuous"/>
        </w:sectPr>
      </w:pPr>
    </w:p>
    <w:p>
      <w:pPr>
        <w:spacing w:after="0" w:line="10" w:lineRule="exact"/>
        <w:rPr>
          <w:sz w:val="20"/>
          <w:szCs w:val="20"/>
          <w:color w:val="auto"/>
        </w:rPr>
      </w:pPr>
    </w:p>
    <w:p>
      <w:pPr>
        <w:ind w:right="20" w:firstLine="589"/>
        <w:spacing w:after="0" w:line="274" w:lineRule="auto"/>
        <w:rPr>
          <w:sz w:val="20"/>
          <w:szCs w:val="20"/>
          <w:color w:val="auto"/>
        </w:rPr>
      </w:pPr>
      <w:r>
        <w:rPr>
          <w:rFonts w:ascii="Times New Roman" w:cs="Times New Roman" w:eastAsia="Times New Roman" w:hAnsi="Times New Roman"/>
          <w:sz w:val="17"/>
          <w:szCs w:val="17"/>
          <w:color w:val="auto"/>
        </w:rPr>
        <w:t>Other than the proposals described in this proxy statement, the board is not aware of any other matters to be presented for a vote at the annual meeting. If you grant a proxy by telephone, internet, or by signing and returning your proxy card, any of the persons appointed by the board as proxy holders will have the discretion to vote your shares on any additional matters properly presented for a vote at the meeting. If any of our nominees is unavailable as a candidate for director, the above-named proxy holders will vote your proxy for another candidate or candidates as may be nominated by the board of directors.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8" w:name="page9"/>
    <w:bookmarkEnd w:id="8"/>
    <w:p>
      <w:pPr>
        <w:jc w:val="center"/>
        <w:ind w:left="340" w:right="20"/>
        <w:spacing w:after="0" w:line="302" w:lineRule="auto"/>
        <w:rPr>
          <w:sz w:val="20"/>
          <w:szCs w:val="20"/>
          <w:color w:val="auto"/>
        </w:rPr>
      </w:pPr>
      <w:r>
        <w:rPr>
          <w:rFonts w:ascii="Arial" w:cs="Arial" w:eastAsia="Arial" w:hAnsi="Arial"/>
          <w:sz w:val="35"/>
          <w:szCs w:val="35"/>
          <w:b w:val="1"/>
          <w:bCs w:val="1"/>
          <w:color w:val="00AAE5"/>
        </w:rPr>
        <w:t>QUESTIONS AND ANSWERS ABOUT THE ANNUAL MEETING AND VOTING</w:t>
      </w:r>
    </w:p>
    <w:p>
      <w:pPr>
        <w:spacing w:after="0" w:line="1" w:lineRule="exact"/>
        <w:rPr>
          <w:sz w:val="20"/>
          <w:szCs w:val="20"/>
          <w:color w:val="auto"/>
        </w:rPr>
      </w:pPr>
    </w:p>
    <w:p>
      <w:pPr>
        <w:ind w:right="200" w:firstLine="589"/>
        <w:spacing w:after="0" w:line="274" w:lineRule="auto"/>
        <w:rPr>
          <w:sz w:val="20"/>
          <w:szCs w:val="20"/>
          <w:color w:val="auto"/>
        </w:rPr>
      </w:pPr>
      <w:r>
        <w:rPr>
          <w:rFonts w:ascii="Times New Roman" w:cs="Times New Roman" w:eastAsia="Times New Roman" w:hAnsi="Times New Roman"/>
          <w:sz w:val="18"/>
          <w:szCs w:val="18"/>
          <w:color w:val="auto"/>
        </w:rPr>
        <w:t>The board of directors of SPS Commerce, Inc. is soliciting proxies for use at the annual meeting of stockholders to be held on May 18, 2020, and at any adjournment or postponement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64770</wp:posOffset>
            </wp:positionV>
            <wp:extent cx="71348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Purpose of the Annual Meeting</w:t>
      </w:r>
    </w:p>
    <w:p>
      <w:pPr>
        <w:spacing w:after="0" w:line="164" w:lineRule="exact"/>
        <w:rPr>
          <w:sz w:val="20"/>
          <w:szCs w:val="20"/>
          <w:color w:val="auto"/>
        </w:rPr>
      </w:pPr>
    </w:p>
    <w:p>
      <w:pPr>
        <w:ind w:right="80" w:firstLine="589"/>
        <w:spacing w:after="0" w:line="252" w:lineRule="auto"/>
        <w:rPr>
          <w:sz w:val="20"/>
          <w:szCs w:val="20"/>
          <w:color w:val="auto"/>
        </w:rPr>
      </w:pPr>
      <w:r>
        <w:rPr>
          <w:rFonts w:ascii="Times New Roman" w:cs="Times New Roman" w:eastAsia="Times New Roman" w:hAnsi="Times New Roman"/>
          <w:sz w:val="18"/>
          <w:szCs w:val="18"/>
          <w:color w:val="auto"/>
        </w:rPr>
        <w:t>At our annual meeting, stockholders will act upon the matters outlined in the Notice of Annual Meeting of Stockholders, and management will report on matters of current interest to our stockholders and respond to questions from our stockholders. The matters outlined in the notice include the election of directors, the ratification of the selection of our independent auditor for 2020, an advisory vote to approve the compensation of our named executive officers, and the approval of an amendment to our Eighth Amended and Restated Certificate of Incorporation to increase the number of authorized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Annual Meeting Voting Rights and Attendance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Who is entitled to vote at the meeting?</w:t>
      </w:r>
    </w:p>
    <w:p>
      <w:pPr>
        <w:spacing w:after="0" w:line="168" w:lineRule="exact"/>
        <w:rPr>
          <w:sz w:val="20"/>
          <w:szCs w:val="20"/>
          <w:color w:val="auto"/>
        </w:rPr>
      </w:pPr>
    </w:p>
    <w:p>
      <w:pPr>
        <w:ind w:right="200" w:firstLine="589"/>
        <w:spacing w:after="0" w:line="259" w:lineRule="auto"/>
        <w:rPr>
          <w:sz w:val="20"/>
          <w:szCs w:val="20"/>
          <w:color w:val="auto"/>
        </w:rPr>
      </w:pPr>
      <w:r>
        <w:rPr>
          <w:rFonts w:ascii="Times New Roman" w:cs="Times New Roman" w:eastAsia="Times New Roman" w:hAnsi="Times New Roman"/>
          <w:sz w:val="18"/>
          <w:szCs w:val="18"/>
          <w:color w:val="auto"/>
        </w:rPr>
        <w:t>The board of directors has set March 25, 2020 as the record date for the annual meeting. If you were a stockholder of record at the close of business on March 25, 2020, you are entitled to vote at the meeting. As of the record date, 35,019,093 shares of common stock, representing all of our voting stock, were issued and outstanding and, therefore, eligible to vote at the meeting.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What are my voting rights?</w:t>
      </w:r>
    </w:p>
    <w:p>
      <w:pPr>
        <w:spacing w:after="0" w:line="168" w:lineRule="exact"/>
        <w:rPr>
          <w:sz w:val="20"/>
          <w:szCs w:val="20"/>
          <w:color w:val="auto"/>
        </w:rPr>
      </w:pPr>
    </w:p>
    <w:p>
      <w:pPr>
        <w:ind w:right="160" w:firstLine="589"/>
        <w:spacing w:after="0" w:line="274" w:lineRule="auto"/>
        <w:rPr>
          <w:sz w:val="20"/>
          <w:szCs w:val="20"/>
          <w:color w:val="auto"/>
        </w:rPr>
      </w:pPr>
      <w:r>
        <w:rPr>
          <w:rFonts w:ascii="Times New Roman" w:cs="Times New Roman" w:eastAsia="Times New Roman" w:hAnsi="Times New Roman"/>
          <w:sz w:val="18"/>
          <w:szCs w:val="18"/>
          <w:color w:val="auto"/>
        </w:rPr>
        <w:t>Holders of our common stock are entitled to one vote per share. Therefore, a total of 35,019,093 votes are entitled to be cast at the meeting. There is no cumulative voting.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How many shares must be present to hold the meeting?</w:t>
      </w:r>
    </w:p>
    <w:p>
      <w:pPr>
        <w:spacing w:after="0" w:line="168" w:lineRule="exact"/>
        <w:rPr>
          <w:sz w:val="20"/>
          <w:szCs w:val="20"/>
          <w:color w:val="auto"/>
        </w:rPr>
      </w:pPr>
    </w:p>
    <w:p>
      <w:pPr>
        <w:jc w:val="both"/>
        <w:ind w:firstLine="589"/>
        <w:spacing w:after="0" w:line="259" w:lineRule="auto"/>
        <w:rPr>
          <w:sz w:val="20"/>
          <w:szCs w:val="20"/>
          <w:color w:val="auto"/>
        </w:rPr>
      </w:pPr>
      <w:r>
        <w:rPr>
          <w:rFonts w:ascii="Times New Roman" w:cs="Times New Roman" w:eastAsia="Times New Roman" w:hAnsi="Times New Roman"/>
          <w:sz w:val="18"/>
          <w:szCs w:val="18"/>
          <w:color w:val="auto"/>
        </w:rPr>
        <w:t>In accordance with our bylaws, shares equal to a majority of the voting power of the outstanding shares of common stock entitled to vote generally in the election of directors as of the record date must be present at the annual meeting in order to hold the meeting and conduct business. This is called a quorum. Shares are counted as present at the meeting if:</w:t>
      </w:r>
    </w:p>
    <w:p>
      <w:pPr>
        <w:spacing w:after="0" w:line="72" w:lineRule="exact"/>
        <w:rPr>
          <w:sz w:val="20"/>
          <w:szCs w:val="20"/>
          <w:color w:val="auto"/>
        </w:rPr>
      </w:pPr>
    </w:p>
    <w:p>
      <w:pPr>
        <w:ind w:left="1020" w:hanging="431"/>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present and vote in person at the meeting; or</w:t>
      </w:r>
    </w:p>
    <w:p>
      <w:pPr>
        <w:spacing w:after="0" w:line="111" w:lineRule="exact"/>
        <w:rPr>
          <w:rFonts w:ascii="Times New Roman" w:cs="Times New Roman" w:eastAsia="Times New Roman" w:hAnsi="Times New Roman"/>
          <w:sz w:val="18"/>
          <w:szCs w:val="18"/>
          <w:color w:val="auto"/>
        </w:rPr>
      </w:pPr>
    </w:p>
    <w:p>
      <w:pPr>
        <w:ind w:left="1020" w:hanging="431"/>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properly and timely submitted your proxy as described below under “How do I submit my proxy?”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What is the difference between a stockholder of record and a “street name” holder?</w:t>
      </w:r>
    </w:p>
    <w:p>
      <w:pPr>
        <w:spacing w:after="0" w:line="168" w:lineRule="exact"/>
        <w:rPr>
          <w:sz w:val="20"/>
          <w:szCs w:val="20"/>
          <w:color w:val="auto"/>
        </w:rPr>
      </w:pPr>
    </w:p>
    <w:p>
      <w:pPr>
        <w:ind w:right="20" w:firstLine="589"/>
        <w:spacing w:after="0" w:line="252" w:lineRule="auto"/>
        <w:rPr>
          <w:sz w:val="20"/>
          <w:szCs w:val="20"/>
          <w:color w:val="auto"/>
        </w:rPr>
      </w:pPr>
      <w:r>
        <w:rPr>
          <w:rFonts w:ascii="Times New Roman" w:cs="Times New Roman" w:eastAsia="Times New Roman" w:hAnsi="Times New Roman"/>
          <w:sz w:val="18"/>
          <w:szCs w:val="18"/>
          <w:color w:val="auto"/>
        </w:rPr>
        <w:t>If your shares are registered directly in your name, you are considered the stockholder of record with respect to those shares. If your shares are held in a stock brokerage account or by a bank, trust or other nominee, then the broker, bank, trust or other nominee is considered to be the stockholder of record with respect to those shares, while you are considered the beneficial owner of those shares. In that case, your shares are said to be held in “street name.” Street name holders generally cannot vote their shares directly and must instead instruct the broker, bank, trust or other nominee how to vote their shares using the method described below under “How do I submit my proxy?”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How can I attend the meeting?</w:t>
      </w:r>
    </w:p>
    <w:p>
      <w:pPr>
        <w:spacing w:after="0" w:line="168" w:lineRule="exact"/>
        <w:rPr>
          <w:sz w:val="20"/>
          <w:szCs w:val="20"/>
          <w:color w:val="auto"/>
        </w:rPr>
      </w:pPr>
    </w:p>
    <w:p>
      <w:pPr>
        <w:ind w:right="160" w:firstLine="589"/>
        <w:spacing w:after="0" w:line="274" w:lineRule="auto"/>
        <w:rPr>
          <w:sz w:val="20"/>
          <w:szCs w:val="20"/>
          <w:color w:val="auto"/>
        </w:rPr>
      </w:pPr>
      <w:r>
        <w:rPr>
          <w:rFonts w:ascii="Times New Roman" w:cs="Times New Roman" w:eastAsia="Times New Roman" w:hAnsi="Times New Roman"/>
          <w:sz w:val="18"/>
          <w:szCs w:val="18"/>
          <w:color w:val="auto"/>
        </w:rPr>
        <w:t>All of our stockholders are invited to attend the annual meeting. You may be asked to present valid photo identification, such as a driver’s license or passport, before being admitted to the meeting. If you hold your shares in</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1370" cy="16510"/>
                    </a:xfrm>
                    <a:prstGeom prst="rect">
                      <a:avLst/>
                    </a:prstGeom>
                    <a:noFill/>
                  </pic:spPr>
                </pic:pic>
              </a:graphicData>
            </a:graphic>
          </wp:anchor>
        </w:drawing>
      </w:r>
    </w:p>
    <w:p>
      <w:pPr>
        <w:sectPr>
          <w:pgSz w:w="11900" w:h="16838" w:orient="portrait"/>
          <w:cols w:equalWidth="0" w:num="1">
            <w:col w:w="11220"/>
          </w:cols>
          <w:pgMar w:left="320" w:top="313" w:right="359" w:bottom="1440" w:gutter="0" w:footer="0" w:header="0"/>
        </w:sectPr>
      </w:pPr>
    </w:p>
    <w:bookmarkStart w:id="9" w:name="page10"/>
    <w:bookmarkEnd w:id="9"/>
    <w:p>
      <w:pPr>
        <w:ind w:right="120"/>
        <w:spacing w:after="0" w:line="274" w:lineRule="auto"/>
        <w:rPr>
          <w:sz w:val="20"/>
          <w:szCs w:val="20"/>
          <w:color w:val="auto"/>
        </w:rPr>
      </w:pPr>
      <w:r>
        <w:rPr>
          <w:rFonts w:ascii="Times New Roman" w:cs="Times New Roman" w:eastAsia="Times New Roman" w:hAnsi="Times New Roman"/>
          <w:sz w:val="18"/>
          <w:szCs w:val="18"/>
          <w:color w:val="auto"/>
        </w:rPr>
        <w:t>street name, you also may be asked to present proof of ownership to be admitted to the meeting. A brokerage statement or letter from your broker, bank, trust or other nominee are examples of proof of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216535</wp:posOffset>
            </wp:positionV>
            <wp:extent cx="7134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Information about the Notice and Proxy Materials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What is a proxy?</w:t>
      </w:r>
    </w:p>
    <w:p>
      <w:pPr>
        <w:spacing w:after="0" w:line="168" w:lineRule="exact"/>
        <w:rPr>
          <w:sz w:val="20"/>
          <w:szCs w:val="20"/>
          <w:color w:val="auto"/>
        </w:rPr>
      </w:pPr>
    </w:p>
    <w:p>
      <w:pPr>
        <w:ind w:right="180" w:firstLine="589"/>
        <w:spacing w:after="0" w:line="255" w:lineRule="auto"/>
        <w:rPr>
          <w:sz w:val="20"/>
          <w:szCs w:val="20"/>
          <w:color w:val="auto"/>
        </w:rPr>
      </w:pPr>
      <w:r>
        <w:rPr>
          <w:rFonts w:ascii="Times New Roman" w:cs="Times New Roman" w:eastAsia="Times New Roman" w:hAnsi="Times New Roman"/>
          <w:sz w:val="18"/>
          <w:szCs w:val="18"/>
          <w:color w:val="auto"/>
        </w:rPr>
        <w:t>It is your designation of another person to vote stock you own. That other person is called a proxy. If you designate someone as your proxy in a written document, that document also is called a proxy or a proxy card. When you designate a proxy, you also may direct the proxy how to vote your shares. We refer to this as your “proxy vote.” Two executive officers have been designated as proxies for our 2020 annual meeting of stockholders. These executive officers are Archie C. Black and Kimberly K. Nelson.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If I received a one-page Notice of Internet Availability of Proxy Materials, how can I receive a full set of printed proxy materials?</w:t>
      </w:r>
    </w:p>
    <w:p>
      <w:pPr>
        <w:spacing w:after="0" w:line="168" w:lineRule="exact"/>
        <w:rPr>
          <w:sz w:val="20"/>
          <w:szCs w:val="20"/>
          <w:color w:val="auto"/>
        </w:rPr>
      </w:pPr>
    </w:p>
    <w:p>
      <w:pPr>
        <w:ind w:firstLine="589"/>
        <w:spacing w:after="0" w:line="252" w:lineRule="auto"/>
        <w:rPr>
          <w:sz w:val="20"/>
          <w:szCs w:val="20"/>
          <w:color w:val="auto"/>
        </w:rPr>
      </w:pPr>
      <w:r>
        <w:rPr>
          <w:rFonts w:ascii="Times New Roman" w:cs="Times New Roman" w:eastAsia="Times New Roman" w:hAnsi="Times New Roman"/>
          <w:sz w:val="18"/>
          <w:szCs w:val="18"/>
          <w:color w:val="auto"/>
        </w:rPr>
        <w:t>As permitted by SEC rules, we have elected to provide access to our proxy materials over the Internet to record owners and any beneficial owners of our stock who have not previously requested printed proxy materials, which reduces our costs and the environmental impact of our annual meeting. The Notice of Availability contains instructions on how to request a printed set of proxy materials, which we will provide to stockholders upon request at no cost to the requesting stockholder within three business days after receiving the request. If you would like to request a printed set of proxy materials, please make your request on or before May 4, 2020 to facilitate timely delivery.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How do I submit my proxy?</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are a stockholder of record, you can submit a proxy to be voted at the meeting in any of the following ways:</w:t>
      </w:r>
    </w:p>
    <w:p>
      <w:pPr>
        <w:spacing w:after="0" w:line="111" w:lineRule="exact"/>
        <w:rPr>
          <w:sz w:val="20"/>
          <w:szCs w:val="20"/>
          <w:color w:val="auto"/>
        </w:rPr>
      </w:pPr>
    </w:p>
    <w:p>
      <w:pPr>
        <w:ind w:left="1020" w:hanging="431"/>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over the internet using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w:t>
      </w:r>
    </w:p>
    <w:p>
      <w:pPr>
        <w:spacing w:after="0" w:line="111" w:lineRule="exact"/>
        <w:rPr>
          <w:rFonts w:ascii="Times New Roman" w:cs="Times New Roman" w:eastAsia="Times New Roman" w:hAnsi="Times New Roman"/>
          <w:sz w:val="18"/>
          <w:szCs w:val="18"/>
          <w:color w:val="auto"/>
        </w:rPr>
      </w:pPr>
    </w:p>
    <w:p>
      <w:pPr>
        <w:ind w:left="1020" w:hanging="431"/>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telephone by calling a toll-free number; or</w:t>
      </w:r>
    </w:p>
    <w:p>
      <w:pPr>
        <w:spacing w:after="0" w:line="111" w:lineRule="exact"/>
        <w:rPr>
          <w:rFonts w:ascii="Times New Roman" w:cs="Times New Roman" w:eastAsia="Times New Roman" w:hAnsi="Times New Roman"/>
          <w:sz w:val="18"/>
          <w:szCs w:val="18"/>
          <w:color w:val="auto"/>
        </w:rPr>
      </w:pPr>
    </w:p>
    <w:p>
      <w:pPr>
        <w:ind w:left="1020" w:hanging="431"/>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dating and mailing the proxy card in the envelope provided.</w:t>
      </w:r>
    </w:p>
    <w:p>
      <w:pPr>
        <w:spacing w:after="0" w:line="164" w:lineRule="exact"/>
        <w:rPr>
          <w:sz w:val="20"/>
          <w:szCs w:val="20"/>
          <w:color w:val="auto"/>
        </w:rPr>
      </w:pPr>
    </w:p>
    <w:p>
      <w:pPr>
        <w:ind w:firstLine="589"/>
        <w:spacing w:after="0" w:line="251" w:lineRule="auto"/>
        <w:rPr>
          <w:sz w:val="20"/>
          <w:szCs w:val="20"/>
          <w:color w:val="auto"/>
        </w:rPr>
      </w:pPr>
      <w:r>
        <w:rPr>
          <w:rFonts w:ascii="Times New Roman" w:cs="Times New Roman" w:eastAsia="Times New Roman" w:hAnsi="Times New Roman"/>
          <w:sz w:val="18"/>
          <w:szCs w:val="18"/>
          <w:color w:val="auto"/>
        </w:rPr>
        <w:t>To vote by telephone or the internet, you will need to use a control number that was provided to you by our vote tabulator, Broadridge Financial Solutions, and then follow the additional steps when prompted. The steps have been designed to authenticate your identity, allow you to give voting instructions, and confirm that those instructions have been recorded properly. If you hold your shares in street name, you must vote your shares in the manner prescribed by your broker, bank, trust or other nominee, which is similar to the voting procedures for stockholders of record. If you request the proxy materials by mail after receiving a Notice of Internet Availability of Proxy Material, you will receive a voting instruction form (not a proxy card) to use in directing the broker, bank, trust or other nominee how to vote your shares.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What does it mean if I receive more than one printed set of proxy materials?</w:t>
      </w:r>
    </w:p>
    <w:p>
      <w:pPr>
        <w:spacing w:after="0" w:line="168" w:lineRule="exact"/>
        <w:rPr>
          <w:sz w:val="20"/>
          <w:szCs w:val="20"/>
          <w:color w:val="auto"/>
        </w:rPr>
      </w:pPr>
    </w:p>
    <w:p>
      <w:pPr>
        <w:ind w:right="460" w:firstLine="589"/>
        <w:spacing w:after="0" w:line="259" w:lineRule="auto"/>
        <w:rPr>
          <w:sz w:val="20"/>
          <w:szCs w:val="20"/>
          <w:color w:val="auto"/>
        </w:rPr>
      </w:pPr>
      <w:r>
        <w:rPr>
          <w:rFonts w:ascii="Times New Roman" w:cs="Times New Roman" w:eastAsia="Times New Roman" w:hAnsi="Times New Roman"/>
          <w:sz w:val="18"/>
          <w:szCs w:val="18"/>
          <w:color w:val="auto"/>
        </w:rPr>
        <w:t>If you receive more than one Notice of Internet Availability of Proxy Materials or printed set of proxy materials, it means that you hold shares registered in more than one account. To ensure that all of your shares are voted, vote once for each control number you receive as described above under “How do I submit my proxy?”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Who pays for the cost of proxy preparation and solicitation?</w:t>
      </w:r>
    </w:p>
    <w:p>
      <w:pPr>
        <w:spacing w:after="0" w:line="168" w:lineRule="exact"/>
        <w:rPr>
          <w:sz w:val="20"/>
          <w:szCs w:val="20"/>
          <w:color w:val="auto"/>
        </w:rPr>
      </w:pPr>
    </w:p>
    <w:p>
      <w:pPr>
        <w:ind w:right="420" w:firstLine="589"/>
        <w:spacing w:after="0" w:line="259" w:lineRule="auto"/>
        <w:rPr>
          <w:sz w:val="20"/>
          <w:szCs w:val="20"/>
          <w:color w:val="auto"/>
        </w:rPr>
      </w:pPr>
      <w:r>
        <w:rPr>
          <w:rFonts w:ascii="Times New Roman" w:cs="Times New Roman" w:eastAsia="Times New Roman" w:hAnsi="Times New Roman"/>
          <w:sz w:val="18"/>
          <w:szCs w:val="18"/>
          <w:color w:val="auto"/>
        </w:rPr>
        <w:t>SPS Commerce pays for the cost of proxy preparation and solicitation, including the reasonable charges and expenses of brokerage firms, banks, trusts or other nominees for forwarding proxy materials to street name holders. We are soliciting proxies by mail. In addition, our directors, officers and regular employees may solicit proxies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1370" cy="16510"/>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10" w:name="page11"/>
    <w:bookmarkEnd w:id="10"/>
    <w:p>
      <w:pPr>
        <w:ind w:right="560"/>
        <w:spacing w:after="0" w:line="274" w:lineRule="auto"/>
        <w:rPr>
          <w:sz w:val="20"/>
          <w:szCs w:val="20"/>
          <w:color w:val="auto"/>
        </w:rPr>
      </w:pPr>
      <w:r>
        <w:rPr>
          <w:rFonts w:ascii="Times New Roman" w:cs="Times New Roman" w:eastAsia="Times New Roman" w:hAnsi="Times New Roman"/>
          <w:sz w:val="18"/>
          <w:szCs w:val="18"/>
          <w:color w:val="auto"/>
        </w:rPr>
        <w:t>personally, telephonically, electronically or by other means of communication. Our directors, officers and regular employees will receive no additional compensation for their services other than their regular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134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Voting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How does the board of directors recommend that I vote?</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board of directors recommends a vote:</w:t>
      </w:r>
    </w:p>
    <w:p>
      <w:pPr>
        <w:spacing w:after="0" w:line="109" w:lineRule="exact"/>
        <w:rPr>
          <w:sz w:val="20"/>
          <w:szCs w:val="20"/>
          <w:color w:val="auto"/>
        </w:rPr>
      </w:pPr>
    </w:p>
    <w:p>
      <w:pPr>
        <w:ind w:left="1020" w:hanging="431"/>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each of the nominees for director;</w:t>
      </w:r>
    </w:p>
    <w:p>
      <w:pPr>
        <w:spacing w:after="0" w:line="111" w:lineRule="exact"/>
        <w:rPr>
          <w:rFonts w:ascii="Times New Roman" w:cs="Times New Roman" w:eastAsia="Times New Roman" w:hAnsi="Times New Roman"/>
          <w:sz w:val="18"/>
          <w:szCs w:val="18"/>
          <w:color w:val="auto"/>
        </w:rPr>
      </w:pPr>
    </w:p>
    <w:p>
      <w:pPr>
        <w:ind w:left="1020" w:hanging="431"/>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selection of KPMG as the independent auditor of SPS Commerce, Inc. for the year ending December 31, 2020;</w:t>
      </w:r>
    </w:p>
    <w:p>
      <w:pPr>
        <w:spacing w:after="0" w:line="111" w:lineRule="exact"/>
        <w:rPr>
          <w:rFonts w:ascii="Times New Roman" w:cs="Times New Roman" w:eastAsia="Times New Roman" w:hAnsi="Times New Roman"/>
          <w:sz w:val="18"/>
          <w:szCs w:val="18"/>
          <w:color w:val="auto"/>
        </w:rPr>
      </w:pPr>
    </w:p>
    <w:p>
      <w:pPr>
        <w:ind w:left="1020" w:hanging="431"/>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advisory approval of the compensation of our named executive officers; and</w:t>
      </w:r>
    </w:p>
    <w:p>
      <w:pPr>
        <w:spacing w:after="0" w:line="111" w:lineRule="exact"/>
        <w:rPr>
          <w:rFonts w:ascii="Times New Roman" w:cs="Times New Roman" w:eastAsia="Times New Roman" w:hAnsi="Times New Roman"/>
          <w:sz w:val="18"/>
          <w:szCs w:val="18"/>
          <w:color w:val="auto"/>
        </w:rPr>
      </w:pPr>
    </w:p>
    <w:p>
      <w:pPr>
        <w:ind w:left="1020" w:right="80" w:hanging="431"/>
        <w:spacing w:after="0" w:line="27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approval of the amendment to our Eighth Amended and Restated Certificate of Incorporation to increase the number of authorized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What if I do not specify how I want my shares voted?</w:t>
      </w:r>
    </w:p>
    <w:p>
      <w:pPr>
        <w:spacing w:after="0" w:line="168" w:lineRule="exact"/>
        <w:rPr>
          <w:sz w:val="20"/>
          <w:szCs w:val="20"/>
          <w:color w:val="auto"/>
        </w:rPr>
      </w:pPr>
    </w:p>
    <w:p>
      <w:pPr>
        <w:ind w:right="180" w:firstLine="589"/>
        <w:spacing w:after="0" w:line="274" w:lineRule="auto"/>
        <w:rPr>
          <w:sz w:val="20"/>
          <w:szCs w:val="20"/>
          <w:color w:val="auto"/>
        </w:rPr>
      </w:pPr>
      <w:r>
        <w:rPr>
          <w:rFonts w:ascii="Times New Roman" w:cs="Times New Roman" w:eastAsia="Times New Roman" w:hAnsi="Times New Roman"/>
          <w:sz w:val="18"/>
          <w:szCs w:val="18"/>
          <w:color w:val="auto"/>
        </w:rPr>
        <w:t>If you are a stockholder of record and submit a signed proxy card or submit your proxy by internet or telephone but do not specify how you want to vote your shares on a particular matter, we will vote your shares as follows:</w:t>
      </w:r>
    </w:p>
    <w:p>
      <w:pPr>
        <w:spacing w:after="0" w:line="55" w:lineRule="exact"/>
        <w:rPr>
          <w:sz w:val="20"/>
          <w:szCs w:val="20"/>
          <w:color w:val="auto"/>
        </w:rPr>
      </w:pPr>
    </w:p>
    <w:p>
      <w:pPr>
        <w:ind w:left="1020" w:hanging="431"/>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each of the nominees for director;</w:t>
      </w:r>
    </w:p>
    <w:p>
      <w:pPr>
        <w:spacing w:after="0" w:line="111" w:lineRule="exact"/>
        <w:rPr>
          <w:rFonts w:ascii="Times New Roman" w:cs="Times New Roman" w:eastAsia="Times New Roman" w:hAnsi="Times New Roman"/>
          <w:sz w:val="18"/>
          <w:szCs w:val="18"/>
          <w:color w:val="auto"/>
        </w:rPr>
      </w:pPr>
    </w:p>
    <w:p>
      <w:pPr>
        <w:ind w:left="1020" w:hanging="431"/>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selection of KPMG as the independent auditor of SPS Commerce, Inc. for the year ending December 31, 2020;</w:t>
      </w:r>
    </w:p>
    <w:p>
      <w:pPr>
        <w:spacing w:after="0" w:line="111" w:lineRule="exact"/>
        <w:rPr>
          <w:rFonts w:ascii="Times New Roman" w:cs="Times New Roman" w:eastAsia="Times New Roman" w:hAnsi="Times New Roman"/>
          <w:sz w:val="18"/>
          <w:szCs w:val="18"/>
          <w:color w:val="auto"/>
        </w:rPr>
      </w:pPr>
    </w:p>
    <w:p>
      <w:pPr>
        <w:ind w:left="1020" w:hanging="431"/>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advisory approval of the compensation of our named executive officers; and</w:t>
      </w:r>
    </w:p>
    <w:p>
      <w:pPr>
        <w:spacing w:after="0" w:line="111" w:lineRule="exact"/>
        <w:rPr>
          <w:rFonts w:ascii="Times New Roman" w:cs="Times New Roman" w:eastAsia="Times New Roman" w:hAnsi="Times New Roman"/>
          <w:sz w:val="18"/>
          <w:szCs w:val="18"/>
          <w:color w:val="auto"/>
        </w:rPr>
      </w:pPr>
    </w:p>
    <w:p>
      <w:pPr>
        <w:ind w:left="1020" w:right="80" w:hanging="431"/>
        <w:spacing w:after="0" w:line="27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approval of the amendment to our Eighth Amended and Restated Certificate of Incorporation to increase the number of authorized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w:t>
      </w:r>
    </w:p>
    <w:p>
      <w:pPr>
        <w:spacing w:after="0" w:line="109" w:lineRule="exact"/>
        <w:rPr>
          <w:sz w:val="20"/>
          <w:szCs w:val="20"/>
          <w:color w:val="auto"/>
        </w:rPr>
      </w:pPr>
    </w:p>
    <w:p>
      <w:pPr>
        <w:ind w:firstLine="589"/>
        <w:spacing w:after="0" w:line="264" w:lineRule="auto"/>
        <w:rPr>
          <w:sz w:val="20"/>
          <w:szCs w:val="20"/>
          <w:color w:val="auto"/>
        </w:rPr>
      </w:pPr>
      <w:r>
        <w:rPr>
          <w:rFonts w:ascii="Times New Roman" w:cs="Times New Roman" w:eastAsia="Times New Roman" w:hAnsi="Times New Roman"/>
          <w:sz w:val="17"/>
          <w:szCs w:val="17"/>
          <w:color w:val="auto"/>
        </w:rPr>
        <w:t xml:space="preserve">Your vote is important. We urge you to vote, or to instruct your broker, bank, trust or other nominee how to vote, on all matters before the annual meeting. If you are a street name holder and fail to instruct the stockholder of record how you want to vote your shares on a particular matter, those shares are considered to be “uninstructed.” New York Stock Exchange rules determine the circumstances under which member brokers of the New York Stock Exchange may exercise discretion to vote “uninstructed” shares held by them on behalf of their clients who are street name holders. Other than the ratification of the selection of KPMG as our independent auditor for the year ending December 31, 2020 and the approval of the amendment to our Eighth Amended and Restated Certificate of Incorporation to increase the number of authorized shares of common stock, the rules do </w:t>
      </w:r>
      <w:r>
        <w:rPr>
          <w:rFonts w:ascii="Times New Roman" w:cs="Times New Roman" w:eastAsia="Times New Roman" w:hAnsi="Times New Roman"/>
          <w:sz w:val="17"/>
          <w:szCs w:val="17"/>
          <w:i w:val="1"/>
          <w:iCs w:val="1"/>
          <w:color w:val="auto"/>
        </w:rPr>
        <w:t>not</w:t>
      </w:r>
      <w:r>
        <w:rPr>
          <w:rFonts w:ascii="Times New Roman" w:cs="Times New Roman" w:eastAsia="Times New Roman" w:hAnsi="Times New Roman"/>
          <w:sz w:val="17"/>
          <w:szCs w:val="17"/>
          <w:color w:val="auto"/>
        </w:rPr>
        <w:t xml:space="preserve"> permit member brokers to exercise voting discretion as to the uninstructed shares on any matter included in the notice of meeting. With respect to the ratification of the selection of KPMG as our independent auditor for the year ending December 31, 2020 and the approval of the amendment to our Eighth Amended and Restated Certificate of Incorporation, the rules permit member brokers to exercise voting discretion as to the uninstructed shares. For matters with respect to which the broker, bank or other nominee does not have voting discretion or has, but does not exercise, voting discretion, the uninstructed shares will be referred to as a “broker non-vote.” For more information regarding the effect of broker non-votes on the outcome of the vote, see below under “How are votes counted?”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Can I change my vote after submitting my proxy?</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Yes. You may revoke your proxy and change your vote at any time before your proxy is voted at the annual meeting, in any of the following ways:</w:t>
      </w:r>
    </w:p>
    <w:p>
      <w:pPr>
        <w:spacing w:after="0" w:line="164" w:lineRule="exact"/>
        <w:rPr>
          <w:sz w:val="20"/>
          <w:szCs w:val="20"/>
          <w:color w:val="auto"/>
        </w:rPr>
      </w:pPr>
    </w:p>
    <w:p>
      <w:pPr>
        <w:ind w:left="1440" w:right="240" w:hanging="427"/>
        <w:spacing w:after="0" w:line="237" w:lineRule="auto"/>
        <w:tabs>
          <w:tab w:leader="none" w:pos="144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by submitting a later-dated proxy by telephone or the internet before 11:59 p.m. Eastern Time on May 17, 2020 for shares held directly and before 11:59 p.m. Eastern Time on May 13, 2020 for shares held in a Plan;</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00"/>
          </w:cols>
          <w:pgMar w:left="320" w:top="505" w:right="379" w:bottom="1440" w:gutter="0" w:footer="0" w:header="0"/>
        </w:sectPr>
      </w:pPr>
    </w:p>
    <w:bookmarkStart w:id="11" w:name="page12"/>
    <w:bookmarkEnd w:id="11"/>
    <w:p>
      <w:pPr>
        <w:ind w:left="1020" w:right="300" w:hanging="431"/>
        <w:spacing w:after="0" w:line="274"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later-dated proxy to the Chief Financial Officer of SPS Commerce, Inc., which must be received by us before the time of the annual meeting;</w:t>
      </w:r>
    </w:p>
    <w:p>
      <w:pPr>
        <w:spacing w:after="0" w:line="57" w:lineRule="exact"/>
        <w:rPr>
          <w:rFonts w:ascii="Times New Roman" w:cs="Times New Roman" w:eastAsia="Times New Roman" w:hAnsi="Times New Roman"/>
          <w:sz w:val="18"/>
          <w:szCs w:val="18"/>
          <w:color w:val="auto"/>
        </w:rPr>
      </w:pPr>
    </w:p>
    <w:p>
      <w:pPr>
        <w:ind w:left="1020" w:right="20" w:hanging="431"/>
        <w:spacing w:after="0" w:line="274"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sending a written notice of revocation to the Chief Financial Officer of SPS Commerce, Inc., which must be received by us before the time of the annual meeting; or</w:t>
      </w:r>
    </w:p>
    <w:p>
      <w:pPr>
        <w:spacing w:after="0" w:line="57" w:lineRule="exact"/>
        <w:rPr>
          <w:rFonts w:ascii="Times New Roman" w:cs="Times New Roman" w:eastAsia="Times New Roman" w:hAnsi="Times New Roman"/>
          <w:sz w:val="18"/>
          <w:szCs w:val="18"/>
          <w:color w:val="auto"/>
        </w:rPr>
      </w:pPr>
    </w:p>
    <w:p>
      <w:pPr>
        <w:ind w:left="1020" w:hanging="431"/>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in person at the meeting.</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Can I vote my shares in person at the meeting?</w:t>
      </w:r>
    </w:p>
    <w:p>
      <w:pPr>
        <w:spacing w:after="0" w:line="168" w:lineRule="exact"/>
        <w:rPr>
          <w:sz w:val="20"/>
          <w:szCs w:val="20"/>
          <w:color w:val="auto"/>
        </w:rPr>
      </w:pPr>
    </w:p>
    <w:p>
      <w:pPr>
        <w:jc w:val="both"/>
        <w:ind w:right="20" w:firstLine="589"/>
        <w:spacing w:after="0" w:line="282" w:lineRule="auto"/>
        <w:rPr>
          <w:sz w:val="20"/>
          <w:szCs w:val="20"/>
          <w:color w:val="auto"/>
        </w:rPr>
      </w:pPr>
      <w:r>
        <w:rPr>
          <w:rFonts w:ascii="Times New Roman" w:cs="Times New Roman" w:eastAsia="Times New Roman" w:hAnsi="Times New Roman"/>
          <w:sz w:val="17"/>
          <w:szCs w:val="17"/>
          <w:color w:val="auto"/>
        </w:rPr>
        <w:t>If you are a stockholder of record, you may vote your shares in person at the meeting by completing a ballot at the meeting. Even if you currently plan to attend the meeting, we recommend that you submit your proxy as described above so your vote will be counted if you later decide not to attend the meeting. If you submit your vote by proxy and later decide to vote in person at the annual meeting, the vote you submit at the meeting will override your proxy vote.</w:t>
      </w:r>
    </w:p>
    <w:p>
      <w:pPr>
        <w:spacing w:after="0" w:line="106" w:lineRule="exact"/>
        <w:rPr>
          <w:sz w:val="20"/>
          <w:szCs w:val="20"/>
          <w:color w:val="auto"/>
        </w:rPr>
      </w:pPr>
    </w:p>
    <w:p>
      <w:pPr>
        <w:ind w:right="140" w:firstLine="589"/>
        <w:spacing w:after="0" w:line="274" w:lineRule="auto"/>
        <w:rPr>
          <w:sz w:val="20"/>
          <w:szCs w:val="20"/>
          <w:color w:val="auto"/>
        </w:rPr>
      </w:pPr>
      <w:r>
        <w:rPr>
          <w:rFonts w:ascii="Times New Roman" w:cs="Times New Roman" w:eastAsia="Times New Roman" w:hAnsi="Times New Roman"/>
          <w:sz w:val="18"/>
          <w:szCs w:val="18"/>
          <w:color w:val="auto"/>
        </w:rPr>
        <w:t>If you are a street name holder, you may vote your shares in person at the meeting only if you obtain and bring to the meeting a signed letter or other form of proxy from your broker, bank, trust or other nominee giving you the right to vote the shares at the meeting.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What vote is required to approve each item of business included in the notice of meeting?</w:t>
      </w:r>
    </w:p>
    <w:p>
      <w:pPr>
        <w:spacing w:after="0" w:line="168" w:lineRule="exact"/>
        <w:rPr>
          <w:sz w:val="20"/>
          <w:szCs w:val="20"/>
          <w:color w:val="auto"/>
        </w:rPr>
      </w:pPr>
    </w:p>
    <w:p>
      <w:pPr>
        <w:ind w:firstLine="589"/>
        <w:spacing w:after="0" w:line="255" w:lineRule="auto"/>
        <w:rPr>
          <w:sz w:val="20"/>
          <w:szCs w:val="20"/>
          <w:color w:val="auto"/>
        </w:rPr>
      </w:pPr>
      <w:r>
        <w:rPr>
          <w:rFonts w:ascii="Times New Roman" w:cs="Times New Roman" w:eastAsia="Times New Roman" w:hAnsi="Times New Roman"/>
          <w:sz w:val="18"/>
          <w:szCs w:val="18"/>
          <w:color w:val="auto"/>
        </w:rPr>
        <w:t>A director nominee will be elected if the number of votes cast “FOR” the nominee exceeds the number of votes cast “AGAINST” the nominee. Any incumbent director who does not receive a greater number of votes “FOR” than “AGAINST” his or her reelection in an uncontested election shall tender his or her resignation to the board of directors, subject to acceptance by the board of directors. The board of directors will determine whether to accept or reject the offer to resign within 90 days of certification of the stockholder vote.</w:t>
      </w:r>
    </w:p>
    <w:p>
      <w:pPr>
        <w:spacing w:after="0" w:line="127" w:lineRule="exact"/>
        <w:rPr>
          <w:sz w:val="20"/>
          <w:szCs w:val="20"/>
          <w:color w:val="auto"/>
        </w:rPr>
      </w:pPr>
    </w:p>
    <w:p>
      <w:pPr>
        <w:ind w:right="120" w:firstLine="589"/>
        <w:spacing w:after="0" w:line="259" w:lineRule="auto"/>
        <w:rPr>
          <w:sz w:val="20"/>
          <w:szCs w:val="20"/>
          <w:color w:val="auto"/>
        </w:rPr>
      </w:pPr>
      <w:r>
        <w:rPr>
          <w:rFonts w:ascii="Times New Roman" w:cs="Times New Roman" w:eastAsia="Times New Roman" w:hAnsi="Times New Roman"/>
          <w:sz w:val="18"/>
          <w:szCs w:val="18"/>
          <w:color w:val="auto"/>
        </w:rPr>
        <w:t>The affirmative vote of the holders of a majority of the outstanding shares of common stock present in person or represented by proxy and entitled to vote at the annual meeting is required to ratify the selection of our independent auditor and to approve the amendment to our Eighth Amended and Restated Certificate of Incorporation.</w:t>
      </w:r>
    </w:p>
    <w:p>
      <w:pPr>
        <w:spacing w:after="0" w:line="125" w:lineRule="exact"/>
        <w:rPr>
          <w:sz w:val="20"/>
          <w:szCs w:val="20"/>
          <w:color w:val="auto"/>
        </w:rPr>
      </w:pPr>
    </w:p>
    <w:p>
      <w:pPr>
        <w:ind w:right="60" w:firstLine="589"/>
        <w:spacing w:after="0" w:line="259" w:lineRule="auto"/>
        <w:rPr>
          <w:sz w:val="20"/>
          <w:szCs w:val="20"/>
          <w:color w:val="auto"/>
        </w:rPr>
      </w:pPr>
      <w:r>
        <w:rPr>
          <w:rFonts w:ascii="Times New Roman" w:cs="Times New Roman" w:eastAsia="Times New Roman" w:hAnsi="Times New Roman"/>
          <w:sz w:val="18"/>
          <w:szCs w:val="18"/>
          <w:color w:val="auto"/>
        </w:rPr>
        <w:t>For the advisory vote to approve the executive compensation of our named executive officers, there is no minimum approval necessary for the proposal since it is an advisory vote; however, the board of directors will consider the results of the advisory vote when considering future decisions related to such proposals.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How are votes counted?</w:t>
      </w:r>
    </w:p>
    <w:p>
      <w:pPr>
        <w:spacing w:after="0" w:line="168" w:lineRule="exact"/>
        <w:rPr>
          <w:sz w:val="20"/>
          <w:szCs w:val="20"/>
          <w:color w:val="auto"/>
        </w:rPr>
      </w:pPr>
    </w:p>
    <w:p>
      <w:pPr>
        <w:ind w:right="140" w:firstLine="589"/>
        <w:spacing w:after="0" w:line="269" w:lineRule="auto"/>
        <w:rPr>
          <w:sz w:val="20"/>
          <w:szCs w:val="20"/>
          <w:color w:val="auto"/>
        </w:rPr>
      </w:pPr>
      <w:r>
        <w:rPr>
          <w:rFonts w:ascii="Times New Roman" w:cs="Times New Roman" w:eastAsia="Times New Roman" w:hAnsi="Times New Roman"/>
          <w:sz w:val="17"/>
          <w:szCs w:val="17"/>
          <w:color w:val="auto"/>
        </w:rPr>
        <w:t>You may vote “FOR,” “AGAINST” OR “ABSTAIN” for each director nominee and on the other proposals. If you properly submit your proxy but abstain from voting for a director nominee or on these other proposals, your shares will be counted as present at the meeting for the purpose of determining a quorum and for the purpose of calculating the vote on the particular matter(s) with respect to which you abstained from voting. If you do not submit your proxy or voting instructions and also do not vote by ballot at the annual meeting, your shares will not be counted as present at the meeting for the purpose of determining a quorum unless you hold your shares in street name and the broker, bank, trust or other nominee has discretion to vote your shares and does so. For more information regarding discretionary voting, see the information above under “What if I do not specify how I want my shares voted?”</w:t>
      </w:r>
    </w:p>
    <w:p>
      <w:pPr>
        <w:spacing w:after="0" w:line="116" w:lineRule="exact"/>
        <w:rPr>
          <w:sz w:val="20"/>
          <w:szCs w:val="20"/>
          <w:color w:val="auto"/>
        </w:rPr>
      </w:pPr>
    </w:p>
    <w:p>
      <w:pPr>
        <w:ind w:right="20" w:firstLine="589"/>
        <w:spacing w:after="0" w:line="251" w:lineRule="auto"/>
        <w:rPr>
          <w:sz w:val="20"/>
          <w:szCs w:val="20"/>
          <w:color w:val="auto"/>
        </w:rPr>
      </w:pPr>
      <w:r>
        <w:rPr>
          <w:rFonts w:ascii="Times New Roman" w:cs="Times New Roman" w:eastAsia="Times New Roman" w:hAnsi="Times New Roman"/>
          <w:sz w:val="18"/>
          <w:szCs w:val="18"/>
          <w:color w:val="auto"/>
        </w:rPr>
        <w:t>If you abstain from voting for one or more of the director nominees or you do not vote your shares on this matter (whether by broker non-vote or otherwise), this will have no effect on the outcome of the vote. With respect to the proposal to ratify the selection of KPMG as our independent auditor and the proposal to approve an amendment to our Eighth Amended and Restated Certificate of Incorporation, if you abstain from voting, doing so will have the same effect as a vote against the proposal, but if you do not vote your shares (or, for shares held in street name, if you do not submit voting instructions and your broker, bank, trust or other nominee does not or may not vote your shares), this will have no effect on the outcome of the vote. Abstentions and broker non-votes will have no effect on the advisory vote to approve the compensation of our named executive officers.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45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35"/>
          <w:szCs w:val="35"/>
          <w:b w:val="1"/>
          <w:bCs w:val="1"/>
          <w:color w:val="00AAE5"/>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-247650</wp:posOffset>
            </wp:positionV>
            <wp:extent cx="7134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81" w:lineRule="exact"/>
        <w:rPr>
          <w:sz w:val="20"/>
          <w:szCs w:val="20"/>
          <w:color w:val="auto"/>
        </w:rPr>
      </w:pPr>
    </w:p>
    <w:p>
      <w:pPr>
        <w:ind w:right="20" w:firstLine="589"/>
        <w:spacing w:after="0" w:line="265" w:lineRule="auto"/>
        <w:rPr>
          <w:sz w:val="20"/>
          <w:szCs w:val="20"/>
          <w:color w:val="auto"/>
        </w:rPr>
      </w:pPr>
      <w:r>
        <w:rPr>
          <w:rFonts w:ascii="Times New Roman" w:cs="Times New Roman" w:eastAsia="Times New Roman" w:hAnsi="Times New Roman"/>
          <w:sz w:val="18"/>
          <w:szCs w:val="18"/>
          <w:color w:val="auto"/>
        </w:rPr>
        <w:t>Our Amended and Restated Bylaws provide that each member of our board of directors is elected annually by a majority of votes cast if the election is uncontested. The number of directors currently serving on our board of directors is seven. Upon recommendation of the governance and nominating committee, the board has nominated the seven directors set forth below for election at our annual meeting, and all have agreed to serve as directors if elected. All of the director nominees were elected by our stockholders at our 2019 annual meeting of stockholders.</w:t>
      </w:r>
    </w:p>
    <w:p>
      <w:pPr>
        <w:spacing w:after="0" w:line="119" w:lineRule="exact"/>
        <w:rPr>
          <w:sz w:val="20"/>
          <w:szCs w:val="20"/>
          <w:color w:val="auto"/>
        </w:rPr>
      </w:pPr>
    </w:p>
    <w:p>
      <w:pPr>
        <w:ind w:right="200" w:firstLine="589"/>
        <w:spacing w:after="0" w:line="259" w:lineRule="auto"/>
        <w:rPr>
          <w:sz w:val="20"/>
          <w:szCs w:val="20"/>
          <w:color w:val="auto"/>
        </w:rPr>
      </w:pPr>
      <w:r>
        <w:rPr>
          <w:rFonts w:ascii="Times New Roman" w:cs="Times New Roman" w:eastAsia="Times New Roman" w:hAnsi="Times New Roman"/>
          <w:sz w:val="18"/>
          <w:szCs w:val="18"/>
          <w:color w:val="auto"/>
        </w:rPr>
        <w:t>If, for any reason, any nominee becomes unable to serve before the annual meeting occurs, the persons named as proxies may vote your shares for a substitute nominee selected by our board of directors. The director nominees, if reelected, will serve until our 2021 annual meeting of stockholders or until their successors are elected and qualified.</w:t>
      </w:r>
    </w:p>
    <w:p>
      <w:pPr>
        <w:spacing w:after="0" w:line="189" w:lineRule="exact"/>
        <w:rPr>
          <w:sz w:val="20"/>
          <w:szCs w:val="20"/>
          <w:color w:val="auto"/>
        </w:rPr>
      </w:pPr>
    </w:p>
    <w:p>
      <w:pPr>
        <w:ind w:right="80" w:firstLine="589"/>
        <w:spacing w:after="0" w:line="27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election of each of the seven director nominees. Proxies will be voted FOR the election of each of the nominees unless otherwise specified.</w:t>
      </w:r>
    </w:p>
    <w:p>
      <w:pPr>
        <w:spacing w:after="0" w:line="109" w:lineRule="exact"/>
        <w:rPr>
          <w:sz w:val="20"/>
          <w:szCs w:val="20"/>
          <w:color w:val="auto"/>
        </w:rPr>
      </w:pPr>
    </w:p>
    <w:p>
      <w:pPr>
        <w:ind w:right="360" w:firstLine="589"/>
        <w:spacing w:after="0" w:line="274" w:lineRule="auto"/>
        <w:rPr>
          <w:sz w:val="20"/>
          <w:szCs w:val="20"/>
          <w:color w:val="auto"/>
        </w:rPr>
      </w:pPr>
      <w:r>
        <w:rPr>
          <w:rFonts w:ascii="Times New Roman" w:cs="Times New Roman" w:eastAsia="Times New Roman" w:hAnsi="Times New Roman"/>
          <w:sz w:val="18"/>
          <w:szCs w:val="18"/>
          <w:color w:val="auto"/>
        </w:rPr>
        <w:t>Set forth below is biographical information for each of the director nominees. The following includes certain information regarding our directors’ individual experience, qualifications, attributes and skills that led the board of directors to conclude that they should serve as directors.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34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color w:val="00AAE5"/>
        </w:rPr>
        <w:t>Archie C. Black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of SPS Commerce, Inc.</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00" w:type="dxa"/>
            <w:vAlign w:val="bottom"/>
            <w:tcBorders>
              <w:top w:val="single" w:sz="8" w:color="00AAE5"/>
            </w:tcBorders>
          </w:tcPr>
          <w:p>
            <w:pPr>
              <w:spacing w:after="0" w:line="201" w:lineRule="exact"/>
              <w:rPr>
                <w:sz w:val="20"/>
                <w:szCs w:val="20"/>
                <w:color w:val="auto"/>
              </w:rPr>
            </w:pPr>
            <w:r>
              <w:rPr>
                <w:rFonts w:ascii="Arial" w:cs="Arial" w:eastAsia="Arial" w:hAnsi="Arial"/>
                <w:sz w:val="18"/>
                <w:szCs w:val="18"/>
                <w:b w:val="1"/>
                <w:bCs w:val="1"/>
                <w:color w:val="00AAE5"/>
              </w:rPr>
              <w:t>Age</w:t>
            </w:r>
          </w:p>
        </w:tc>
        <w:tc>
          <w:tcPr>
            <w:tcW w:w="7340" w:type="dxa"/>
            <w:vAlign w:val="bottom"/>
            <w:tcBorders>
              <w:top w:val="single" w:sz="8" w:color="00AAE5"/>
            </w:tcBorders>
          </w:tcPr>
          <w:p>
            <w:pPr>
              <w:ind w:left="2060"/>
              <w:spacing w:after="0" w:line="201" w:lineRule="exact"/>
              <w:rPr>
                <w:sz w:val="20"/>
                <w:szCs w:val="20"/>
                <w:color w:val="auto"/>
              </w:rPr>
            </w:pPr>
            <w:r>
              <w:rPr>
                <w:rFonts w:ascii="Arial" w:cs="Arial" w:eastAsia="Arial" w:hAnsi="Arial"/>
                <w:sz w:val="18"/>
                <w:szCs w:val="18"/>
                <w:color w:val="auto"/>
              </w:rPr>
              <w:t>58</w:t>
            </w:r>
          </w:p>
        </w:tc>
      </w:tr>
      <w:tr>
        <w:trPr>
          <w:trHeight w:val="199"/>
        </w:trPr>
        <w:tc>
          <w:tcPr>
            <w:tcW w:w="3900" w:type="dxa"/>
            <w:vAlign w:val="bottom"/>
          </w:tcPr>
          <w:p>
            <w:pPr>
              <w:spacing w:after="0" w:line="199" w:lineRule="exact"/>
              <w:rPr>
                <w:sz w:val="20"/>
                <w:szCs w:val="20"/>
                <w:color w:val="auto"/>
              </w:rPr>
            </w:pPr>
            <w:r>
              <w:rPr>
                <w:rFonts w:ascii="Arial" w:cs="Arial" w:eastAsia="Arial" w:hAnsi="Arial"/>
                <w:sz w:val="18"/>
                <w:szCs w:val="18"/>
                <w:b w:val="1"/>
                <w:bCs w:val="1"/>
                <w:color w:val="00AAE5"/>
              </w:rPr>
              <w:t>Director since</w:t>
            </w:r>
          </w:p>
        </w:tc>
        <w:tc>
          <w:tcPr>
            <w:tcW w:w="7340" w:type="dxa"/>
            <w:vAlign w:val="bottom"/>
          </w:tcPr>
          <w:p>
            <w:pPr>
              <w:ind w:left="2060"/>
              <w:spacing w:after="0" w:line="199" w:lineRule="exact"/>
              <w:rPr>
                <w:sz w:val="20"/>
                <w:szCs w:val="20"/>
                <w:color w:val="auto"/>
              </w:rPr>
            </w:pPr>
            <w:r>
              <w:rPr>
                <w:rFonts w:ascii="Arial" w:cs="Arial" w:eastAsia="Arial" w:hAnsi="Arial"/>
                <w:sz w:val="18"/>
                <w:szCs w:val="18"/>
                <w:color w:val="auto"/>
              </w:rPr>
              <w:t>2001</w:t>
            </w:r>
          </w:p>
        </w:tc>
      </w:tr>
      <w:tr>
        <w:trPr>
          <w:trHeight w:val="225"/>
        </w:trPr>
        <w:tc>
          <w:tcPr>
            <w:tcW w:w="3900" w:type="dxa"/>
            <w:vAlign w:val="bottom"/>
          </w:tcPr>
          <w:p>
            <w:pPr>
              <w:spacing w:after="0"/>
              <w:rPr>
                <w:sz w:val="20"/>
                <w:szCs w:val="20"/>
                <w:color w:val="auto"/>
              </w:rPr>
            </w:pPr>
            <w:r>
              <w:rPr>
                <w:rFonts w:ascii="Arial" w:cs="Arial" w:eastAsia="Arial" w:hAnsi="Arial"/>
                <w:sz w:val="18"/>
                <w:szCs w:val="18"/>
                <w:b w:val="1"/>
                <w:bCs w:val="1"/>
                <w:color w:val="00AAE5"/>
              </w:rPr>
              <w:t>SPS Board committee</w:t>
            </w:r>
          </w:p>
        </w:tc>
        <w:tc>
          <w:tcPr>
            <w:tcW w:w="7340" w:type="dxa"/>
            <w:vAlign w:val="bottom"/>
          </w:tcPr>
          <w:p>
            <w:pPr>
              <w:ind w:left="2060"/>
              <w:spacing w:after="0"/>
              <w:rPr>
                <w:sz w:val="20"/>
                <w:szCs w:val="20"/>
                <w:color w:val="auto"/>
              </w:rPr>
            </w:pPr>
            <w:r>
              <w:rPr>
                <w:rFonts w:ascii="Arial" w:cs="Arial" w:eastAsia="Arial" w:hAnsi="Arial"/>
                <w:sz w:val="18"/>
                <w:szCs w:val="18"/>
                <w:color w:val="auto"/>
              </w:rPr>
              <w:t>Ex-officio member of Finance and Strategy</w:t>
            </w:r>
          </w:p>
        </w:tc>
      </w:tr>
      <w:tr>
        <w:trPr>
          <w:trHeight w:val="237"/>
        </w:trPr>
        <w:tc>
          <w:tcPr>
            <w:tcW w:w="3900" w:type="dxa"/>
            <w:vAlign w:val="bottom"/>
            <w:tcBorders>
              <w:bottom w:val="single" w:sz="8" w:color="00AAE5"/>
            </w:tcBorders>
          </w:tcPr>
          <w:p>
            <w:pPr>
              <w:spacing w:after="0"/>
              <w:rPr>
                <w:sz w:val="20"/>
                <w:szCs w:val="20"/>
                <w:color w:val="auto"/>
              </w:rPr>
            </w:pPr>
            <w:r>
              <w:rPr>
                <w:rFonts w:ascii="Arial" w:cs="Arial" w:eastAsia="Arial" w:hAnsi="Arial"/>
                <w:sz w:val="18"/>
                <w:szCs w:val="18"/>
                <w:b w:val="1"/>
                <w:bCs w:val="1"/>
                <w:color w:val="00AAE5"/>
              </w:rPr>
              <w:t>Independent</w:t>
            </w:r>
          </w:p>
        </w:tc>
        <w:tc>
          <w:tcPr>
            <w:tcW w:w="7340" w:type="dxa"/>
            <w:vAlign w:val="bottom"/>
            <w:tcBorders>
              <w:bottom w:val="single" w:sz="8" w:color="00AAE5"/>
            </w:tcBorders>
          </w:tcPr>
          <w:p>
            <w:pPr>
              <w:ind w:left="2060"/>
              <w:spacing w:after="0"/>
              <w:rPr>
                <w:sz w:val="20"/>
                <w:szCs w:val="20"/>
                <w:color w:val="auto"/>
              </w:rPr>
            </w:pPr>
            <w:r>
              <w:rPr>
                <w:rFonts w:ascii="Arial" w:cs="Arial" w:eastAsia="Arial" w:hAnsi="Arial"/>
                <w:sz w:val="18"/>
                <w:szCs w:val="18"/>
                <w:color w:val="auto"/>
              </w:rPr>
              <w:t>No</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00AAE5"/>
        </w:rPr>
        <w:t>Professional Highlights</w:t>
      </w:r>
    </w:p>
    <w:p>
      <w:pPr>
        <w:spacing w:after="0" w:line="155" w:lineRule="exact"/>
        <w:rPr>
          <w:sz w:val="20"/>
          <w:szCs w:val="20"/>
          <w:color w:val="auto"/>
        </w:rPr>
      </w:pPr>
    </w:p>
    <w:p>
      <w:pPr>
        <w:ind w:right="40" w:firstLine="589"/>
        <w:spacing w:after="0" w:line="252" w:lineRule="auto"/>
        <w:rPr>
          <w:sz w:val="20"/>
          <w:szCs w:val="20"/>
          <w:color w:val="auto"/>
        </w:rPr>
      </w:pPr>
      <w:r>
        <w:rPr>
          <w:rFonts w:ascii="Times New Roman" w:cs="Times New Roman" w:eastAsia="Times New Roman" w:hAnsi="Times New Roman"/>
          <w:sz w:val="18"/>
          <w:szCs w:val="18"/>
          <w:color w:val="auto"/>
        </w:rPr>
        <w:t>Mr. Black has served as President and Chief Executive Officer of SPS Commerce, Inc. since 2001. Mr. Black joined us in 1998 as our Senior Vice President and Chief Financial Officer and served in those capacities until becoming our President and Chief Executive Officer. Prior to joining us, Mr. Black was a Senior Vice President and Chief Financial Officer at Investment Advisors, Inc. in Minneapolis, Minnesota, where he directed both the Minneapolis and London organizations. Prior to Investment Advisors, he spent three years at Price Waterhouse. Mr. Black serves on the board of directors of Proto Labs, Inc., a publicly traded internet-enabled manufacturer of custom parts.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00AAE5"/>
        </w:rPr>
        <w:t>Nominee Qualifications</w:t>
      </w:r>
    </w:p>
    <w:p>
      <w:pPr>
        <w:spacing w:after="0" w:line="155" w:lineRule="exact"/>
        <w:rPr>
          <w:sz w:val="20"/>
          <w:szCs w:val="20"/>
          <w:color w:val="auto"/>
        </w:rPr>
      </w:pPr>
    </w:p>
    <w:p>
      <w:pPr>
        <w:ind w:right="160" w:firstLine="589"/>
        <w:spacing w:after="0" w:line="274" w:lineRule="auto"/>
        <w:rPr>
          <w:sz w:val="20"/>
          <w:szCs w:val="20"/>
          <w:color w:val="auto"/>
        </w:rPr>
      </w:pPr>
      <w:r>
        <w:rPr>
          <w:rFonts w:ascii="Times New Roman" w:cs="Times New Roman" w:eastAsia="Times New Roman" w:hAnsi="Times New Roman"/>
          <w:sz w:val="18"/>
          <w:szCs w:val="18"/>
          <w:color w:val="auto"/>
        </w:rPr>
        <w:t>Mr. Black’s qualifications to serve on our board of directors include, among other skills and qualifications, his extensive management, financial, and operational experience as well as his experience with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13" w:name="page14"/>
    <w:bookmarkEnd w:id="13"/>
    <w:p>
      <w:pPr>
        <w:spacing w:after="0"/>
        <w:rPr>
          <w:sz w:val="20"/>
          <w:szCs w:val="20"/>
          <w:color w:val="auto"/>
        </w:rPr>
      </w:pPr>
      <w:r>
        <w:rPr>
          <w:rFonts w:ascii="Arial" w:cs="Arial" w:eastAsia="Arial" w:hAnsi="Arial"/>
          <w:sz w:val="19"/>
          <w:szCs w:val="19"/>
          <w:b w:val="1"/>
          <w:bCs w:val="1"/>
          <w:color w:val="00AAE5"/>
        </w:rPr>
        <w:t>Martin J. Leestma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of the board of directors of Forthright Solutions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60" w:type="dxa"/>
            <w:vAlign w:val="bottom"/>
            <w:tcBorders>
              <w:top w:val="single" w:sz="8" w:color="00AAE5"/>
            </w:tcBorders>
          </w:tcPr>
          <w:p>
            <w:pPr>
              <w:spacing w:after="0" w:line="201" w:lineRule="exact"/>
              <w:rPr>
                <w:sz w:val="20"/>
                <w:szCs w:val="20"/>
                <w:color w:val="auto"/>
              </w:rPr>
            </w:pPr>
            <w:r>
              <w:rPr>
                <w:rFonts w:ascii="Arial" w:cs="Arial" w:eastAsia="Arial" w:hAnsi="Arial"/>
                <w:sz w:val="18"/>
                <w:szCs w:val="18"/>
                <w:b w:val="1"/>
                <w:bCs w:val="1"/>
                <w:color w:val="00AAE5"/>
              </w:rPr>
              <w:t>Age</w:t>
            </w:r>
          </w:p>
        </w:tc>
        <w:tc>
          <w:tcPr>
            <w:tcW w:w="7280" w:type="dxa"/>
            <w:vAlign w:val="bottom"/>
            <w:tcBorders>
              <w:top w:val="single" w:sz="8" w:color="00AAE5"/>
            </w:tcBorders>
          </w:tcPr>
          <w:p>
            <w:pPr>
              <w:ind w:left="2000"/>
              <w:spacing w:after="0" w:line="201" w:lineRule="exact"/>
              <w:rPr>
                <w:sz w:val="20"/>
                <w:szCs w:val="20"/>
                <w:color w:val="auto"/>
              </w:rPr>
            </w:pPr>
            <w:r>
              <w:rPr>
                <w:rFonts w:ascii="Arial" w:cs="Arial" w:eastAsia="Arial" w:hAnsi="Arial"/>
                <w:sz w:val="18"/>
                <w:szCs w:val="18"/>
                <w:color w:val="auto"/>
              </w:rPr>
              <w:t>61</w:t>
            </w:r>
          </w:p>
        </w:tc>
      </w:tr>
      <w:tr>
        <w:trPr>
          <w:trHeight w:val="199"/>
        </w:trPr>
        <w:tc>
          <w:tcPr>
            <w:tcW w:w="3960" w:type="dxa"/>
            <w:vAlign w:val="bottom"/>
          </w:tcPr>
          <w:p>
            <w:pPr>
              <w:spacing w:after="0" w:line="199" w:lineRule="exact"/>
              <w:rPr>
                <w:sz w:val="20"/>
                <w:szCs w:val="20"/>
                <w:color w:val="auto"/>
              </w:rPr>
            </w:pPr>
            <w:r>
              <w:rPr>
                <w:rFonts w:ascii="Arial" w:cs="Arial" w:eastAsia="Arial" w:hAnsi="Arial"/>
                <w:sz w:val="18"/>
                <w:szCs w:val="18"/>
                <w:b w:val="1"/>
                <w:bCs w:val="1"/>
                <w:color w:val="00AAE5"/>
              </w:rPr>
              <w:t>Director since</w:t>
            </w:r>
          </w:p>
        </w:tc>
        <w:tc>
          <w:tcPr>
            <w:tcW w:w="7280" w:type="dxa"/>
            <w:vAlign w:val="bottom"/>
          </w:tcPr>
          <w:p>
            <w:pPr>
              <w:ind w:left="2000"/>
              <w:spacing w:after="0" w:line="199" w:lineRule="exact"/>
              <w:rPr>
                <w:sz w:val="20"/>
                <w:szCs w:val="20"/>
                <w:color w:val="auto"/>
              </w:rPr>
            </w:pPr>
            <w:r>
              <w:rPr>
                <w:rFonts w:ascii="Arial" w:cs="Arial" w:eastAsia="Arial" w:hAnsi="Arial"/>
                <w:sz w:val="18"/>
                <w:szCs w:val="18"/>
                <w:color w:val="auto"/>
              </w:rPr>
              <w:t>2006</w:t>
            </w:r>
          </w:p>
        </w:tc>
      </w:tr>
      <w:tr>
        <w:trPr>
          <w:trHeight w:val="212"/>
        </w:trPr>
        <w:tc>
          <w:tcPr>
            <w:tcW w:w="3960" w:type="dxa"/>
            <w:vAlign w:val="bottom"/>
          </w:tcPr>
          <w:p>
            <w:pPr>
              <w:spacing w:after="0"/>
              <w:rPr>
                <w:sz w:val="20"/>
                <w:szCs w:val="20"/>
                <w:color w:val="auto"/>
              </w:rPr>
            </w:pPr>
            <w:r>
              <w:rPr>
                <w:rFonts w:ascii="Arial" w:cs="Arial" w:eastAsia="Arial" w:hAnsi="Arial"/>
                <w:sz w:val="18"/>
                <w:szCs w:val="18"/>
                <w:b w:val="1"/>
                <w:bCs w:val="1"/>
                <w:color w:val="00AAE5"/>
              </w:rPr>
              <w:t>SPS Board committees</w:t>
            </w:r>
          </w:p>
        </w:tc>
        <w:tc>
          <w:tcPr>
            <w:tcW w:w="7280" w:type="dxa"/>
            <w:vAlign w:val="bottom"/>
          </w:tcPr>
          <w:p>
            <w:pPr>
              <w:ind w:left="2000"/>
              <w:spacing w:after="0"/>
              <w:rPr>
                <w:sz w:val="20"/>
                <w:szCs w:val="20"/>
                <w:color w:val="auto"/>
              </w:rPr>
            </w:pPr>
            <w:r>
              <w:rPr>
                <w:rFonts w:ascii="Arial" w:cs="Arial" w:eastAsia="Arial" w:hAnsi="Arial"/>
                <w:sz w:val="18"/>
                <w:szCs w:val="18"/>
                <w:color w:val="auto"/>
              </w:rPr>
              <w:t>Audit; Finance and Strategy</w:t>
            </w:r>
          </w:p>
        </w:tc>
      </w:tr>
      <w:tr>
        <w:trPr>
          <w:trHeight w:val="237"/>
        </w:trPr>
        <w:tc>
          <w:tcPr>
            <w:tcW w:w="3960" w:type="dxa"/>
            <w:vAlign w:val="bottom"/>
            <w:tcBorders>
              <w:bottom w:val="single" w:sz="8" w:color="00AAE5"/>
            </w:tcBorders>
          </w:tcPr>
          <w:p>
            <w:pPr>
              <w:spacing w:after="0"/>
              <w:rPr>
                <w:sz w:val="20"/>
                <w:szCs w:val="20"/>
                <w:color w:val="auto"/>
              </w:rPr>
            </w:pPr>
            <w:r>
              <w:rPr>
                <w:rFonts w:ascii="Arial" w:cs="Arial" w:eastAsia="Arial" w:hAnsi="Arial"/>
                <w:sz w:val="18"/>
                <w:szCs w:val="18"/>
                <w:b w:val="1"/>
                <w:bCs w:val="1"/>
                <w:color w:val="00AAE5"/>
              </w:rPr>
              <w:t>Independent</w:t>
            </w:r>
          </w:p>
        </w:tc>
        <w:tc>
          <w:tcPr>
            <w:tcW w:w="7280" w:type="dxa"/>
            <w:vAlign w:val="bottom"/>
            <w:tcBorders>
              <w:bottom w:val="single" w:sz="8" w:color="00AAE5"/>
            </w:tcBorders>
          </w:tcPr>
          <w:p>
            <w:pPr>
              <w:ind w:left="2000"/>
              <w:spacing w:after="0"/>
              <w:rPr>
                <w:sz w:val="20"/>
                <w:szCs w:val="20"/>
                <w:color w:val="auto"/>
              </w:rPr>
            </w:pPr>
            <w:r>
              <w:rPr>
                <w:rFonts w:ascii="Arial" w:cs="Arial" w:eastAsia="Arial" w:hAnsi="Arial"/>
                <w:sz w:val="18"/>
                <w:szCs w:val="18"/>
                <w:color w:val="auto"/>
              </w:rPr>
              <w:t>Yes</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00AAE5"/>
        </w:rPr>
        <w:t>Professional Highlights</w:t>
      </w:r>
    </w:p>
    <w:p>
      <w:pPr>
        <w:spacing w:after="0" w:line="155" w:lineRule="exact"/>
        <w:rPr>
          <w:sz w:val="20"/>
          <w:szCs w:val="20"/>
          <w:color w:val="auto"/>
        </w:rPr>
      </w:pPr>
    </w:p>
    <w:p>
      <w:pPr>
        <w:ind w:right="140" w:firstLine="589"/>
        <w:spacing w:after="0" w:line="249" w:lineRule="auto"/>
        <w:rPr>
          <w:sz w:val="20"/>
          <w:szCs w:val="20"/>
          <w:color w:val="auto"/>
        </w:rPr>
      </w:pPr>
      <w:r>
        <w:rPr>
          <w:rFonts w:ascii="Times New Roman" w:cs="Times New Roman" w:eastAsia="Times New Roman" w:hAnsi="Times New Roman"/>
          <w:sz w:val="18"/>
          <w:szCs w:val="18"/>
          <w:color w:val="auto"/>
        </w:rPr>
        <w:t>Mr. Leestma has served as Chairman of the board of directors for Forthright Solutions, a solution provider for regulatory and legal compliance programs, since 2008. He served as Chief Executive Officer of Forthright from 2011 to 2014. Prior to Forthright, Mr. Leestma served as the President, Chief Executive Officer, and a member of the board of directors for Retek Information Systems, a software company, from 2003 to 2005, during which time Retek was a publicly traded company. Prior to joining Retek, Mr. Leestma was Global Managing Partner of Retail Technology at Accenture from 1996 to 1999 and Managing Partner of North American Consumer Goods &amp; Services from 1999 to 2002. He became Global Industry Managing Partner — Retail &amp; CG&amp;S Industries in 2002 and served in this role until his departure in 2003. From 2005 to 2008, he served as an independent business consultant. Mr. Leestma also serves on the board of directors for Kipsu, a private texting and digital messaging company, and Xsell Technologies, a private digital dialogue company. Mr. Leestma was Chairman of the board of directors of SPS Commerce from 2011 to 2014.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00AAE5"/>
        </w:rPr>
        <w:t>Nominee Qualifications</w:t>
      </w:r>
    </w:p>
    <w:p>
      <w:pPr>
        <w:spacing w:after="0" w:line="155" w:lineRule="exact"/>
        <w:rPr>
          <w:sz w:val="20"/>
          <w:szCs w:val="20"/>
          <w:color w:val="auto"/>
        </w:rPr>
      </w:pPr>
    </w:p>
    <w:p>
      <w:pPr>
        <w:jc w:val="both"/>
        <w:ind w:right="160" w:firstLine="589"/>
        <w:spacing w:after="0" w:line="259" w:lineRule="auto"/>
        <w:rPr>
          <w:sz w:val="20"/>
          <w:szCs w:val="20"/>
          <w:color w:val="auto"/>
        </w:rPr>
      </w:pPr>
      <w:r>
        <w:rPr>
          <w:rFonts w:ascii="Times New Roman" w:cs="Times New Roman" w:eastAsia="Times New Roman" w:hAnsi="Times New Roman"/>
          <w:sz w:val="18"/>
          <w:szCs w:val="18"/>
          <w:color w:val="auto"/>
        </w:rPr>
        <w:t>Mr. Leestma’s qualifications to serve on our board of directors include, among other skills and qualifications, his general business experience due to his work as an independent business consultant and his experience with public companies as the Chief Executive Officer of Retek Information Systems from 2003 to 2005.</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00AAE5"/>
        </w:rPr>
        <w:t>James B. Ramsey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Co-founder and Board member, Vlocity Inc</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60" w:type="dxa"/>
            <w:vAlign w:val="bottom"/>
            <w:tcBorders>
              <w:top w:val="single" w:sz="8" w:color="00AAE5"/>
            </w:tcBorders>
          </w:tcPr>
          <w:p>
            <w:pPr>
              <w:spacing w:after="0"/>
              <w:rPr>
                <w:sz w:val="20"/>
                <w:szCs w:val="20"/>
                <w:color w:val="auto"/>
              </w:rPr>
            </w:pPr>
            <w:r>
              <w:rPr>
                <w:rFonts w:ascii="Arial" w:cs="Arial" w:eastAsia="Arial" w:hAnsi="Arial"/>
                <w:sz w:val="18"/>
                <w:szCs w:val="18"/>
                <w:b w:val="1"/>
                <w:bCs w:val="1"/>
                <w:color w:val="00AAE5"/>
              </w:rPr>
              <w:t>Age</w:t>
            </w:r>
          </w:p>
        </w:tc>
        <w:tc>
          <w:tcPr>
            <w:tcW w:w="7280" w:type="dxa"/>
            <w:vAlign w:val="bottom"/>
            <w:tcBorders>
              <w:top w:val="single" w:sz="8" w:color="00AAE5"/>
            </w:tcBorders>
          </w:tcPr>
          <w:p>
            <w:pPr>
              <w:ind w:left="2000"/>
              <w:spacing w:after="0"/>
              <w:rPr>
                <w:sz w:val="20"/>
                <w:szCs w:val="20"/>
                <w:color w:val="auto"/>
              </w:rPr>
            </w:pPr>
            <w:r>
              <w:rPr>
                <w:rFonts w:ascii="Arial" w:cs="Arial" w:eastAsia="Arial" w:hAnsi="Arial"/>
                <w:sz w:val="18"/>
                <w:szCs w:val="18"/>
                <w:color w:val="auto"/>
              </w:rPr>
              <w:t>47</w:t>
            </w:r>
          </w:p>
        </w:tc>
      </w:tr>
      <w:tr>
        <w:trPr>
          <w:trHeight w:val="199"/>
        </w:trPr>
        <w:tc>
          <w:tcPr>
            <w:tcW w:w="3960" w:type="dxa"/>
            <w:vAlign w:val="bottom"/>
          </w:tcPr>
          <w:p>
            <w:pPr>
              <w:spacing w:after="0" w:line="199" w:lineRule="exact"/>
              <w:rPr>
                <w:sz w:val="20"/>
                <w:szCs w:val="20"/>
                <w:color w:val="auto"/>
              </w:rPr>
            </w:pPr>
            <w:r>
              <w:rPr>
                <w:rFonts w:ascii="Arial" w:cs="Arial" w:eastAsia="Arial" w:hAnsi="Arial"/>
                <w:sz w:val="18"/>
                <w:szCs w:val="18"/>
                <w:b w:val="1"/>
                <w:bCs w:val="1"/>
                <w:color w:val="00AAE5"/>
              </w:rPr>
              <w:t>Director since</w:t>
            </w:r>
          </w:p>
        </w:tc>
        <w:tc>
          <w:tcPr>
            <w:tcW w:w="7280" w:type="dxa"/>
            <w:vAlign w:val="bottom"/>
          </w:tcPr>
          <w:p>
            <w:pPr>
              <w:ind w:left="2000"/>
              <w:spacing w:after="0" w:line="199" w:lineRule="exact"/>
              <w:rPr>
                <w:sz w:val="20"/>
                <w:szCs w:val="20"/>
                <w:color w:val="auto"/>
              </w:rPr>
            </w:pPr>
            <w:r>
              <w:rPr>
                <w:rFonts w:ascii="Arial" w:cs="Arial" w:eastAsia="Arial" w:hAnsi="Arial"/>
                <w:sz w:val="18"/>
                <w:szCs w:val="18"/>
                <w:color w:val="auto"/>
              </w:rPr>
              <w:t>2014</w:t>
            </w:r>
          </w:p>
        </w:tc>
      </w:tr>
      <w:tr>
        <w:trPr>
          <w:trHeight w:val="238"/>
        </w:trPr>
        <w:tc>
          <w:tcPr>
            <w:tcW w:w="3960" w:type="dxa"/>
            <w:vAlign w:val="bottom"/>
          </w:tcPr>
          <w:p>
            <w:pPr>
              <w:spacing w:after="0"/>
              <w:rPr>
                <w:sz w:val="20"/>
                <w:szCs w:val="20"/>
                <w:color w:val="auto"/>
              </w:rPr>
            </w:pPr>
            <w:r>
              <w:rPr>
                <w:rFonts w:ascii="Arial" w:cs="Arial" w:eastAsia="Arial" w:hAnsi="Arial"/>
                <w:sz w:val="18"/>
                <w:szCs w:val="18"/>
                <w:b w:val="1"/>
                <w:bCs w:val="1"/>
                <w:color w:val="00AAE5"/>
              </w:rPr>
              <w:t>SPS Board committees</w:t>
            </w:r>
          </w:p>
        </w:tc>
        <w:tc>
          <w:tcPr>
            <w:tcW w:w="7280" w:type="dxa"/>
            <w:vAlign w:val="bottom"/>
          </w:tcPr>
          <w:p>
            <w:pPr>
              <w:ind w:left="2000"/>
              <w:spacing w:after="0"/>
              <w:rPr>
                <w:sz w:val="20"/>
                <w:szCs w:val="20"/>
                <w:color w:val="auto"/>
              </w:rPr>
            </w:pPr>
            <w:r>
              <w:rPr>
                <w:rFonts w:ascii="Arial" w:cs="Arial" w:eastAsia="Arial" w:hAnsi="Arial"/>
                <w:sz w:val="18"/>
                <w:szCs w:val="18"/>
                <w:color w:val="auto"/>
              </w:rPr>
              <w:t>Compensation; Governance and Nominating</w:t>
            </w:r>
          </w:p>
        </w:tc>
      </w:tr>
      <w:tr>
        <w:trPr>
          <w:trHeight w:val="263"/>
        </w:trPr>
        <w:tc>
          <w:tcPr>
            <w:tcW w:w="3960" w:type="dxa"/>
            <w:vAlign w:val="bottom"/>
            <w:tcBorders>
              <w:bottom w:val="single" w:sz="8" w:color="00AAE5"/>
            </w:tcBorders>
          </w:tcPr>
          <w:p>
            <w:pPr>
              <w:spacing w:after="0"/>
              <w:rPr>
                <w:sz w:val="20"/>
                <w:szCs w:val="20"/>
                <w:color w:val="auto"/>
              </w:rPr>
            </w:pPr>
            <w:r>
              <w:rPr>
                <w:rFonts w:ascii="Arial" w:cs="Arial" w:eastAsia="Arial" w:hAnsi="Arial"/>
                <w:sz w:val="18"/>
                <w:szCs w:val="18"/>
                <w:b w:val="1"/>
                <w:bCs w:val="1"/>
                <w:color w:val="00AAE5"/>
              </w:rPr>
              <w:t>Independent</w:t>
            </w:r>
          </w:p>
        </w:tc>
        <w:tc>
          <w:tcPr>
            <w:tcW w:w="7280" w:type="dxa"/>
            <w:vAlign w:val="bottom"/>
            <w:tcBorders>
              <w:bottom w:val="single" w:sz="8" w:color="00AAE5"/>
            </w:tcBorders>
          </w:tcPr>
          <w:p>
            <w:pPr>
              <w:ind w:left="2000"/>
              <w:spacing w:after="0"/>
              <w:rPr>
                <w:sz w:val="20"/>
                <w:szCs w:val="20"/>
                <w:color w:val="auto"/>
              </w:rPr>
            </w:pPr>
            <w:r>
              <w:rPr>
                <w:rFonts w:ascii="Arial" w:cs="Arial" w:eastAsia="Arial" w:hAnsi="Arial"/>
                <w:sz w:val="18"/>
                <w:szCs w:val="18"/>
                <w:color w:val="auto"/>
              </w:rPr>
              <w:t>Yes</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00AAE5"/>
        </w:rPr>
        <w:t>Professional Highlights</w:t>
      </w:r>
    </w:p>
    <w:p>
      <w:pPr>
        <w:spacing w:after="0" w:line="155" w:lineRule="exact"/>
        <w:rPr>
          <w:sz w:val="20"/>
          <w:szCs w:val="20"/>
          <w:color w:val="auto"/>
        </w:rPr>
      </w:pPr>
    </w:p>
    <w:p>
      <w:pPr>
        <w:ind w:firstLine="589"/>
        <w:spacing w:after="0" w:line="250" w:lineRule="auto"/>
        <w:rPr>
          <w:sz w:val="20"/>
          <w:szCs w:val="20"/>
          <w:color w:val="auto"/>
        </w:rPr>
      </w:pPr>
      <w:r>
        <w:rPr>
          <w:rFonts w:ascii="Times New Roman" w:cs="Times New Roman" w:eastAsia="Times New Roman" w:hAnsi="Times New Roman"/>
          <w:sz w:val="18"/>
          <w:szCs w:val="18"/>
          <w:color w:val="auto"/>
        </w:rPr>
        <w:t>Mr. Ramsey co-founded and serves as board member of Vlocity Inc., a provider of industry-specific cloud CRM applications, since 2014. Mr. Ramsey also serves on the boards of Ambra Health (formerly DicomGrid), a privately-held medical software company. Previously he served on the board of Flipgrid, Inc., a privately-held education technology software company, until its sale to Microsoft in 2018. Previously, Mr. Ramsey served as the Executive Vice President of Worldwide Sales and Distribution at NetSuite Inc., a publicly traded provider of cloud-based business management software, from 2011 to 2013. Prior to his position as Executive Vice President, Mr. Ramsey held several senior executive roles at NetSuite, including Vice President of the Americas and Senior Vice President of Worldwide Sales and Distribution. Prior to NetSuite Inc., Mr. Ramsey served in various sales management roles at Oracle Corporation.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00AAE5"/>
        </w:rPr>
        <w:t>Nominee Qualifications</w:t>
      </w:r>
    </w:p>
    <w:p>
      <w:pPr>
        <w:spacing w:after="0" w:line="155" w:lineRule="exact"/>
        <w:rPr>
          <w:sz w:val="20"/>
          <w:szCs w:val="20"/>
          <w:color w:val="auto"/>
        </w:rPr>
      </w:pPr>
    </w:p>
    <w:p>
      <w:pPr>
        <w:ind w:right="200" w:firstLine="589"/>
        <w:spacing w:after="0" w:line="274" w:lineRule="auto"/>
        <w:rPr>
          <w:sz w:val="20"/>
          <w:szCs w:val="20"/>
          <w:color w:val="auto"/>
        </w:rPr>
      </w:pPr>
      <w:r>
        <w:rPr>
          <w:rFonts w:ascii="Times New Roman" w:cs="Times New Roman" w:eastAsia="Times New Roman" w:hAnsi="Times New Roman"/>
          <w:sz w:val="18"/>
          <w:szCs w:val="18"/>
          <w:color w:val="auto"/>
        </w:rPr>
        <w:t>Mr. Ramsey’s qualifications to serve on our board of directors include, among other skills and qualifications, his experience in software sales and in rapidly scaling sales organizations with NetSuite Inc. and Oracle Corporation.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1370" cy="16510"/>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4" w:name="page15"/>
    <w:bookmarkEnd w:id="14"/>
    <w:p>
      <w:pPr>
        <w:spacing w:after="0"/>
        <w:rPr>
          <w:sz w:val="20"/>
          <w:szCs w:val="20"/>
          <w:color w:val="auto"/>
        </w:rPr>
      </w:pPr>
      <w:r>
        <w:rPr>
          <w:rFonts w:ascii="Arial" w:cs="Arial" w:eastAsia="Arial" w:hAnsi="Arial"/>
          <w:sz w:val="19"/>
          <w:szCs w:val="19"/>
          <w:b w:val="1"/>
          <w:bCs w:val="1"/>
          <w:color w:val="00AAE5"/>
        </w:rPr>
        <w:t>Marty M. Reaume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People Officer, Lightspeed POS Inc.</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00" w:type="dxa"/>
            <w:vAlign w:val="bottom"/>
            <w:tcBorders>
              <w:top w:val="single" w:sz="8" w:color="00AAE5"/>
            </w:tcBorders>
          </w:tcPr>
          <w:p>
            <w:pPr>
              <w:spacing w:after="0" w:line="201" w:lineRule="exact"/>
              <w:rPr>
                <w:sz w:val="20"/>
                <w:szCs w:val="20"/>
                <w:color w:val="auto"/>
              </w:rPr>
            </w:pPr>
            <w:r>
              <w:rPr>
                <w:rFonts w:ascii="Arial" w:cs="Arial" w:eastAsia="Arial" w:hAnsi="Arial"/>
                <w:sz w:val="18"/>
                <w:szCs w:val="18"/>
                <w:b w:val="1"/>
                <w:bCs w:val="1"/>
                <w:color w:val="00AAE5"/>
              </w:rPr>
              <w:t>Age</w:t>
            </w:r>
          </w:p>
        </w:tc>
        <w:tc>
          <w:tcPr>
            <w:tcW w:w="7340" w:type="dxa"/>
            <w:vAlign w:val="bottom"/>
            <w:tcBorders>
              <w:top w:val="single" w:sz="8" w:color="00AAE5"/>
            </w:tcBorders>
          </w:tcPr>
          <w:p>
            <w:pPr>
              <w:ind w:left="2060"/>
              <w:spacing w:after="0" w:line="201" w:lineRule="exact"/>
              <w:rPr>
                <w:sz w:val="20"/>
                <w:szCs w:val="20"/>
                <w:color w:val="auto"/>
              </w:rPr>
            </w:pPr>
            <w:r>
              <w:rPr>
                <w:rFonts w:ascii="Arial" w:cs="Arial" w:eastAsia="Arial" w:hAnsi="Arial"/>
                <w:sz w:val="18"/>
                <w:szCs w:val="18"/>
                <w:color w:val="auto"/>
              </w:rPr>
              <w:t>54</w:t>
            </w:r>
          </w:p>
        </w:tc>
      </w:tr>
      <w:tr>
        <w:trPr>
          <w:trHeight w:val="199"/>
        </w:trPr>
        <w:tc>
          <w:tcPr>
            <w:tcW w:w="3900" w:type="dxa"/>
            <w:vAlign w:val="bottom"/>
          </w:tcPr>
          <w:p>
            <w:pPr>
              <w:spacing w:after="0" w:line="199" w:lineRule="exact"/>
              <w:rPr>
                <w:sz w:val="20"/>
                <w:szCs w:val="20"/>
                <w:color w:val="auto"/>
              </w:rPr>
            </w:pPr>
            <w:r>
              <w:rPr>
                <w:rFonts w:ascii="Arial" w:cs="Arial" w:eastAsia="Arial" w:hAnsi="Arial"/>
                <w:sz w:val="18"/>
                <w:szCs w:val="18"/>
                <w:b w:val="1"/>
                <w:bCs w:val="1"/>
                <w:color w:val="00AAE5"/>
              </w:rPr>
              <w:t>Director since</w:t>
            </w:r>
          </w:p>
        </w:tc>
        <w:tc>
          <w:tcPr>
            <w:tcW w:w="7340" w:type="dxa"/>
            <w:vAlign w:val="bottom"/>
          </w:tcPr>
          <w:p>
            <w:pPr>
              <w:ind w:left="2060"/>
              <w:spacing w:after="0" w:line="199" w:lineRule="exact"/>
              <w:rPr>
                <w:sz w:val="20"/>
                <w:szCs w:val="20"/>
                <w:color w:val="auto"/>
              </w:rPr>
            </w:pPr>
            <w:r>
              <w:rPr>
                <w:rFonts w:ascii="Arial" w:cs="Arial" w:eastAsia="Arial" w:hAnsi="Arial"/>
                <w:sz w:val="18"/>
                <w:szCs w:val="18"/>
                <w:color w:val="auto"/>
              </w:rPr>
              <w:t>2018</w:t>
            </w:r>
          </w:p>
        </w:tc>
      </w:tr>
      <w:tr>
        <w:trPr>
          <w:trHeight w:val="238"/>
        </w:trPr>
        <w:tc>
          <w:tcPr>
            <w:tcW w:w="3900" w:type="dxa"/>
            <w:vAlign w:val="bottom"/>
          </w:tcPr>
          <w:p>
            <w:pPr>
              <w:spacing w:after="0"/>
              <w:rPr>
                <w:sz w:val="20"/>
                <w:szCs w:val="20"/>
                <w:color w:val="auto"/>
              </w:rPr>
            </w:pPr>
            <w:r>
              <w:rPr>
                <w:rFonts w:ascii="Arial" w:cs="Arial" w:eastAsia="Arial" w:hAnsi="Arial"/>
                <w:sz w:val="18"/>
                <w:szCs w:val="18"/>
                <w:b w:val="1"/>
                <w:bCs w:val="1"/>
                <w:color w:val="00AAE5"/>
              </w:rPr>
              <w:t>SPS Board committee</w:t>
            </w:r>
          </w:p>
        </w:tc>
        <w:tc>
          <w:tcPr>
            <w:tcW w:w="7340" w:type="dxa"/>
            <w:vAlign w:val="bottom"/>
          </w:tcPr>
          <w:p>
            <w:pPr>
              <w:ind w:left="2060"/>
              <w:spacing w:after="0"/>
              <w:rPr>
                <w:sz w:val="20"/>
                <w:szCs w:val="20"/>
                <w:color w:val="auto"/>
              </w:rPr>
            </w:pPr>
            <w:r>
              <w:rPr>
                <w:rFonts w:ascii="Arial" w:cs="Arial" w:eastAsia="Arial" w:hAnsi="Arial"/>
                <w:sz w:val="18"/>
                <w:szCs w:val="18"/>
                <w:color w:val="auto"/>
              </w:rPr>
              <w:t>Compensation; Governance and Nominating</w:t>
            </w:r>
          </w:p>
        </w:tc>
      </w:tr>
      <w:tr>
        <w:trPr>
          <w:trHeight w:val="237"/>
        </w:trPr>
        <w:tc>
          <w:tcPr>
            <w:tcW w:w="3900" w:type="dxa"/>
            <w:vAlign w:val="bottom"/>
            <w:tcBorders>
              <w:bottom w:val="single" w:sz="8" w:color="00AAE5"/>
            </w:tcBorders>
          </w:tcPr>
          <w:p>
            <w:pPr>
              <w:spacing w:after="0"/>
              <w:rPr>
                <w:sz w:val="20"/>
                <w:szCs w:val="20"/>
                <w:color w:val="auto"/>
              </w:rPr>
            </w:pPr>
            <w:r>
              <w:rPr>
                <w:rFonts w:ascii="Arial" w:cs="Arial" w:eastAsia="Arial" w:hAnsi="Arial"/>
                <w:sz w:val="18"/>
                <w:szCs w:val="18"/>
                <w:b w:val="1"/>
                <w:bCs w:val="1"/>
                <w:color w:val="00AAE5"/>
              </w:rPr>
              <w:t>Independent</w:t>
            </w:r>
          </w:p>
        </w:tc>
        <w:tc>
          <w:tcPr>
            <w:tcW w:w="7340" w:type="dxa"/>
            <w:vAlign w:val="bottom"/>
            <w:tcBorders>
              <w:bottom w:val="single" w:sz="8" w:color="00AAE5"/>
            </w:tcBorders>
          </w:tcPr>
          <w:p>
            <w:pPr>
              <w:ind w:left="2060"/>
              <w:spacing w:after="0"/>
              <w:rPr>
                <w:sz w:val="20"/>
                <w:szCs w:val="20"/>
                <w:color w:val="auto"/>
              </w:rPr>
            </w:pPr>
            <w:r>
              <w:rPr>
                <w:rFonts w:ascii="Arial" w:cs="Arial" w:eastAsia="Arial" w:hAnsi="Arial"/>
                <w:sz w:val="18"/>
                <w:szCs w:val="18"/>
                <w:color w:val="auto"/>
              </w:rPr>
              <w:t>Yes</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00AAE5"/>
        </w:rPr>
        <w:t>Professional Highlights</w:t>
      </w:r>
    </w:p>
    <w:p>
      <w:pPr>
        <w:spacing w:after="0" w:line="155" w:lineRule="exact"/>
        <w:rPr>
          <w:sz w:val="20"/>
          <w:szCs w:val="20"/>
          <w:color w:val="auto"/>
        </w:rPr>
      </w:pPr>
    </w:p>
    <w:p>
      <w:pPr>
        <w:ind w:firstLine="589"/>
        <w:spacing w:after="0" w:line="249" w:lineRule="auto"/>
        <w:rPr>
          <w:sz w:val="20"/>
          <w:szCs w:val="20"/>
          <w:color w:val="auto"/>
        </w:rPr>
      </w:pPr>
      <w:r>
        <w:rPr>
          <w:rFonts w:ascii="Times New Roman" w:cs="Times New Roman" w:eastAsia="Times New Roman" w:hAnsi="Times New Roman"/>
          <w:sz w:val="18"/>
          <w:szCs w:val="18"/>
          <w:color w:val="auto"/>
        </w:rPr>
        <w:t>Ms. Reaume has served as the Chief People Officer at Lightspeed POS Inc., a cloud based provider of point of sale systems and e-commerce software, since February 2020. Additionally, Ms. Reaume serves on the board of Ambra Health (formerly DicomGrid), a privately-held medical software company and is on the advisory board for OpenClassrooms, a privately held online education platform. From 2017 to August 2019, Ms. Reaume served as Chief People Officer of Twilio Inc., a publicly traded developer and provider of a cloud-based platform enabling organizations to integrate voice, messaging and video communications capabilities into their software applications. From 2015 to 2017, she served as Chief People Officer of Fitbit, Inc., a publicly traded technology company focused on delivering health solutions that impact health outcomes. Ms. Reaume served as Chief People Officer of NetSuite, Inc., a publicly traded provider of cloud-based business management software, from 2009 to 2014, and served as its head of human resources from 2006 to 2009. From 2001 to 2005, Ms. Reaume served as director of human resources at Royal &amp; Sunalliance, a multinational insurance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00AAE5"/>
        </w:rPr>
        <w:t>Nominee Qualifications</w:t>
      </w:r>
    </w:p>
    <w:p>
      <w:pPr>
        <w:spacing w:after="0" w:line="155" w:lineRule="exact"/>
        <w:rPr>
          <w:sz w:val="20"/>
          <w:szCs w:val="20"/>
          <w:color w:val="auto"/>
        </w:rPr>
      </w:pPr>
    </w:p>
    <w:p>
      <w:pPr>
        <w:ind w:right="460" w:firstLine="589"/>
        <w:spacing w:after="0" w:line="274" w:lineRule="auto"/>
        <w:rPr>
          <w:sz w:val="20"/>
          <w:szCs w:val="20"/>
          <w:color w:val="auto"/>
        </w:rPr>
      </w:pPr>
      <w:r>
        <w:rPr>
          <w:rFonts w:ascii="Times New Roman" w:cs="Times New Roman" w:eastAsia="Times New Roman" w:hAnsi="Times New Roman"/>
          <w:sz w:val="18"/>
          <w:szCs w:val="18"/>
          <w:color w:val="auto"/>
        </w:rPr>
        <w:t>Ms. Reaume’s qualifications to serve on our board of directors include, among other skills and qualifications, her strong human resources, talent acquisition and talent development expertise.</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00AAE5"/>
        </w:rPr>
        <w:t>Tami L. Reller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Marketing and Experience Officer at UnitedHealthcare, a division of UnitedHealth Group</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00" w:type="dxa"/>
            <w:vAlign w:val="bottom"/>
            <w:tcBorders>
              <w:top w:val="single" w:sz="8" w:color="00AAE5"/>
            </w:tcBorders>
          </w:tcPr>
          <w:p>
            <w:pPr>
              <w:spacing w:after="0"/>
              <w:rPr>
                <w:sz w:val="20"/>
                <w:szCs w:val="20"/>
                <w:color w:val="auto"/>
              </w:rPr>
            </w:pPr>
            <w:r>
              <w:rPr>
                <w:rFonts w:ascii="Arial" w:cs="Arial" w:eastAsia="Arial" w:hAnsi="Arial"/>
                <w:sz w:val="18"/>
                <w:szCs w:val="18"/>
                <w:b w:val="1"/>
                <w:bCs w:val="1"/>
                <w:color w:val="00AAE5"/>
              </w:rPr>
              <w:t>Age</w:t>
            </w:r>
          </w:p>
        </w:tc>
        <w:tc>
          <w:tcPr>
            <w:tcW w:w="7340" w:type="dxa"/>
            <w:vAlign w:val="bottom"/>
            <w:tcBorders>
              <w:top w:val="single" w:sz="8" w:color="00AAE5"/>
            </w:tcBorders>
          </w:tcPr>
          <w:p>
            <w:pPr>
              <w:ind w:left="2060"/>
              <w:spacing w:after="0"/>
              <w:rPr>
                <w:sz w:val="20"/>
                <w:szCs w:val="20"/>
                <w:color w:val="auto"/>
              </w:rPr>
            </w:pPr>
            <w:r>
              <w:rPr>
                <w:rFonts w:ascii="Arial" w:cs="Arial" w:eastAsia="Arial" w:hAnsi="Arial"/>
                <w:sz w:val="18"/>
                <w:szCs w:val="18"/>
                <w:color w:val="auto"/>
              </w:rPr>
              <w:t>55</w:t>
            </w:r>
          </w:p>
        </w:tc>
      </w:tr>
      <w:tr>
        <w:trPr>
          <w:trHeight w:val="199"/>
        </w:trPr>
        <w:tc>
          <w:tcPr>
            <w:tcW w:w="3900" w:type="dxa"/>
            <w:vAlign w:val="bottom"/>
          </w:tcPr>
          <w:p>
            <w:pPr>
              <w:spacing w:after="0" w:line="199" w:lineRule="exact"/>
              <w:rPr>
                <w:sz w:val="20"/>
                <w:szCs w:val="20"/>
                <w:color w:val="auto"/>
              </w:rPr>
            </w:pPr>
            <w:r>
              <w:rPr>
                <w:rFonts w:ascii="Arial" w:cs="Arial" w:eastAsia="Arial" w:hAnsi="Arial"/>
                <w:sz w:val="18"/>
                <w:szCs w:val="18"/>
                <w:b w:val="1"/>
                <w:bCs w:val="1"/>
                <w:color w:val="00AAE5"/>
              </w:rPr>
              <w:t>Director since</w:t>
            </w:r>
          </w:p>
        </w:tc>
        <w:tc>
          <w:tcPr>
            <w:tcW w:w="7340" w:type="dxa"/>
            <w:vAlign w:val="bottom"/>
          </w:tcPr>
          <w:p>
            <w:pPr>
              <w:ind w:left="2060"/>
              <w:spacing w:after="0" w:line="199" w:lineRule="exact"/>
              <w:rPr>
                <w:sz w:val="20"/>
                <w:szCs w:val="20"/>
                <w:color w:val="auto"/>
              </w:rPr>
            </w:pPr>
            <w:r>
              <w:rPr>
                <w:rFonts w:ascii="Arial" w:cs="Arial" w:eastAsia="Arial" w:hAnsi="Arial"/>
                <w:sz w:val="18"/>
                <w:szCs w:val="18"/>
                <w:color w:val="auto"/>
              </w:rPr>
              <w:t>2016</w:t>
            </w:r>
          </w:p>
        </w:tc>
      </w:tr>
      <w:tr>
        <w:trPr>
          <w:trHeight w:val="239"/>
        </w:trPr>
        <w:tc>
          <w:tcPr>
            <w:tcW w:w="3900" w:type="dxa"/>
            <w:vAlign w:val="bottom"/>
          </w:tcPr>
          <w:p>
            <w:pPr>
              <w:spacing w:after="0"/>
              <w:rPr>
                <w:sz w:val="20"/>
                <w:szCs w:val="20"/>
                <w:color w:val="auto"/>
              </w:rPr>
            </w:pPr>
            <w:r>
              <w:rPr>
                <w:rFonts w:ascii="Arial" w:cs="Arial" w:eastAsia="Arial" w:hAnsi="Arial"/>
                <w:sz w:val="18"/>
                <w:szCs w:val="18"/>
                <w:b w:val="1"/>
                <w:bCs w:val="1"/>
                <w:color w:val="00AAE5"/>
              </w:rPr>
              <w:t>SPS Board committee</w:t>
            </w:r>
          </w:p>
        </w:tc>
        <w:tc>
          <w:tcPr>
            <w:tcW w:w="7340" w:type="dxa"/>
            <w:vAlign w:val="bottom"/>
          </w:tcPr>
          <w:p>
            <w:pPr>
              <w:ind w:left="2060"/>
              <w:spacing w:after="0"/>
              <w:rPr>
                <w:sz w:val="20"/>
                <w:szCs w:val="20"/>
                <w:color w:val="auto"/>
              </w:rPr>
            </w:pPr>
            <w:r>
              <w:rPr>
                <w:rFonts w:ascii="Arial" w:cs="Arial" w:eastAsia="Arial" w:hAnsi="Arial"/>
                <w:sz w:val="18"/>
                <w:szCs w:val="18"/>
                <w:color w:val="auto"/>
              </w:rPr>
              <w:t>Finance and Strategy</w:t>
            </w:r>
          </w:p>
        </w:tc>
      </w:tr>
      <w:tr>
        <w:trPr>
          <w:trHeight w:val="263"/>
        </w:trPr>
        <w:tc>
          <w:tcPr>
            <w:tcW w:w="3900" w:type="dxa"/>
            <w:vAlign w:val="bottom"/>
            <w:tcBorders>
              <w:bottom w:val="single" w:sz="8" w:color="00AAE5"/>
            </w:tcBorders>
          </w:tcPr>
          <w:p>
            <w:pPr>
              <w:spacing w:after="0"/>
              <w:rPr>
                <w:sz w:val="20"/>
                <w:szCs w:val="20"/>
                <w:color w:val="auto"/>
              </w:rPr>
            </w:pPr>
            <w:r>
              <w:rPr>
                <w:rFonts w:ascii="Arial" w:cs="Arial" w:eastAsia="Arial" w:hAnsi="Arial"/>
                <w:sz w:val="18"/>
                <w:szCs w:val="18"/>
                <w:b w:val="1"/>
                <w:bCs w:val="1"/>
                <w:color w:val="00AAE5"/>
              </w:rPr>
              <w:t>Independent</w:t>
            </w:r>
          </w:p>
        </w:tc>
        <w:tc>
          <w:tcPr>
            <w:tcW w:w="7340" w:type="dxa"/>
            <w:vAlign w:val="bottom"/>
            <w:tcBorders>
              <w:bottom w:val="single" w:sz="8" w:color="00AAE5"/>
            </w:tcBorders>
          </w:tcPr>
          <w:p>
            <w:pPr>
              <w:ind w:left="2060"/>
              <w:spacing w:after="0"/>
              <w:rPr>
                <w:sz w:val="20"/>
                <w:szCs w:val="20"/>
                <w:color w:val="auto"/>
              </w:rPr>
            </w:pPr>
            <w:r>
              <w:rPr>
                <w:rFonts w:ascii="Arial" w:cs="Arial" w:eastAsia="Arial" w:hAnsi="Arial"/>
                <w:sz w:val="18"/>
                <w:szCs w:val="18"/>
                <w:color w:val="auto"/>
              </w:rPr>
              <w:t>Yes</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00AAE5"/>
        </w:rPr>
        <w:t>Professional Highlights</w:t>
      </w:r>
    </w:p>
    <w:p>
      <w:pPr>
        <w:spacing w:after="0" w:line="155" w:lineRule="exact"/>
        <w:rPr>
          <w:sz w:val="20"/>
          <w:szCs w:val="20"/>
          <w:color w:val="auto"/>
        </w:rPr>
      </w:pPr>
    </w:p>
    <w:p>
      <w:pPr>
        <w:ind w:right="60" w:firstLine="589"/>
        <w:spacing w:after="0" w:line="250" w:lineRule="auto"/>
        <w:rPr>
          <w:sz w:val="20"/>
          <w:szCs w:val="20"/>
          <w:color w:val="auto"/>
        </w:rPr>
      </w:pPr>
      <w:r>
        <w:rPr>
          <w:rFonts w:ascii="Times New Roman" w:cs="Times New Roman" w:eastAsia="Times New Roman" w:hAnsi="Times New Roman"/>
          <w:sz w:val="18"/>
          <w:szCs w:val="18"/>
          <w:color w:val="auto"/>
        </w:rPr>
        <w:t>Ms. Reller has served as Executive Vice President and Chief Marketing and Experience Officer of UnitedHealthcare, the health benefits platform of UnitedHealth Group, since November 2017. Additionally, Ms. Reller serves on the board of Avalara, a public automated tax compliance software company. From April 2017 to November 2017, Ms. Reller served as Chief Growth Officer of Optum, the health service platform of UnitedHealth Group, and from 2016 to April 2017 she served as Chief Financial Officer of Optum. From 2001 to 2014, Ms. Reller served in several executive roles with Microsoft Corporation including Executive Vice President of Marketing, Windows Chief Financial Officer and Chief Marketing Officer, Divisional Chief Financial Officer and Corporate Vice President of Dynamics. She was also the Chief Financial Officer of Great Plains Software from 1999 to 2001, until the company was acquired by Microsoft Corporation. Since 2018, Ms. Reller has served as Chairwoman of our board of directors.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00AAE5"/>
        </w:rPr>
        <w:t>Nominee Qualifications</w:t>
      </w:r>
    </w:p>
    <w:p>
      <w:pPr>
        <w:spacing w:after="0" w:line="155" w:lineRule="exact"/>
        <w:rPr>
          <w:sz w:val="20"/>
          <w:szCs w:val="20"/>
          <w:color w:val="auto"/>
        </w:rPr>
      </w:pPr>
    </w:p>
    <w:p>
      <w:pPr>
        <w:ind w:right="400" w:firstLine="589"/>
        <w:spacing w:after="0" w:line="274" w:lineRule="auto"/>
        <w:rPr>
          <w:sz w:val="20"/>
          <w:szCs w:val="20"/>
          <w:color w:val="auto"/>
        </w:rPr>
      </w:pPr>
      <w:r>
        <w:rPr>
          <w:rFonts w:ascii="Times New Roman" w:cs="Times New Roman" w:eastAsia="Times New Roman" w:hAnsi="Times New Roman"/>
          <w:sz w:val="18"/>
          <w:szCs w:val="18"/>
          <w:color w:val="auto"/>
        </w:rPr>
        <w:t>Ms. Reller’s qualifications to serve on our board of directors include, among other skills and qualifications, her extensive experience steering and managing software companies, her capabilities in financial understanding and auditing review, and her general business knowledge.</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00AAE5"/>
        </w:rPr>
        <w:t>Philip E. Soran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Lead Director, Piper Sandler Companies; Director, Foodsby; Director, Spineology; Director, Claros Technologies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60" w:type="dxa"/>
            <w:vAlign w:val="bottom"/>
            <w:tcBorders>
              <w:top w:val="single" w:sz="8" w:color="00AAE5"/>
            </w:tcBorders>
          </w:tcPr>
          <w:p>
            <w:pPr>
              <w:spacing w:after="0"/>
              <w:rPr>
                <w:sz w:val="20"/>
                <w:szCs w:val="20"/>
                <w:color w:val="auto"/>
              </w:rPr>
            </w:pPr>
            <w:r>
              <w:rPr>
                <w:rFonts w:ascii="Arial" w:cs="Arial" w:eastAsia="Arial" w:hAnsi="Arial"/>
                <w:sz w:val="18"/>
                <w:szCs w:val="18"/>
                <w:b w:val="1"/>
                <w:bCs w:val="1"/>
                <w:color w:val="00AAE5"/>
              </w:rPr>
              <w:t>Age</w:t>
            </w:r>
          </w:p>
        </w:tc>
        <w:tc>
          <w:tcPr>
            <w:tcW w:w="7280" w:type="dxa"/>
            <w:vAlign w:val="bottom"/>
            <w:tcBorders>
              <w:top w:val="single" w:sz="8" w:color="00AAE5"/>
            </w:tcBorders>
          </w:tcPr>
          <w:p>
            <w:pPr>
              <w:ind w:left="2000"/>
              <w:spacing w:after="0"/>
              <w:rPr>
                <w:sz w:val="20"/>
                <w:szCs w:val="20"/>
                <w:color w:val="auto"/>
              </w:rPr>
            </w:pPr>
            <w:r>
              <w:rPr>
                <w:rFonts w:ascii="Arial" w:cs="Arial" w:eastAsia="Arial" w:hAnsi="Arial"/>
                <w:sz w:val="18"/>
                <w:szCs w:val="18"/>
                <w:color w:val="auto"/>
              </w:rPr>
              <w:t>63</w:t>
            </w:r>
          </w:p>
        </w:tc>
      </w:tr>
      <w:tr>
        <w:trPr>
          <w:trHeight w:val="199"/>
        </w:trPr>
        <w:tc>
          <w:tcPr>
            <w:tcW w:w="3960" w:type="dxa"/>
            <w:vAlign w:val="bottom"/>
          </w:tcPr>
          <w:p>
            <w:pPr>
              <w:spacing w:after="0" w:line="199" w:lineRule="exact"/>
              <w:rPr>
                <w:sz w:val="20"/>
                <w:szCs w:val="20"/>
                <w:color w:val="auto"/>
              </w:rPr>
            </w:pPr>
            <w:r>
              <w:rPr>
                <w:rFonts w:ascii="Arial" w:cs="Arial" w:eastAsia="Arial" w:hAnsi="Arial"/>
                <w:sz w:val="18"/>
                <w:szCs w:val="18"/>
                <w:b w:val="1"/>
                <w:bCs w:val="1"/>
                <w:color w:val="00AAE5"/>
              </w:rPr>
              <w:t>Director since</w:t>
            </w:r>
          </w:p>
        </w:tc>
        <w:tc>
          <w:tcPr>
            <w:tcW w:w="7280" w:type="dxa"/>
            <w:vAlign w:val="bottom"/>
          </w:tcPr>
          <w:p>
            <w:pPr>
              <w:ind w:left="2000"/>
              <w:spacing w:after="0" w:line="199" w:lineRule="exact"/>
              <w:rPr>
                <w:sz w:val="20"/>
                <w:szCs w:val="20"/>
                <w:color w:val="auto"/>
              </w:rPr>
            </w:pPr>
            <w:r>
              <w:rPr>
                <w:rFonts w:ascii="Arial" w:cs="Arial" w:eastAsia="Arial" w:hAnsi="Arial"/>
                <w:sz w:val="18"/>
                <w:szCs w:val="18"/>
                <w:color w:val="auto"/>
              </w:rPr>
              <w:t>2010</w:t>
            </w:r>
          </w:p>
        </w:tc>
      </w:tr>
      <w:tr>
        <w:trPr>
          <w:trHeight w:val="238"/>
        </w:trPr>
        <w:tc>
          <w:tcPr>
            <w:tcW w:w="3960" w:type="dxa"/>
            <w:vAlign w:val="bottom"/>
          </w:tcPr>
          <w:p>
            <w:pPr>
              <w:spacing w:after="0"/>
              <w:rPr>
                <w:sz w:val="20"/>
                <w:szCs w:val="20"/>
                <w:color w:val="auto"/>
              </w:rPr>
            </w:pPr>
            <w:r>
              <w:rPr>
                <w:rFonts w:ascii="Arial" w:cs="Arial" w:eastAsia="Arial" w:hAnsi="Arial"/>
                <w:sz w:val="18"/>
                <w:szCs w:val="18"/>
                <w:b w:val="1"/>
                <w:bCs w:val="1"/>
                <w:color w:val="00AAE5"/>
              </w:rPr>
              <w:t>SPS Board committees</w:t>
            </w:r>
          </w:p>
        </w:tc>
        <w:tc>
          <w:tcPr>
            <w:tcW w:w="7280" w:type="dxa"/>
            <w:vAlign w:val="bottom"/>
          </w:tcPr>
          <w:p>
            <w:pPr>
              <w:ind w:left="2000"/>
              <w:spacing w:after="0"/>
              <w:rPr>
                <w:sz w:val="20"/>
                <w:szCs w:val="20"/>
                <w:color w:val="auto"/>
              </w:rPr>
            </w:pPr>
            <w:r>
              <w:rPr>
                <w:rFonts w:ascii="Arial" w:cs="Arial" w:eastAsia="Arial" w:hAnsi="Arial"/>
                <w:sz w:val="18"/>
                <w:szCs w:val="18"/>
                <w:color w:val="auto"/>
              </w:rPr>
              <w:t>Audit; Compensation; Finance and Strategy</w:t>
            </w:r>
          </w:p>
        </w:tc>
      </w:tr>
      <w:tr>
        <w:trPr>
          <w:trHeight w:val="263"/>
        </w:trPr>
        <w:tc>
          <w:tcPr>
            <w:tcW w:w="3960" w:type="dxa"/>
            <w:vAlign w:val="bottom"/>
            <w:tcBorders>
              <w:bottom w:val="single" w:sz="8" w:color="00AAE5"/>
            </w:tcBorders>
          </w:tcPr>
          <w:p>
            <w:pPr>
              <w:spacing w:after="0"/>
              <w:rPr>
                <w:sz w:val="20"/>
                <w:szCs w:val="20"/>
                <w:color w:val="auto"/>
              </w:rPr>
            </w:pPr>
            <w:r>
              <w:rPr>
                <w:rFonts w:ascii="Arial" w:cs="Arial" w:eastAsia="Arial" w:hAnsi="Arial"/>
                <w:sz w:val="18"/>
                <w:szCs w:val="18"/>
                <w:b w:val="1"/>
                <w:bCs w:val="1"/>
                <w:color w:val="00AAE5"/>
              </w:rPr>
              <w:t>Independent</w:t>
            </w:r>
          </w:p>
        </w:tc>
        <w:tc>
          <w:tcPr>
            <w:tcW w:w="7280" w:type="dxa"/>
            <w:vAlign w:val="bottom"/>
            <w:tcBorders>
              <w:bottom w:val="single" w:sz="8" w:color="00AAE5"/>
            </w:tcBorders>
          </w:tcPr>
          <w:p>
            <w:pPr>
              <w:ind w:left="2000"/>
              <w:spacing w:after="0"/>
              <w:rPr>
                <w:sz w:val="20"/>
                <w:szCs w:val="20"/>
                <w:color w:val="auto"/>
              </w:rPr>
            </w:pPr>
            <w:r>
              <w:rPr>
                <w:rFonts w:ascii="Arial" w:cs="Arial" w:eastAsia="Arial" w:hAnsi="Arial"/>
                <w:sz w:val="18"/>
                <w:szCs w:val="18"/>
                <w:color w:val="auto"/>
              </w:rPr>
              <w:t>Yes</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00AAE5"/>
        </w:rPr>
        <w:t>Professional Highlights</w:t>
      </w:r>
    </w:p>
    <w:p>
      <w:pPr>
        <w:spacing w:after="0" w:line="155" w:lineRule="exact"/>
        <w:rPr>
          <w:sz w:val="20"/>
          <w:szCs w:val="20"/>
          <w:color w:val="auto"/>
        </w:rPr>
      </w:pPr>
    </w:p>
    <w:p>
      <w:pPr>
        <w:ind w:right="20" w:firstLine="589"/>
        <w:spacing w:after="0" w:line="248" w:lineRule="auto"/>
        <w:rPr>
          <w:sz w:val="20"/>
          <w:szCs w:val="20"/>
          <w:color w:val="auto"/>
        </w:rPr>
      </w:pPr>
      <w:r>
        <w:rPr>
          <w:rFonts w:ascii="Times New Roman" w:cs="Times New Roman" w:eastAsia="Times New Roman" w:hAnsi="Times New Roman"/>
          <w:sz w:val="18"/>
          <w:szCs w:val="18"/>
          <w:color w:val="auto"/>
        </w:rPr>
        <w:t>Mr. Soran serves as Lead Director on the board of directors of Piper Sandler Companies (Piper Jaffray Companies merged with Sandler O’Neill + Partners, L.P. in January 2020), a publicly traded investment bank and asset management firm, on the board of directors for Foodsby, a privately-held food delivery service, on the board of directors of Spineology, a private medical technology company, and on the board of Claros Technologies, Inc., a private advanced materials and environmental company. Mr. Soran was the Executive Chairman and co-founder of Flipgrid, Inc., a privately-held education technology software company, from 2015 until its sale to Microsoft in 2018. Mr. Soran served as President, Chief Executive Officer, and a director of Compellent Technologies, Inc., a publicly traded software company which he co-founded in 2002, until its acquisition by Dell Inc. in 2011, after which he served as the President of Dell Compellent from 2011 to 2012. He previously served on the board of directors of Help Systems, LLC, a privately-held software company, from 2012 until its sale in 2018. From 1995 to 2001, Mr. Soran served as President, Chief Executive Officer and a member of the board of directors of Xiotech, which Mr. Soran co-founded in 1995. Xiotech was acquired by Seagate in 2000. From 1993 to 1995, Mr. Soran served as Executive Vice President of Prodea Software Corporation, a data warehousing software company. Mr. Soran also held a variety of management, sales, marketing, and technical positions with IBM, and served on the board of directors of Hutchinson Technology Incorporated, a public manufacturing company, from 2011 until its acquisition by TDK Corporation in 2016. Mr. Soran served as Chairman of our board of directors from 2014 to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00AAE5"/>
        </w:rPr>
        <w:t>Nominee Qualifications</w:t>
      </w:r>
    </w:p>
    <w:p>
      <w:pPr>
        <w:spacing w:after="0" w:line="155" w:lineRule="exact"/>
        <w:rPr>
          <w:sz w:val="20"/>
          <w:szCs w:val="20"/>
          <w:color w:val="auto"/>
        </w:rPr>
      </w:pPr>
    </w:p>
    <w:p>
      <w:pPr>
        <w:ind w:right="120" w:firstLine="589"/>
        <w:spacing w:after="0" w:line="259" w:lineRule="auto"/>
        <w:rPr>
          <w:sz w:val="20"/>
          <w:szCs w:val="20"/>
          <w:color w:val="auto"/>
        </w:rPr>
      </w:pPr>
      <w:r>
        <w:rPr>
          <w:rFonts w:ascii="Times New Roman" w:cs="Times New Roman" w:eastAsia="Times New Roman" w:hAnsi="Times New Roman"/>
          <w:sz w:val="18"/>
          <w:szCs w:val="18"/>
          <w:color w:val="auto"/>
        </w:rPr>
        <w:t>Mr. Soran’s qualifications to serve on our board of directors include, among other skills and qualifications, his experience as a chief executive officer of a publicly traded company, service on a variety of public and private technology-related company boards, and his experience in founding and building technology companies as well as his corporate vision and operational knowledge, which provide strategic guidance to the board.</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00AAE5"/>
        </w:rPr>
        <w:t>Sven A. Wehrwein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financial consultant to emerging companies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40" w:type="dxa"/>
            <w:vAlign w:val="bottom"/>
            <w:tcBorders>
              <w:top w:val="single" w:sz="8" w:color="00AAE5"/>
            </w:tcBorders>
          </w:tcPr>
          <w:p>
            <w:pPr>
              <w:spacing w:after="0"/>
              <w:rPr>
                <w:sz w:val="20"/>
                <w:szCs w:val="20"/>
                <w:color w:val="auto"/>
              </w:rPr>
            </w:pPr>
            <w:r>
              <w:rPr>
                <w:rFonts w:ascii="Arial" w:cs="Arial" w:eastAsia="Arial" w:hAnsi="Arial"/>
                <w:sz w:val="18"/>
                <w:szCs w:val="18"/>
                <w:b w:val="1"/>
                <w:bCs w:val="1"/>
                <w:color w:val="00AAE5"/>
              </w:rPr>
              <w:t>Age</w:t>
            </w:r>
          </w:p>
        </w:tc>
        <w:tc>
          <w:tcPr>
            <w:tcW w:w="7500" w:type="dxa"/>
            <w:vAlign w:val="bottom"/>
            <w:tcBorders>
              <w:top w:val="single" w:sz="8" w:color="00AAE5"/>
            </w:tcBorders>
          </w:tcPr>
          <w:p>
            <w:pPr>
              <w:ind w:left="218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r>
      <w:tr>
        <w:trPr>
          <w:trHeight w:val="199"/>
        </w:trPr>
        <w:tc>
          <w:tcPr>
            <w:tcW w:w="3740" w:type="dxa"/>
            <w:vAlign w:val="bottom"/>
          </w:tcPr>
          <w:p>
            <w:pPr>
              <w:spacing w:after="0" w:line="199" w:lineRule="exact"/>
              <w:rPr>
                <w:sz w:val="20"/>
                <w:szCs w:val="20"/>
                <w:color w:val="auto"/>
              </w:rPr>
            </w:pPr>
            <w:r>
              <w:rPr>
                <w:rFonts w:ascii="Arial" w:cs="Arial" w:eastAsia="Arial" w:hAnsi="Arial"/>
                <w:sz w:val="18"/>
                <w:szCs w:val="18"/>
                <w:b w:val="1"/>
                <w:bCs w:val="1"/>
                <w:color w:val="00AAE5"/>
              </w:rPr>
              <w:t>Director since</w:t>
            </w:r>
          </w:p>
        </w:tc>
        <w:tc>
          <w:tcPr>
            <w:tcW w:w="7500" w:type="dxa"/>
            <w:vAlign w:val="bottom"/>
          </w:tcPr>
          <w:p>
            <w:pPr>
              <w:ind w:left="2180"/>
              <w:spacing w:after="0" w:line="199" w:lineRule="exact"/>
              <w:rPr>
                <w:sz w:val="20"/>
                <w:szCs w:val="20"/>
                <w:color w:val="auto"/>
              </w:rPr>
            </w:pPr>
            <w:r>
              <w:rPr>
                <w:rFonts w:ascii="Arial" w:cs="Arial" w:eastAsia="Arial" w:hAnsi="Arial"/>
                <w:sz w:val="18"/>
                <w:szCs w:val="18"/>
                <w:color w:val="auto"/>
              </w:rPr>
              <w:t>2008</w:t>
            </w:r>
          </w:p>
        </w:tc>
        <w:tc>
          <w:tcPr>
            <w:tcW w:w="20" w:type="dxa"/>
            <w:vAlign w:val="bottom"/>
          </w:tcPr>
          <w:p>
            <w:pPr>
              <w:spacing w:after="0"/>
              <w:rPr>
                <w:sz w:val="17"/>
                <w:szCs w:val="17"/>
                <w:color w:val="auto"/>
              </w:rPr>
            </w:pPr>
          </w:p>
        </w:tc>
      </w:tr>
      <w:tr>
        <w:trPr>
          <w:trHeight w:val="239"/>
        </w:trPr>
        <w:tc>
          <w:tcPr>
            <w:tcW w:w="3740" w:type="dxa"/>
            <w:vAlign w:val="bottom"/>
          </w:tcPr>
          <w:p>
            <w:pPr>
              <w:spacing w:after="0"/>
              <w:rPr>
                <w:sz w:val="20"/>
                <w:szCs w:val="20"/>
                <w:color w:val="auto"/>
              </w:rPr>
            </w:pPr>
            <w:r>
              <w:rPr>
                <w:rFonts w:ascii="Arial" w:cs="Arial" w:eastAsia="Arial" w:hAnsi="Arial"/>
                <w:sz w:val="18"/>
                <w:szCs w:val="18"/>
                <w:b w:val="1"/>
                <w:bCs w:val="1"/>
                <w:color w:val="00AAE5"/>
              </w:rPr>
              <w:t>SPS Board committees</w:t>
            </w:r>
          </w:p>
        </w:tc>
        <w:tc>
          <w:tcPr>
            <w:tcW w:w="7500" w:type="dxa"/>
            <w:vAlign w:val="bottom"/>
          </w:tcPr>
          <w:p>
            <w:pPr>
              <w:ind w:left="2180"/>
              <w:spacing w:after="0"/>
              <w:rPr>
                <w:sz w:val="20"/>
                <w:szCs w:val="20"/>
                <w:color w:val="auto"/>
              </w:rPr>
            </w:pPr>
            <w:r>
              <w:rPr>
                <w:rFonts w:ascii="Arial" w:cs="Arial" w:eastAsia="Arial" w:hAnsi="Arial"/>
                <w:sz w:val="18"/>
                <w:szCs w:val="18"/>
                <w:color w:val="auto"/>
              </w:rPr>
              <w:t>Audit; Governance and Nominating</w:t>
            </w:r>
          </w:p>
        </w:tc>
        <w:tc>
          <w:tcPr>
            <w:tcW w:w="20" w:type="dxa"/>
            <w:vAlign w:val="bottom"/>
          </w:tcPr>
          <w:p>
            <w:pPr>
              <w:spacing w:after="0"/>
              <w:rPr>
                <w:sz w:val="20"/>
                <w:szCs w:val="20"/>
                <w:color w:val="auto"/>
              </w:rPr>
            </w:pPr>
          </w:p>
        </w:tc>
      </w:tr>
      <w:tr>
        <w:trPr>
          <w:trHeight w:val="263"/>
        </w:trPr>
        <w:tc>
          <w:tcPr>
            <w:tcW w:w="3740" w:type="dxa"/>
            <w:vAlign w:val="bottom"/>
            <w:tcBorders>
              <w:bottom w:val="single" w:sz="8" w:color="00AAE5"/>
            </w:tcBorders>
          </w:tcPr>
          <w:p>
            <w:pPr>
              <w:spacing w:after="0"/>
              <w:rPr>
                <w:sz w:val="20"/>
                <w:szCs w:val="20"/>
                <w:color w:val="auto"/>
              </w:rPr>
            </w:pPr>
            <w:r>
              <w:rPr>
                <w:rFonts w:ascii="Arial" w:cs="Arial" w:eastAsia="Arial" w:hAnsi="Arial"/>
                <w:sz w:val="18"/>
                <w:szCs w:val="18"/>
                <w:b w:val="1"/>
                <w:bCs w:val="1"/>
                <w:color w:val="00AAE5"/>
              </w:rPr>
              <w:t>Independent</w:t>
            </w:r>
          </w:p>
        </w:tc>
        <w:tc>
          <w:tcPr>
            <w:tcW w:w="7500" w:type="dxa"/>
            <w:vAlign w:val="bottom"/>
            <w:tcBorders>
              <w:bottom w:val="single" w:sz="8" w:color="00AAE5"/>
            </w:tcBorders>
          </w:tcPr>
          <w:p>
            <w:pPr>
              <w:ind w:left="2180"/>
              <w:spacing w:after="0"/>
              <w:rPr>
                <w:sz w:val="20"/>
                <w:szCs w:val="20"/>
                <w:color w:val="auto"/>
              </w:rPr>
            </w:pPr>
            <w:r>
              <w:rPr>
                <w:rFonts w:ascii="Arial" w:cs="Arial" w:eastAsia="Arial" w:hAnsi="Arial"/>
                <w:sz w:val="18"/>
                <w:szCs w:val="18"/>
                <w:color w:val="auto"/>
              </w:rPr>
              <w:t>Yes</w:t>
            </w:r>
          </w:p>
        </w:tc>
        <w:tc>
          <w:tcPr>
            <w:tcW w:w="20" w:type="dxa"/>
            <w:vAlign w:val="bottom"/>
          </w:tcPr>
          <w:p>
            <w:pPr>
              <w:spacing w:after="0"/>
              <w:rPr>
                <w:sz w:val="22"/>
                <w:szCs w:val="22"/>
                <w:color w:val="auto"/>
              </w:rPr>
            </w:pPr>
          </w:p>
        </w:tc>
      </w:tr>
      <w:tr>
        <w:trPr>
          <w:trHeight w:val="630"/>
        </w:trPr>
        <w:tc>
          <w:tcPr>
            <w:tcW w:w="3740" w:type="dxa"/>
            <w:vAlign w:val="bottom"/>
          </w:tcPr>
          <w:p>
            <w:pPr>
              <w:spacing w:after="0"/>
              <w:rPr>
                <w:sz w:val="24"/>
                <w:szCs w:val="24"/>
                <w:color w:val="auto"/>
              </w:rPr>
            </w:pPr>
          </w:p>
        </w:tc>
        <w:tc>
          <w:tcPr>
            <w:tcW w:w="75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4"/>
                <w:szCs w:val="24"/>
                <w:color w:val="auto"/>
              </w:rPr>
            </w:pPr>
          </w:p>
        </w:tc>
      </w:tr>
      <w:tr>
        <w:trPr>
          <w:trHeight w:val="602"/>
        </w:trPr>
        <w:tc>
          <w:tcPr>
            <w:tcW w:w="374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-15875</wp:posOffset>
            </wp:positionV>
            <wp:extent cx="825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567" w:right="31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00AAE5"/>
        </w:rPr>
        <w:t>Professional Highlights</w:t>
      </w:r>
    </w:p>
    <w:p>
      <w:pPr>
        <w:spacing w:after="0" w:line="155" w:lineRule="exact"/>
        <w:rPr>
          <w:sz w:val="20"/>
          <w:szCs w:val="20"/>
          <w:color w:val="auto"/>
        </w:rPr>
      </w:pPr>
    </w:p>
    <w:p>
      <w:pPr>
        <w:ind w:firstLine="589"/>
        <w:spacing w:after="0" w:line="250" w:lineRule="auto"/>
        <w:rPr>
          <w:sz w:val="20"/>
          <w:szCs w:val="20"/>
          <w:color w:val="auto"/>
        </w:rPr>
      </w:pPr>
      <w:r>
        <w:rPr>
          <w:rFonts w:ascii="Times New Roman" w:cs="Times New Roman" w:eastAsia="Times New Roman" w:hAnsi="Times New Roman"/>
          <w:sz w:val="18"/>
          <w:szCs w:val="18"/>
          <w:color w:val="auto"/>
        </w:rPr>
        <w:t>Mr. Wehrwein has been an independent financial consultant to emerging companies since 1999. During his over 35 years in accounting and finance, Mr. Wehrwein has experience as a certified public accountant (inactive), investment banker to emerging growth companies, chief financial officer, and audit committee chair. He currently serves on the board of directors of Atricure, Inc., a publicly traded medical device company, and Proto Labs, Inc., a publicly traded internet-enabled manufacturer of custom parts. Mr. Wehrwein also served on the board of directors of Compellent Technologies, Inc. from 2007 until its acquisition by Dell Inc. in 2011, on the board of Vital Images, Inc. from 1997 until its acquisition by Toshiba Medical in 2011, on the board of Synovis Life Technologies, Inc. from 2004 until its acquisition by Baxter International, Inc. in 2012, on the board of Cogentix Medical, Inc. from 2006 to 2016, and on the board of Image Sensing Systems, Inc. from 2006 to 2012, all of which were publicly traded companies.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00AAE5"/>
        </w:rPr>
        <w:t>Nominee Qualifications</w:t>
      </w:r>
    </w:p>
    <w:p>
      <w:pPr>
        <w:spacing w:after="0" w:line="155" w:lineRule="exact"/>
        <w:rPr>
          <w:sz w:val="20"/>
          <w:szCs w:val="20"/>
          <w:color w:val="auto"/>
        </w:rPr>
      </w:pPr>
    </w:p>
    <w:p>
      <w:pPr>
        <w:ind w:right="40" w:firstLine="589"/>
        <w:spacing w:after="0" w:line="255" w:lineRule="auto"/>
        <w:rPr>
          <w:sz w:val="20"/>
          <w:szCs w:val="20"/>
          <w:color w:val="auto"/>
        </w:rPr>
      </w:pPr>
      <w:r>
        <w:rPr>
          <w:rFonts w:ascii="Times New Roman" w:cs="Times New Roman" w:eastAsia="Times New Roman" w:hAnsi="Times New Roman"/>
          <w:sz w:val="18"/>
          <w:szCs w:val="18"/>
          <w:color w:val="auto"/>
        </w:rPr>
        <w:t>Mr. Wehrwein’s qualifications to serve on our board of directors include, among other skills and qualifications, his capabilities in financial understanding, strategic planning, and auditing expertise, given his experiences in investment banking and in financial leadership positions. As chairman of the audit committee, Mr. Wehrwein also keeps the board abreast of current audit issues and collaborates with our independent auditors and senior management team.</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1370" cy="16510"/>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7" w:name="page18"/>
    <w:bookmarkEnd w:id="17"/>
    <w:p>
      <w:pPr>
        <w:jc w:val="center"/>
        <w:ind w:left="340" w:right="340"/>
        <w:spacing w:after="0" w:line="302" w:lineRule="auto"/>
        <w:rPr>
          <w:sz w:val="20"/>
          <w:szCs w:val="20"/>
          <w:color w:val="auto"/>
        </w:rPr>
      </w:pPr>
      <w:r>
        <w:rPr>
          <w:rFonts w:ascii="Arial" w:cs="Arial" w:eastAsia="Arial" w:hAnsi="Arial"/>
          <w:sz w:val="35"/>
          <w:szCs w:val="35"/>
          <w:b w:val="1"/>
          <w:bCs w:val="1"/>
          <w:color w:val="00AAE5"/>
        </w:rPr>
        <w:t>INFORMATION REGARDING THE BOARD OF DIRECTORS AND CORPORATE GOVERNANCE</w:t>
      </w:r>
    </w:p>
    <w:p>
      <w:pPr>
        <w:spacing w:after="0" w:line="1" w:lineRule="exact"/>
        <w:rPr>
          <w:sz w:val="20"/>
          <w:szCs w:val="20"/>
          <w:color w:val="auto"/>
        </w:rPr>
      </w:pPr>
    </w:p>
    <w:p>
      <w:pPr>
        <w:ind w:right="120" w:firstLine="589"/>
        <w:spacing w:after="0" w:line="274" w:lineRule="auto"/>
        <w:rPr>
          <w:sz w:val="20"/>
          <w:szCs w:val="20"/>
          <w:color w:val="auto"/>
        </w:rPr>
      </w:pPr>
      <w:r>
        <w:rPr>
          <w:rFonts w:ascii="Times New Roman" w:cs="Times New Roman" w:eastAsia="Times New Roman" w:hAnsi="Times New Roman"/>
          <w:sz w:val="17"/>
          <w:szCs w:val="17"/>
          <w:color w:val="auto"/>
        </w:rPr>
        <w:t xml:space="preserve">The board of directors conducts its business through meetings of the board and the following standing committees: audit, compensation, governance and nominating, and finance and strategy. Each of the standing committees has adopted and operates under a written charter, all of which are available on our website at </w:t>
      </w:r>
      <w:r>
        <w:rPr>
          <w:rFonts w:ascii="Times New Roman" w:cs="Times New Roman" w:eastAsia="Times New Roman" w:hAnsi="Times New Roman"/>
          <w:sz w:val="17"/>
          <w:szCs w:val="17"/>
          <w:i w:val="1"/>
          <w:iCs w:val="1"/>
          <w:color w:val="auto"/>
        </w:rPr>
        <w:t>www.spscommerce.com</w:t>
      </w:r>
      <w:r>
        <w:rPr>
          <w:rFonts w:ascii="Times New Roman" w:cs="Times New Roman" w:eastAsia="Times New Roman" w:hAnsi="Times New Roman"/>
          <w:sz w:val="17"/>
          <w:szCs w:val="17"/>
          <w:color w:val="auto"/>
        </w:rPr>
        <w:t xml:space="preserve">. We have adopted a code of business conduct and ethics relating to the conduct of our business by our directors, officers and employees, which is posted on our website at </w:t>
      </w:r>
      <w:r>
        <w:rPr>
          <w:rFonts w:ascii="Times New Roman" w:cs="Times New Roman" w:eastAsia="Times New Roman" w:hAnsi="Times New Roman"/>
          <w:sz w:val="17"/>
          <w:szCs w:val="17"/>
          <w:i w:val="1"/>
          <w:iCs w:val="1"/>
          <w:color w:val="auto"/>
        </w:rPr>
        <w:t>www.spscommerce.com</w:t>
      </w:r>
      <w:r>
        <w:rPr>
          <w:rFonts w:ascii="Times New Roman" w:cs="Times New Roman" w:eastAsia="Times New Roman" w:hAnsi="Times New Roman"/>
          <w:sz w:val="17"/>
          <w:szCs w:val="17"/>
          <w:color w:val="auto"/>
        </w:rPr>
        <w:t>. Our Corporate Governance Guidelines are also available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7134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Independence</w:t>
      </w:r>
    </w:p>
    <w:p>
      <w:pPr>
        <w:spacing w:after="0" w:line="164" w:lineRule="exact"/>
        <w:rPr>
          <w:sz w:val="20"/>
          <w:szCs w:val="20"/>
          <w:color w:val="auto"/>
        </w:rPr>
      </w:pPr>
    </w:p>
    <w:p>
      <w:pPr>
        <w:ind w:right="20" w:firstLine="589"/>
        <w:spacing w:after="0" w:line="255" w:lineRule="auto"/>
        <w:rPr>
          <w:sz w:val="20"/>
          <w:szCs w:val="20"/>
          <w:color w:val="auto"/>
        </w:rPr>
      </w:pPr>
      <w:r>
        <w:rPr>
          <w:rFonts w:ascii="Times New Roman" w:cs="Times New Roman" w:eastAsia="Times New Roman" w:hAnsi="Times New Roman"/>
          <w:sz w:val="18"/>
          <w:szCs w:val="18"/>
          <w:color w:val="auto"/>
        </w:rPr>
        <w:t>As required under the Nasdaq Global Market rules and regulations, a majority of the members of a listed company’s board of directors must qualify as “independent,” as affirmatively determined by the board. The board of directors consults with our counsel to ensure that the board’s determinations are consistent with all relevant securities and other laws and regulations regarding the definition of “independent,” including those set forth in pertinent listing standards of the Nasdaq Global Market, as in effect from time to time.</w:t>
      </w:r>
    </w:p>
    <w:p>
      <w:pPr>
        <w:spacing w:after="0" w:line="127" w:lineRule="exact"/>
        <w:rPr>
          <w:sz w:val="20"/>
          <w:szCs w:val="20"/>
          <w:color w:val="auto"/>
        </w:rPr>
      </w:pPr>
    </w:p>
    <w:p>
      <w:pPr>
        <w:ind w:right="100" w:firstLine="589"/>
        <w:spacing w:after="0" w:line="255"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transactions or relationships between each director, or any of his or her family members, and our Company, our management and our independent registered public accounting firm, the board of directors has affirmatively determined that all of our Company’s directors are independent directors within the meaning of the applicable listing standards of the Nasdaq Global Market, except for Mr. Black, our current President and Chief Executive Officer.</w:t>
      </w:r>
    </w:p>
    <w:p>
      <w:pPr>
        <w:spacing w:after="0" w:line="127" w:lineRule="exact"/>
        <w:rPr>
          <w:sz w:val="20"/>
          <w:szCs w:val="20"/>
          <w:color w:val="auto"/>
        </w:rPr>
      </w:pPr>
    </w:p>
    <w:p>
      <w:pPr>
        <w:ind w:right="60" w:firstLine="589"/>
        <w:spacing w:after="0" w:line="259" w:lineRule="auto"/>
        <w:rPr>
          <w:sz w:val="20"/>
          <w:szCs w:val="20"/>
          <w:color w:val="auto"/>
        </w:rPr>
      </w:pPr>
      <w:r>
        <w:rPr>
          <w:rFonts w:ascii="Times New Roman" w:cs="Times New Roman" w:eastAsia="Times New Roman" w:hAnsi="Times New Roman"/>
          <w:sz w:val="18"/>
          <w:szCs w:val="18"/>
          <w:color w:val="auto"/>
        </w:rPr>
        <w:t>As required under the Nasdaq Global Market rules and regulations, our independent directors meet in regularly scheduled executive sessions at which only independent directors are present. All of the committees of our board of directors are comprised entirely of directors determined by the board to be independent within the meaning of the Nasdaq Global Market rules and regulations.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34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44" w:lineRule="exact"/>
        <w:rPr>
          <w:sz w:val="20"/>
          <w:szCs w:val="20"/>
          <w:color w:val="auto"/>
        </w:rPr>
      </w:pPr>
    </w:p>
    <w:p>
      <w:pPr>
        <w:ind w:right="20" w:firstLine="589"/>
        <w:spacing w:after="0" w:line="250" w:lineRule="auto"/>
        <w:rPr>
          <w:sz w:val="20"/>
          <w:szCs w:val="20"/>
          <w:color w:val="auto"/>
        </w:rPr>
      </w:pPr>
      <w:r>
        <w:rPr>
          <w:rFonts w:ascii="Times New Roman" w:cs="Times New Roman" w:eastAsia="Times New Roman" w:hAnsi="Times New Roman"/>
          <w:sz w:val="18"/>
          <w:szCs w:val="18"/>
          <w:color w:val="auto"/>
        </w:rPr>
        <w:t>Tami Reller, a non-employee independent director, has served as chair of our board of directors since May 2018, while Mr. Black serves as our President and Chief Executive Officer. Separating these positions allows our Chief Executive Officer to focus on our day-to-day business, while allowing the chair of the board to lead the board in its fundamental role of providing advice to, and independent oversight of, management. The board of directors recognizes the time, effort and energy that the Chief Executive Officer is required to devote to his position in the current business environment, as well as the commitment required to serve as our board chair. Our Corporate Governance Guidelines require our board chair and Chief Executive Officer positions to be separate because the board of directors believes that having separate positions and having an independent director serve as chair of the board is the appropriate leadership structure for us and demonstrates our commitment to good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147320</wp:posOffset>
            </wp:positionV>
            <wp:extent cx="7134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Involvement in Risk Oversight</w:t>
      </w:r>
    </w:p>
    <w:p>
      <w:pPr>
        <w:spacing w:after="0" w:line="164" w:lineRule="exact"/>
        <w:rPr>
          <w:sz w:val="20"/>
          <w:szCs w:val="20"/>
          <w:color w:val="auto"/>
        </w:rPr>
      </w:pPr>
    </w:p>
    <w:p>
      <w:pPr>
        <w:ind w:firstLine="589"/>
        <w:spacing w:after="0" w:line="249" w:lineRule="auto"/>
        <w:rPr>
          <w:sz w:val="20"/>
          <w:szCs w:val="20"/>
          <w:color w:val="auto"/>
        </w:rPr>
      </w:pPr>
      <w:r>
        <w:rPr>
          <w:rFonts w:ascii="Times New Roman" w:cs="Times New Roman" w:eastAsia="Times New Roman" w:hAnsi="Times New Roman"/>
          <w:sz w:val="18"/>
          <w:szCs w:val="18"/>
          <w:color w:val="auto"/>
        </w:rPr>
        <w:t>Our management is responsible for identifying the various risks facing us, formulating risk management policies and procedures, and managing our risk exposures on a day-to-day basis. The board of directors’ responsibility is to monitor our risk management processes by informing itself concerning our material risks and evaluating whether management has reasonable controls in place to address the material risks; the board is not responsible, however, for identifying or managing our various risks. The audit committee is primarily responsible for monitoring management’s responsibility in the area of financial risk oversight and the board of directors is primarily responsible for monitoring management’s responsibility in our other areas of risk management. Accordingly, management regularly reported to the audit committee and the board of directors on risk management during 2019. The audit committee, in turn, reports on the matters discussed at the committee level to the full board. The audit committee and the full board focus on the material risks facing us, including financial, operational, market, credit, liquidity, legal and regulatory risks, to assess whether management has reasonable controls in place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8" w:name="page19"/>
    <w:bookmarkEnd w:id="18"/>
    <w:p>
      <w:pPr>
        <w:ind w:right="540"/>
        <w:spacing w:after="0" w:line="259" w:lineRule="auto"/>
        <w:rPr>
          <w:sz w:val="20"/>
          <w:szCs w:val="20"/>
          <w:color w:val="auto"/>
        </w:rPr>
      </w:pPr>
      <w:r>
        <w:rPr>
          <w:rFonts w:ascii="Times New Roman" w:cs="Times New Roman" w:eastAsia="Times New Roman" w:hAnsi="Times New Roman"/>
          <w:sz w:val="18"/>
          <w:szCs w:val="18"/>
          <w:color w:val="auto"/>
        </w:rPr>
        <w:t>to address these risks. In addition, the compensation committee is charged with reviewing and discussing with management whether our compensation arrangements are administered consistent with effective internal controls and sound risk management. The board of directors believes this division of responsibilities provides an effective and efficient approach for addressing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34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Committees</w:t>
      </w:r>
    </w:p>
    <w:p>
      <w:pPr>
        <w:spacing w:after="0" w:line="164" w:lineRule="exact"/>
        <w:rPr>
          <w:sz w:val="20"/>
          <w:szCs w:val="20"/>
          <w:color w:val="auto"/>
        </w:rPr>
      </w:pPr>
    </w:p>
    <w:p>
      <w:pPr>
        <w:ind w:right="300" w:firstLine="589"/>
        <w:spacing w:after="0" w:line="274" w:lineRule="auto"/>
        <w:rPr>
          <w:sz w:val="20"/>
          <w:szCs w:val="20"/>
          <w:color w:val="auto"/>
        </w:rPr>
      </w:pPr>
      <w:r>
        <w:rPr>
          <w:rFonts w:ascii="Times New Roman" w:cs="Times New Roman" w:eastAsia="Times New Roman" w:hAnsi="Times New Roman"/>
          <w:sz w:val="18"/>
          <w:szCs w:val="18"/>
          <w:color w:val="auto"/>
        </w:rPr>
        <w:t>The board of directors has established an audit committee, a compensation committee, a governance and nominating committee and a finance and strategy committee. The following sets forth the membership of each of our committees as of March 25, 2020.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80" w:type="dxa"/>
            <w:vAlign w:val="bottom"/>
          </w:tcPr>
          <w:p>
            <w:pPr>
              <w:spacing w:after="0"/>
              <w:rPr>
                <w:sz w:val="15"/>
                <w:szCs w:val="15"/>
                <w:color w:val="auto"/>
              </w:rPr>
            </w:pPr>
          </w:p>
        </w:tc>
        <w:tc>
          <w:tcPr>
            <w:tcW w:w="940" w:type="dxa"/>
            <w:vAlign w:val="bottom"/>
            <w:tcBorders>
              <w:bottom w:val="single" w:sz="8" w:color="00AAE5"/>
            </w:tcBorders>
          </w:tcPr>
          <w:p>
            <w:pPr>
              <w:spacing w:after="0"/>
              <w:rPr>
                <w:sz w:val="15"/>
                <w:szCs w:val="15"/>
                <w:color w:val="auto"/>
              </w:rPr>
            </w:pPr>
          </w:p>
        </w:tc>
        <w:tc>
          <w:tcPr>
            <w:tcW w:w="1580" w:type="dxa"/>
            <w:vAlign w:val="bottom"/>
            <w:tcBorders>
              <w:bottom w:val="single" w:sz="8" w:color="00AAE5"/>
            </w:tcBorders>
          </w:tcPr>
          <w:p>
            <w:pPr>
              <w:spacing w:after="0"/>
              <w:rPr>
                <w:sz w:val="15"/>
                <w:szCs w:val="15"/>
                <w:color w:val="auto"/>
              </w:rPr>
            </w:pPr>
          </w:p>
        </w:tc>
        <w:tc>
          <w:tcPr>
            <w:tcW w:w="2620" w:type="dxa"/>
            <w:vAlign w:val="bottom"/>
            <w:tcBorders>
              <w:bottom w:val="single" w:sz="8" w:color="00AAE5"/>
            </w:tcBorders>
          </w:tcPr>
          <w:p>
            <w:pPr>
              <w:ind w:left="320"/>
              <w:spacing w:after="0"/>
              <w:rPr>
                <w:sz w:val="20"/>
                <w:szCs w:val="20"/>
                <w:color w:val="auto"/>
              </w:rPr>
            </w:pPr>
            <w:r>
              <w:rPr>
                <w:rFonts w:ascii="Arial" w:cs="Arial" w:eastAsia="Arial" w:hAnsi="Arial"/>
                <w:sz w:val="13"/>
                <w:szCs w:val="13"/>
                <w:color w:val="00AAE5"/>
              </w:rPr>
              <w:t>COMMITTEES</w:t>
            </w:r>
          </w:p>
        </w:tc>
        <w:tc>
          <w:tcPr>
            <w:tcW w:w="1420" w:type="dxa"/>
            <w:vAlign w:val="bottom"/>
            <w:tcBorders>
              <w:bottom w:val="single" w:sz="8" w:color="00AAE5"/>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480" w:type="dxa"/>
            <w:vAlign w:val="bottom"/>
            <w:vMerge w:val="restart"/>
          </w:tcPr>
          <w:p>
            <w:pPr>
              <w:spacing w:after="0"/>
              <w:rPr>
                <w:sz w:val="20"/>
                <w:szCs w:val="20"/>
                <w:color w:val="auto"/>
              </w:rPr>
            </w:pPr>
            <w:r>
              <w:rPr>
                <w:rFonts w:ascii="Arial" w:cs="Arial" w:eastAsia="Arial" w:hAnsi="Arial"/>
                <w:sz w:val="13"/>
                <w:szCs w:val="13"/>
                <w:color w:val="00AAE5"/>
              </w:rPr>
              <w:t>DIRECTOR</w:t>
            </w:r>
          </w:p>
        </w:tc>
        <w:tc>
          <w:tcPr>
            <w:tcW w:w="940" w:type="dxa"/>
            <w:vAlign w:val="bottom"/>
            <w:vMerge w:val="restart"/>
          </w:tcPr>
          <w:p>
            <w:pPr>
              <w:ind w:left="220"/>
              <w:spacing w:after="0"/>
              <w:rPr>
                <w:sz w:val="20"/>
                <w:szCs w:val="20"/>
                <w:color w:val="auto"/>
              </w:rPr>
            </w:pPr>
            <w:r>
              <w:rPr>
                <w:rFonts w:ascii="Arial" w:cs="Arial" w:eastAsia="Arial" w:hAnsi="Arial"/>
                <w:sz w:val="13"/>
                <w:szCs w:val="13"/>
                <w:color w:val="00AAE5"/>
              </w:rPr>
              <w:t>Audit</w:t>
            </w:r>
          </w:p>
        </w:tc>
        <w:tc>
          <w:tcPr>
            <w:tcW w:w="1580" w:type="dxa"/>
            <w:vAlign w:val="bottom"/>
            <w:vMerge w:val="restart"/>
          </w:tcPr>
          <w:p>
            <w:pPr>
              <w:ind w:left="420"/>
              <w:spacing w:after="0"/>
              <w:rPr>
                <w:sz w:val="20"/>
                <w:szCs w:val="20"/>
                <w:color w:val="auto"/>
              </w:rPr>
            </w:pPr>
            <w:r>
              <w:rPr>
                <w:rFonts w:ascii="Arial" w:cs="Arial" w:eastAsia="Arial" w:hAnsi="Arial"/>
                <w:sz w:val="13"/>
                <w:szCs w:val="13"/>
                <w:color w:val="00AAE5"/>
              </w:rPr>
              <w:t>Compensation</w:t>
            </w:r>
          </w:p>
        </w:tc>
        <w:tc>
          <w:tcPr>
            <w:tcW w:w="2620" w:type="dxa"/>
            <w:vAlign w:val="bottom"/>
            <w:vMerge w:val="restart"/>
          </w:tcPr>
          <w:p>
            <w:pPr>
              <w:ind w:left="620"/>
              <w:spacing w:after="0"/>
              <w:rPr>
                <w:sz w:val="20"/>
                <w:szCs w:val="20"/>
                <w:color w:val="auto"/>
              </w:rPr>
            </w:pPr>
            <w:r>
              <w:rPr>
                <w:rFonts w:ascii="Arial" w:cs="Arial" w:eastAsia="Arial" w:hAnsi="Arial"/>
                <w:sz w:val="13"/>
                <w:szCs w:val="13"/>
                <w:color w:val="00AAE5"/>
              </w:rPr>
              <w:t>Governance and Nominating</w:t>
            </w:r>
          </w:p>
        </w:tc>
        <w:tc>
          <w:tcPr>
            <w:tcW w:w="1420" w:type="dxa"/>
            <w:vAlign w:val="bottom"/>
          </w:tcPr>
          <w:p>
            <w:pPr>
              <w:jc w:val="center"/>
              <w:spacing w:after="0" w:line="128" w:lineRule="exact"/>
              <w:rPr>
                <w:sz w:val="20"/>
                <w:szCs w:val="20"/>
                <w:color w:val="auto"/>
              </w:rPr>
            </w:pPr>
            <w:r>
              <w:rPr>
                <w:rFonts w:ascii="Arial" w:cs="Arial" w:eastAsia="Arial" w:hAnsi="Arial"/>
                <w:sz w:val="13"/>
                <w:szCs w:val="13"/>
                <w:color w:val="00AAE5"/>
              </w:rPr>
              <w:t>Finance and</w:t>
            </w:r>
          </w:p>
        </w:tc>
        <w:tc>
          <w:tcPr>
            <w:tcW w:w="0" w:type="dxa"/>
            <w:vAlign w:val="bottom"/>
          </w:tcPr>
          <w:p>
            <w:pPr>
              <w:spacing w:after="0"/>
              <w:rPr>
                <w:sz w:val="1"/>
                <w:szCs w:val="1"/>
                <w:color w:val="auto"/>
              </w:rPr>
            </w:pPr>
          </w:p>
        </w:tc>
      </w:tr>
      <w:tr>
        <w:trPr>
          <w:trHeight w:val="162"/>
        </w:trPr>
        <w:tc>
          <w:tcPr>
            <w:tcW w:w="4480" w:type="dxa"/>
            <w:vAlign w:val="bottom"/>
            <w:tcBorders>
              <w:bottom w:val="single" w:sz="8" w:color="00AAE5"/>
            </w:tcBorders>
            <w:vMerge w:val="continue"/>
          </w:tcPr>
          <w:p>
            <w:pPr>
              <w:spacing w:after="0"/>
              <w:rPr>
                <w:sz w:val="14"/>
                <w:szCs w:val="14"/>
                <w:color w:val="auto"/>
              </w:rPr>
            </w:pPr>
          </w:p>
        </w:tc>
        <w:tc>
          <w:tcPr>
            <w:tcW w:w="940" w:type="dxa"/>
            <w:vAlign w:val="bottom"/>
            <w:tcBorders>
              <w:bottom w:val="single" w:sz="8" w:color="00AAE5"/>
            </w:tcBorders>
            <w:vMerge w:val="continue"/>
          </w:tcPr>
          <w:p>
            <w:pPr>
              <w:spacing w:after="0"/>
              <w:rPr>
                <w:sz w:val="14"/>
                <w:szCs w:val="14"/>
                <w:color w:val="auto"/>
              </w:rPr>
            </w:pPr>
          </w:p>
        </w:tc>
        <w:tc>
          <w:tcPr>
            <w:tcW w:w="1580" w:type="dxa"/>
            <w:vAlign w:val="bottom"/>
            <w:tcBorders>
              <w:bottom w:val="single" w:sz="8" w:color="00AAE5"/>
            </w:tcBorders>
            <w:vMerge w:val="continue"/>
          </w:tcPr>
          <w:p>
            <w:pPr>
              <w:spacing w:after="0"/>
              <w:rPr>
                <w:sz w:val="14"/>
                <w:szCs w:val="14"/>
                <w:color w:val="auto"/>
              </w:rPr>
            </w:pPr>
          </w:p>
        </w:tc>
        <w:tc>
          <w:tcPr>
            <w:tcW w:w="2620" w:type="dxa"/>
            <w:vAlign w:val="bottom"/>
            <w:tcBorders>
              <w:bottom w:val="single" w:sz="8" w:color="00AAE5"/>
            </w:tcBorders>
            <w:vMerge w:val="continue"/>
          </w:tcPr>
          <w:p>
            <w:pPr>
              <w:spacing w:after="0"/>
              <w:rPr>
                <w:sz w:val="14"/>
                <w:szCs w:val="14"/>
                <w:color w:val="auto"/>
              </w:rPr>
            </w:pPr>
          </w:p>
        </w:tc>
        <w:tc>
          <w:tcPr>
            <w:tcW w:w="1420" w:type="dxa"/>
            <w:vAlign w:val="bottom"/>
            <w:tcBorders>
              <w:bottom w:val="single" w:sz="8" w:color="00AAE5"/>
            </w:tcBorders>
          </w:tcPr>
          <w:p>
            <w:pPr>
              <w:jc w:val="center"/>
              <w:spacing w:after="0"/>
              <w:rPr>
                <w:sz w:val="20"/>
                <w:szCs w:val="20"/>
                <w:color w:val="auto"/>
              </w:rPr>
            </w:pPr>
            <w:r>
              <w:rPr>
                <w:rFonts w:ascii="Arial" w:cs="Arial" w:eastAsia="Arial" w:hAnsi="Arial"/>
                <w:sz w:val="13"/>
                <w:szCs w:val="13"/>
                <w:color w:val="00AAE5"/>
              </w:rPr>
              <w:t>Strategy</w:t>
            </w:r>
          </w:p>
        </w:tc>
        <w:tc>
          <w:tcPr>
            <w:tcW w:w="0" w:type="dxa"/>
            <w:vAlign w:val="bottom"/>
          </w:tcPr>
          <w:p>
            <w:pPr>
              <w:spacing w:after="0"/>
              <w:rPr>
                <w:sz w:val="1"/>
                <w:szCs w:val="1"/>
                <w:color w:val="auto"/>
              </w:rPr>
            </w:pPr>
          </w:p>
        </w:tc>
      </w:tr>
      <w:tr>
        <w:trPr>
          <w:trHeight w:val="258"/>
        </w:trPr>
        <w:tc>
          <w:tcPr>
            <w:tcW w:w="4480" w:type="dxa"/>
            <w:vAlign w:val="bottom"/>
            <w:tcBorders>
              <w:bottom w:val="single" w:sz="8" w:color="7C7C7C"/>
            </w:tcBorders>
          </w:tcPr>
          <w:p>
            <w:pPr>
              <w:spacing w:after="0"/>
              <w:rPr>
                <w:sz w:val="20"/>
                <w:szCs w:val="20"/>
                <w:color w:val="auto"/>
              </w:rPr>
            </w:pPr>
            <w:r>
              <w:rPr>
                <w:rFonts w:ascii="Arial" w:cs="Arial" w:eastAsia="Arial" w:hAnsi="Arial"/>
                <w:sz w:val="13"/>
                <w:szCs w:val="13"/>
                <w:color w:val="00AAE5"/>
              </w:rPr>
              <w:t>Archie C. Black</w:t>
            </w:r>
          </w:p>
        </w:tc>
        <w:tc>
          <w:tcPr>
            <w:tcW w:w="940" w:type="dxa"/>
            <w:vAlign w:val="bottom"/>
            <w:tcBorders>
              <w:bottom w:val="single" w:sz="8" w:color="7C7C7C"/>
            </w:tcBorders>
          </w:tcPr>
          <w:p>
            <w:pPr>
              <w:spacing w:after="0"/>
              <w:rPr>
                <w:sz w:val="22"/>
                <w:szCs w:val="22"/>
                <w:color w:val="auto"/>
              </w:rPr>
            </w:pPr>
          </w:p>
        </w:tc>
        <w:tc>
          <w:tcPr>
            <w:tcW w:w="1580" w:type="dxa"/>
            <w:vAlign w:val="bottom"/>
            <w:tcBorders>
              <w:bottom w:val="single" w:sz="8" w:color="7C7C7C"/>
            </w:tcBorders>
          </w:tcPr>
          <w:p>
            <w:pPr>
              <w:spacing w:after="0"/>
              <w:rPr>
                <w:sz w:val="22"/>
                <w:szCs w:val="22"/>
                <w:color w:val="auto"/>
              </w:rPr>
            </w:pPr>
          </w:p>
        </w:tc>
        <w:tc>
          <w:tcPr>
            <w:tcW w:w="2620" w:type="dxa"/>
            <w:vAlign w:val="bottom"/>
            <w:tcBorders>
              <w:bottom w:val="single" w:sz="8" w:color="7C7C7C"/>
            </w:tcBorders>
          </w:tcPr>
          <w:p>
            <w:pPr>
              <w:spacing w:after="0"/>
              <w:rPr>
                <w:sz w:val="22"/>
                <w:szCs w:val="22"/>
                <w:color w:val="auto"/>
              </w:rPr>
            </w:pPr>
          </w:p>
        </w:tc>
        <w:tc>
          <w:tcPr>
            <w:tcW w:w="1420" w:type="dxa"/>
            <w:vAlign w:val="bottom"/>
            <w:tcBorders>
              <w:bottom w:val="single" w:sz="8" w:color="7C7C7C"/>
            </w:tcBorders>
          </w:tcPr>
          <w:p>
            <w:pPr>
              <w:jc w:val="right"/>
              <w:ind w:right="54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6499225</wp:posOffset>
            </wp:positionH>
            <wp:positionV relativeFrom="paragraph">
              <wp:posOffset>-125730</wp:posOffset>
            </wp:positionV>
            <wp:extent cx="67310" cy="1181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10" cy="1181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33655</wp:posOffset>
            </wp:positionV>
            <wp:extent cx="7008495" cy="142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08495" cy="14287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color w:val="00AAE5"/>
        </w:rPr>
        <w:t>Martin J. Leestma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67310</wp:posOffset>
            </wp:positionV>
            <wp:extent cx="67310" cy="1181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10" cy="11811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00AAE5"/>
        </w:rPr>
        <w:t>James B. Ramsey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70084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0849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-83820</wp:posOffset>
            </wp:positionV>
            <wp:extent cx="50800" cy="927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0800" cy="92710"/>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67310</wp:posOffset>
            </wp:positionV>
            <wp:extent cx="67310" cy="1174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10" cy="11747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67310</wp:posOffset>
            </wp:positionV>
            <wp:extent cx="67310" cy="1174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10" cy="11747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00AAE5"/>
        </w:rPr>
        <w:t>Marty M. Reaume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70084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0849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00AAE5"/>
        </w:rPr>
        <w:t>Tami L. Reller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008495" cy="1263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08495" cy="1263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67310</wp:posOffset>
            </wp:positionV>
            <wp:extent cx="7008495" cy="1263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08495" cy="12636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00AAE5"/>
        </w:rPr>
        <w:t>Philip E. Soran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50165</wp:posOffset>
            </wp:positionV>
            <wp:extent cx="67310" cy="1181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10" cy="118110"/>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00AAE5"/>
        </w:rPr>
        <w:t>Sven A. Wehrwein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-83820</wp:posOffset>
            </wp:positionV>
            <wp:extent cx="7008495" cy="1009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08495" cy="1009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-83820</wp:posOffset>
            </wp:positionV>
            <wp:extent cx="7008495" cy="1009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08495" cy="100965"/>
                    </a:xfrm>
                    <a:prstGeom prst="rect">
                      <a:avLst/>
                    </a:prstGeom>
                    <a:noFill/>
                  </pic:spPr>
                </pic:pic>
              </a:graphicData>
            </a:graphic>
          </wp:anchor>
        </w:drawing>
      </w:r>
    </w:p>
    <w:p>
      <w:pPr>
        <w:spacing w:after="0" w:line="59" w:lineRule="exact"/>
        <w:rPr>
          <w:sz w:val="20"/>
          <w:szCs w:val="20"/>
          <w:color w:val="auto"/>
        </w:rPr>
      </w:pPr>
    </w:p>
    <w:p>
      <w:pPr>
        <w:ind w:left="440"/>
        <w:spacing w:after="0"/>
        <w:rPr>
          <w:sz w:val="20"/>
          <w:szCs w:val="20"/>
          <w:color w:val="auto"/>
        </w:rPr>
      </w:pPr>
      <w:r>
        <w:rPr>
          <w:sz w:val="1"/>
          <w:szCs w:val="1"/>
          <w:color w:val="auto"/>
        </w:rPr>
        <w:drawing>
          <wp:inline distT="0" distB="0" distL="0" distR="0">
            <wp:extent cx="50800" cy="9271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0800" cy="92710"/>
                    </a:xfrm>
                    <a:prstGeom prst="rect">
                      <a:avLst/>
                    </a:prstGeom>
                    <a:noFill/>
                    <a:ln>
                      <a:noFill/>
                    </a:ln>
                  </pic:spPr>
                </pic:pic>
              </a:graphicData>
            </a:graphic>
          </wp:inline>
        </w:drawing>
      </w:r>
      <w:r>
        <w:rPr>
          <w:rFonts w:ascii="Arial" w:cs="Arial" w:eastAsia="Arial" w:hAnsi="Arial"/>
          <w:sz w:val="13"/>
          <w:szCs w:val="13"/>
          <w:color w:val="auto"/>
        </w:rPr>
        <w:t xml:space="preserve"> Chair  </w:t>
      </w:r>
      <w:r>
        <w:rPr>
          <w:sz w:val="1"/>
          <w:szCs w:val="1"/>
          <w:color w:val="auto"/>
        </w:rPr>
        <w:drawing>
          <wp:inline distT="0" distB="0" distL="0" distR="0">
            <wp:extent cx="67310" cy="11811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10" cy="118110"/>
                    </a:xfrm>
                    <a:prstGeom prst="rect">
                      <a:avLst/>
                    </a:prstGeom>
                    <a:noFill/>
                    <a:ln>
                      <a:noFill/>
                    </a:ln>
                  </pic:spPr>
                </pic:pic>
              </a:graphicData>
            </a:graphic>
          </wp:inline>
        </w:drawing>
      </w:r>
      <w:r>
        <w:rPr>
          <w:rFonts w:ascii="Arial" w:cs="Arial" w:eastAsia="Arial" w:hAnsi="Arial"/>
          <w:sz w:val="13"/>
          <w:szCs w:val="13"/>
          <w:color w:val="auto"/>
        </w:rPr>
        <w:t xml:space="preserve"> Member</w:t>
      </w:r>
    </w:p>
    <w:p>
      <w:pPr>
        <w:spacing w:after="0" w:line="184" w:lineRule="exact"/>
        <w:rPr>
          <w:sz w:val="20"/>
          <w:szCs w:val="20"/>
          <w:color w:val="auto"/>
        </w:rPr>
      </w:pPr>
    </w:p>
    <w:p>
      <w:pPr>
        <w:ind w:left="440" w:right="140" w:hanging="434"/>
        <w:spacing w:after="0" w:line="290" w:lineRule="auto"/>
        <w:tabs>
          <w:tab w:leader="none" w:pos="4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Black is an ex-officio member of the Finance Committee. As an ex-officio member, Mr. Black has a standing invitation to attend each committee meeting but does not count for quorum purposes or vote on committee matters.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responsibilities of each board committee are discussed in turn below.</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Audit Committee</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Among other matters, our audit committee:</w:t>
      </w:r>
    </w:p>
    <w:p>
      <w:pPr>
        <w:spacing w:after="0" w:line="111" w:lineRule="exact"/>
        <w:rPr>
          <w:sz w:val="20"/>
          <w:szCs w:val="20"/>
          <w:color w:val="auto"/>
        </w:rPr>
      </w:pPr>
    </w:p>
    <w:p>
      <w:pPr>
        <w:ind w:left="1020" w:right="400" w:hanging="431"/>
        <w:spacing w:after="0" w:line="274"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qualifications, performance and independence of our independent auditor and reviews and approves both audit and non-audit services to be provided by the independent auditor;</w:t>
      </w:r>
    </w:p>
    <w:p>
      <w:pPr>
        <w:spacing w:after="0" w:line="57" w:lineRule="exact"/>
        <w:rPr>
          <w:rFonts w:ascii="Times New Roman" w:cs="Times New Roman" w:eastAsia="Times New Roman" w:hAnsi="Times New Roman"/>
          <w:sz w:val="18"/>
          <w:szCs w:val="18"/>
          <w:color w:val="auto"/>
        </w:rPr>
      </w:pPr>
    </w:p>
    <w:p>
      <w:pPr>
        <w:ind w:left="1020" w:hanging="431"/>
        <w:spacing w:after="0" w:line="304" w:lineRule="auto"/>
        <w:tabs>
          <w:tab w:leader="none" w:pos="10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discusses with management and our independent auditors any major issues as to the adequacy of our internal controls, any actions to be taken in light of significant or material control deficiencies and the adequacy of disclosures about changes in internal control over financial reporting;</w:t>
      </w:r>
    </w:p>
    <w:p>
      <w:pPr>
        <w:spacing w:after="0" w:line="34" w:lineRule="exact"/>
        <w:rPr>
          <w:rFonts w:ascii="Times New Roman" w:cs="Times New Roman" w:eastAsia="Times New Roman" w:hAnsi="Times New Roman"/>
          <w:sz w:val="17"/>
          <w:szCs w:val="17"/>
          <w:color w:val="auto"/>
        </w:rPr>
      </w:pPr>
    </w:p>
    <w:p>
      <w:pPr>
        <w:ind w:left="1020" w:right="420" w:hanging="431"/>
        <w:spacing w:after="0" w:line="304" w:lineRule="auto"/>
        <w:tabs>
          <w:tab w:leader="none" w:pos="10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establishes procedures for the receipt, retention and treatment of complaints regarding accounting, internal accounting controls or auditing matters, including the confidential, anonymous submission by employees of concerns regarding accounting or auditing matters;</w:t>
      </w:r>
    </w:p>
    <w:p>
      <w:pPr>
        <w:spacing w:after="0" w:line="34" w:lineRule="exact"/>
        <w:rPr>
          <w:rFonts w:ascii="Times New Roman" w:cs="Times New Roman" w:eastAsia="Times New Roman" w:hAnsi="Times New Roman"/>
          <w:sz w:val="17"/>
          <w:szCs w:val="17"/>
          <w:color w:val="auto"/>
        </w:rPr>
      </w:pPr>
    </w:p>
    <w:p>
      <w:pPr>
        <w:ind w:left="1020" w:hanging="431"/>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our investment policy; and</w:t>
      </w:r>
    </w:p>
    <w:p>
      <w:pPr>
        <w:spacing w:after="0" w:line="111" w:lineRule="exact"/>
        <w:rPr>
          <w:rFonts w:ascii="Times New Roman" w:cs="Times New Roman" w:eastAsia="Times New Roman" w:hAnsi="Times New Roman"/>
          <w:sz w:val="18"/>
          <w:szCs w:val="18"/>
          <w:color w:val="auto"/>
        </w:rPr>
      </w:pPr>
    </w:p>
    <w:p>
      <w:pPr>
        <w:ind w:left="1020" w:hanging="431"/>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prepares the audit committee report that SEC rules require to be included in our annual proxy statement.</w:t>
      </w:r>
    </w:p>
    <w:p>
      <w:pPr>
        <w:spacing w:after="0" w:line="164" w:lineRule="exact"/>
        <w:rPr>
          <w:sz w:val="20"/>
          <w:szCs w:val="20"/>
          <w:color w:val="auto"/>
        </w:rPr>
      </w:pPr>
    </w:p>
    <w:p>
      <w:pPr>
        <w:ind w:right="180" w:firstLine="589"/>
        <w:spacing w:after="0" w:line="255" w:lineRule="auto"/>
        <w:rPr>
          <w:sz w:val="20"/>
          <w:szCs w:val="20"/>
          <w:color w:val="auto"/>
        </w:rPr>
      </w:pPr>
      <w:r>
        <w:rPr>
          <w:rFonts w:ascii="Times New Roman" w:cs="Times New Roman" w:eastAsia="Times New Roman" w:hAnsi="Times New Roman"/>
          <w:sz w:val="18"/>
          <w:szCs w:val="18"/>
          <w:color w:val="auto"/>
        </w:rPr>
        <w:t>Each of the members of our audit committee meets the requirements for financial literacy under the applicable rules and regulations of the SEC and the Nasdaq Global Market. Our board of directors has determined that Mr. Wehrwein is an audit committee financial expert, as defined under the applicable rules of the SEC. Each member of our audit committee satisfies the Nasdaq Global Market independence standards and the independence standards of Rule 10A-3(b)(1) of the Securities Exchange Act.</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00"/>
          </w:cols>
          <w:pgMar w:left="320" w:top="505"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00AAE5"/>
        </w:rPr>
        <w:t>Compensation Committee</w:t>
      </w:r>
    </w:p>
    <w:p>
      <w:pPr>
        <w:spacing w:after="0" w:line="168" w:lineRule="exact"/>
        <w:rPr>
          <w:sz w:val="20"/>
          <w:szCs w:val="20"/>
          <w:color w:val="auto"/>
        </w:rPr>
      </w:pPr>
    </w:p>
    <w:p>
      <w:pPr>
        <w:ind w:right="220" w:firstLine="589"/>
        <w:spacing w:after="0" w:line="252" w:lineRule="auto"/>
        <w:rPr>
          <w:sz w:val="20"/>
          <w:szCs w:val="20"/>
          <w:color w:val="auto"/>
        </w:rPr>
      </w:pPr>
      <w:r>
        <w:rPr>
          <w:rFonts w:ascii="Times New Roman" w:cs="Times New Roman" w:eastAsia="Times New Roman" w:hAnsi="Times New Roman"/>
          <w:sz w:val="18"/>
          <w:szCs w:val="18"/>
          <w:color w:val="auto"/>
        </w:rPr>
        <w:t>Our compensation committee reviews and approves, on an annual basis, the goals and objectives relevant to our Chief Executive Officer’s compensation. Our compensation committee refers to the annual performance reviews of our Chief Executive Officer and other executive officers to assess and approve their annual compensation, including salary, bonus, incentive and equity-based compensation. Our compensation committee administers the issuance of stock options and other awards under our 2010 Equity Incentive Plan. Our compensation committee also periodically reviews the compensation paid to our non-employee directors and recommends any adjustments in director compensation to our board of directors.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Governance and Nominating Committee</w:t>
      </w:r>
    </w:p>
    <w:p>
      <w:pPr>
        <w:spacing w:after="0" w:line="168" w:lineRule="exact"/>
        <w:rPr>
          <w:sz w:val="20"/>
          <w:szCs w:val="20"/>
          <w:color w:val="auto"/>
        </w:rPr>
      </w:pPr>
    </w:p>
    <w:p>
      <w:pPr>
        <w:ind w:right="140" w:firstLine="589"/>
        <w:spacing w:after="0" w:line="274" w:lineRule="auto"/>
        <w:rPr>
          <w:sz w:val="20"/>
          <w:szCs w:val="20"/>
          <w:color w:val="auto"/>
        </w:rPr>
      </w:pPr>
      <w:r>
        <w:rPr>
          <w:rFonts w:ascii="Times New Roman" w:cs="Times New Roman" w:eastAsia="Times New Roman" w:hAnsi="Times New Roman"/>
          <w:sz w:val="18"/>
          <w:szCs w:val="18"/>
          <w:color w:val="auto"/>
        </w:rPr>
        <w:t>Our governance and nominating committee identifies individuals qualified to become members of the board of directors, recommends individuals to the board for nomination as members of the board and board committees and oversees the evaluation of our board of directors.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Finance and Strategy Committee</w:t>
      </w:r>
    </w:p>
    <w:p>
      <w:pPr>
        <w:spacing w:after="0" w:line="168" w:lineRule="exact"/>
        <w:rPr>
          <w:sz w:val="20"/>
          <w:szCs w:val="20"/>
          <w:color w:val="auto"/>
        </w:rPr>
      </w:pPr>
    </w:p>
    <w:p>
      <w:pPr>
        <w:ind w:firstLine="589"/>
        <w:spacing w:after="0" w:line="259" w:lineRule="auto"/>
        <w:rPr>
          <w:sz w:val="20"/>
          <w:szCs w:val="20"/>
          <w:color w:val="auto"/>
        </w:rPr>
      </w:pPr>
      <w:r>
        <w:rPr>
          <w:rFonts w:ascii="Times New Roman" w:cs="Times New Roman" w:eastAsia="Times New Roman" w:hAnsi="Times New Roman"/>
          <w:sz w:val="18"/>
          <w:szCs w:val="18"/>
          <w:color w:val="auto"/>
        </w:rPr>
        <w:t>Our finance committee was formed in August 2018 to assist the board of directors in matters involving certain finance and strategic matters, including reviewing and monitoring the management of capital, reviewing dividend and share repurchase policies and practices, and reviewing proposed merger, recapitalization, financing and other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348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Meeting Attendance</w:t>
      </w:r>
    </w:p>
    <w:p>
      <w:pPr>
        <w:spacing w:after="0" w:line="164" w:lineRule="exact"/>
        <w:rPr>
          <w:sz w:val="20"/>
          <w:szCs w:val="20"/>
          <w:color w:val="auto"/>
        </w:rPr>
      </w:pPr>
    </w:p>
    <w:p>
      <w:pPr>
        <w:ind w:right="180" w:firstLine="589"/>
        <w:spacing w:after="0" w:line="252" w:lineRule="auto"/>
        <w:rPr>
          <w:sz w:val="20"/>
          <w:szCs w:val="20"/>
          <w:color w:val="auto"/>
        </w:rPr>
      </w:pPr>
      <w:r>
        <w:rPr>
          <w:rFonts w:ascii="Times New Roman" w:cs="Times New Roman" w:eastAsia="Times New Roman" w:hAnsi="Times New Roman"/>
          <w:sz w:val="18"/>
          <w:szCs w:val="18"/>
          <w:color w:val="auto"/>
        </w:rPr>
        <w:t>Our Corporate Governance Guidelines provide that our directors are expected to attend meetings of the board of directors and of the committees on which they serve, as well as our annual meeting of stockholders. Our board of directors held ten meetings during 2019. Our audit committee met nine times, our compensation committee met nine times, our governance and nominating committee met seven times, and our finance and strategy committee met six times. Each of our directors attended at least 75% of the meetings of the board of directors and the committees on which he or she served during 2019, and each of our directors whose service would be continuing after the meeting, attended our 2019 annual meeting.</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Procedures for Contacting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348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44" w:lineRule="exact"/>
        <w:rPr>
          <w:sz w:val="20"/>
          <w:szCs w:val="20"/>
          <w:color w:val="auto"/>
        </w:rPr>
      </w:pPr>
    </w:p>
    <w:p>
      <w:pPr>
        <w:ind w:right="40" w:firstLine="589"/>
        <w:spacing w:after="0" w:line="250" w:lineRule="auto"/>
        <w:rPr>
          <w:sz w:val="20"/>
          <w:szCs w:val="20"/>
          <w:color w:val="auto"/>
        </w:rPr>
      </w:pPr>
      <w:r>
        <w:rPr>
          <w:rFonts w:ascii="Times New Roman" w:cs="Times New Roman" w:eastAsia="Times New Roman" w:hAnsi="Times New Roman"/>
          <w:sz w:val="18"/>
          <w:szCs w:val="18"/>
          <w:color w:val="auto"/>
        </w:rPr>
        <w:t>Stockholders who wish to communicate with the board of directors may do so by writing to the board or a particular director in care of the Secretary of the company. Communications should be addressed to SPS Commerce, Inc., Attention: Secretary, 333 South Seventh Street, Suite 1000, Minneapolis, Minnesota 55402. All communications will initially be received and processed by the Secretary of the company, who will then refer the communication to the appropriate board member (either the director named in the communication, the chairperson of the board committee having authority over the matter raised in the communication, or the chairperson of the board in all other cases). The director to whom a communication is referred will determine, in consultation with our counsel, whether a copy or summary of the communication will be provided to the other directors. The board of directors will respond to communications if and as appropriate.</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Procedures for Selecting and Nominating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348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Stockholders may directly nominate a person for election to our board of directors by complying with the procedures set forth in Article II,</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2.4(a)(2) of our bylaws, and with the rules and regulations of the SEC. Under our bylaws, only persons nominated in accordance with the procedures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in the bylaws will be eligible to serve as directors. In order to nominate a candidate for service as a director, you must be a stockholder at the time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give the board notice of your nomination, and you must be entitled to vote for the election of directors at the meeting at which your nominee will be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considered. In accordance with our bylaws, director nominations generally must be made pursuant to notice delivered to, or mailed and received at, our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executive offices at the address above, not later than the 90th day (February 17, 2021), nor earlier than the 120th day (January 18, 2021), prior to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anniversary of the prior year’s annual meeting of stockholders. Your notice must set forth all</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20"/>
          </w:cols>
          <w:pgMar w:left="320" w:top="568" w:right="359" w:bottom="1440" w:gutter="0" w:footer="0" w:header="0"/>
        </w:sectPr>
      </w:pPr>
    </w:p>
    <w:bookmarkStart w:id="20" w:name="page21"/>
    <w:bookmarkEnd w:id="20"/>
    <w:p>
      <w:pPr>
        <w:jc w:val="both"/>
        <w:ind w:right="60"/>
        <w:spacing w:after="0" w:line="259" w:lineRule="auto"/>
        <w:rPr>
          <w:sz w:val="20"/>
          <w:szCs w:val="20"/>
          <w:color w:val="auto"/>
        </w:rPr>
      </w:pPr>
      <w:r>
        <w:rPr>
          <w:rFonts w:ascii="Times New Roman" w:cs="Times New Roman" w:eastAsia="Times New Roman" w:hAnsi="Times New Roman"/>
          <w:sz w:val="18"/>
          <w:szCs w:val="18"/>
          <w:color w:val="auto"/>
        </w:rPr>
        <w:t>information relating to the nominee that is required to be disclosed in solicitations of proxies for the election of directors in an election contest, or is otherwise required, in each case pursuant to Regulation 14A under the Securities Exchange Act of 1934 (including the nominee’s written consent to being named in the proxy statement as a nominee and to serving as a director if elected).</w:t>
      </w:r>
    </w:p>
    <w:p>
      <w:pPr>
        <w:spacing w:after="0" w:line="125" w:lineRule="exact"/>
        <w:rPr>
          <w:sz w:val="20"/>
          <w:szCs w:val="20"/>
          <w:color w:val="auto"/>
        </w:rPr>
      </w:pPr>
    </w:p>
    <w:p>
      <w:pPr>
        <w:ind w:right="20" w:firstLine="589"/>
        <w:spacing w:after="0" w:line="249" w:lineRule="auto"/>
        <w:rPr>
          <w:sz w:val="20"/>
          <w:szCs w:val="20"/>
          <w:color w:val="auto"/>
        </w:rPr>
      </w:pPr>
      <w:r>
        <w:rPr>
          <w:rFonts w:ascii="Times New Roman" w:cs="Times New Roman" w:eastAsia="Times New Roman" w:hAnsi="Times New Roman"/>
          <w:sz w:val="18"/>
          <w:szCs w:val="18"/>
          <w:color w:val="auto"/>
        </w:rPr>
        <w:t>Your notice also must set forth the following information for you and any beneficial owner on whose behalf you make a nomination: (i) the name and address of the stockholder, as they appear on our books; (ii) the class and number of shares of our capital stock which are owned beneficially and of record, as well as a description of all securities or contracts, with a value derived in whole or in part from the value of any shares of our capital stock, held by you and such beneficial owner or to which either is a party; (iii) a description of all arrangements or understandings between you and any such beneficial owner and any other person or persons (including their names) regarding the nomination; (iv) a representation that you intend to appear in person or by proxy at the meeting to nominate the persons named in your notice; and (v) a description of any other information relating to you and any such beneficial owner that would be required to be disclosed in a proxy statement or other filing required to be made in connection with the solicitation of proxies pursuant to Regulation 14A under the Securities Exchange Act of 1934.</w:t>
      </w:r>
    </w:p>
    <w:p>
      <w:pPr>
        <w:spacing w:after="0" w:line="137" w:lineRule="exact"/>
        <w:rPr>
          <w:sz w:val="20"/>
          <w:szCs w:val="20"/>
          <w:color w:val="auto"/>
        </w:rPr>
      </w:pPr>
    </w:p>
    <w:p>
      <w:pPr>
        <w:ind w:right="60" w:firstLine="589"/>
        <w:spacing w:after="0" w:line="248" w:lineRule="auto"/>
        <w:rPr>
          <w:sz w:val="20"/>
          <w:szCs w:val="20"/>
          <w:color w:val="auto"/>
        </w:rPr>
      </w:pPr>
      <w:r>
        <w:rPr>
          <w:rFonts w:ascii="Times New Roman" w:cs="Times New Roman" w:eastAsia="Times New Roman" w:hAnsi="Times New Roman"/>
          <w:sz w:val="18"/>
          <w:szCs w:val="18"/>
          <w:color w:val="auto"/>
        </w:rPr>
        <w:t>As required by our Corporate Governance Guidelines, when evaluating the appropriate characteristics of candidates for service as a director, the governance and nominating committee takes into account many factors. The board of directors selects and recommends to stockholders qualified individuals who, if added to the board, would provide the mix of director characteristics and diverse experiences, perspectives and skills appropriate for us. Board candidates are considered based on various criteria, including breadth and depth of relevant business and board skills and experiences, judgment and integrity, reputation in their profession, diversity of background, education, leadership ability, concern for the interests of stockholders and relevant regulatory guidelines. These considerations are made in the context of an assessment of the perceived needs of the board of directors at the particular point in time. We do not have a formal policy with respect to diversity, however, the board of directors seeks to have a board that represents diversity as to gender, race, ethnicity and background experiences. We are committed to inclusiveness and as such, when searching for director nominees, the governance and nominating committee endeavors to include highly qualified diverse candidates (including gender, race and ethnicity) in the pool from which nominees are chosen. Directors must be willing and able to devote sufficient time to carrying out their duties and responsibilities effectively, and should be committed to serving on the board for an extended period of time.</w:t>
      </w:r>
    </w:p>
    <w:p>
      <w:pPr>
        <w:spacing w:after="0" w:line="138" w:lineRule="exact"/>
        <w:rPr>
          <w:sz w:val="20"/>
          <w:szCs w:val="20"/>
          <w:color w:val="auto"/>
        </w:rPr>
      </w:pPr>
    </w:p>
    <w:p>
      <w:pPr>
        <w:ind w:firstLine="589"/>
        <w:spacing w:after="0" w:line="255" w:lineRule="auto"/>
        <w:rPr>
          <w:sz w:val="20"/>
          <w:szCs w:val="20"/>
          <w:color w:val="auto"/>
        </w:rPr>
      </w:pPr>
      <w:r>
        <w:rPr>
          <w:rFonts w:ascii="Times New Roman" w:cs="Times New Roman" w:eastAsia="Times New Roman" w:hAnsi="Times New Roman"/>
          <w:sz w:val="18"/>
          <w:szCs w:val="18"/>
          <w:color w:val="auto"/>
        </w:rPr>
        <w:t>The governance and nominating committee will consider director candidates recommended by stockholders in the same manner that it considers all director candidates. Stockholders who wish to suggest qualified candidates should write to SPS Commerce, Inc., 333 South Seventh Street, Suite 1000, Minneapolis, Minnesota 55402, Attention: Chief Financial Officer, stating in detail the characteristics that make the candidate a suitable person to serve on our board of directors in light of our 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71348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Hedging, Pledging and Other Restricted Transactions</w:t>
      </w:r>
    </w:p>
    <w:p>
      <w:pPr>
        <w:spacing w:after="0" w:line="16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employees, including directors and Section 16 officers, are prohibited from engaging in the following transactions with respect to our securities:</w:t>
      </w:r>
    </w:p>
    <w:p>
      <w:pPr>
        <w:spacing w:after="0" w:line="176" w:lineRule="exact"/>
        <w:rPr>
          <w:sz w:val="20"/>
          <w:szCs w:val="20"/>
          <w:color w:val="auto"/>
        </w:rPr>
      </w:pPr>
    </w:p>
    <w:p>
      <w:pPr>
        <w:ind w:left="1020" w:hanging="431"/>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our securities on margin, or otherwise pledging our securities;</w:t>
      </w:r>
    </w:p>
    <w:p>
      <w:pPr>
        <w:spacing w:after="0" w:line="24" w:lineRule="exact"/>
        <w:rPr>
          <w:rFonts w:ascii="Times New Roman" w:cs="Times New Roman" w:eastAsia="Times New Roman" w:hAnsi="Times New Roman"/>
          <w:sz w:val="18"/>
          <w:szCs w:val="18"/>
          <w:color w:val="auto"/>
        </w:rPr>
      </w:pPr>
    </w:p>
    <w:p>
      <w:pPr>
        <w:ind w:left="1020" w:hanging="431"/>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our securities (selling securities not owned at the time of sale);</w:t>
      </w:r>
    </w:p>
    <w:p>
      <w:pPr>
        <w:spacing w:after="0" w:line="5" w:lineRule="exact"/>
        <w:rPr>
          <w:rFonts w:ascii="Times New Roman" w:cs="Times New Roman" w:eastAsia="Times New Roman" w:hAnsi="Times New Roman"/>
          <w:sz w:val="18"/>
          <w:szCs w:val="18"/>
          <w:color w:val="auto"/>
        </w:rPr>
      </w:pPr>
    </w:p>
    <w:p>
      <w:pPr>
        <w:ind w:left="1020" w:hanging="431"/>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Buying or selling put or call options or other derivative securities based on our securities;</w:t>
      </w:r>
    </w:p>
    <w:p>
      <w:pPr>
        <w:spacing w:after="0" w:line="5" w:lineRule="exact"/>
        <w:rPr>
          <w:rFonts w:ascii="Times New Roman" w:cs="Times New Roman" w:eastAsia="Times New Roman" w:hAnsi="Times New Roman"/>
          <w:sz w:val="18"/>
          <w:szCs w:val="18"/>
          <w:color w:val="auto"/>
        </w:rPr>
      </w:pPr>
    </w:p>
    <w:p>
      <w:pPr>
        <w:ind w:left="1020" w:right="60" w:hanging="431"/>
        <w:spacing w:after="0" w:line="245"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any financial instruments (including prepaid variable forward contracts, equity swaps, zero cost collars and exchange funds) that are designed to hedge or offset any decrease in the market value of our securities; and</w:t>
      </w:r>
    </w:p>
    <w:p>
      <w:pPr>
        <w:spacing w:after="0" w:line="1" w:lineRule="exact"/>
        <w:rPr>
          <w:rFonts w:ascii="Times New Roman" w:cs="Times New Roman" w:eastAsia="Times New Roman" w:hAnsi="Times New Roman"/>
          <w:sz w:val="18"/>
          <w:szCs w:val="18"/>
          <w:color w:val="auto"/>
        </w:rPr>
      </w:pPr>
    </w:p>
    <w:p>
      <w:pPr>
        <w:ind w:left="1020" w:right="100" w:hanging="431"/>
        <w:spacing w:after="0" w:line="25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limit orders or other pre-arranged transactions that execute automatically, except for “same-day” limit orders and approved 10b5-1 plans.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348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44" w:lineRule="exact"/>
        <w:rPr>
          <w:sz w:val="20"/>
          <w:szCs w:val="20"/>
          <w:color w:val="auto"/>
        </w:rPr>
      </w:pPr>
    </w:p>
    <w:p>
      <w:pPr>
        <w:ind w:right="360" w:firstLine="589"/>
        <w:spacing w:after="0" w:line="259" w:lineRule="auto"/>
        <w:rPr>
          <w:sz w:val="20"/>
          <w:szCs w:val="20"/>
          <w:color w:val="auto"/>
        </w:rPr>
      </w:pPr>
      <w:r>
        <w:rPr>
          <w:rFonts w:ascii="Times New Roman" w:cs="Times New Roman" w:eastAsia="Times New Roman" w:hAnsi="Times New Roman"/>
          <w:sz w:val="18"/>
          <w:szCs w:val="18"/>
          <w:color w:val="auto"/>
        </w:rPr>
        <w:t>Our director compensation program is designed to compensate our non-employee directors fairly for work required for a company of our size and scope and to align their interests with the long-term interests of our stockholders. Director compensation reflects our desire to attract, retain and use the expertise of highly qualified individuals serving on our board of directors. The compensation committee periodically reviews the compensation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21" w:name="page22"/>
    <w:bookmarkEnd w:id="21"/>
    <w:p>
      <w:pPr>
        <w:ind w:right="40"/>
        <w:spacing w:after="0" w:line="255" w:lineRule="auto"/>
        <w:rPr>
          <w:sz w:val="20"/>
          <w:szCs w:val="20"/>
          <w:color w:val="auto"/>
        </w:rPr>
      </w:pPr>
      <w:r>
        <w:rPr>
          <w:rFonts w:ascii="Times New Roman" w:cs="Times New Roman" w:eastAsia="Times New Roman" w:hAnsi="Times New Roman"/>
          <w:sz w:val="18"/>
          <w:szCs w:val="18"/>
          <w:color w:val="auto"/>
        </w:rPr>
        <w:t>arrangements for our non-employee directors and makes recommendations to our board of directors. In May 2019, the compensation committee, with the advice of its compensation consultant, conducted a review of our director compensation program. This review analyzed the structure and the overall level and mix of compensation delivered by our director compensation program as compared to our peer group. Following this review, the compensation committee recommended, and the Board approved, changes to our director compensation program as described below.</w:t>
      </w:r>
    </w:p>
    <w:p>
      <w:pPr>
        <w:spacing w:after="0" w:line="127" w:lineRule="exact"/>
        <w:rPr>
          <w:sz w:val="20"/>
          <w:szCs w:val="20"/>
          <w:color w:val="auto"/>
        </w:rPr>
      </w:pPr>
    </w:p>
    <w:p>
      <w:pPr>
        <w:ind w:firstLine="589"/>
        <w:spacing w:after="0" w:line="249" w:lineRule="auto"/>
        <w:rPr>
          <w:sz w:val="20"/>
          <w:szCs w:val="20"/>
          <w:color w:val="auto"/>
        </w:rPr>
      </w:pPr>
      <w:r>
        <w:rPr>
          <w:rFonts w:ascii="Times New Roman" w:cs="Times New Roman" w:eastAsia="Times New Roman" w:hAnsi="Times New Roman"/>
          <w:sz w:val="18"/>
          <w:szCs w:val="18"/>
          <w:color w:val="auto"/>
        </w:rPr>
        <w:t xml:space="preserve">For 2019, our director compensation program provided that each non-employee director receive a stock option to purchase up to $85,000 of shares of our common stock on the date of the annual meeting of stockholders at which the director was elected to the board, calculated as the grant date fair value of the option computed in accordance with Financial Accounting Standards Board Accounting Standards Codification Topic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(“ASC Topic 718”). These awards vest in four equal installments on the last day of each fiscal quarter with the first vesting date occurring on June 30, 2019, provided the recipient remains a member of the board as of the vesting date, and have an exercise price equal to the fair market value of our common stock on the date of grant in accordance with our 2010 Equity Incentive Plan. The $85,000 option grant in 2019 reflects an increase over the $68,000 option granted awarded to non-employee directors during 2018. Prior to December 2019, each non-employee director also received an initial stock option grant to purchase up to $111,000 of shares of our common stock in connection with initial appointment to the board.</w:t>
      </w:r>
    </w:p>
    <w:p>
      <w:pPr>
        <w:spacing w:after="0" w:line="137" w:lineRule="exact"/>
        <w:rPr>
          <w:sz w:val="20"/>
          <w:szCs w:val="20"/>
          <w:color w:val="auto"/>
        </w:rPr>
      </w:pPr>
    </w:p>
    <w:p>
      <w:pPr>
        <w:ind w:right="40" w:firstLine="589"/>
        <w:spacing w:after="0" w:line="249" w:lineRule="auto"/>
        <w:rPr>
          <w:sz w:val="20"/>
          <w:szCs w:val="20"/>
          <w:color w:val="auto"/>
        </w:rPr>
      </w:pPr>
      <w:r>
        <w:rPr>
          <w:rFonts w:ascii="Times New Roman" w:cs="Times New Roman" w:eastAsia="Times New Roman" w:hAnsi="Times New Roman"/>
          <w:sz w:val="18"/>
          <w:szCs w:val="18"/>
          <w:color w:val="auto"/>
        </w:rPr>
        <w:t>Our director compensation program for 2019 also provided that each non-employee director receive an award of up to $85,000 in restricted stock or deferred stock units (or some combination of two), at the director’s election, on the date of the annual meeting of stockholders at which the director was elected to the board, calculated as the grant date fair value of the award computed in accordance with FASB ASC Topic 718. These awards vest in four equal installments on the last day of each fiscal quarter with the first vesting date occurring on June 30, 2019, provided the recipient remains a member of the board as of the vesting date. The deferred stock units must be retained until completion of the director’s service on the board, and upon completion of such service, convert into an equal number of shares of our common stock. A director may defer receipt of the shares for up to ten years after completion of service. The $85,000 award of restricted stock and/or deferred stock units in 2019 reflects an increase over the $68,000 restricted stock award granted to non-employee directors during 2018.</w:t>
      </w:r>
    </w:p>
    <w:p>
      <w:pPr>
        <w:spacing w:after="0" w:line="137" w:lineRule="exact"/>
        <w:rPr>
          <w:sz w:val="20"/>
          <w:szCs w:val="20"/>
          <w:color w:val="auto"/>
        </w:rPr>
      </w:pPr>
    </w:p>
    <w:p>
      <w:pPr>
        <w:ind w:right="140" w:firstLine="589"/>
        <w:spacing w:after="0" w:line="259" w:lineRule="auto"/>
        <w:rPr>
          <w:sz w:val="20"/>
          <w:szCs w:val="20"/>
          <w:color w:val="auto"/>
        </w:rPr>
      </w:pPr>
      <w:r>
        <w:rPr>
          <w:rFonts w:ascii="Times New Roman" w:cs="Times New Roman" w:eastAsia="Times New Roman" w:hAnsi="Times New Roman"/>
          <w:sz w:val="18"/>
          <w:szCs w:val="18"/>
          <w:color w:val="auto"/>
        </w:rPr>
        <w:t>Non-employee directors receive cash fees in addition to the equity awards described above. In 2019, each non-employee director received an annual cash retainer of $31,000 (no change from 2018) and the chair of our board of directors received an annual cash retainer of $53,500 ($5,500 increase from 2018). In addition, the annual cash fee paid to the chair of each committee was as follows:</w:t>
      </w:r>
    </w:p>
    <w:p>
      <w:pPr>
        <w:spacing w:after="0" w:line="156"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Annual Cash Fee</w:t>
            </w:r>
          </w:p>
        </w:tc>
        <w:tc>
          <w:tcPr>
            <w:tcW w:w="1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Annual Cash Fee Prior to</w:t>
            </w:r>
          </w:p>
        </w:tc>
        <w:tc>
          <w:tcPr>
            <w:tcW w:w="0" w:type="dxa"/>
            <w:vAlign w:val="bottom"/>
          </w:tcPr>
          <w:p>
            <w:pPr>
              <w:spacing w:after="0"/>
              <w:rPr>
                <w:sz w:val="1"/>
                <w:szCs w:val="1"/>
                <w:color w:val="auto"/>
              </w:rPr>
            </w:pPr>
          </w:p>
        </w:tc>
      </w:tr>
      <w:tr>
        <w:trPr>
          <w:trHeight w:val="146"/>
        </w:trPr>
        <w:tc>
          <w:tcPr>
            <w:tcW w:w="3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Committee Chair</w:t>
            </w:r>
          </w:p>
        </w:tc>
        <w:tc>
          <w:tcPr>
            <w:tcW w:w="540" w:type="dxa"/>
            <w:vAlign w:val="bottom"/>
          </w:tcPr>
          <w:p>
            <w:pPr>
              <w:spacing w:after="0"/>
              <w:rPr>
                <w:sz w:val="12"/>
                <w:szCs w:val="12"/>
                <w:color w:val="auto"/>
              </w:rPr>
            </w:pPr>
          </w:p>
        </w:tc>
        <w:tc>
          <w:tcPr>
            <w:tcW w:w="17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w w:val="98"/>
              </w:rPr>
              <w:t>Effective</w:t>
            </w: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0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May 14, 2019</w:t>
            </w:r>
          </w:p>
        </w:tc>
        <w:tc>
          <w:tcPr>
            <w:tcW w:w="260" w:type="dxa"/>
            <w:vAlign w:val="bottom"/>
          </w:tcPr>
          <w:p>
            <w:pPr>
              <w:spacing w:after="0"/>
              <w:rPr>
                <w:sz w:val="14"/>
                <w:szCs w:val="14"/>
                <w:color w:val="auto"/>
              </w:rPr>
            </w:pPr>
          </w:p>
        </w:tc>
        <w:tc>
          <w:tcPr>
            <w:tcW w:w="13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May 14, 2019</w:t>
            </w:r>
          </w:p>
        </w:tc>
        <w:tc>
          <w:tcPr>
            <w:tcW w:w="0" w:type="dxa"/>
            <w:vAlign w:val="bottom"/>
          </w:tcPr>
          <w:p>
            <w:pPr>
              <w:spacing w:after="0"/>
              <w:rPr>
                <w:sz w:val="1"/>
                <w:szCs w:val="1"/>
                <w:color w:val="auto"/>
              </w:rPr>
            </w:pPr>
          </w:p>
        </w:tc>
      </w:tr>
      <w:tr>
        <w:trPr>
          <w:trHeight w:val="218"/>
        </w:trPr>
        <w:tc>
          <w:tcPr>
            <w:tcW w:w="3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w:t>
            </w:r>
          </w:p>
        </w:tc>
        <w:tc>
          <w:tcPr>
            <w:tcW w:w="5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0" w:type="dxa"/>
            <w:vAlign w:val="bottom"/>
          </w:tcPr>
          <w:p>
            <w:pPr>
              <w:spacing w:after="0"/>
              <w:rPr>
                <w:sz w:val="1"/>
                <w:szCs w:val="1"/>
                <w:color w:val="auto"/>
              </w:rPr>
            </w:pPr>
          </w:p>
        </w:tc>
      </w:tr>
      <w:tr>
        <w:trPr>
          <w:trHeight w:val="225"/>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12,000</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25"/>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Governance and Nominating</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7,500</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31"/>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Finance and Strategy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bl>
    <w:p>
      <w:pPr>
        <w:spacing w:after="0" w:line="3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annual cash fee for each committee member, other than the chair, was as follows:</w:t>
      </w:r>
    </w:p>
    <w:p>
      <w:pPr>
        <w:spacing w:after="0" w:line="209"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Annual Cash Fee</w:t>
            </w:r>
          </w:p>
        </w:tc>
        <w:tc>
          <w:tcPr>
            <w:tcW w:w="200" w:type="dxa"/>
            <w:vAlign w:val="bottom"/>
          </w:tcPr>
          <w:p>
            <w:pPr>
              <w:spacing w:after="0"/>
              <w:rPr>
                <w:sz w:val="13"/>
                <w:szCs w:val="13"/>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Annual Cash Fee</w:t>
            </w:r>
          </w:p>
        </w:tc>
        <w:tc>
          <w:tcPr>
            <w:tcW w:w="0" w:type="dxa"/>
            <w:vAlign w:val="bottom"/>
          </w:tcPr>
          <w:p>
            <w:pPr>
              <w:spacing w:after="0"/>
              <w:rPr>
                <w:sz w:val="1"/>
                <w:szCs w:val="1"/>
                <w:color w:val="auto"/>
              </w:rPr>
            </w:pPr>
          </w:p>
        </w:tc>
      </w:tr>
      <w:tr>
        <w:trPr>
          <w:trHeight w:val="146"/>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Non-Chair Committee Members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200" w:type="dxa"/>
            <w:vAlign w:val="bottom"/>
          </w:tcPr>
          <w:p>
            <w:pPr>
              <w:spacing w:after="0"/>
              <w:rPr>
                <w:sz w:val="12"/>
                <w:szCs w:val="12"/>
                <w:color w:val="auto"/>
              </w:rPr>
            </w:pPr>
          </w:p>
        </w:tc>
        <w:tc>
          <w:tcPr>
            <w:tcW w:w="1640" w:type="dxa"/>
            <w:vAlign w:val="bottom"/>
            <w:gridSpan w:val="2"/>
          </w:tcPr>
          <w:p>
            <w:pPr>
              <w:jc w:val="center"/>
              <w:ind w:right="420"/>
              <w:spacing w:after="0" w:line="146" w:lineRule="exact"/>
              <w:rPr>
                <w:sz w:val="20"/>
                <w:szCs w:val="20"/>
                <w:color w:val="auto"/>
              </w:rPr>
            </w:pPr>
            <w:r>
              <w:rPr>
                <w:rFonts w:ascii="Times New Roman" w:cs="Times New Roman" w:eastAsia="Times New Roman" w:hAnsi="Times New Roman"/>
                <w:sz w:val="14"/>
                <w:szCs w:val="14"/>
                <w:b w:val="1"/>
                <w:bCs w:val="1"/>
                <w:color w:val="auto"/>
                <w:w w:val="97"/>
              </w:rPr>
              <w:t>Prior to</w:t>
            </w:r>
          </w:p>
        </w:tc>
        <w:tc>
          <w:tcPr>
            <w:tcW w:w="0" w:type="dxa"/>
            <w:vAlign w:val="bottom"/>
          </w:tcPr>
          <w:p>
            <w:pPr>
              <w:spacing w:after="0"/>
              <w:rPr>
                <w:sz w:val="1"/>
                <w:szCs w:val="1"/>
                <w:color w:val="auto"/>
              </w:rPr>
            </w:pPr>
          </w:p>
        </w:tc>
      </w:tr>
      <w:tr>
        <w:trPr>
          <w:trHeight w:val="170"/>
        </w:trPr>
        <w:tc>
          <w:tcPr>
            <w:tcW w:w="32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May 14, 2019</w:t>
            </w:r>
          </w:p>
        </w:tc>
        <w:tc>
          <w:tcPr>
            <w:tcW w:w="20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May 14, 2019</w:t>
            </w:r>
          </w:p>
        </w:tc>
        <w:tc>
          <w:tcPr>
            <w:tcW w:w="0" w:type="dxa"/>
            <w:vAlign w:val="bottom"/>
          </w:tcPr>
          <w:p>
            <w:pPr>
              <w:spacing w:after="0"/>
              <w:rPr>
                <w:sz w:val="1"/>
                <w:szCs w:val="1"/>
                <w:color w:val="auto"/>
              </w:rPr>
            </w:pPr>
          </w:p>
        </w:tc>
      </w:tr>
      <w:tr>
        <w:trPr>
          <w:trHeight w:val="218"/>
        </w:trPr>
        <w:tc>
          <w:tcPr>
            <w:tcW w:w="3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w:t>
            </w:r>
          </w:p>
        </w:tc>
        <w:tc>
          <w:tcPr>
            <w:tcW w:w="4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8"/>
              </w:rPr>
              <w:t>8,000</w:t>
            </w: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Governance and Nominating</w:t>
            </w: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4,000</w:t>
            </w:r>
          </w:p>
        </w:tc>
        <w:tc>
          <w:tcPr>
            <w:tcW w:w="2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Finance and Strategy</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also reimbursed our non-employee directors for out-of-pocket expenses incurred in connection with attending our board and committee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00"/>
          </w:cols>
          <w:pgMar w:left="320" w:top="505"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Beginning in 2020, the chair of our board of directors annual retainer amount will increase to $61,000.</w:t>
      </w:r>
    </w:p>
    <w:p>
      <w:pPr>
        <w:spacing w:after="0" w:line="164" w:lineRule="exact"/>
        <w:rPr>
          <w:sz w:val="20"/>
          <w:szCs w:val="20"/>
          <w:color w:val="auto"/>
        </w:rPr>
      </w:pPr>
    </w:p>
    <w:p>
      <w:pPr>
        <w:ind w:firstLine="589"/>
        <w:spacing w:after="0" w:line="251" w:lineRule="auto"/>
        <w:rPr>
          <w:sz w:val="20"/>
          <w:szCs w:val="20"/>
          <w:color w:val="auto"/>
        </w:rPr>
      </w:pPr>
      <w:r>
        <w:rPr>
          <w:rFonts w:ascii="Times New Roman" w:cs="Times New Roman" w:eastAsia="Times New Roman" w:hAnsi="Times New Roman"/>
          <w:sz w:val="18"/>
          <w:szCs w:val="18"/>
          <w:color w:val="auto"/>
        </w:rPr>
        <w:t>Under our stock ownership guidelines adopted in February 2019, we require our non-employee directors to achieve ownership of shares of our common stock (excluding unvested equity awards but including vested in-the-money options and vested restricted stock units) having a fair market value equal to five times the directors’ annual base cash retainer. Non-employee directors must comply with the stock ownership guidelines within five years of their appointment to the board of directors. Until a non-employee director has achieved compliance with the ownership guidelines, the director must retain 50% of the net shares acquired upon exercise, vesting or settlement of any equity award. As of March 25, 2020, all of our non-employee directors had met the stock ownership requirement or had served as a director for less than five years since the ownership guidelines took effect.</w:t>
      </w:r>
    </w:p>
    <w:p>
      <w:pPr>
        <w:spacing w:after="0" w:line="132" w:lineRule="exact"/>
        <w:rPr>
          <w:sz w:val="20"/>
          <w:szCs w:val="20"/>
          <w:color w:val="auto"/>
        </w:rPr>
      </w:pPr>
    </w:p>
    <w:p>
      <w:pPr>
        <w:ind w:right="120" w:firstLine="589"/>
        <w:spacing w:after="0" w:line="259" w:lineRule="auto"/>
        <w:rPr>
          <w:sz w:val="20"/>
          <w:szCs w:val="20"/>
          <w:color w:val="auto"/>
        </w:rPr>
      </w:pPr>
      <w:r>
        <w:rPr>
          <w:rFonts w:ascii="Times New Roman" w:cs="Times New Roman" w:eastAsia="Times New Roman" w:hAnsi="Times New Roman"/>
          <w:sz w:val="18"/>
          <w:szCs w:val="18"/>
          <w:color w:val="auto"/>
        </w:rPr>
        <w:t>The table below sets forth the compensation provided to our non-employee directors during 2019. Mr. Black’s compensation is set forth under “2019 Summary Compensation Table” because he served as our President and Chief Executive Officer during that year. Mr. Black did not receive any separate compensation for his service as a director.</w:t>
      </w:r>
    </w:p>
    <w:p>
      <w:pPr>
        <w:spacing w:after="0" w:line="114" w:lineRule="exact"/>
        <w:rPr>
          <w:sz w:val="20"/>
          <w:szCs w:val="20"/>
          <w:color w:val="auto"/>
        </w:rPr>
      </w:pPr>
    </w:p>
    <w:p>
      <w:pPr>
        <w:ind w:left="4320"/>
        <w:spacing w:after="0"/>
        <w:rPr>
          <w:sz w:val="20"/>
          <w:szCs w:val="20"/>
          <w:color w:val="auto"/>
        </w:rPr>
      </w:pPr>
      <w:r>
        <w:rPr>
          <w:rFonts w:ascii="Arial" w:cs="Arial" w:eastAsia="Arial" w:hAnsi="Arial"/>
          <w:sz w:val="19"/>
          <w:szCs w:val="19"/>
          <w:b w:val="1"/>
          <w:bCs w:val="1"/>
          <w:color w:val="00AAE5"/>
        </w:rPr>
        <w:t>2019 Director Compensation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6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8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3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2"/>
                <w:szCs w:val="12"/>
                <w:color w:val="auto"/>
              </w:rPr>
              <w:t>(1)</w:t>
            </w:r>
          </w:p>
        </w:tc>
        <w:tc>
          <w:tcPr>
            <w:tcW w:w="16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64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780" w:type="dxa"/>
            <w:vAlign w:val="bottom"/>
            <w:gridSpan w:val="2"/>
            <w:vMerge w:val="continue"/>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4"/>
                <w:szCs w:val="14"/>
                <w:color w:val="auto"/>
              </w:rPr>
            </w:pPr>
          </w:p>
        </w:tc>
        <w:tc>
          <w:tcPr>
            <w:tcW w:w="13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color w:val="auto"/>
              </w:rPr>
              <w:t>(2)</w:t>
            </w:r>
          </w:p>
        </w:tc>
        <w:tc>
          <w:tcPr>
            <w:tcW w:w="260" w:type="dxa"/>
            <w:vAlign w:val="bottom"/>
          </w:tcPr>
          <w:p>
            <w:pPr>
              <w:spacing w:after="0"/>
              <w:rPr>
                <w:sz w:val="14"/>
                <w:szCs w:val="14"/>
                <w:color w:val="auto"/>
              </w:rPr>
            </w:pPr>
          </w:p>
        </w:tc>
        <w:tc>
          <w:tcPr>
            <w:tcW w:w="15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color w:val="auto"/>
              </w:rPr>
              <w:t>(2)</w:t>
            </w:r>
          </w:p>
        </w:tc>
        <w:tc>
          <w:tcPr>
            <w:tcW w:w="280" w:type="dxa"/>
            <w:vAlign w:val="bottom"/>
          </w:tcPr>
          <w:p>
            <w:pPr>
              <w:spacing w:after="0"/>
              <w:rPr>
                <w:sz w:val="14"/>
                <w:szCs w:val="14"/>
                <w:color w:val="auto"/>
              </w:rPr>
            </w:pPr>
          </w:p>
        </w:tc>
        <w:tc>
          <w:tcPr>
            <w:tcW w:w="12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6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Melvin L. Keating</w:t>
            </w:r>
            <w:r>
              <w:rPr>
                <w:rFonts w:ascii="Times New Roman" w:cs="Times New Roman" w:eastAsia="Times New Roman" w:hAnsi="Times New Roman"/>
                <w:sz w:val="15"/>
                <w:szCs w:val="15"/>
                <w:color w:val="auto"/>
              </w:rPr>
              <w:t>(3)</w:t>
            </w:r>
          </w:p>
        </w:tc>
        <w:tc>
          <w:tcPr>
            <w:tcW w:w="18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13,300</w:t>
            </w:r>
          </w:p>
        </w:tc>
        <w:tc>
          <w:tcPr>
            <w:tcW w:w="3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J. Leestma</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48,630</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84,952</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84,975</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J. McConnell</w:t>
            </w:r>
            <w:r>
              <w:rPr>
                <w:rFonts w:ascii="Times New Roman" w:cs="Times New Roman" w:eastAsia="Times New Roman" w:hAnsi="Times New Roman"/>
                <w:sz w:val="15"/>
                <w:szCs w:val="15"/>
                <w:color w:val="auto"/>
              </w:rPr>
              <w:t>(3)</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13,300</w:t>
            </w:r>
          </w:p>
        </w:tc>
        <w:tc>
          <w:tcPr>
            <w:tcW w:w="3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B. Ramsey</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43,315</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84,952</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84,975</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Marty M. Reaume</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39,630</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84,952</w:t>
            </w: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84,975</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209,557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Tami L. Reller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56,921</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84,952</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84,975</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Philip E. Soran</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54,891</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84,952</w:t>
            </w: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84,975</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224,818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Sven A. Wehrwein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54,076</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84,952</w:t>
            </w: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84,975</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1093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93470" cy="8255"/>
                    </a:xfrm>
                    <a:prstGeom prst="rect">
                      <a:avLst/>
                    </a:prstGeom>
                    <a:noFill/>
                  </pic:spPr>
                </pic:pic>
              </a:graphicData>
            </a:graphic>
          </wp:anchor>
        </w:drawing>
      </w:r>
    </w:p>
    <w:p>
      <w:pPr>
        <w:spacing w:after="0" w:line="221" w:lineRule="exact"/>
        <w:rPr>
          <w:sz w:val="20"/>
          <w:szCs w:val="20"/>
          <w:color w:val="auto"/>
        </w:rPr>
      </w:pPr>
    </w:p>
    <w:p>
      <w:pPr>
        <w:ind w:left="440" w:right="540" w:hanging="434"/>
        <w:spacing w:after="0" w:line="274" w:lineRule="auto"/>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2019, the directors held shares of unvested restricted stock, options to purchase shares of our common stock, and exercisable options as follows (shares have been adjusted to reflect a two-for-one stock split effective August 22, 2019):</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tcBorders>
              <w:bottom w:val="single" w:sz="8" w:color="auto"/>
            </w:tcBorders>
            <w:gridSpan w:val="3"/>
          </w:tcPr>
          <w:p>
            <w:pPr>
              <w:ind w:left="18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restart"/>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80" w:type="dxa"/>
            <w:vAlign w:val="bottom"/>
          </w:tcPr>
          <w:p>
            <w:pPr>
              <w:jc w:val="center"/>
              <w:ind w:right="199"/>
              <w:spacing w:after="0" w:line="128"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that</w:t>
            </w:r>
          </w:p>
        </w:tc>
        <w:tc>
          <w:tcPr>
            <w:tcW w:w="0" w:type="dxa"/>
            <w:vAlign w:val="bottom"/>
          </w:tcPr>
          <w:p>
            <w:pPr>
              <w:spacing w:after="0"/>
              <w:rPr>
                <w:sz w:val="1"/>
                <w:szCs w:val="1"/>
                <w:color w:val="auto"/>
              </w:rPr>
            </w:pPr>
          </w:p>
        </w:tc>
      </w:tr>
      <w:tr>
        <w:trPr>
          <w:trHeight w:val="146"/>
        </w:trPr>
        <w:tc>
          <w:tcPr>
            <w:tcW w:w="3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80" w:type="dxa"/>
            <w:vAlign w:val="bottom"/>
          </w:tcPr>
          <w:p>
            <w:pPr>
              <w:jc w:val="center"/>
              <w:ind w:left="289"/>
              <w:spacing w:after="0" w:line="146"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Total Outstanding (#)</w:t>
            </w:r>
          </w:p>
        </w:tc>
        <w:tc>
          <w:tcPr>
            <w:tcW w:w="176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w w:val="98"/>
              </w:rPr>
              <w:t>Were Exercisable</w:t>
            </w:r>
          </w:p>
        </w:tc>
        <w:tc>
          <w:tcPr>
            <w:tcW w:w="0" w:type="dxa"/>
            <w:vAlign w:val="bottom"/>
          </w:tcPr>
          <w:p>
            <w:pPr>
              <w:spacing w:after="0"/>
              <w:rPr>
                <w:sz w:val="1"/>
                <w:szCs w:val="1"/>
                <w:color w:val="auto"/>
              </w:rPr>
            </w:pPr>
          </w:p>
        </w:tc>
      </w:tr>
      <w:tr>
        <w:trPr>
          <w:trHeight w:val="170"/>
        </w:trPr>
        <w:tc>
          <w:tcPr>
            <w:tcW w:w="3000" w:type="dxa"/>
            <w:vAlign w:val="bottom"/>
            <w:gridSpan w:val="2"/>
            <w:vMerge w:val="continue"/>
          </w:tcPr>
          <w:p>
            <w:pPr>
              <w:spacing w:after="0"/>
              <w:rPr>
                <w:sz w:val="14"/>
                <w:szCs w:val="14"/>
                <w:color w:val="auto"/>
              </w:rPr>
            </w:pPr>
          </w:p>
        </w:tc>
        <w:tc>
          <w:tcPr>
            <w:tcW w:w="118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Stock (#)</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Martin J. Leestma</w:t>
            </w:r>
          </w:p>
        </w:tc>
        <w:tc>
          <w:tcPr>
            <w:tcW w:w="18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tcBorders>
              <w:top w:val="single" w:sz="8" w:color="CFF0FC"/>
            </w:tcBorders>
            <w:shd w:val="clear" w:color="auto" w:fill="CFF0FC"/>
          </w:tcPr>
          <w:p>
            <w:pPr>
              <w:spacing w:after="0"/>
              <w:rPr>
                <w:sz w:val="19"/>
                <w:szCs w:val="19"/>
                <w:color w:val="auto"/>
              </w:rPr>
            </w:pPr>
          </w:p>
        </w:tc>
        <w:tc>
          <w:tcPr>
            <w:tcW w:w="1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45,952</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44,518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B. Ramsey</w:t>
            </w:r>
          </w:p>
        </w:tc>
        <w:tc>
          <w:tcPr>
            <w:tcW w:w="1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Marty M. Reaume</w:t>
            </w:r>
          </w:p>
        </w:tc>
        <w:tc>
          <w:tcPr>
            <w:tcW w:w="11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shd w:val="clear" w:color="auto" w:fill="CFF0FC"/>
          </w:tcPr>
          <w:p>
            <w:pPr>
              <w:spacing w:after="0"/>
              <w:rPr>
                <w:sz w:val="19"/>
                <w:szCs w:val="19"/>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22,124</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Tami L. Reller</w:t>
            </w:r>
          </w:p>
        </w:tc>
        <w:tc>
          <w:tcPr>
            <w:tcW w:w="1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Philip E. Soran</w:t>
            </w:r>
          </w:p>
        </w:tc>
        <w:tc>
          <w:tcPr>
            <w:tcW w:w="11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shd w:val="clear" w:color="auto" w:fill="CFF0FC"/>
          </w:tcPr>
          <w:p>
            <w:pPr>
              <w:spacing w:after="0"/>
              <w:rPr>
                <w:sz w:val="19"/>
                <w:szCs w:val="19"/>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61,992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Sven A. Wehrwein</w:t>
            </w:r>
          </w:p>
        </w:tc>
        <w:tc>
          <w:tcPr>
            <w:tcW w:w="1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40" w:right="420" w:hanging="434"/>
        <w:spacing w:after="0" w:line="259"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the stock and option awards granted during the year computed in accordance with ASC Topic 718. For a discussion of the relevant assumptions used to determine the valuation of our option awards for financial reporting purposes, refer to Note M to the Notes to Consolidated Financial Statements included in our Annual Report on Form 10-K filed with the SEC on February 25, 2020.</w:t>
      </w:r>
    </w:p>
    <w:p>
      <w:pPr>
        <w:spacing w:after="0" w:line="71" w:lineRule="exact"/>
        <w:rPr>
          <w:rFonts w:ascii="Times New Roman" w:cs="Times New Roman" w:eastAsia="Times New Roman" w:hAnsi="Times New Roman"/>
          <w:sz w:val="18"/>
          <w:szCs w:val="18"/>
          <w:color w:val="auto"/>
        </w:rPr>
      </w:pPr>
    </w:p>
    <w:p>
      <w:pPr>
        <w:ind w:left="440" w:right="200" w:hanging="434"/>
        <w:spacing w:after="0" w:line="274"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Keating and McConnell ceased serving as directors on our board as of May 14, 2019 and had no shares of unvested restricted stock or options outstanding as of December 31, 2019.</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1370" cy="16510"/>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23" w:name="page24"/>
    <w:bookmarkEnd w:id="23"/>
    <w:p>
      <w:pPr>
        <w:ind w:left="3140"/>
        <w:spacing w:after="0"/>
        <w:rPr>
          <w:sz w:val="20"/>
          <w:szCs w:val="20"/>
          <w:color w:val="auto"/>
        </w:rPr>
      </w:pPr>
      <w:r>
        <w:rPr>
          <w:rFonts w:ascii="Arial" w:cs="Arial" w:eastAsia="Arial" w:hAnsi="Arial"/>
          <w:sz w:val="35"/>
          <w:szCs w:val="35"/>
          <w:b w:val="1"/>
          <w:bCs w:val="1"/>
          <w:color w:val="00AAE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-247650</wp:posOffset>
            </wp:positionV>
            <wp:extent cx="71348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Discussion and Analysis</w:t>
      </w:r>
    </w:p>
    <w:p>
      <w:pPr>
        <w:spacing w:after="0" w:line="164" w:lineRule="exact"/>
        <w:rPr>
          <w:sz w:val="20"/>
          <w:szCs w:val="20"/>
          <w:color w:val="auto"/>
        </w:rPr>
      </w:pPr>
    </w:p>
    <w:p>
      <w:pPr>
        <w:ind w:right="80" w:firstLine="589"/>
        <w:spacing w:after="0" w:line="274" w:lineRule="auto"/>
        <w:rPr>
          <w:sz w:val="20"/>
          <w:szCs w:val="20"/>
          <w:color w:val="auto"/>
        </w:rPr>
      </w:pPr>
      <w:r>
        <w:rPr>
          <w:rFonts w:ascii="Times New Roman" w:cs="Times New Roman" w:eastAsia="Times New Roman" w:hAnsi="Times New Roman"/>
          <w:sz w:val="18"/>
          <w:szCs w:val="18"/>
          <w:color w:val="auto"/>
        </w:rPr>
        <w:t>The following is a discussion and analysis of compensation arrangements of our named executive officers for 2019. Our named executive officers for 2019 were:</w:t>
      </w:r>
    </w:p>
    <w:p>
      <w:pPr>
        <w:spacing w:after="0" w:line="57" w:lineRule="exact"/>
        <w:rPr>
          <w:sz w:val="20"/>
          <w:szCs w:val="20"/>
          <w:color w:val="auto"/>
        </w:rPr>
      </w:pPr>
    </w:p>
    <w:p>
      <w:pPr>
        <w:ind w:left="1020" w:hanging="431"/>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Archie C. Black, our President and Chief Executive Officer,</w:t>
      </w:r>
    </w:p>
    <w:p>
      <w:pPr>
        <w:spacing w:after="0" w:line="111" w:lineRule="exact"/>
        <w:rPr>
          <w:rFonts w:ascii="Times New Roman" w:cs="Times New Roman" w:eastAsia="Times New Roman" w:hAnsi="Times New Roman"/>
          <w:sz w:val="18"/>
          <w:szCs w:val="18"/>
          <w:color w:val="auto"/>
        </w:rPr>
      </w:pPr>
    </w:p>
    <w:p>
      <w:pPr>
        <w:ind w:left="1020" w:hanging="431"/>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Kimberly K. Nelson, our Executive Vice President and Chief Financial Officer, and</w:t>
      </w:r>
    </w:p>
    <w:p>
      <w:pPr>
        <w:spacing w:after="0" w:line="111" w:lineRule="exact"/>
        <w:rPr>
          <w:rFonts w:ascii="Times New Roman" w:cs="Times New Roman" w:eastAsia="Times New Roman" w:hAnsi="Times New Roman"/>
          <w:sz w:val="18"/>
          <w:szCs w:val="18"/>
          <w:color w:val="auto"/>
        </w:rPr>
      </w:pPr>
    </w:p>
    <w:p>
      <w:pPr>
        <w:ind w:left="1020" w:hanging="431"/>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J. Frome, our Executive Vice President and Chief Operating Officer.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Executive Summary</w:t>
      </w:r>
    </w:p>
    <w:p>
      <w:pPr>
        <w:spacing w:after="0" w:line="168" w:lineRule="exact"/>
        <w:rPr>
          <w:sz w:val="20"/>
          <w:szCs w:val="20"/>
          <w:color w:val="auto"/>
        </w:rPr>
      </w:pPr>
    </w:p>
    <w:p>
      <w:pPr>
        <w:ind w:right="240" w:firstLine="589"/>
        <w:spacing w:after="0" w:line="255" w:lineRule="auto"/>
        <w:rPr>
          <w:sz w:val="20"/>
          <w:szCs w:val="20"/>
          <w:color w:val="auto"/>
        </w:rPr>
      </w:pPr>
      <w:r>
        <w:rPr>
          <w:rFonts w:ascii="Times New Roman" w:cs="Times New Roman" w:eastAsia="Times New Roman" w:hAnsi="Times New Roman"/>
          <w:sz w:val="18"/>
          <w:szCs w:val="18"/>
          <w:color w:val="auto"/>
        </w:rPr>
        <w:t>As reflected in our compensation philosophy, we set the compensation of our executive officers, including our named executive officers, based on their ability to create sustainable long-term stockholder value in a cost-effective manner. Our executive compensation philosophy is to align executive compensation decisions with our desired business direction, strategy and performance. The primary objectives and priorities of our executive compensation program are the following:</w:t>
      </w:r>
    </w:p>
    <w:p>
      <w:pPr>
        <w:spacing w:after="0" w:line="72" w:lineRule="exact"/>
        <w:rPr>
          <w:sz w:val="20"/>
          <w:szCs w:val="20"/>
          <w:color w:val="auto"/>
        </w:rPr>
      </w:pPr>
    </w:p>
    <w:p>
      <w:pPr>
        <w:ind w:left="1020" w:right="320" w:hanging="431"/>
        <w:spacing w:after="0" w:line="27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 for Performance</w:t>
      </w:r>
      <w:r>
        <w:rPr>
          <w:rFonts w:ascii="Times New Roman" w:cs="Times New Roman" w:eastAsia="Times New Roman" w:hAnsi="Times New Roman"/>
          <w:sz w:val="18"/>
          <w:szCs w:val="18"/>
          <w:color w:val="auto"/>
        </w:rPr>
        <w:t>: Emphasize variable compensation that is tied to our financial and stock price performance in an effort to generate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reward superior individual and collective performance;</w:t>
      </w:r>
    </w:p>
    <w:p>
      <w:pPr>
        <w:spacing w:after="0" w:line="53" w:lineRule="exact"/>
        <w:rPr>
          <w:rFonts w:ascii="Times New Roman" w:cs="Times New Roman" w:eastAsia="Times New Roman" w:hAnsi="Times New Roman"/>
          <w:sz w:val="18"/>
          <w:szCs w:val="18"/>
          <w:color w:val="auto"/>
        </w:rPr>
      </w:pPr>
    </w:p>
    <w:p>
      <w:pPr>
        <w:ind w:left="1020" w:right="40" w:hanging="431"/>
        <w:spacing w:after="0" w:line="27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Alignment</w:t>
      </w:r>
      <w:r>
        <w:rPr>
          <w:rFonts w:ascii="Times New Roman" w:cs="Times New Roman" w:eastAsia="Times New Roman" w:hAnsi="Times New Roman"/>
          <w:sz w:val="18"/>
          <w:szCs w:val="18"/>
          <w:color w:val="auto"/>
        </w:rPr>
        <w:t>: Link our executives’ incentive goals with the interests of our stockholders, provide equity-based forms of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establish specific stock ownership guidelines for employees in key management positions throughout our Company;</w:t>
      </w:r>
    </w:p>
    <w:p>
      <w:pPr>
        <w:spacing w:after="0" w:line="53" w:lineRule="exact"/>
        <w:rPr>
          <w:rFonts w:ascii="Times New Roman" w:cs="Times New Roman" w:eastAsia="Times New Roman" w:hAnsi="Times New Roman"/>
          <w:sz w:val="18"/>
          <w:szCs w:val="18"/>
          <w:color w:val="auto"/>
        </w:rPr>
      </w:pPr>
    </w:p>
    <w:p>
      <w:pPr>
        <w:ind w:left="1020" w:right="100" w:hanging="431"/>
        <w:spacing w:after="0" w:line="27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Success</w:t>
      </w:r>
      <w:r>
        <w:rPr>
          <w:rFonts w:ascii="Times New Roman" w:cs="Times New Roman" w:eastAsia="Times New Roman" w:hAnsi="Times New Roman"/>
          <w:sz w:val="18"/>
          <w:szCs w:val="18"/>
          <w:color w:val="auto"/>
        </w:rPr>
        <w:t>: Support and reward our executives for consistent performance over time and achievement of our long-term strategic goals;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p>
    <w:p>
      <w:pPr>
        <w:spacing w:after="0" w:line="53" w:lineRule="exact"/>
        <w:rPr>
          <w:rFonts w:ascii="Times New Roman" w:cs="Times New Roman" w:eastAsia="Times New Roman" w:hAnsi="Times New Roman"/>
          <w:sz w:val="18"/>
          <w:szCs w:val="18"/>
          <w:color w:val="auto"/>
        </w:rPr>
      </w:pPr>
    </w:p>
    <w:p>
      <w:pPr>
        <w:ind w:left="1020" w:hanging="431"/>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Attraction and Retention</w:t>
      </w:r>
      <w:r>
        <w:rPr>
          <w:rFonts w:ascii="Times New Roman" w:cs="Times New Roman" w:eastAsia="Times New Roman" w:hAnsi="Times New Roman"/>
          <w:sz w:val="18"/>
          <w:szCs w:val="18"/>
          <w:color w:val="auto"/>
        </w:rPr>
        <w:t>: Attract and retain highly qualified executives whose abilities are critical to our success and competitive advantage.</w:t>
      </w:r>
    </w:p>
    <w:p>
      <w:pPr>
        <w:spacing w:after="0" w:line="166" w:lineRule="exact"/>
        <w:rPr>
          <w:sz w:val="20"/>
          <w:szCs w:val="20"/>
          <w:color w:val="auto"/>
        </w:rPr>
      </w:pPr>
    </w:p>
    <w:p>
      <w:pPr>
        <w:ind w:firstLine="589"/>
        <w:spacing w:after="0" w:line="255" w:lineRule="auto"/>
        <w:rPr>
          <w:sz w:val="20"/>
          <w:szCs w:val="20"/>
          <w:color w:val="auto"/>
        </w:rPr>
      </w:pPr>
      <w:r>
        <w:rPr>
          <w:rFonts w:ascii="Times New Roman" w:cs="Times New Roman" w:eastAsia="Times New Roman" w:hAnsi="Times New Roman"/>
          <w:sz w:val="18"/>
          <w:szCs w:val="18"/>
          <w:color w:val="auto"/>
        </w:rPr>
        <w:t>To achieve these objectives, we have designed an executive compensation program that is significantly weighted towards long-term goals. This approach aids us in the retention of executive officers and assures that the interests of our executive officers and stockholders are aligned. While our program emphasizes performance-based and equity-based compensation as a percentage of total direct compensation (base salary and annual and long-term incentives), we do not have specific policies governing the allocation of the target total direct compensation opportunity among its various components.</w:t>
      </w:r>
    </w:p>
    <w:p>
      <w:pPr>
        <w:spacing w:after="0" w:line="127" w:lineRule="exact"/>
        <w:rPr>
          <w:sz w:val="20"/>
          <w:szCs w:val="20"/>
          <w:color w:val="auto"/>
        </w:rPr>
      </w:pPr>
    </w:p>
    <w:p>
      <w:pPr>
        <w:ind w:right="40" w:firstLine="589"/>
        <w:spacing w:after="0" w:line="255" w:lineRule="auto"/>
        <w:rPr>
          <w:sz w:val="20"/>
          <w:szCs w:val="20"/>
          <w:color w:val="auto"/>
        </w:rPr>
      </w:pPr>
      <w:r>
        <w:rPr>
          <w:rFonts w:ascii="Times New Roman" w:cs="Times New Roman" w:eastAsia="Times New Roman" w:hAnsi="Times New Roman"/>
          <w:sz w:val="18"/>
          <w:szCs w:val="18"/>
          <w:color w:val="auto"/>
        </w:rPr>
        <w:t>Each of the primary elements of our executive compensation program is discussed in more detail below. While we have identified particular compensation objectives that each element of executive compensation serves, our compensation program is designed to be flexible and complementary and to collectively serve all of the executive compensation objectives described above. Accordingly, whether or not specifically mentioned below, we believe that, as a part of our overall executive compensation policy, each individual element, to a greater or lesser extent, serves each of our objectives.</w:t>
      </w:r>
    </w:p>
    <w:p>
      <w:pPr>
        <w:spacing w:after="0" w:line="127" w:lineRule="exact"/>
        <w:rPr>
          <w:sz w:val="20"/>
          <w:szCs w:val="20"/>
          <w:color w:val="auto"/>
        </w:rPr>
      </w:pPr>
    </w:p>
    <w:p>
      <w:pPr>
        <w:ind w:right="300" w:firstLine="589"/>
        <w:spacing w:after="0" w:line="251" w:lineRule="auto"/>
        <w:rPr>
          <w:sz w:val="20"/>
          <w:szCs w:val="20"/>
          <w:color w:val="auto"/>
        </w:rPr>
      </w:pPr>
      <w:r>
        <w:rPr>
          <w:rFonts w:ascii="Times New Roman" w:cs="Times New Roman" w:eastAsia="Times New Roman" w:hAnsi="Times New Roman"/>
          <w:sz w:val="18"/>
          <w:szCs w:val="18"/>
          <w:color w:val="auto"/>
        </w:rPr>
        <w:t>Our compensation committee considers the results of the stockholders’ advisory vote on the compensation of our named executive officers. At our 2019 Annual Meeting of Stockholders, our say-on-pay proposal received “for” votes that represented approximately 90.5% of the shares voted on this proposal. The compensation committee considered the results of the say-on-pay vote when evaluating our compensation practices and policies in 2019 and when setting the compensation of our named executive officers for 2020 and decided not to make any significant changes to our executive compensation program. The compensation committee believes that the significant support for the 2019 say-on-pay proposal demonstrates stockholders’ support of our compensation program, policies and practices.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1370" cy="165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24" w:name="page25"/>
    <w:bookmarkEnd w:id="24"/>
    <w:p>
      <w:pPr>
        <w:ind w:left="600"/>
        <w:spacing w:after="0"/>
        <w:rPr>
          <w:sz w:val="20"/>
          <w:szCs w:val="20"/>
          <w:color w:val="auto"/>
        </w:rPr>
      </w:pPr>
      <w:r>
        <w:rPr>
          <w:rFonts w:ascii="Times New Roman" w:cs="Times New Roman" w:eastAsia="Times New Roman" w:hAnsi="Times New Roman"/>
          <w:sz w:val="18"/>
          <w:szCs w:val="18"/>
          <w:color w:val="auto"/>
        </w:rPr>
        <w:t>In 2019, the compensation committee took the following actions with respect to the compensation of our named executive officers:</w:t>
      </w:r>
    </w:p>
    <w:p>
      <w:pPr>
        <w:spacing w:after="0" w:line="111" w:lineRule="exact"/>
        <w:rPr>
          <w:sz w:val="20"/>
          <w:szCs w:val="20"/>
          <w:color w:val="auto"/>
        </w:rPr>
      </w:pPr>
    </w:p>
    <w:p>
      <w:pPr>
        <w:ind w:left="1020" w:hanging="431"/>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Awarded formula-based bonuses at 122% of the target bonus opportunity established at the beginning of the year;</w:t>
      </w:r>
    </w:p>
    <w:p>
      <w:pPr>
        <w:spacing w:after="0" w:line="111" w:lineRule="exact"/>
        <w:rPr>
          <w:rFonts w:ascii="Times New Roman" w:cs="Times New Roman" w:eastAsia="Times New Roman" w:hAnsi="Times New Roman"/>
          <w:sz w:val="18"/>
          <w:szCs w:val="18"/>
          <w:color w:val="auto"/>
        </w:rPr>
      </w:pPr>
    </w:p>
    <w:p>
      <w:pPr>
        <w:ind w:left="1020" w:right="300" w:hanging="431"/>
        <w:spacing w:after="0" w:line="274"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stock option and restricted stock unit (“RSUs”) awards to satisfy competitive market concerns, satisfy our retention objectives and reward individual performance for 2019;</w:t>
      </w:r>
    </w:p>
    <w:p>
      <w:pPr>
        <w:spacing w:after="0" w:line="57" w:lineRule="exact"/>
        <w:rPr>
          <w:rFonts w:ascii="Times New Roman" w:cs="Times New Roman" w:eastAsia="Times New Roman" w:hAnsi="Times New Roman"/>
          <w:sz w:val="18"/>
          <w:szCs w:val="18"/>
          <w:color w:val="auto"/>
        </w:rPr>
      </w:pPr>
    </w:p>
    <w:p>
      <w:pPr>
        <w:ind w:left="1020" w:hanging="431"/>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performance stock unit awards (“PSUs”) to further our retention objectives and our focus on rewarding performance; and</w:t>
      </w:r>
    </w:p>
    <w:p>
      <w:pPr>
        <w:spacing w:after="0" w:line="111" w:lineRule="exact"/>
        <w:rPr>
          <w:rFonts w:ascii="Times New Roman" w:cs="Times New Roman" w:eastAsia="Times New Roman" w:hAnsi="Times New Roman"/>
          <w:sz w:val="18"/>
          <w:szCs w:val="18"/>
          <w:color w:val="auto"/>
        </w:rPr>
      </w:pPr>
    </w:p>
    <w:p>
      <w:pPr>
        <w:ind w:left="1020" w:right="20" w:hanging="431"/>
        <w:spacing w:after="0" w:line="25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adopted a clawback policy requiring reimbursement or forfeiture of all or a portion of any incentive compensation awarded to an executive when (i) the company is required to prepare an accounting restatement due to material noncompliance with financial reporting requirements and the executive’s award, vesting, or payment of an award would have been smaller given the restated financial information or (ii) there is misconduct resulting in either a violation of the law or of company policy that has caused significant financial or reputational harm to the company and either the executive committed the misconduct directly or failed in his or her responsibility to manage or monitor the applicable conduct or controls.</w:t>
      </w:r>
    </w:p>
    <w:p>
      <w:pPr>
        <w:spacing w:after="0" w:line="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addition to the compensation actions and decisions noted above, we maintained the following compensation policies and practices in 2019:</w:t>
      </w:r>
    </w:p>
    <w:p>
      <w:pPr>
        <w:spacing w:after="0" w:line="109" w:lineRule="exact"/>
        <w:rPr>
          <w:sz w:val="20"/>
          <w:szCs w:val="20"/>
          <w:color w:val="auto"/>
        </w:rPr>
      </w:pPr>
    </w:p>
    <w:p>
      <w:pPr>
        <w:ind w:left="1020" w:right="80" w:hanging="431"/>
        <w:spacing w:after="0" w:line="27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Tax Gross-Up Provisions</w:t>
      </w:r>
      <w:r>
        <w:rPr>
          <w:rFonts w:ascii="Times New Roman" w:cs="Times New Roman" w:eastAsia="Times New Roman" w:hAnsi="Times New Roman"/>
          <w:sz w:val="18"/>
          <w:szCs w:val="18"/>
          <w:color w:val="auto"/>
        </w:rPr>
        <w:t>. Our named executive officers are not entitled to any tax gross-up treatment on any severance or 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w:t>
      </w:r>
    </w:p>
    <w:p>
      <w:pPr>
        <w:spacing w:after="0" w:line="53" w:lineRule="exact"/>
        <w:rPr>
          <w:rFonts w:ascii="Times New Roman" w:cs="Times New Roman" w:eastAsia="Times New Roman" w:hAnsi="Times New Roman"/>
          <w:sz w:val="18"/>
          <w:szCs w:val="18"/>
          <w:color w:val="auto"/>
        </w:rPr>
      </w:pPr>
    </w:p>
    <w:p>
      <w:pPr>
        <w:ind w:left="1020" w:right="20" w:hanging="431"/>
        <w:spacing w:after="0" w:line="26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Programs Create No Excessive Risk</w:t>
      </w:r>
      <w:r>
        <w:rPr>
          <w:rFonts w:ascii="Times New Roman" w:cs="Times New Roman" w:eastAsia="Times New Roman" w:hAnsi="Times New Roman"/>
          <w:sz w:val="18"/>
          <w:szCs w:val="18"/>
          <w:color w:val="auto"/>
        </w:rPr>
        <w:t>. Our compensation programs are reviewed regularly by our compensation committee,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determined that our compensation programs do not create inappropriate or excessive risk that is likely to have a material adverse effect on our Company.</w:t>
      </w:r>
    </w:p>
    <w:p>
      <w:pPr>
        <w:spacing w:after="0" w:line="66" w:lineRule="exact"/>
        <w:rPr>
          <w:rFonts w:ascii="Times New Roman" w:cs="Times New Roman" w:eastAsia="Times New Roman" w:hAnsi="Times New Roman"/>
          <w:sz w:val="18"/>
          <w:szCs w:val="18"/>
          <w:color w:val="auto"/>
        </w:rPr>
      </w:pPr>
    </w:p>
    <w:p>
      <w:pPr>
        <w:jc w:val="both"/>
        <w:ind w:left="1020" w:right="80" w:hanging="431"/>
        <w:spacing w:after="0" w:line="26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Compensation Consultant Engaged</w:t>
      </w:r>
      <w:r>
        <w:rPr>
          <w:rFonts w:ascii="Times New Roman" w:cs="Times New Roman" w:eastAsia="Times New Roman" w:hAnsi="Times New Roman"/>
          <w:sz w:val="18"/>
          <w:szCs w:val="18"/>
          <w:color w:val="auto"/>
        </w:rPr>
        <w:t>. Our compensation committee engaged an independent compensation consultant, Compensia,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assist the committee with determining compensation for our named executive officers as well as provide the committee with market data and guidance on best practices.</w:t>
      </w:r>
    </w:p>
    <w:p>
      <w:pPr>
        <w:spacing w:after="0" w:line="66" w:lineRule="exact"/>
        <w:rPr>
          <w:rFonts w:ascii="Times New Roman" w:cs="Times New Roman" w:eastAsia="Times New Roman" w:hAnsi="Times New Roman"/>
          <w:sz w:val="18"/>
          <w:szCs w:val="18"/>
          <w:color w:val="auto"/>
        </w:rPr>
      </w:pPr>
    </w:p>
    <w:p>
      <w:pPr>
        <w:ind w:left="1020" w:right="60" w:hanging="431"/>
        <w:spacing w:after="0" w:line="253"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Hedging Transactions Prohibited</w:t>
      </w:r>
      <w:r>
        <w:rPr>
          <w:rFonts w:ascii="Times New Roman" w:cs="Times New Roman" w:eastAsia="Times New Roman" w:hAnsi="Times New Roman"/>
          <w:sz w:val="18"/>
          <w:szCs w:val="18"/>
          <w:color w:val="auto"/>
        </w:rPr>
        <w:t>. Our insider trading policy prohibits our employees, including directors and executive officers,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participating in the following with respect to our securities: purchasing on margin, pledging or hedging, short sales, buying or selling put or call options or other derivative securities, purchasing financial instruments that are designed to hedge or offset any decrease in market value or engage in limit orders or other pre-arranged transactions that execute automatically except for ‘same-day’ limit orders and approved 10b5-1 plans.</w:t>
      </w:r>
    </w:p>
    <w:p>
      <w:pPr>
        <w:spacing w:after="0" w:line="75" w:lineRule="exact"/>
        <w:rPr>
          <w:rFonts w:ascii="Times New Roman" w:cs="Times New Roman" w:eastAsia="Times New Roman" w:hAnsi="Times New Roman"/>
          <w:sz w:val="18"/>
          <w:szCs w:val="18"/>
          <w:color w:val="auto"/>
        </w:rPr>
      </w:pPr>
    </w:p>
    <w:p>
      <w:pPr>
        <w:ind w:left="1020" w:hanging="431"/>
        <w:spacing w:after="0" w:line="27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is Performance-Based</w:t>
      </w:r>
      <w:r>
        <w:rPr>
          <w:rFonts w:ascii="Times New Roman" w:cs="Times New Roman" w:eastAsia="Times New Roman" w:hAnsi="Times New Roman"/>
          <w:sz w:val="18"/>
          <w:szCs w:val="18"/>
          <w:color w:val="auto"/>
        </w:rPr>
        <w:t>. Our executive compensation program is designed so that a significant portion of compensation is “at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corporate performance, as well as equity-based, to align the interest of our named executive officers and our stockholders.</w:t>
      </w:r>
    </w:p>
    <w:p>
      <w:pPr>
        <w:spacing w:after="0" w:line="53" w:lineRule="exact"/>
        <w:rPr>
          <w:rFonts w:ascii="Times New Roman" w:cs="Times New Roman" w:eastAsia="Times New Roman" w:hAnsi="Times New Roman"/>
          <w:sz w:val="18"/>
          <w:szCs w:val="18"/>
          <w:color w:val="auto"/>
        </w:rPr>
      </w:pPr>
    </w:p>
    <w:p>
      <w:pPr>
        <w:ind w:left="1020" w:right="40" w:hanging="431"/>
        <w:spacing w:after="0" w:line="27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Multi-year Performance Periods for Equity Awards</w:t>
      </w:r>
      <w:r>
        <w:rPr>
          <w:rFonts w:ascii="Times New Roman" w:cs="Times New Roman" w:eastAsia="Times New Roman" w:hAnsi="Times New Roman"/>
          <w:sz w:val="18"/>
          <w:szCs w:val="18"/>
          <w:color w:val="auto"/>
        </w:rPr>
        <w:t>. The annual equity awards granted to our named executive officers vest or are earned over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multi-year period, consistent with market practice and our retention objectives.</w:t>
      </w:r>
    </w:p>
    <w:p>
      <w:pPr>
        <w:spacing w:after="0" w:line="53" w:lineRule="exact"/>
        <w:rPr>
          <w:rFonts w:ascii="Times New Roman" w:cs="Times New Roman" w:eastAsia="Times New Roman" w:hAnsi="Times New Roman"/>
          <w:sz w:val="18"/>
          <w:szCs w:val="18"/>
          <w:color w:val="auto"/>
        </w:rPr>
      </w:pPr>
    </w:p>
    <w:p>
      <w:pPr>
        <w:jc w:val="both"/>
        <w:ind w:left="1020" w:right="240" w:hanging="431"/>
        <w:spacing w:after="0" w:line="26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Ownership Guidelines</w:t>
      </w:r>
      <w:r>
        <w:rPr>
          <w:rFonts w:ascii="Times New Roman" w:cs="Times New Roman" w:eastAsia="Times New Roman" w:hAnsi="Times New Roman"/>
          <w:sz w:val="18"/>
          <w:szCs w:val="18"/>
          <w:color w:val="auto"/>
        </w:rPr>
        <w:t>. We maintain stock ownership guidelines which require our chief executive officer to beneficially own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with a value equal to at least three times his base salary and our other executive officers to beneficially own shares of our common stock with a value equal to at least one times his or her base salary.</w:t>
      </w:r>
    </w:p>
    <w:p>
      <w:pPr>
        <w:spacing w:after="0" w:line="66" w:lineRule="exact"/>
        <w:rPr>
          <w:rFonts w:ascii="Times New Roman" w:cs="Times New Roman" w:eastAsia="Times New Roman" w:hAnsi="Times New Roman"/>
          <w:sz w:val="18"/>
          <w:szCs w:val="18"/>
          <w:color w:val="auto"/>
        </w:rPr>
      </w:pPr>
    </w:p>
    <w:p>
      <w:pPr>
        <w:ind w:left="1020" w:right="200" w:hanging="431"/>
        <w:spacing w:after="0" w:line="27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Perquisites</w:t>
      </w:r>
      <w:r>
        <w:rPr>
          <w:rFonts w:ascii="Times New Roman" w:cs="Times New Roman" w:eastAsia="Times New Roman" w:hAnsi="Times New Roman"/>
          <w:sz w:val="18"/>
          <w:szCs w:val="18"/>
          <w:color w:val="auto"/>
        </w:rPr>
        <w:t>. We do not provide perquisites or other personal benefits to our named executive officers beyond what is provided to our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Compensation Objectives and Process</w:t>
      </w:r>
    </w:p>
    <w:p>
      <w:pPr>
        <w:spacing w:after="0" w:line="168" w:lineRule="exact"/>
        <w:rPr>
          <w:sz w:val="20"/>
          <w:szCs w:val="20"/>
          <w:color w:val="auto"/>
        </w:rPr>
      </w:pPr>
    </w:p>
    <w:p>
      <w:pPr>
        <w:ind w:right="320" w:firstLine="589"/>
        <w:spacing w:after="0" w:line="274" w:lineRule="auto"/>
        <w:rPr>
          <w:sz w:val="20"/>
          <w:szCs w:val="20"/>
          <w:color w:val="auto"/>
        </w:rPr>
      </w:pPr>
      <w:r>
        <w:rPr>
          <w:rFonts w:ascii="Times New Roman" w:cs="Times New Roman" w:eastAsia="Times New Roman" w:hAnsi="Times New Roman"/>
          <w:sz w:val="18"/>
          <w:szCs w:val="18"/>
          <w:color w:val="auto"/>
        </w:rPr>
        <w:t>We have designed the compensation arrangements for our named executive officers to provide compensation in overall amounts and in forms that attract and retain talented and experienced individuals and motivate our</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1370" cy="16510"/>
                    </a:xfrm>
                    <a:prstGeom prst="rect">
                      <a:avLst/>
                    </a:prstGeom>
                    <a:noFill/>
                  </pic:spPr>
                </pic:pic>
              </a:graphicData>
            </a:graphic>
          </wp:anchor>
        </w:drawing>
      </w:r>
    </w:p>
    <w:p>
      <w:pPr>
        <w:sectPr>
          <w:pgSz w:w="11900" w:h="16838" w:orient="portrait"/>
          <w:cols w:equalWidth="0" w:num="1">
            <w:col w:w="11220"/>
          </w:cols>
          <w:pgMar w:left="320" w:top="505" w:right="359" w:bottom="1440" w:gutter="0" w:footer="0" w:header="0"/>
        </w:sectPr>
      </w:pPr>
    </w:p>
    <w:bookmarkStart w:id="25" w:name="page26"/>
    <w:bookmarkEnd w:id="25"/>
    <w:p>
      <w:pPr>
        <w:ind w:right="40"/>
        <w:spacing w:after="0" w:line="255" w:lineRule="auto"/>
        <w:rPr>
          <w:sz w:val="20"/>
          <w:szCs w:val="20"/>
          <w:color w:val="auto"/>
        </w:rPr>
      </w:pPr>
      <w:r>
        <w:rPr>
          <w:rFonts w:ascii="Times New Roman" w:cs="Times New Roman" w:eastAsia="Times New Roman" w:hAnsi="Times New Roman"/>
          <w:sz w:val="18"/>
          <w:szCs w:val="18"/>
          <w:color w:val="auto"/>
        </w:rPr>
        <w:t>executives to achieve the goals that are important to our growth. We typically provide compensation to our named executive officers through a combination of base salary, annual cash bonuses and equity awards, which help align the incentives of our named executive officers with the interests of our stockholders. During 2019, our compensation primarily consisted of base salary, annual cash incentive awards, and under the 2010 Equity Incentive Plan, stock option grants, RSUs and PSUs.</w:t>
      </w:r>
    </w:p>
    <w:p>
      <w:pPr>
        <w:spacing w:after="0" w:line="127" w:lineRule="exact"/>
        <w:rPr>
          <w:sz w:val="20"/>
          <w:szCs w:val="20"/>
          <w:color w:val="auto"/>
        </w:rPr>
      </w:pPr>
    </w:p>
    <w:p>
      <w:pPr>
        <w:ind w:right="140" w:firstLine="589"/>
        <w:spacing w:after="0" w:line="252" w:lineRule="auto"/>
        <w:rPr>
          <w:sz w:val="20"/>
          <w:szCs w:val="20"/>
          <w:color w:val="auto"/>
        </w:rPr>
      </w:pPr>
      <w:r>
        <w:rPr>
          <w:rFonts w:ascii="Times New Roman" w:cs="Times New Roman" w:eastAsia="Times New Roman" w:hAnsi="Times New Roman"/>
          <w:sz w:val="18"/>
          <w:szCs w:val="18"/>
          <w:color w:val="auto"/>
        </w:rPr>
        <w:t>Historically, our compensation committee has determined all elements of compensation for our named executive officers. Generally, prior to making its compensation determinations, our Chief Executive Officer provides his review of our other named executive officers to the compensation committee. Our compensation committee engages Compensia, Inc., a national independent compensation consultant, to help evaluate our compensation philosophy and provide guidance in administering our compensation program. Our compensation committee has determined that Compensia is independent and the services provided by Compensia currently do not and during 2019 did not raise any conflict of interests.</w:t>
      </w:r>
    </w:p>
    <w:p>
      <w:pPr>
        <w:spacing w:after="0" w:line="132" w:lineRule="exact"/>
        <w:rPr>
          <w:sz w:val="20"/>
          <w:szCs w:val="20"/>
          <w:color w:val="auto"/>
        </w:rPr>
      </w:pPr>
    </w:p>
    <w:p>
      <w:pPr>
        <w:ind w:right="180" w:firstLine="589"/>
        <w:spacing w:after="0" w:line="255" w:lineRule="auto"/>
        <w:rPr>
          <w:sz w:val="20"/>
          <w:szCs w:val="20"/>
          <w:color w:val="auto"/>
        </w:rPr>
      </w:pPr>
      <w:r>
        <w:rPr>
          <w:rFonts w:ascii="Times New Roman" w:cs="Times New Roman" w:eastAsia="Times New Roman" w:hAnsi="Times New Roman"/>
          <w:sz w:val="18"/>
          <w:szCs w:val="18"/>
          <w:color w:val="auto"/>
        </w:rPr>
        <w:t>Our compensation committee determines executive compensation, in part, by reference to the compensation information for the executives of a peer group of comparable companies. For 2019, our compensation committee reviewed an updated version of the formal compensation study and executive compensation market assessment prepared in 2018 by Compensia. The competitive market data used in the Compensia study was gathered from our compensation peer group, which consisted in 2019 of the following US-based technology companies of similar size:</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8x8</w:t>
            </w:r>
          </w:p>
        </w:tc>
        <w:tc>
          <w:tcPr>
            <w:tcW w:w="18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Model N</w:t>
            </w:r>
          </w:p>
        </w:tc>
      </w:tr>
      <w:tr>
        <w:trPr>
          <w:trHeight w:val="21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Apptio</w:t>
            </w:r>
          </w:p>
        </w:tc>
        <w:tc>
          <w:tcPr>
            <w:tcW w:w="18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Monotype Imaging Holdings</w:t>
            </w:r>
          </w:p>
        </w:tc>
      </w:tr>
      <w:tr>
        <w:trPr>
          <w:trHeight w:val="21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Benefitfocus</w:t>
            </w:r>
          </w:p>
        </w:tc>
        <w:tc>
          <w:tcPr>
            <w:tcW w:w="18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Paylocity Holding</w:t>
            </w:r>
          </w:p>
        </w:tc>
      </w:tr>
      <w:tr>
        <w:trPr>
          <w:trHeight w:val="21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Carbonite</w:t>
            </w:r>
          </w:p>
        </w:tc>
        <w:tc>
          <w:tcPr>
            <w:tcW w:w="18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PROS Holdings</w:t>
            </w:r>
          </w:p>
        </w:tc>
      </w:tr>
      <w:tr>
        <w:trPr>
          <w:trHeight w:val="21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Five9</w:t>
            </w:r>
          </w:p>
        </w:tc>
        <w:tc>
          <w:tcPr>
            <w:tcW w:w="18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Q2 Holdings</w:t>
            </w:r>
          </w:p>
        </w:tc>
      </w:tr>
      <w:tr>
        <w:trPr>
          <w:trHeight w:val="21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HealthStream</w:t>
            </w:r>
          </w:p>
        </w:tc>
        <w:tc>
          <w:tcPr>
            <w:tcW w:w="18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Qualys</w:t>
            </w:r>
          </w:p>
        </w:tc>
      </w:tr>
      <w:tr>
        <w:trPr>
          <w:trHeight w:val="21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Imperva</w:t>
            </w:r>
          </w:p>
        </w:tc>
        <w:tc>
          <w:tcPr>
            <w:tcW w:w="18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Rapid7</w:t>
            </w:r>
          </w:p>
        </w:tc>
      </w:tr>
      <w:tr>
        <w:trPr>
          <w:trHeight w:val="21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LivePerson</w:t>
            </w:r>
          </w:p>
        </w:tc>
        <w:tc>
          <w:tcPr>
            <w:tcW w:w="18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Varonis Systems</w:t>
            </w:r>
          </w:p>
        </w:tc>
      </w:tr>
      <w:tr>
        <w:trPr>
          <w:trHeight w:val="231"/>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MINDBODY</w:t>
            </w:r>
          </w:p>
        </w:tc>
        <w:tc>
          <w:tcPr>
            <w:tcW w:w="18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Workiva</w:t>
            </w:r>
          </w:p>
        </w:tc>
      </w:tr>
    </w:tbl>
    <w:p>
      <w:pPr>
        <w:spacing w:after="0" w:line="193" w:lineRule="exact"/>
        <w:rPr>
          <w:sz w:val="20"/>
          <w:szCs w:val="20"/>
          <w:color w:val="auto"/>
        </w:rPr>
      </w:pPr>
    </w:p>
    <w:p>
      <w:pPr>
        <w:ind w:firstLine="589"/>
        <w:spacing w:after="0" w:line="269" w:lineRule="auto"/>
        <w:rPr>
          <w:sz w:val="20"/>
          <w:szCs w:val="20"/>
          <w:color w:val="auto"/>
        </w:rPr>
      </w:pPr>
      <w:r>
        <w:rPr>
          <w:rFonts w:ascii="Times New Roman" w:cs="Times New Roman" w:eastAsia="Times New Roman" w:hAnsi="Times New Roman"/>
          <w:sz w:val="17"/>
          <w:szCs w:val="17"/>
          <w:color w:val="auto"/>
        </w:rPr>
        <w:t>In comparison to the prior year peers, we removed five companies and added three. Of the five companies removed, two, Broadsoft and Callidus Software, were removed because they had been acquired. The three other companies removed, 2U, Hubspot and Stamps.com, were removed because their market capitalization exceeded our selection range, which, at the time had a maximum of $3.3 billion (3.0x our market capitalization at the time of the analysis in May 2018). The three peer companies added were 8x8, Model N and PROS Holdings. These three companies were added because they met our selection criteria, including being software companies with trailing four quarter revenue between 50% and 200% of our trailing four quarter revenue (which was $221 million at the time of the review in May 2018) and the market capitalization range of between 33% and 300% of our then current market capitalization.</w:t>
      </w:r>
    </w:p>
    <w:p>
      <w:pPr>
        <w:spacing w:after="0" w:line="169" w:lineRule="exact"/>
        <w:rPr>
          <w:sz w:val="20"/>
          <w:szCs w:val="20"/>
          <w:color w:val="auto"/>
        </w:rPr>
      </w:pPr>
    </w:p>
    <w:p>
      <w:pPr>
        <w:ind w:right="60" w:firstLine="589"/>
        <w:spacing w:after="0" w:line="274" w:lineRule="auto"/>
        <w:rPr>
          <w:sz w:val="20"/>
          <w:szCs w:val="20"/>
          <w:color w:val="auto"/>
        </w:rPr>
      </w:pPr>
      <w:r>
        <w:rPr>
          <w:rFonts w:ascii="Times New Roman" w:cs="Times New Roman" w:eastAsia="Times New Roman" w:hAnsi="Times New Roman"/>
          <w:sz w:val="18"/>
          <w:szCs w:val="18"/>
          <w:color w:val="auto"/>
        </w:rPr>
        <w:t>Data from the compensation peer group is valuable to the compensation committee because it provides insight into competitive pay practices for each of the elements of total compensation as well as confirms the reasonableness of its compensation decisions.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Factors Considered in Compensation Deliberations</w:t>
      </w:r>
    </w:p>
    <w:p>
      <w:pPr>
        <w:spacing w:after="0" w:line="115" w:lineRule="exact"/>
        <w:rPr>
          <w:sz w:val="20"/>
          <w:szCs w:val="20"/>
          <w:color w:val="auto"/>
        </w:rPr>
      </w:pPr>
    </w:p>
    <w:p>
      <w:pPr>
        <w:jc w:val="both"/>
        <w:ind w:right="20" w:firstLine="864"/>
        <w:spacing w:after="0" w:line="251" w:lineRule="auto"/>
        <w:rPr>
          <w:sz w:val="20"/>
          <w:szCs w:val="20"/>
          <w:color w:val="auto"/>
        </w:rPr>
      </w:pPr>
      <w:r>
        <w:rPr>
          <w:rFonts w:ascii="Times New Roman" w:cs="Times New Roman" w:eastAsia="Times New Roman" w:hAnsi="Times New Roman"/>
          <w:sz w:val="18"/>
          <w:szCs w:val="18"/>
          <w:color w:val="auto"/>
        </w:rPr>
        <w:t>The Compensation Committee does not use a single method or measure in setting or approving the target total direct compensation opportunities or each individual compensation element for our named executive officers, nor is the weighting of any one factor on the determination of pay components and levels quantifiable in comparison to the other factors. The factors below, which the Compensation Committee considers when selecting and setting the amount of each compensation element for our named executive officers provide a framework for its compensation decision-making:</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executive compensation program objectives;</w:t>
      </w:r>
    </w:p>
    <w:p>
      <w:pPr>
        <w:spacing w:after="0" w:line="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performance against the financial and operational goals and objectives established by the compensation committee and our board of directors;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26" w:name="page27"/>
    <w:bookmarkEnd w:id="26"/>
    <w:p>
      <w:pPr>
        <w:ind w:left="640" w:right="980" w:hanging="317"/>
        <w:spacing w:after="0" w:line="257" w:lineRule="auto"/>
        <w:rPr>
          <w:sz w:val="20"/>
          <w:szCs w:val="20"/>
          <w:color w:val="auto"/>
        </w:rPr>
      </w:pPr>
      <w:r>
        <w:rPr>
          <w:rFonts w:ascii="Times New Roman" w:cs="Times New Roman" w:eastAsia="Times New Roman" w:hAnsi="Times New Roman"/>
          <w:sz w:val="18"/>
          <w:szCs w:val="18"/>
          <w:color w:val="auto"/>
        </w:rPr>
        <w:t>•each named executive officer’s qualifications, knowledge, skills, experience and tenure relative to other similarly-situated executives at the companies in our compensation peer group;</w:t>
      </w:r>
    </w:p>
    <w:p>
      <w:pPr>
        <w:ind w:left="640" w:right="400" w:hanging="317"/>
        <w:spacing w:after="0" w:line="245" w:lineRule="auto"/>
        <w:rPr>
          <w:sz w:val="20"/>
          <w:szCs w:val="20"/>
          <w:color w:val="auto"/>
        </w:rPr>
      </w:pPr>
      <w:r>
        <w:rPr>
          <w:rFonts w:ascii="Times New Roman" w:cs="Times New Roman" w:eastAsia="Times New Roman" w:hAnsi="Times New Roman"/>
          <w:sz w:val="18"/>
          <w:szCs w:val="18"/>
          <w:color w:val="auto"/>
        </w:rPr>
        <w:t>•the scope of each executive officer’s role and responsibilities compared to other similarly situated executives at the companies in our compensation peer group;</w:t>
      </w:r>
    </w:p>
    <w:p>
      <w:pPr>
        <w:spacing w:after="0" w:line="1" w:lineRule="exact"/>
        <w:rPr>
          <w:sz w:val="20"/>
          <w:szCs w:val="20"/>
          <w:color w:val="auto"/>
        </w:rPr>
      </w:pPr>
    </w:p>
    <w:p>
      <w:pPr>
        <w:ind w:left="640" w:right="440" w:hanging="317"/>
        <w:spacing w:after="0" w:line="245" w:lineRule="auto"/>
        <w:rPr>
          <w:sz w:val="20"/>
          <w:szCs w:val="20"/>
          <w:color w:val="auto"/>
        </w:rPr>
      </w:pPr>
      <w:r>
        <w:rPr>
          <w:rFonts w:ascii="Times New Roman" w:cs="Times New Roman" w:eastAsia="Times New Roman" w:hAnsi="Times New Roman"/>
          <w:sz w:val="18"/>
          <w:szCs w:val="18"/>
          <w:color w:val="auto"/>
        </w:rPr>
        <w:t>•the prior performance of each named executive officer, based on an assessment of his or her contributions to our overall performance and ability to lead his or her business unit or function and work as part of a team;</w:t>
      </w:r>
    </w:p>
    <w:p>
      <w:pPr>
        <w:spacing w:after="0" w:line="1" w:lineRule="exact"/>
        <w:rPr>
          <w:sz w:val="20"/>
          <w:szCs w:val="20"/>
          <w:color w:val="auto"/>
        </w:rPr>
      </w:pPr>
    </w:p>
    <w:p>
      <w:pPr>
        <w:ind w:left="320" w:right="1840"/>
        <w:spacing w:after="0" w:line="245" w:lineRule="auto"/>
        <w:rPr>
          <w:sz w:val="20"/>
          <w:szCs w:val="20"/>
          <w:color w:val="auto"/>
        </w:rPr>
      </w:pPr>
      <w:r>
        <w:rPr>
          <w:rFonts w:ascii="Times New Roman" w:cs="Times New Roman" w:eastAsia="Times New Roman" w:hAnsi="Times New Roman"/>
          <w:sz w:val="18"/>
          <w:szCs w:val="18"/>
          <w:color w:val="auto"/>
        </w:rPr>
        <w:t>•the potential of each named executive officer to contribute to our long-term financial, operational and strategic objectives; •the CEO’s compensation relative to that of our other executive officers, and compensation parity among our executive officers; •our financial performance relative to our peers;</w:t>
      </w:r>
    </w:p>
    <w:p>
      <w:pPr>
        <w:spacing w:after="0" w:line="2" w:lineRule="exact"/>
        <w:rPr>
          <w:sz w:val="20"/>
          <w:szCs w:val="20"/>
          <w:color w:val="auto"/>
        </w:rPr>
      </w:pPr>
    </w:p>
    <w:p>
      <w:pPr>
        <w:ind w:left="640" w:right="840" w:hanging="317"/>
        <w:spacing w:after="0" w:line="245" w:lineRule="auto"/>
        <w:rPr>
          <w:sz w:val="20"/>
          <w:szCs w:val="20"/>
          <w:color w:val="auto"/>
        </w:rPr>
      </w:pPr>
      <w:r>
        <w:rPr>
          <w:rFonts w:ascii="Times New Roman" w:cs="Times New Roman" w:eastAsia="Times New Roman" w:hAnsi="Times New Roman"/>
          <w:sz w:val="18"/>
          <w:szCs w:val="18"/>
          <w:color w:val="auto"/>
        </w:rPr>
        <w:t>•the compensation practices of our compensation peer group and the positioning of each executive officer’s compensation in a ranking of peer company compensation levels based on an analysis of competitive market data;</w:t>
      </w:r>
    </w:p>
    <w:p>
      <w:pPr>
        <w:spacing w:after="0" w:line="1" w:lineRule="exact"/>
        <w:rPr>
          <w:sz w:val="20"/>
          <w:szCs w:val="20"/>
          <w:color w:val="auto"/>
        </w:rPr>
      </w:pPr>
    </w:p>
    <w:p>
      <w:pPr>
        <w:ind w:left="640" w:right="700" w:hanging="317"/>
        <w:spacing w:after="0" w:line="260" w:lineRule="auto"/>
        <w:rPr>
          <w:sz w:val="20"/>
          <w:szCs w:val="20"/>
          <w:color w:val="auto"/>
        </w:rPr>
      </w:pPr>
      <w:r>
        <w:rPr>
          <w:rFonts w:ascii="Times New Roman" w:cs="Times New Roman" w:eastAsia="Times New Roman" w:hAnsi="Times New Roman"/>
          <w:sz w:val="17"/>
          <w:szCs w:val="17"/>
          <w:color w:val="auto"/>
        </w:rPr>
        <w:t>•in the case of long-term incentive compensation, the value of any outstanding vested and unvested equity awards held by each of our executive officers, including the equity awards and other long-term compensation opportunities granted to each executive officer in prior years; and</w:t>
      </w:r>
    </w:p>
    <w:p>
      <w:pPr>
        <w:ind w:left="320"/>
        <w:spacing w:after="0"/>
        <w:rPr>
          <w:sz w:val="20"/>
          <w:szCs w:val="20"/>
          <w:color w:val="auto"/>
        </w:rPr>
      </w:pPr>
      <w:r>
        <w:rPr>
          <w:rFonts w:ascii="Times New Roman" w:cs="Times New Roman" w:eastAsia="Times New Roman" w:hAnsi="Times New Roman"/>
          <w:sz w:val="18"/>
          <w:szCs w:val="18"/>
          <w:color w:val="auto"/>
        </w:rPr>
        <w:t>•the recommendations provided by our CEO regarding the compensation of our executive officers, as described above.</w:t>
      </w:r>
    </w:p>
    <w:p>
      <w:pPr>
        <w:spacing w:after="0" w:line="198"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These factors provide the framework for decision-making by the compensation committee with respect to the compensation of each of our named executive officers.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Base Salary</w:t>
      </w:r>
    </w:p>
    <w:p>
      <w:pPr>
        <w:spacing w:after="0" w:line="168" w:lineRule="exact"/>
        <w:rPr>
          <w:sz w:val="20"/>
          <w:szCs w:val="20"/>
          <w:color w:val="auto"/>
        </w:rPr>
      </w:pPr>
    </w:p>
    <w:p>
      <w:pPr>
        <w:ind w:right="20" w:firstLine="589"/>
        <w:spacing w:after="0" w:line="271" w:lineRule="auto"/>
        <w:rPr>
          <w:sz w:val="20"/>
          <w:szCs w:val="20"/>
          <w:color w:val="auto"/>
        </w:rPr>
      </w:pPr>
      <w:r>
        <w:rPr>
          <w:rFonts w:ascii="Times New Roman" w:cs="Times New Roman" w:eastAsia="Times New Roman" w:hAnsi="Times New Roman"/>
          <w:sz w:val="17"/>
          <w:szCs w:val="17"/>
          <w:color w:val="auto"/>
        </w:rPr>
        <w:t>Base salaries are used to recognize the experience, skills, knowledge and responsibilities required of all our employees, including our named executive officers. Base salaries for each of our named executive officers are established based on arm’s-length negotiations between us and the executive. Our compensation committee reviews the base salaries of our named executive officers annually at the beginning of each year. When negotiating or reviewing base salaries, the compensation committee considers market competitiveness based on their experience, the executive’s expected future contribution to our success and the relative base salaries and responsibilities of our other executives. Our named executive officers received no base salary increases in 2019.</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Annual Cash Bonus – 2019 Management Incentive Plan</w:t>
      </w:r>
    </w:p>
    <w:p>
      <w:pPr>
        <w:spacing w:after="0" w:line="168" w:lineRule="exact"/>
        <w:rPr>
          <w:sz w:val="20"/>
          <w:szCs w:val="20"/>
          <w:color w:val="auto"/>
        </w:rPr>
      </w:pPr>
    </w:p>
    <w:p>
      <w:pPr>
        <w:ind w:firstLine="589"/>
        <w:spacing w:after="0" w:line="259" w:lineRule="auto"/>
        <w:rPr>
          <w:sz w:val="20"/>
          <w:szCs w:val="20"/>
          <w:color w:val="auto"/>
        </w:rPr>
      </w:pPr>
      <w:r>
        <w:rPr>
          <w:rFonts w:ascii="Times New Roman" w:cs="Times New Roman" w:eastAsia="Times New Roman" w:hAnsi="Times New Roman"/>
          <w:sz w:val="18"/>
          <w:szCs w:val="18"/>
          <w:color w:val="auto"/>
        </w:rPr>
        <w:t>Our named executive officers participate in our management incentive plan, which provides them with an opportunity to receive a formula-based cash bonus. The formula-based bonus is intended to motivate our executives to achieve specific financial goals that will drive the growth and success of our business.</w:t>
      </w:r>
    </w:p>
    <w:p>
      <w:pPr>
        <w:spacing w:after="0" w:line="125" w:lineRule="exact"/>
        <w:rPr>
          <w:sz w:val="20"/>
          <w:szCs w:val="20"/>
          <w:color w:val="auto"/>
        </w:rPr>
      </w:pPr>
    </w:p>
    <w:p>
      <w:pPr>
        <w:ind w:right="40" w:firstLine="589"/>
        <w:spacing w:after="0" w:line="269" w:lineRule="auto"/>
        <w:rPr>
          <w:sz w:val="20"/>
          <w:szCs w:val="20"/>
          <w:color w:val="auto"/>
        </w:rPr>
      </w:pPr>
      <w:r>
        <w:rPr>
          <w:rFonts w:ascii="Times New Roman" w:cs="Times New Roman" w:eastAsia="Times New Roman" w:hAnsi="Times New Roman"/>
          <w:sz w:val="17"/>
          <w:szCs w:val="17"/>
          <w:color w:val="auto"/>
        </w:rPr>
        <w:t>The formula-based bonus is based on a target bonus opportunity for each named executive officer established by the compensation committee at the beginning of each year. The compensation committee established the target bonus opportunity at an amount it believes is necessary to provide a competitive overall compensation package in light of each named executive officer’s base salary and to motivate our executives to achieve an aggressive level of growth. The target bonus opportunity was set at $445,000 for Mr. Black, $260,000 for Ms. Nelson and $270,000 for Mr. Frome. The amount of the formula-based bonus, if any, actually paid to executives after the end of the year is determined by a matrix approved by the compensation committee that takes into account our revenues and earnings before interest, taxes, depreciation and amortization and stock-based compensation, and other adjustments (“Adjusted EBITDA”).</w:t>
      </w:r>
      <w:r>
        <w:rPr>
          <w:rFonts w:ascii="Times New Roman" w:cs="Times New Roman" w:eastAsia="Times New Roman" w:hAnsi="Times New Roman"/>
          <w:sz w:val="14"/>
          <w:szCs w:val="14"/>
          <w:color w:val="auto"/>
        </w:rPr>
        <w:t>1</w:t>
      </w:r>
    </w:p>
    <w:p>
      <w:pPr>
        <w:spacing w:after="0" w:line="159" w:lineRule="exact"/>
        <w:rPr>
          <w:sz w:val="20"/>
          <w:szCs w:val="20"/>
          <w:color w:val="auto"/>
        </w:rPr>
      </w:pPr>
    </w:p>
    <w:p>
      <w:pPr>
        <w:ind w:right="900" w:firstLine="6"/>
        <w:spacing w:after="0" w:line="198" w:lineRule="auto"/>
        <w:tabs>
          <w:tab w:leader="none" w:pos="107" w:val="left"/>
        </w:tabs>
        <w:numPr>
          <w:ilvl w:val="0"/>
          <w:numId w:val="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i w:val="1"/>
          <w:iCs w:val="1"/>
          <w:color w:val="auto"/>
        </w:rPr>
        <w:t>Adjusted EBITDA is a non-GAAP financial measure. Refer to Appendix A in this proxy statement for a reconciliation of this non-GAAP financial measure to the corresponding GAAP measure.</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00"/>
          </w:cols>
          <w:pgMar w:left="320" w:top="346" w:right="379" w:bottom="1440" w:gutter="0" w:footer="0" w:header="0"/>
        </w:sectPr>
      </w:pPr>
    </w:p>
    <w:bookmarkStart w:id="27" w:name="page28"/>
    <w:bookmarkEnd w:id="27"/>
    <w:p>
      <w:pPr>
        <w:ind w:right="280" w:firstLine="589"/>
        <w:spacing w:after="0" w:line="259" w:lineRule="auto"/>
        <w:rPr>
          <w:sz w:val="20"/>
          <w:szCs w:val="20"/>
          <w:color w:val="auto"/>
        </w:rPr>
      </w:pPr>
      <w:r>
        <w:rPr>
          <w:rFonts w:ascii="Times New Roman" w:cs="Times New Roman" w:eastAsia="Times New Roman" w:hAnsi="Times New Roman"/>
          <w:sz w:val="18"/>
          <w:szCs w:val="18"/>
          <w:color w:val="auto"/>
        </w:rPr>
        <w:t>The formula-based bonus is based in part on revenues because, given the scalability of our current core business, the compensation committee believes our financial results are driven most significantly by the revenues we generate. The compensation committee also believes formula-based bonuses should be based in part on Adjusted EBITDA because Adjusted EBITDA is a useful measure of our operating performance.</w:t>
      </w:r>
    </w:p>
    <w:p>
      <w:pPr>
        <w:spacing w:after="0" w:line="125" w:lineRule="exact"/>
        <w:rPr>
          <w:sz w:val="20"/>
          <w:szCs w:val="20"/>
          <w:color w:val="auto"/>
        </w:rPr>
      </w:pPr>
    </w:p>
    <w:p>
      <w:pPr>
        <w:ind w:right="100" w:firstLine="589"/>
        <w:spacing w:after="0" w:line="269" w:lineRule="auto"/>
        <w:rPr>
          <w:sz w:val="20"/>
          <w:szCs w:val="20"/>
          <w:color w:val="auto"/>
        </w:rPr>
      </w:pPr>
      <w:r>
        <w:rPr>
          <w:rFonts w:ascii="Times New Roman" w:cs="Times New Roman" w:eastAsia="Times New Roman" w:hAnsi="Times New Roman"/>
          <w:sz w:val="17"/>
          <w:szCs w:val="17"/>
          <w:color w:val="auto"/>
        </w:rPr>
        <w:t>The matrix approved for 2019 provided that each executive would receive a percentage of his or her target formula-based bonus, between 60% and 190%, based on our actual revenues and Adjusted EBITDA performance for the year, with the potential for no payout if performance fell below the threshold levels. For example, to be paid out at the maximum 190% bonus level, we needed to generate $283.65 million in revenue and at least $72.06 million of Adjusted EBITDA. For our named executive officers to earn their target bonuses for 2019, we needed to generate revenues of approximately $278.85 million and Adjusted EBITDA of approximately $66.06 million. If we failed to achieve both threshold levels of revenues of approximately $274.05 million and Adjusted EBITDA of approximately $66.06 million, our named executive officers would not receive a formula-based bonus for the year.</w:t>
      </w:r>
    </w:p>
    <w:p>
      <w:pPr>
        <w:spacing w:after="0" w:line="116" w:lineRule="exact"/>
        <w:rPr>
          <w:sz w:val="20"/>
          <w:szCs w:val="20"/>
          <w:color w:val="auto"/>
        </w:rPr>
      </w:pPr>
    </w:p>
    <w:p>
      <w:pPr>
        <w:jc w:val="both"/>
        <w:ind w:right="540" w:firstLine="589"/>
        <w:spacing w:after="0" w:line="259" w:lineRule="auto"/>
        <w:rPr>
          <w:sz w:val="20"/>
          <w:szCs w:val="20"/>
          <w:color w:val="auto"/>
        </w:rPr>
      </w:pPr>
      <w:r>
        <w:rPr>
          <w:rFonts w:ascii="Times New Roman" w:cs="Times New Roman" w:eastAsia="Times New Roman" w:hAnsi="Times New Roman"/>
          <w:sz w:val="18"/>
          <w:szCs w:val="18"/>
          <w:color w:val="auto"/>
        </w:rPr>
        <w:t>The compensation committee had the discretion to adjust the pre-established target levels for revenues and Adjusted EBITDA in the event we completed one or more acquisitions during the year. The compensation committee exercised such discretion for 2019 and increased the target levels for revenues and Adjusted EBITDA to take into account the impact of the MAPADOC acquisition during 2019.</w:t>
      </w:r>
    </w:p>
    <w:p>
      <w:pPr>
        <w:spacing w:after="0" w:line="125" w:lineRule="exact"/>
        <w:rPr>
          <w:sz w:val="20"/>
          <w:szCs w:val="20"/>
          <w:color w:val="auto"/>
        </w:rPr>
      </w:pPr>
    </w:p>
    <w:p>
      <w:pPr>
        <w:ind w:right="80" w:firstLine="589"/>
        <w:spacing w:after="0" w:line="252" w:lineRule="auto"/>
        <w:rPr>
          <w:sz w:val="20"/>
          <w:szCs w:val="20"/>
          <w:color w:val="auto"/>
        </w:rPr>
      </w:pPr>
      <w:r>
        <w:rPr>
          <w:rFonts w:ascii="Times New Roman" w:cs="Times New Roman" w:eastAsia="Times New Roman" w:hAnsi="Times New Roman"/>
          <w:sz w:val="18"/>
          <w:szCs w:val="18"/>
          <w:color w:val="auto"/>
        </w:rPr>
        <w:t>The compensation committee established the intervals for the matrix with the intent that achieving 100% of an executive’s target bonus will be a difficult but achievable goal in light of the prior year’s results of operations and anticipated growth for 2019. For 2019, we delivered $279.1 million in revenues and $69.8 million of Adjusted EBITDA and therefore exceeded the target levels set under the management incentive plan for revenues and Adjusted EBITDA. As a result, the formula-based bonus for each named executive officer was determined to be 122% of the target amount, resulting in the following payouts:</w:t>
      </w:r>
    </w:p>
    <w:p>
      <w:pPr>
        <w:spacing w:after="0" w:line="79" w:lineRule="exact"/>
        <w:rPr>
          <w:sz w:val="20"/>
          <w:szCs w:val="20"/>
          <w:color w:val="auto"/>
        </w:rPr>
      </w:pPr>
    </w:p>
    <w:p>
      <w:pPr>
        <w:ind w:left="1020" w:hanging="431"/>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Black — $542,900</w:t>
      </w:r>
    </w:p>
    <w:p>
      <w:pPr>
        <w:spacing w:after="0" w:line="111" w:lineRule="exact"/>
        <w:rPr>
          <w:rFonts w:ascii="Times New Roman" w:cs="Times New Roman" w:eastAsia="Times New Roman" w:hAnsi="Times New Roman"/>
          <w:sz w:val="18"/>
          <w:szCs w:val="18"/>
          <w:color w:val="auto"/>
        </w:rPr>
      </w:pPr>
    </w:p>
    <w:p>
      <w:pPr>
        <w:ind w:left="1020" w:hanging="431"/>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Nelson — $317,200</w:t>
      </w:r>
    </w:p>
    <w:p>
      <w:pPr>
        <w:spacing w:after="0" w:line="111" w:lineRule="exact"/>
        <w:rPr>
          <w:rFonts w:ascii="Times New Roman" w:cs="Times New Roman" w:eastAsia="Times New Roman" w:hAnsi="Times New Roman"/>
          <w:sz w:val="18"/>
          <w:szCs w:val="18"/>
          <w:color w:val="auto"/>
        </w:rPr>
      </w:pPr>
    </w:p>
    <w:p>
      <w:pPr>
        <w:ind w:left="1020" w:hanging="431"/>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Frome — $329,400</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Equity Awards</w:t>
      </w:r>
    </w:p>
    <w:p>
      <w:pPr>
        <w:spacing w:after="0" w:line="168" w:lineRule="exact"/>
        <w:rPr>
          <w:sz w:val="20"/>
          <w:szCs w:val="20"/>
          <w:color w:val="auto"/>
        </w:rPr>
      </w:pPr>
    </w:p>
    <w:p>
      <w:pPr>
        <w:ind w:firstLine="589"/>
        <w:spacing w:after="0" w:line="252" w:lineRule="auto"/>
        <w:rPr>
          <w:sz w:val="20"/>
          <w:szCs w:val="20"/>
          <w:color w:val="auto"/>
        </w:rPr>
      </w:pPr>
      <w:r>
        <w:rPr>
          <w:rFonts w:ascii="Times New Roman" w:cs="Times New Roman" w:eastAsia="Times New Roman" w:hAnsi="Times New Roman"/>
          <w:sz w:val="18"/>
          <w:szCs w:val="18"/>
          <w:color w:val="auto"/>
        </w:rPr>
        <w:t>Historically, we have granted our named executive officers stock options and RSUs. In 2017, we also began granting our named executive officers PSUs. We believe equity awards are an important element of compensation because they provide our executives a potential ownership interest in our company, which helps align their interests with those of other stockholders. When determining the size of the equity award for our named executive officers, our compensation committee considers the executive’s position and responsibilities, the equity holdings of our other executives, competitive market data, CEO recommendations, and the anticipated future contribution the executive will make to our success.</w:t>
      </w:r>
    </w:p>
    <w:p>
      <w:pPr>
        <w:spacing w:after="0" w:line="132" w:lineRule="exact"/>
        <w:rPr>
          <w:sz w:val="20"/>
          <w:szCs w:val="20"/>
          <w:color w:val="auto"/>
        </w:rPr>
      </w:pPr>
    </w:p>
    <w:p>
      <w:pPr>
        <w:ind w:right="20" w:firstLine="589"/>
        <w:spacing w:after="0" w:line="265" w:lineRule="auto"/>
        <w:rPr>
          <w:sz w:val="20"/>
          <w:szCs w:val="20"/>
          <w:color w:val="auto"/>
        </w:rPr>
      </w:pPr>
      <w:r>
        <w:rPr>
          <w:rFonts w:ascii="Times New Roman" w:cs="Times New Roman" w:eastAsia="Times New Roman" w:hAnsi="Times New Roman"/>
          <w:sz w:val="18"/>
          <w:szCs w:val="18"/>
          <w:color w:val="auto"/>
        </w:rPr>
        <w:t>We believe stock options further align the interest of our executives and stockholders because the executives profit from stock options only if our stock price increases relative to the option’s exercise price as our policy is to grant annual stock options with an exercise price equal to the fair market value of our common stock on the date of grant. We believe stock options also help retain our executives because the awards vest over a specific period of time, and vesting depends on the executive’s continued employment with us, or until meeting the requirements for retirement eligible individuals.</w:t>
      </w:r>
    </w:p>
    <w:p>
      <w:pPr>
        <w:spacing w:after="0" w:line="119" w:lineRule="exact"/>
        <w:rPr>
          <w:sz w:val="20"/>
          <w:szCs w:val="20"/>
          <w:color w:val="auto"/>
        </w:rPr>
      </w:pPr>
    </w:p>
    <w:p>
      <w:pPr>
        <w:ind w:right="220" w:firstLine="589"/>
        <w:spacing w:after="0" w:line="255" w:lineRule="auto"/>
        <w:rPr>
          <w:sz w:val="20"/>
          <w:szCs w:val="20"/>
          <w:color w:val="auto"/>
        </w:rPr>
      </w:pPr>
      <w:r>
        <w:rPr>
          <w:rFonts w:ascii="Times New Roman" w:cs="Times New Roman" w:eastAsia="Times New Roman" w:hAnsi="Times New Roman"/>
          <w:sz w:val="18"/>
          <w:szCs w:val="18"/>
          <w:color w:val="auto"/>
        </w:rPr>
        <w:t>RSUs vest over several years and have immediate value to the executives upon vesting, while requiring the executives to maintain continuous employment with us in order for the awards to vest. Typically, our stock options and RSUs vest over a period of four years. The vesting of the stock options and RSUs in the event of a termination or change in control is described in more detail below under “Potential Payments Upon Termination or Change in Control.”</w:t>
      </w:r>
    </w:p>
    <w:p>
      <w:pPr>
        <w:spacing w:after="0" w:line="127" w:lineRule="exact"/>
        <w:rPr>
          <w:sz w:val="20"/>
          <w:szCs w:val="20"/>
          <w:color w:val="auto"/>
        </w:rPr>
      </w:pPr>
    </w:p>
    <w:p>
      <w:pPr>
        <w:ind w:right="180" w:firstLine="589"/>
        <w:spacing w:after="0" w:line="259" w:lineRule="auto"/>
        <w:rPr>
          <w:sz w:val="20"/>
          <w:szCs w:val="20"/>
          <w:color w:val="auto"/>
        </w:rPr>
      </w:pPr>
      <w:r>
        <w:rPr>
          <w:rFonts w:ascii="Times New Roman" w:cs="Times New Roman" w:eastAsia="Times New Roman" w:hAnsi="Times New Roman"/>
          <w:sz w:val="18"/>
          <w:szCs w:val="18"/>
          <w:color w:val="auto"/>
        </w:rPr>
        <w:t>PSUs are earned over a specified performance period depending on the company’s performance during such performance period and the award recipient’s continued employment. We believe PSUs further align our executives’ interests with those of our stockholders because the executives profit from PSUs only if certain performance goals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28" w:name="page29"/>
    <w:bookmarkEnd w:id="28"/>
    <w:p>
      <w:pPr>
        <w:spacing w:after="0" w:line="250" w:lineRule="auto"/>
        <w:rPr>
          <w:sz w:val="20"/>
          <w:szCs w:val="20"/>
          <w:color w:val="auto"/>
        </w:rPr>
      </w:pPr>
      <w:r>
        <w:rPr>
          <w:rFonts w:ascii="Times New Roman" w:cs="Times New Roman" w:eastAsia="Times New Roman" w:hAnsi="Times New Roman"/>
          <w:sz w:val="18"/>
          <w:szCs w:val="18"/>
          <w:color w:val="auto"/>
        </w:rPr>
        <w:t>are achieved. Consequently, we believe PSUs also help retain our executives. The PSUs awarded in 2017 are earned contingent upon successful attainment of pre-determined revenue goals over the course of a three-year performance period and the award recipient’s continued employment. The PSUs awarded in 2018 and 2019 are earned contingent upon successful attainment of pre-determined total shareholder return (“TSR”) targets, relative to Russell 2000 companies (the “Index”) over the course of a three-year performance period and the award recipient’s continued employment. The Index was selected because it is a major, broad index of stocks, many of which are similar in size to SPS. The three year period was designed to provide long term performance periods to align management compensation with long term shareholder returns. The following table sets forth the TSR targets for PSUs granted to our named executive officers in 2019:</w:t>
      </w:r>
    </w:p>
    <w:p>
      <w:pPr>
        <w:sectPr>
          <w:pgSz w:w="11900" w:h="16838" w:orient="portrait"/>
          <w:cols w:equalWidth="0" w:num="1">
            <w:col w:w="11240"/>
          </w:cols>
          <w:pgMar w:left="320" w:top="505"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1520" w:right="148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Company TSR as Compared to Index TSR </w:t>
      </w:r>
      <w:r>
        <w:rPr>
          <w:rFonts w:ascii="Times New Roman" w:cs="Times New Roman" w:eastAsia="Times New Roman" w:hAnsi="Times New Roman"/>
          <w:sz w:val="18"/>
          <w:szCs w:val="18"/>
          <w:color w:val="auto"/>
        </w:rPr>
        <w:t>Company TSR is more than 10% less than Index TSR Company TSR is 10% less than Index TSR Company TSR is equal to Index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-140970</wp:posOffset>
            </wp:positionV>
            <wp:extent cx="5208270" cy="142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08270" cy="14287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-461010</wp:posOffset>
            </wp:positionV>
            <wp:extent cx="5208270" cy="1600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08270" cy="160020"/>
                    </a:xfrm>
                    <a:prstGeom prst="rect">
                      <a:avLst/>
                    </a:prstGeom>
                    <a:noFill/>
                  </pic:spPr>
                </pic:pic>
              </a:graphicData>
            </a:graphic>
          </wp:anchor>
        </w:drawing>
      </w:r>
    </w:p>
    <w:p>
      <w:pPr>
        <w:ind w:left="1520"/>
        <w:spacing w:after="0"/>
        <w:rPr>
          <w:sz w:val="20"/>
          <w:szCs w:val="20"/>
          <w:color w:val="auto"/>
        </w:rPr>
      </w:pPr>
      <w:r>
        <w:rPr>
          <w:rFonts w:ascii="Times New Roman" w:cs="Times New Roman" w:eastAsia="Times New Roman" w:hAnsi="Times New Roman"/>
          <w:sz w:val="18"/>
          <w:szCs w:val="18"/>
          <w:color w:val="auto"/>
        </w:rPr>
        <w:t>Company TSR is 5% greater than Index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10795</wp:posOffset>
            </wp:positionV>
            <wp:extent cx="5208270" cy="142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08270" cy="142875"/>
                    </a:xfrm>
                    <a:prstGeom prst="rect">
                      <a:avLst/>
                    </a:prstGeom>
                    <a:noFill/>
                  </pic:spPr>
                </pic:pic>
              </a:graphicData>
            </a:graphic>
          </wp:anchor>
        </w:drawing>
      </w:r>
    </w:p>
    <w:p>
      <w:pPr>
        <w:ind w:left="1520"/>
        <w:spacing w:after="0"/>
        <w:rPr>
          <w:sz w:val="20"/>
          <w:szCs w:val="20"/>
          <w:color w:val="auto"/>
        </w:rPr>
      </w:pPr>
      <w:r>
        <w:rPr>
          <w:rFonts w:ascii="Times New Roman" w:cs="Times New Roman" w:eastAsia="Times New Roman" w:hAnsi="Times New Roman"/>
          <w:sz w:val="18"/>
          <w:szCs w:val="18"/>
          <w:color w:val="auto"/>
        </w:rPr>
        <w:t>Company TSR is 30% greater than Index TSR</w:t>
      </w:r>
      <w:r>
        <w:rPr>
          <w:rFonts w:ascii="Times New Roman" w:cs="Times New Roman" w:eastAsia="Times New Roman" w:hAnsi="Times New Roman"/>
          <w:sz w:val="15"/>
          <w:szCs w:val="15"/>
          <w:color w:val="auto"/>
        </w:rPr>
        <w:t>(a)</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7"/>
          <w:szCs w:val="17"/>
          <w:b w:val="1"/>
          <w:bCs w:val="1"/>
          <w:color w:val="auto"/>
        </w:rPr>
        <w:t>Percentage of Target PSUs</w:t>
      </w:r>
    </w:p>
    <w:p>
      <w:pPr>
        <w:spacing w:after="0" w:line="38"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Earned</w:t>
      </w:r>
    </w:p>
    <w:p>
      <w:pPr>
        <w:spacing w:after="0" w:line="5" w:lineRule="exact"/>
        <w:rPr>
          <w:sz w:val="20"/>
          <w:szCs w:val="20"/>
          <w:color w:val="auto"/>
        </w:rPr>
      </w:pPr>
    </w:p>
    <w:p>
      <w:pPr>
        <w:jc w:val="right"/>
        <w:ind w:right="1520"/>
        <w:spacing w:after="0"/>
        <w:rPr>
          <w:sz w:val="20"/>
          <w:szCs w:val="20"/>
          <w:color w:val="auto"/>
        </w:rPr>
      </w:pPr>
      <w:r>
        <w:rPr>
          <w:rFonts w:ascii="Times New Roman" w:cs="Times New Roman" w:eastAsia="Times New Roman" w:hAnsi="Times New Roman"/>
          <w:sz w:val="18"/>
          <w:szCs w:val="18"/>
          <w:color w:val="auto"/>
        </w:rPr>
        <w:t>0%</w:t>
      </w:r>
    </w:p>
    <w:p>
      <w:pPr>
        <w:spacing w:after="0" w:line="25" w:lineRule="exact"/>
        <w:rPr>
          <w:sz w:val="20"/>
          <w:szCs w:val="20"/>
          <w:color w:val="auto"/>
        </w:rPr>
      </w:pPr>
    </w:p>
    <w:p>
      <w:pPr>
        <w:jc w:val="right"/>
        <w:ind w:right="1520"/>
        <w:spacing w:after="0"/>
        <w:rPr>
          <w:sz w:val="20"/>
          <w:szCs w:val="20"/>
          <w:color w:val="auto"/>
        </w:rPr>
      </w:pPr>
      <w:r>
        <w:rPr>
          <w:rFonts w:ascii="Times New Roman" w:cs="Times New Roman" w:eastAsia="Times New Roman" w:hAnsi="Times New Roman"/>
          <w:sz w:val="18"/>
          <w:szCs w:val="18"/>
          <w:color w:val="auto"/>
        </w:rPr>
        <w:t>40%</w:t>
      </w:r>
    </w:p>
    <w:p>
      <w:pPr>
        <w:spacing w:after="0" w:line="45" w:lineRule="exact"/>
        <w:rPr>
          <w:sz w:val="20"/>
          <w:szCs w:val="20"/>
          <w:color w:val="auto"/>
        </w:rPr>
      </w:pPr>
    </w:p>
    <w:p>
      <w:pPr>
        <w:jc w:val="right"/>
        <w:ind w:right="1520"/>
        <w:spacing w:after="0"/>
        <w:rPr>
          <w:sz w:val="20"/>
          <w:szCs w:val="20"/>
          <w:color w:val="auto"/>
        </w:rPr>
      </w:pPr>
      <w:r>
        <w:rPr>
          <w:rFonts w:ascii="Times New Roman" w:cs="Times New Roman" w:eastAsia="Times New Roman" w:hAnsi="Times New Roman"/>
          <w:sz w:val="18"/>
          <w:szCs w:val="18"/>
          <w:color w:val="auto"/>
        </w:rPr>
        <w:t>80%</w:t>
      </w:r>
    </w:p>
    <w:p>
      <w:pPr>
        <w:spacing w:after="0" w:line="24" w:lineRule="exact"/>
        <w:rPr>
          <w:sz w:val="20"/>
          <w:szCs w:val="20"/>
          <w:color w:val="auto"/>
        </w:rPr>
      </w:pPr>
    </w:p>
    <w:p>
      <w:pPr>
        <w:jc w:val="right"/>
        <w:ind w:right="1520"/>
        <w:spacing w:after="0"/>
        <w:rPr>
          <w:sz w:val="20"/>
          <w:szCs w:val="20"/>
          <w:color w:val="auto"/>
        </w:rPr>
      </w:pPr>
      <w:r>
        <w:rPr>
          <w:rFonts w:ascii="Times New Roman" w:cs="Times New Roman" w:eastAsia="Times New Roman" w:hAnsi="Times New Roman"/>
          <w:sz w:val="18"/>
          <w:szCs w:val="18"/>
          <w:color w:val="auto"/>
        </w:rPr>
        <w:t>100% (target)</w:t>
      </w:r>
    </w:p>
    <w:p>
      <w:pPr>
        <w:spacing w:after="0" w:line="18" w:lineRule="exact"/>
        <w:rPr>
          <w:sz w:val="20"/>
          <w:szCs w:val="20"/>
          <w:color w:val="auto"/>
        </w:rPr>
      </w:pPr>
    </w:p>
    <w:p>
      <w:pPr>
        <w:jc w:val="right"/>
        <w:ind w:right="1520"/>
        <w:spacing w:after="0"/>
        <w:rPr>
          <w:sz w:val="20"/>
          <w:szCs w:val="20"/>
          <w:color w:val="auto"/>
        </w:rPr>
      </w:pPr>
      <w:r>
        <w:rPr>
          <w:rFonts w:ascii="Times New Roman" w:cs="Times New Roman" w:eastAsia="Times New Roman" w:hAnsi="Times New Roman"/>
          <w:sz w:val="18"/>
          <w:szCs w:val="18"/>
          <w:color w:val="auto"/>
        </w:rPr>
        <w:t>200% (maximum)</w:t>
      </w:r>
    </w:p>
    <w:p>
      <w:pPr>
        <w:spacing w:after="0" w:line="171" w:lineRule="exact"/>
        <w:rPr>
          <w:sz w:val="20"/>
          <w:szCs w:val="20"/>
          <w:color w:val="auto"/>
        </w:rPr>
      </w:pPr>
    </w:p>
    <w:p>
      <w:pPr>
        <w:sectPr>
          <w:pgSz w:w="11900" w:h="16838" w:orient="portrait"/>
          <w:cols w:equalWidth="0" w:num="2">
            <w:col w:w="6820" w:space="720"/>
            <w:col w:w="3700"/>
          </w:cols>
          <w:pgMar w:left="320" w:top="505" w:right="339" w:bottom="1440" w:gutter="0" w:footer="0" w:header="0"/>
          <w:type w:val="continuous"/>
        </w:sectPr>
      </w:pPr>
    </w:p>
    <w:p>
      <w:pPr>
        <w:ind w:left="600" w:right="20"/>
        <w:spacing w:after="0" w:line="255" w:lineRule="auto"/>
        <w:rPr>
          <w:sz w:val="20"/>
          <w:szCs w:val="20"/>
          <w:color w:val="auto"/>
        </w:rPr>
      </w:pPr>
      <w:r>
        <w:rPr>
          <w:rFonts w:ascii="Times New Roman" w:cs="Times New Roman" w:eastAsia="Times New Roman" w:hAnsi="Times New Roman"/>
          <w:sz w:val="18"/>
          <w:szCs w:val="18"/>
          <w:color w:val="auto"/>
        </w:rPr>
        <w:t>If the company’s TSR is greater than the Index TSR but is negative, the percentage of PSUs earned is capped at 100%. If the comparison of the company’s TSR against Index TSR falls between the levels specified in the above table, the corresponding PSUs earned will be determined by a linear interpolation. The vesting of the PSUs in the event of a termination or change in control is described in more detail below under “Potential Payments Upon Termination or Change in Control.”</w:t>
      </w:r>
    </w:p>
    <w:p>
      <w:pPr>
        <w:spacing w:after="0" w:line="127" w:lineRule="exact"/>
        <w:rPr>
          <w:sz w:val="20"/>
          <w:szCs w:val="20"/>
          <w:color w:val="auto"/>
        </w:rPr>
      </w:pPr>
    </w:p>
    <w:p>
      <w:pPr>
        <w:ind w:right="80" w:firstLine="589"/>
        <w:spacing w:after="0" w:line="255" w:lineRule="auto"/>
        <w:rPr>
          <w:sz w:val="20"/>
          <w:szCs w:val="20"/>
          <w:color w:val="auto"/>
        </w:rPr>
      </w:pPr>
      <w:r>
        <w:rPr>
          <w:rFonts w:ascii="Times New Roman" w:cs="Times New Roman" w:eastAsia="Times New Roman" w:hAnsi="Times New Roman"/>
          <w:sz w:val="18"/>
          <w:szCs w:val="18"/>
          <w:color w:val="auto"/>
        </w:rPr>
        <w:t>At the beginning of each year, our compensation committee grants annual equity awards to our named executive officers. These equity awards to our named executive officers reflect the pay levels our compensation committee believed were appropriate relative to the market data, each executive’s individual performance, and maintaining an overall competitive compensation package. The following table sets forth certain information regarding grants of equity based awards to our named executive officers in 2019:</w:t>
      </w:r>
    </w:p>
    <w:p>
      <w:pPr>
        <w:spacing w:after="0" w:line="360"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2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88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3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PSUs</w:t>
            </w: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Archie C. Black</w:t>
            </w:r>
          </w:p>
        </w:tc>
        <w:tc>
          <w:tcPr>
            <w:tcW w:w="220" w:type="dxa"/>
            <w:vAlign w:val="bottom"/>
            <w:tcBorders>
              <w:top w:val="single" w:sz="8" w:color="CFF0FC"/>
            </w:tcBorders>
            <w:shd w:val="clear" w:color="auto" w:fill="CFF0FC"/>
          </w:tcPr>
          <w:p>
            <w:pPr>
              <w:spacing w:after="0"/>
              <w:rPr>
                <w:sz w:val="20"/>
                <w:szCs w:val="20"/>
                <w:color w:val="auto"/>
              </w:rPr>
            </w:pPr>
          </w:p>
        </w:tc>
        <w:tc>
          <w:tcPr>
            <w:tcW w:w="1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34,482</w:t>
            </w:r>
          </w:p>
        </w:tc>
        <w:tc>
          <w:tcPr>
            <w:tcW w:w="40" w:type="dxa"/>
            <w:vAlign w:val="bottom"/>
            <w:tcBorders>
              <w:top w:val="single" w:sz="8" w:color="CFF0FC"/>
            </w:tcBorders>
            <w:shd w:val="clear" w:color="auto" w:fill="CFF0FC"/>
          </w:tcPr>
          <w:p>
            <w:pPr>
              <w:spacing w:after="0"/>
              <w:rPr>
                <w:sz w:val="20"/>
                <w:szCs w:val="20"/>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22,004</w:t>
            </w:r>
          </w:p>
        </w:tc>
        <w:tc>
          <w:tcPr>
            <w:tcW w:w="60" w:type="dxa"/>
            <w:vAlign w:val="bottom"/>
            <w:tcBorders>
              <w:top w:val="single" w:sz="8" w:color="CFF0FC"/>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11,002</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Kimberly K. Nelson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17,600</w:t>
            </w:r>
          </w:p>
        </w:tc>
        <w:tc>
          <w:tcPr>
            <w:tcW w:w="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11,230</w:t>
            </w:r>
          </w:p>
        </w:tc>
        <w:tc>
          <w:tcPr>
            <w:tcW w:w="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vMerge w:val="continue"/>
          </w:tcPr>
          <w:p>
            <w:pPr>
              <w:spacing w:after="0"/>
              <w:rPr>
                <w:sz w:val="19"/>
                <w:szCs w:val="19"/>
                <w:color w:val="auto"/>
              </w:rPr>
            </w:pPr>
          </w:p>
        </w:tc>
        <w:tc>
          <w:tcPr>
            <w:tcW w:w="5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J. Frome</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20,114</w:t>
            </w:r>
          </w:p>
        </w:tc>
        <w:tc>
          <w:tcPr>
            <w:tcW w:w="4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860" w:right="340" w:hanging="430"/>
        <w:spacing w:after="0" w:line="274" w:lineRule="auto"/>
        <w:tabs>
          <w:tab w:leader="none" w:pos="8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presented is the target number of PSUs granted</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The threshold and maximum number of PSUs is set forth in the Grants of Plan-Based Awards Table on page 27.</w:t>
      </w:r>
    </w:p>
    <w:p>
      <w:pPr>
        <w:spacing w:after="0" w:line="110" w:lineRule="exact"/>
        <w:rPr>
          <w:sz w:val="20"/>
          <w:szCs w:val="20"/>
          <w:color w:val="auto"/>
        </w:rPr>
      </w:pPr>
    </w:p>
    <w:p>
      <w:pPr>
        <w:ind w:right="20" w:firstLine="589"/>
        <w:spacing w:after="0" w:line="259" w:lineRule="auto"/>
        <w:rPr>
          <w:sz w:val="20"/>
          <w:szCs w:val="20"/>
          <w:color w:val="auto"/>
        </w:rPr>
      </w:pPr>
      <w:r>
        <w:rPr>
          <w:rFonts w:ascii="Times New Roman" w:cs="Times New Roman" w:eastAsia="Times New Roman" w:hAnsi="Times New Roman"/>
          <w:sz w:val="18"/>
          <w:szCs w:val="18"/>
          <w:color w:val="auto"/>
        </w:rPr>
        <w:t>In 2019, the mix of equity awards granted was similar to the mix granted in 2018. In the future, we anticipate that equity compensation, whether in the form of restricted stock, stock options, RSUs, PSUs or other stock-based awards, will remain a significant part of our executive compensation program and will continue to be granted on an annual basis to ensure a continued unvested equity component to the executive compensation package.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Stock Ownership Guidelines</w:t>
      </w:r>
    </w:p>
    <w:p>
      <w:pPr>
        <w:spacing w:after="0" w:line="168" w:lineRule="exact"/>
        <w:rPr>
          <w:sz w:val="20"/>
          <w:szCs w:val="20"/>
          <w:color w:val="auto"/>
        </w:rPr>
      </w:pPr>
    </w:p>
    <w:p>
      <w:pPr>
        <w:ind w:right="80" w:firstLine="589"/>
        <w:spacing w:after="0" w:line="251" w:lineRule="auto"/>
        <w:rPr>
          <w:sz w:val="20"/>
          <w:szCs w:val="20"/>
          <w:color w:val="auto"/>
        </w:rPr>
      </w:pPr>
      <w:r>
        <w:rPr>
          <w:rFonts w:ascii="Times New Roman" w:cs="Times New Roman" w:eastAsia="Times New Roman" w:hAnsi="Times New Roman"/>
          <w:sz w:val="18"/>
          <w:szCs w:val="18"/>
          <w:color w:val="auto"/>
        </w:rPr>
        <w:t>Under our stock ownership guidelines, our chief executive officer is required to beneficially own shares of our common stock with a value equal to at least three times his annual base salary, and our other executive officers are required to beneficially own shares of our common stock with a value equal to at least one times his or her annual base salary. An executive officer has five years from the date he or she becomes subject to the ownership guidelines to achieve compliance with the guidelines. Until an executive officer has achieved compliance with the ownership guidelines, the executive must retain 50% of the net shares acquired upon exercise, vesting or settlement of any equity award. Each of our executive officers were in compliance with our stock ownership guidelines as of March 25, 2020.</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00AAE5"/>
        </w:rPr>
        <w:t>Other Compensation</w:t>
      </w:r>
    </w:p>
    <w:p>
      <w:pPr>
        <w:spacing w:after="0" w:line="168" w:lineRule="exact"/>
        <w:rPr>
          <w:sz w:val="20"/>
          <w:szCs w:val="20"/>
          <w:color w:val="auto"/>
        </w:rPr>
      </w:pPr>
    </w:p>
    <w:p>
      <w:pPr>
        <w:ind w:right="20" w:firstLine="589"/>
        <w:spacing w:after="0" w:line="252" w:lineRule="auto"/>
        <w:rPr>
          <w:sz w:val="20"/>
          <w:szCs w:val="20"/>
          <w:color w:val="auto"/>
        </w:rPr>
      </w:pPr>
      <w:r>
        <w:rPr>
          <w:rFonts w:ascii="Times New Roman" w:cs="Times New Roman" w:eastAsia="Times New Roman" w:hAnsi="Times New Roman"/>
          <w:sz w:val="18"/>
          <w:szCs w:val="18"/>
          <w:color w:val="auto"/>
        </w:rPr>
        <w:t>Perquisites are not a material aspect of our executive compensation program. All of our full-time employees, including our named executive officers, are eligible to participate in our 401(k) plan. Pursuant to our 401(k) plan, employees may elect to reduce their current compensation by up to the statutorily prescribed annual limit and to have the amount of this reduction contributed to our 401(k) plan. In 2019, our 401(k) plan provided that we would match eligible employees’ 401(k) contributions equal to 50% of the employee’s elective deferrals, up to the first 6% of the employee’s pre-tax compensation for each pay period, payable half in cash and half in shares of our common 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Severance and Change in Control Benefits</w:t>
      </w:r>
    </w:p>
    <w:p>
      <w:pPr>
        <w:spacing w:after="0" w:line="168" w:lineRule="exact"/>
        <w:rPr>
          <w:sz w:val="20"/>
          <w:szCs w:val="20"/>
          <w:color w:val="auto"/>
        </w:rPr>
      </w:pPr>
    </w:p>
    <w:p>
      <w:pPr>
        <w:ind w:right="120" w:firstLine="589"/>
        <w:spacing w:after="0" w:line="274" w:lineRule="auto"/>
        <w:rPr>
          <w:sz w:val="20"/>
          <w:szCs w:val="20"/>
          <w:color w:val="auto"/>
        </w:rPr>
      </w:pPr>
      <w:r>
        <w:rPr>
          <w:rFonts w:ascii="Times New Roman" w:cs="Times New Roman" w:eastAsia="Times New Roman" w:hAnsi="Times New Roman"/>
          <w:sz w:val="17"/>
          <w:szCs w:val="17"/>
          <w:color w:val="auto"/>
        </w:rPr>
        <w:t>We have entered into employment agreements with each of our named executive officers that require us to provide certain payments and benefits to them in the event of a termination of employment and/or a change in control of the company. We believe that these payments and benefits are necessary to attract our executives to join our company and that they are in the best interests of the company and our stockholders because they help assure us that we will have the continued dedication and objectivity of our executives, notwithstanding the possibility or occurrence of a change in control.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Tax Implications</w:t>
      </w:r>
    </w:p>
    <w:p>
      <w:pPr>
        <w:spacing w:after="0" w:line="168" w:lineRule="exact"/>
        <w:rPr>
          <w:sz w:val="20"/>
          <w:szCs w:val="20"/>
          <w:color w:val="auto"/>
        </w:rPr>
      </w:pPr>
    </w:p>
    <w:p>
      <w:pPr>
        <w:ind w:right="20" w:firstLine="589"/>
        <w:spacing w:after="0" w:line="252" w:lineRule="auto"/>
        <w:rPr>
          <w:sz w:val="20"/>
          <w:szCs w:val="20"/>
          <w:color w:val="auto"/>
        </w:rPr>
      </w:pPr>
      <w:r>
        <w:rPr>
          <w:rFonts w:ascii="Times New Roman" w:cs="Times New Roman" w:eastAsia="Times New Roman" w:hAnsi="Times New Roman"/>
          <w:sz w:val="18"/>
          <w:szCs w:val="18"/>
          <w:color w:val="auto"/>
        </w:rPr>
        <w:t>Section 162(m) of the Internal Revenue Code (the “Code”) as in effect prior to the enactment of the Tax Cuts and Jobs Act of 2017 (“Tax Reform Act”) in December 2017 generally disallowed a tax deduction to public companies for compensation of more than $1 million paid in any taxable year to each “covered employee,” consisting of the chief executive officer and the three other highest paid executive officers employed at the end of the year (other than the chief financial officer). “Performance-based compensation” was exempt from this deduction limitation if the company met specified requirements set forth in the Code and applicable treasury regulations.</w:t>
      </w:r>
    </w:p>
    <w:p>
      <w:pPr>
        <w:spacing w:after="0" w:line="132" w:lineRule="exact"/>
        <w:rPr>
          <w:sz w:val="20"/>
          <w:szCs w:val="20"/>
          <w:color w:val="auto"/>
        </w:rPr>
      </w:pPr>
    </w:p>
    <w:p>
      <w:pPr>
        <w:ind w:firstLine="589"/>
        <w:spacing w:after="0" w:line="250" w:lineRule="auto"/>
        <w:rPr>
          <w:sz w:val="20"/>
          <w:szCs w:val="20"/>
          <w:color w:val="auto"/>
        </w:rPr>
      </w:pPr>
      <w:r>
        <w:rPr>
          <w:rFonts w:ascii="Times New Roman" w:cs="Times New Roman" w:eastAsia="Times New Roman" w:hAnsi="Times New Roman"/>
          <w:sz w:val="18"/>
          <w:szCs w:val="18"/>
          <w:color w:val="auto"/>
        </w:rPr>
        <w:t>The Tax Reform Act retained the $1 million deduction limit, but repealed the “performance-based compensation” exemption from the deduction limit and expanded the definition of “covered employees,” effective for taxable years beginning after December 31, 2017. Consequently, compensation paid in 2018 and later years to our named executive officers in excess of $1 million is not deductible unless it qualifies for transitional relief applicable to certain binding, written performance-based compensation arrangements that were in place as of November 2, 2017. The compensation committee intends to continue to comply with the requirements of Section 162(m) as it existed prior to the Tax Reform Act with respect to performance-based compensation in excess of $1 million payable under outstanding awards granted before November 2, 2017 under the 2010 Equity Incentive Plan in order to qualify them for the transitional relief.</w:t>
      </w:r>
    </w:p>
    <w:p>
      <w:pPr>
        <w:spacing w:after="0" w:line="134" w:lineRule="exact"/>
        <w:rPr>
          <w:sz w:val="20"/>
          <w:szCs w:val="20"/>
          <w:color w:val="auto"/>
        </w:rPr>
      </w:pPr>
    </w:p>
    <w:p>
      <w:pPr>
        <w:ind w:right="380" w:firstLine="589"/>
        <w:spacing w:after="0" w:line="252" w:lineRule="auto"/>
        <w:rPr>
          <w:sz w:val="20"/>
          <w:szCs w:val="20"/>
          <w:color w:val="auto"/>
        </w:rPr>
      </w:pPr>
      <w:r>
        <w:rPr>
          <w:rFonts w:ascii="Times New Roman" w:cs="Times New Roman" w:eastAsia="Times New Roman" w:hAnsi="Times New Roman"/>
          <w:sz w:val="18"/>
          <w:szCs w:val="18"/>
          <w:color w:val="auto"/>
        </w:rPr>
        <w:t>The compensation committee believes that stockholder interests are best served if its discretion and flexibility in structuring and awarding compensation is not restricted, even though some compensation awards result in non-deductible compensation expenses to the company. Also, our compensation committee takes into account whether components of our compensation program may be subject to the penalty tax associated with Section 409A of the Code, and aims to structure the elements of compensation to be compliant with or exempt from Section 409A to avoid such potential adverse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348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Committee Report</w:t>
      </w:r>
    </w:p>
    <w:p>
      <w:pPr>
        <w:spacing w:after="0" w:line="164" w:lineRule="exact"/>
        <w:rPr>
          <w:sz w:val="20"/>
          <w:szCs w:val="20"/>
          <w:color w:val="auto"/>
        </w:rPr>
      </w:pPr>
    </w:p>
    <w:p>
      <w:pPr>
        <w:ind w:right="480" w:firstLine="589"/>
        <w:spacing w:after="0" w:line="259" w:lineRule="auto"/>
        <w:rPr>
          <w:sz w:val="20"/>
          <w:szCs w:val="20"/>
          <w:color w:val="auto"/>
        </w:rPr>
      </w:pPr>
      <w:r>
        <w:rPr>
          <w:rFonts w:ascii="Times New Roman" w:cs="Times New Roman" w:eastAsia="Times New Roman" w:hAnsi="Times New Roman"/>
          <w:sz w:val="18"/>
          <w:szCs w:val="18"/>
          <w:color w:val="auto"/>
        </w:rPr>
        <w:t>The committee has reviewed and discussed the Compensation Discussion and Analysis with management and has recommended to the board of directors the inclusion of the Compensation Discussion and Analysis in the company’s definitive proxy statement and incorporated by reference in the company’s Annual Report on Form 10-K.</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of the Board of Directors of SPS Commerce,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Philip E. Soran, </w:t>
      </w:r>
      <w:r>
        <w:rPr>
          <w:rFonts w:ascii="Times New Roman" w:cs="Times New Roman" w:eastAsia="Times New Roman" w:hAnsi="Times New Roman"/>
          <w:sz w:val="18"/>
          <w:szCs w:val="18"/>
          <w:i w:val="1"/>
          <w:iCs w:val="1"/>
          <w:color w:val="auto"/>
        </w:rPr>
        <w:t>Chair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James B. Ramsey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Marty M. Reaume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30" w:name="page31"/>
    <w:bookmarkEnd w:id="30"/>
    <w:p>
      <w:pPr>
        <w:spacing w:after="0"/>
        <w:rPr>
          <w:sz w:val="20"/>
          <w:szCs w:val="20"/>
          <w:color w:val="auto"/>
        </w:rPr>
      </w:pPr>
      <w:r>
        <w:rPr>
          <w:rFonts w:ascii="Arial" w:cs="Arial" w:eastAsia="Arial" w:hAnsi="Arial"/>
          <w:sz w:val="19"/>
          <w:szCs w:val="19"/>
          <w:b w:val="1"/>
          <w:bCs w:val="1"/>
          <w:color w:val="auto"/>
        </w:rPr>
        <w:t>2019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348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compensation paid to and earned by our named executive officers in 2019, 2018 and 2017:</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13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0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80" w:type="dxa"/>
            <w:vAlign w:val="bottom"/>
            <w:gridSpan w:val="2"/>
            <w:vMerge w:val="continue"/>
          </w:tcPr>
          <w:p>
            <w:pPr>
              <w:spacing w:after="0"/>
              <w:rPr>
                <w:sz w:val="12"/>
                <w:szCs w:val="12"/>
                <w:color w:val="auto"/>
              </w:rPr>
            </w:pPr>
          </w:p>
        </w:tc>
        <w:tc>
          <w:tcPr>
            <w:tcW w:w="11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8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0" w:type="dxa"/>
            <w:vAlign w:val="bottom"/>
            <w:gridSpan w:val="2"/>
          </w:tcPr>
          <w:p>
            <w:pPr>
              <w:ind w:left="30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2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3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8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color w:val="auto"/>
              </w:rPr>
              <w:t>(1)</w:t>
            </w:r>
          </w:p>
        </w:tc>
        <w:tc>
          <w:tcPr>
            <w:tcW w:w="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color w:val="auto"/>
                <w:w w:val="98"/>
              </w:rPr>
              <w:t>(1)</w:t>
            </w:r>
          </w:p>
        </w:tc>
        <w:tc>
          <w:tcPr>
            <w:tcW w:w="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color w:val="auto"/>
                <w:w w:val="98"/>
              </w:rPr>
              <w:t>(2)</w:t>
            </w:r>
          </w:p>
        </w:tc>
        <w:tc>
          <w:tcPr>
            <w:tcW w:w="140" w:type="dxa"/>
            <w:vAlign w:val="bottom"/>
          </w:tcPr>
          <w:p>
            <w:pPr>
              <w:spacing w:after="0"/>
              <w:rPr>
                <w:sz w:val="14"/>
                <w:szCs w:val="14"/>
                <w:color w:val="auto"/>
              </w:rPr>
            </w:pPr>
          </w:p>
        </w:tc>
        <w:tc>
          <w:tcPr>
            <w:tcW w:w="11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Archie C. Black</w:t>
            </w:r>
          </w:p>
        </w:tc>
        <w:tc>
          <w:tcPr>
            <w:tcW w:w="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495,000</w:t>
            </w:r>
          </w:p>
        </w:tc>
        <w:tc>
          <w:tcPr>
            <w:tcW w:w="14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7"/>
              </w:rPr>
              <w:t>2,015,896</w:t>
            </w:r>
          </w:p>
        </w:tc>
        <w:tc>
          <w:tcPr>
            <w:tcW w:w="1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600,024</w:t>
            </w:r>
          </w:p>
        </w:tc>
        <w:tc>
          <w:tcPr>
            <w:tcW w:w="16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542,900</w:t>
            </w:r>
          </w:p>
        </w:tc>
        <w:tc>
          <w:tcPr>
            <w:tcW w:w="1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7"/>
              </w:rPr>
              <w:t>3,662,220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Chief Executive</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495,000</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7"/>
              </w:rPr>
              <w:t>2,527,729</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599,984</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890,000</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7"/>
              </w:rPr>
              <w:t>4,520,963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2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i w:val="1"/>
                <w:iCs w:val="1"/>
                <w:color w:val="auto"/>
              </w:rPr>
              <w:t>Officer and</w:t>
            </w: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2017</w:t>
            </w: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495,000</w:t>
            </w:r>
          </w:p>
        </w:tc>
        <w:tc>
          <w:tcPr>
            <w:tcW w:w="1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ind w:left="3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ind w:left="340"/>
              <w:spacing w:after="0" w:line="205" w:lineRule="exact"/>
              <w:rPr>
                <w:sz w:val="20"/>
                <w:szCs w:val="20"/>
                <w:color w:val="auto"/>
              </w:rPr>
            </w:pPr>
            <w:r>
              <w:rPr>
                <w:rFonts w:ascii="Times New Roman" w:cs="Times New Roman" w:eastAsia="Times New Roman" w:hAnsi="Times New Roman"/>
                <w:sz w:val="18"/>
                <w:szCs w:val="18"/>
                <w:color w:val="auto"/>
                <w:w w:val="97"/>
              </w:rPr>
              <w:t>3,749,891</w:t>
            </w: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749,996</w:t>
            </w: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289,250</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4,050</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ind w:left="380"/>
              <w:spacing w:after="0" w:line="205" w:lineRule="exact"/>
              <w:rPr>
                <w:sz w:val="20"/>
                <w:szCs w:val="20"/>
                <w:color w:val="auto"/>
              </w:rPr>
            </w:pPr>
            <w:r>
              <w:rPr>
                <w:rFonts w:ascii="Times New Roman" w:cs="Times New Roman" w:eastAsia="Times New Roman" w:hAnsi="Times New Roman"/>
                <w:sz w:val="18"/>
                <w:szCs w:val="18"/>
                <w:color w:val="auto"/>
                <w:w w:val="97"/>
              </w:rPr>
              <w:t>5,288,187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Kimberly K. Nelson</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345,000</w:t>
            </w:r>
          </w:p>
        </w:tc>
        <w:tc>
          <w:tcPr>
            <w:tcW w:w="140" w:type="dxa"/>
            <w:vAlign w:val="bottom"/>
          </w:tcPr>
          <w:p>
            <w:pPr>
              <w:spacing w:after="0"/>
              <w:rPr>
                <w:sz w:val="24"/>
                <w:szCs w:val="24"/>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1,028,762</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306,259</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317,200</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40" w:type="dxa"/>
            <w:vAlign w:val="bottom"/>
          </w:tcPr>
          <w:p>
            <w:pPr>
              <w:spacing w:after="0"/>
              <w:rPr>
                <w:sz w:val="24"/>
                <w:szCs w:val="24"/>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2,005,621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345,000</w:t>
            </w:r>
          </w:p>
        </w:tc>
        <w:tc>
          <w:tcPr>
            <w:tcW w:w="14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1,007,943</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306,245</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520,000</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7,060</w:t>
            </w:r>
          </w:p>
        </w:tc>
        <w:tc>
          <w:tcPr>
            <w:tcW w:w="140" w:type="dxa"/>
            <w:vAlign w:val="bottom"/>
          </w:tcPr>
          <w:p>
            <w:pPr>
              <w:spacing w:after="0"/>
              <w:rPr>
                <w:sz w:val="19"/>
                <w:szCs w:val="19"/>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2,186,248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345,000</w:t>
            </w:r>
          </w:p>
        </w:tc>
        <w:tc>
          <w:tcPr>
            <w:tcW w:w="14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1,531,193</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306,247</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169,000</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140" w:type="dxa"/>
            <w:vAlign w:val="bottom"/>
          </w:tcPr>
          <w:p>
            <w:pPr>
              <w:spacing w:after="0"/>
              <w:rPr>
                <w:sz w:val="18"/>
                <w:szCs w:val="18"/>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2,354,845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Financial Officer</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200" w:type="dxa"/>
            <w:vAlign w:val="bottom"/>
          </w:tcPr>
          <w:p>
            <w:pPr>
              <w:spacing w:after="0"/>
              <w:rPr>
                <w:sz w:val="11"/>
                <w:szCs w:val="11"/>
                <w:color w:val="auto"/>
              </w:rPr>
            </w:pPr>
          </w:p>
        </w:tc>
        <w:tc>
          <w:tcPr>
            <w:tcW w:w="80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J. Frome</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7"/>
              </w:rPr>
              <w:t>1,175,712</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350,005</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329,400</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7"/>
              </w:rPr>
              <w:t>2,223,517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Executive Vice</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7"/>
              </w:rPr>
              <w:t>1,151,927</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349,981</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7"/>
              </w:rPr>
              <w:t>2,410,158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2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i w:val="1"/>
                <w:iCs w:val="1"/>
                <w:color w:val="auto"/>
              </w:rPr>
              <w:t>President and Chief</w:t>
            </w: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2017</w:t>
            </w: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360,000</w:t>
            </w:r>
          </w:p>
        </w:tc>
        <w:tc>
          <w:tcPr>
            <w:tcW w:w="1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ind w:left="3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ind w:left="340"/>
              <w:spacing w:after="0" w:line="205" w:lineRule="exact"/>
              <w:rPr>
                <w:sz w:val="20"/>
                <w:szCs w:val="20"/>
                <w:color w:val="auto"/>
              </w:rPr>
            </w:pPr>
            <w:r>
              <w:rPr>
                <w:rFonts w:ascii="Times New Roman" w:cs="Times New Roman" w:eastAsia="Times New Roman" w:hAnsi="Times New Roman"/>
                <w:sz w:val="18"/>
                <w:szCs w:val="18"/>
                <w:color w:val="auto"/>
                <w:w w:val="97"/>
              </w:rPr>
              <w:t>1,556,147</w:t>
            </w: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311,242</w:t>
            </w: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175,500</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4,050</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ind w:left="380"/>
              <w:spacing w:after="0" w:line="205" w:lineRule="exact"/>
              <w:rPr>
                <w:sz w:val="20"/>
                <w:szCs w:val="20"/>
                <w:color w:val="auto"/>
              </w:rPr>
            </w:pPr>
            <w:r>
              <w:rPr>
                <w:rFonts w:ascii="Times New Roman" w:cs="Times New Roman" w:eastAsia="Times New Roman" w:hAnsi="Times New Roman"/>
                <w:sz w:val="18"/>
                <w:szCs w:val="18"/>
                <w:color w:val="auto"/>
                <w:w w:val="97"/>
              </w:rPr>
              <w:t>2,406,939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Operating Officer</w:t>
            </w:r>
          </w:p>
        </w:tc>
        <w:tc>
          <w:tcPr>
            <w:tcW w:w="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440" w:right="160" w:hanging="434"/>
        <w:spacing w:after="0" w:line="255" w:lineRule="auto"/>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the stock-based awards granted during the year computed in accordance with ASC Topic 718. For a discussion of the relevant assumptions used to determine the valuation of our stock option awards for financial reporting purposes, refer to Note M to the Notes to Consolidated Financial Statements included in our Annual Report on Form 10-K filed on February 25, 2020. The grant date fair value of the RSUs and PSUs granted in each year if target performance and maximum performance is achieved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60" w:type="dxa"/>
            <w:vAlign w:val="bottom"/>
          </w:tcPr>
          <w:p>
            <w:pPr>
              <w:spacing w:after="0"/>
              <w:rPr>
                <w:sz w:val="20"/>
                <w:szCs w:val="20"/>
                <w:color w:val="auto"/>
              </w:rPr>
            </w:pPr>
          </w:p>
        </w:tc>
        <w:tc>
          <w:tcPr>
            <w:tcW w:w="206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4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1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2017</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2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b w:val="1"/>
                <w:bCs w:val="1"/>
                <w:color w:val="auto"/>
              </w:rPr>
              <w:t>PSU</w:t>
            </w:r>
          </w:p>
        </w:tc>
        <w:tc>
          <w:tcPr>
            <w:tcW w:w="640" w:type="dxa"/>
            <w:vAlign w:val="bottom"/>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rPr>
              <w:t>Target</w:t>
            </w:r>
          </w:p>
        </w:tc>
        <w:tc>
          <w:tcPr>
            <w:tcW w:w="1040" w:type="dxa"/>
            <w:vAlign w:val="bottom"/>
            <w:tcBorders>
              <w:right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b w:val="1"/>
                <w:bCs w:val="1"/>
                <w:color w:val="auto"/>
              </w:rPr>
              <w:t>PSU Maximum</w:t>
            </w:r>
          </w:p>
        </w:tc>
        <w:tc>
          <w:tcPr>
            <w:tcW w:w="14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b w:val="1"/>
                <w:bCs w:val="1"/>
                <w:color w:val="auto"/>
              </w:rPr>
              <w:t>PSU</w:t>
            </w:r>
          </w:p>
        </w:tc>
        <w:tc>
          <w:tcPr>
            <w:tcW w:w="620" w:type="dxa"/>
            <w:vAlign w:val="bottom"/>
          </w:tcPr>
          <w:p>
            <w:pPr>
              <w:ind w:left="100"/>
              <w:spacing w:after="0" w:line="114" w:lineRule="exact"/>
              <w:rPr>
                <w:sz w:val="20"/>
                <w:szCs w:val="20"/>
                <w:color w:val="auto"/>
              </w:rPr>
            </w:pPr>
            <w:r>
              <w:rPr>
                <w:rFonts w:ascii="Times New Roman" w:cs="Times New Roman" w:eastAsia="Times New Roman" w:hAnsi="Times New Roman"/>
                <w:sz w:val="13"/>
                <w:szCs w:val="13"/>
                <w:b w:val="1"/>
                <w:bCs w:val="1"/>
                <w:color w:val="auto"/>
              </w:rPr>
              <w:t>Target</w:t>
            </w:r>
          </w:p>
        </w:tc>
        <w:tc>
          <w:tcPr>
            <w:tcW w:w="1120" w:type="dxa"/>
            <w:vAlign w:val="bottom"/>
            <w:tcBorders>
              <w:right w:val="single" w:sz="8" w:color="auto"/>
            </w:tcBorders>
          </w:tcPr>
          <w:p>
            <w:pPr>
              <w:jc w:val="right"/>
              <w:ind w:right="40"/>
              <w:spacing w:after="0" w:line="114" w:lineRule="exact"/>
              <w:rPr>
                <w:sz w:val="20"/>
                <w:szCs w:val="20"/>
                <w:color w:val="auto"/>
              </w:rPr>
            </w:pPr>
            <w:r>
              <w:rPr>
                <w:rFonts w:ascii="Times New Roman" w:cs="Times New Roman" w:eastAsia="Times New Roman" w:hAnsi="Times New Roman"/>
                <w:sz w:val="13"/>
                <w:szCs w:val="13"/>
                <w:b w:val="1"/>
                <w:bCs w:val="1"/>
                <w:color w:val="auto"/>
              </w:rPr>
              <w:t>PSU Maximum</w:t>
            </w:r>
          </w:p>
        </w:tc>
        <w:tc>
          <w:tcPr>
            <w:tcW w:w="102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RSUs ($)</w:t>
            </w:r>
          </w:p>
        </w:tc>
        <w:tc>
          <w:tcPr>
            <w:tcW w:w="110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PSU  Target ($)</w:t>
            </w:r>
          </w:p>
        </w:tc>
        <w:tc>
          <w:tcPr>
            <w:tcW w:w="84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b w:val="1"/>
                <w:bCs w:val="1"/>
                <w:color w:val="auto"/>
              </w:rPr>
              <w:t>PSU Maximu</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60" w:type="dxa"/>
            <w:vAlign w:val="bottom"/>
            <w:tcBorders>
              <w:bottom w:val="single" w:sz="8" w:color="auto"/>
            </w:tcBorders>
            <w:vMerge w:val="continue"/>
          </w:tcPr>
          <w:p>
            <w:pPr>
              <w:spacing w:after="0"/>
              <w:rPr>
                <w:sz w:val="14"/>
                <w:szCs w:val="14"/>
                <w:color w:val="auto"/>
              </w:rPr>
            </w:pPr>
          </w:p>
        </w:tc>
        <w:tc>
          <w:tcPr>
            <w:tcW w:w="14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RSUs ($)</w:t>
            </w:r>
          </w:p>
        </w:tc>
        <w:tc>
          <w:tcPr>
            <w:tcW w:w="6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right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RSUs ($)</w:t>
            </w:r>
          </w:p>
        </w:tc>
        <w:tc>
          <w:tcPr>
            <w:tcW w:w="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right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Archie C. Black</w:t>
            </w:r>
          </w:p>
        </w:tc>
        <w:tc>
          <w:tcPr>
            <w:tcW w:w="142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18"/>
                <w:szCs w:val="18"/>
                <w:color w:val="auto"/>
              </w:rPr>
              <w:t>1,200,098</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815,798</w:t>
            </w:r>
          </w:p>
        </w:tc>
        <w:tc>
          <w:tcPr>
            <w:tcW w:w="10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1,199,988</w:t>
            </w:r>
          </w:p>
        </w:tc>
        <w:tc>
          <w:tcPr>
            <w:tcW w:w="1480" w:type="dxa"/>
            <w:vAlign w:val="bottom"/>
            <w:shd w:val="clear" w:color="auto" w:fill="CFF0FC"/>
          </w:tcPr>
          <w:p>
            <w:pPr>
              <w:jc w:val="right"/>
              <w:ind w:right="321"/>
              <w:spacing w:after="0"/>
              <w:rPr>
                <w:sz w:val="20"/>
                <w:szCs w:val="20"/>
                <w:color w:val="auto"/>
              </w:rPr>
            </w:pPr>
            <w:r>
              <w:rPr>
                <w:rFonts w:ascii="Times New Roman" w:cs="Times New Roman" w:eastAsia="Times New Roman" w:hAnsi="Times New Roman"/>
                <w:sz w:val="18"/>
                <w:szCs w:val="18"/>
                <w:color w:val="auto"/>
              </w:rPr>
              <w:t>1,752,887</w:t>
            </w:r>
          </w:p>
        </w:tc>
        <w:tc>
          <w:tcPr>
            <w:tcW w:w="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774,843</w:t>
            </w:r>
          </w:p>
        </w:tc>
        <w:tc>
          <w:tcPr>
            <w:tcW w:w="11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1,199,898</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1,499,945</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2,249,946</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Kimberly K. Nelson</w:t>
            </w:r>
          </w:p>
        </w:tc>
        <w:tc>
          <w:tcPr>
            <w:tcW w:w="1420" w:type="dxa"/>
            <w:vAlign w:val="bottom"/>
          </w:tcPr>
          <w:p>
            <w:pPr>
              <w:jc w:val="right"/>
              <w:ind w:right="301"/>
              <w:spacing w:after="0"/>
              <w:rPr>
                <w:sz w:val="20"/>
                <w:szCs w:val="20"/>
                <w:color w:val="auto"/>
              </w:rPr>
            </w:pPr>
            <w:r>
              <w:rPr>
                <w:rFonts w:ascii="Times New Roman" w:cs="Times New Roman" w:eastAsia="Times New Roman" w:hAnsi="Times New Roman"/>
                <w:sz w:val="18"/>
                <w:szCs w:val="18"/>
                <w:color w:val="auto"/>
              </w:rPr>
              <w:t>612,484</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416,278</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612,319</w:t>
            </w:r>
          </w:p>
        </w:tc>
        <w:tc>
          <w:tcPr>
            <w:tcW w:w="1480" w:type="dxa"/>
            <w:vAlign w:val="bottom"/>
          </w:tcPr>
          <w:p>
            <w:pPr>
              <w:jc w:val="right"/>
              <w:ind w:right="321"/>
              <w:spacing w:after="0"/>
              <w:rPr>
                <w:sz w:val="20"/>
                <w:szCs w:val="20"/>
                <w:color w:val="auto"/>
              </w:rPr>
            </w:pPr>
            <w:r>
              <w:rPr>
                <w:rFonts w:ascii="Times New Roman" w:cs="Times New Roman" w:eastAsia="Times New Roman" w:hAnsi="Times New Roman"/>
                <w:sz w:val="18"/>
                <w:szCs w:val="18"/>
                <w:color w:val="auto"/>
              </w:rPr>
              <w:t>612,471</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395.472</w:t>
            </w: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612,416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612,477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918,716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J. Frome</w:t>
            </w:r>
          </w:p>
        </w:tc>
        <w:tc>
          <w:tcPr>
            <w:tcW w:w="142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18"/>
                <w:szCs w:val="18"/>
                <w:color w:val="auto"/>
              </w:rPr>
              <w:t>699,966</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475,746</w:t>
            </w:r>
          </w:p>
        </w:tc>
        <w:tc>
          <w:tcPr>
            <w:tcW w:w="10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699,793</w:t>
            </w:r>
          </w:p>
        </w:tc>
        <w:tc>
          <w:tcPr>
            <w:tcW w:w="1480" w:type="dxa"/>
            <w:vAlign w:val="bottom"/>
            <w:shd w:val="clear" w:color="auto" w:fill="CFF0FC"/>
          </w:tcPr>
          <w:p>
            <w:pPr>
              <w:jc w:val="right"/>
              <w:ind w:right="321"/>
              <w:spacing w:after="0"/>
              <w:rPr>
                <w:sz w:val="20"/>
                <w:szCs w:val="20"/>
                <w:color w:val="auto"/>
              </w:rPr>
            </w:pPr>
            <w:r>
              <w:rPr>
                <w:rFonts w:ascii="Times New Roman" w:cs="Times New Roman" w:eastAsia="Times New Roman" w:hAnsi="Times New Roman"/>
                <w:sz w:val="18"/>
                <w:szCs w:val="18"/>
                <w:color w:val="auto"/>
              </w:rPr>
              <w:t>699,959</w:t>
            </w:r>
          </w:p>
        </w:tc>
        <w:tc>
          <w:tcPr>
            <w:tcW w:w="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451,968</w:t>
            </w:r>
          </w:p>
        </w:tc>
        <w:tc>
          <w:tcPr>
            <w:tcW w:w="11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699,904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622,448</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933,699</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440" w:hanging="43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matching contributions under our 401(k) plan.</w:t>
      </w:r>
    </w:p>
    <w:p>
      <w:pPr>
        <w:spacing w:after="0" w:line="111" w:lineRule="exact"/>
        <w:rPr>
          <w:sz w:val="20"/>
          <w:szCs w:val="20"/>
          <w:color w:val="auto"/>
        </w:rPr>
      </w:pPr>
    </w:p>
    <w:p>
      <w:pPr>
        <w:ind w:left="440" w:right="280" w:hanging="434"/>
        <w:spacing w:after="0" w:line="274" w:lineRule="auto"/>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“Compensation Discussion and Analysis” above for a description of our executive compensation criteria necessary for an understanding of the information disclosed in this table.</w:t>
      </w:r>
    </w:p>
    <w:p>
      <w:pPr>
        <w:spacing w:after="0" w:line="1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1370" cy="16510"/>
                    </a:xfrm>
                    <a:prstGeom prst="rect">
                      <a:avLst/>
                    </a:prstGeom>
                    <a:noFill/>
                  </pic:spPr>
                </pic:pic>
              </a:graphicData>
            </a:graphic>
          </wp:anchor>
        </w:drawing>
      </w:r>
    </w:p>
    <w:p>
      <w:pPr>
        <w:sectPr>
          <w:pgSz w:w="11900" w:h="16838" w:orient="portrait"/>
          <w:cols w:equalWidth="0" w:num="1">
            <w:col w:w="11340"/>
          </w:cols>
          <w:pgMar w:left="320" w:top="362" w:right="239" w:bottom="1440" w:gutter="0" w:footer="0" w:header="0"/>
        </w:sectPr>
      </w:pPr>
    </w:p>
    <w:bookmarkStart w:id="31" w:name="page32"/>
    <w:bookmarkEnd w:id="31"/>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207010</wp:posOffset>
            </wp:positionH>
            <wp:positionV relativeFrom="page">
              <wp:posOffset>374650</wp:posOffset>
            </wp:positionV>
            <wp:extent cx="71348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860" cy="8255"/>
                    </a:xfrm>
                    <a:prstGeom prst="rect">
                      <a:avLst/>
                    </a:prstGeom>
                    <a:noFill/>
                  </pic:spPr>
                </pic:pic>
              </a:graphicData>
            </a:graphic>
          </wp:anchor>
        </w:drawing>
        <w:t>2019 Grants of Plan-Based Awards Table</w:t>
      </w:r>
    </w:p>
    <w:p>
      <w:pPr>
        <w:spacing w:after="0" w:line="164" w:lineRule="exact"/>
        <w:rPr>
          <w:sz w:val="20"/>
          <w:szCs w:val="20"/>
          <w:color w:val="auto"/>
        </w:rPr>
      </w:pPr>
    </w:p>
    <w:p>
      <w:pPr>
        <w:ind w:right="160" w:firstLine="589"/>
        <w:spacing w:after="0" w:line="274"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grants of plan-based awards to our named executive officers in 2019. The unit, share, and per share amounts included in the table reflect our two-for-one stock split effective August 22,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All</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All</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9"/>
        </w:trPr>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92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9"/>
        </w:trPr>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1"/>
                <w:szCs w:val="11"/>
                <w:b w:val="1"/>
                <w:bCs w:val="1"/>
                <w:color w:val="auto"/>
                <w:w w:val="91"/>
              </w:rPr>
              <w:t>Stock</w:t>
            </w:r>
          </w:p>
        </w:tc>
        <w:tc>
          <w:tcPr>
            <w:tcW w:w="920" w:type="dxa"/>
            <w:vAlign w:val="bottom"/>
            <w:gridSpan w:val="2"/>
          </w:tcPr>
          <w:p>
            <w:pPr>
              <w:jc w:val="center"/>
              <w:ind w:right="160"/>
              <w:spacing w:after="0" w:line="120"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9"/>
        </w:trPr>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1"/>
                <w:szCs w:val="11"/>
                <w:b w:val="1"/>
                <w:bCs w:val="1"/>
                <w:color w:val="auto"/>
                <w:w w:val="94"/>
              </w:rPr>
              <w:t>Awards:</w:t>
            </w:r>
          </w:p>
        </w:tc>
        <w:tc>
          <w:tcPr>
            <w:tcW w:w="92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1"/>
                <w:szCs w:val="11"/>
                <w:b w:val="1"/>
                <w:bCs w:val="1"/>
                <w:color w:val="auto"/>
                <w:w w:val="94"/>
              </w:rPr>
              <w:t>Awards:</w:t>
            </w:r>
          </w:p>
        </w:tc>
        <w:tc>
          <w:tcPr>
            <w:tcW w:w="820" w:type="dxa"/>
            <w:vAlign w:val="bottom"/>
            <w:gridSpan w:val="2"/>
          </w:tcPr>
          <w:p>
            <w:pPr>
              <w:jc w:val="center"/>
              <w:ind w:right="40"/>
              <w:spacing w:after="0" w:line="120" w:lineRule="exact"/>
              <w:rPr>
                <w:sz w:val="20"/>
                <w:szCs w:val="20"/>
                <w:color w:val="auto"/>
              </w:rPr>
            </w:pPr>
            <w:r>
              <w:rPr>
                <w:rFonts w:ascii="Times New Roman" w:cs="Times New Roman" w:eastAsia="Times New Roman" w:hAnsi="Times New Roman"/>
                <w:sz w:val="11"/>
                <w:szCs w:val="11"/>
                <w:b w:val="1"/>
                <w:bCs w:val="1"/>
                <w:color w:val="auto"/>
                <w:w w:val="95"/>
              </w:rPr>
              <w:t>Exercise</w:t>
            </w:r>
          </w:p>
        </w:tc>
        <w:tc>
          <w:tcPr>
            <w:tcW w:w="1200" w:type="dxa"/>
            <w:vAlign w:val="bottom"/>
            <w:gridSpan w:val="2"/>
          </w:tcPr>
          <w:p>
            <w:pPr>
              <w:jc w:val="center"/>
              <w:ind w:right="360"/>
              <w:spacing w:after="0" w:line="120" w:lineRule="exact"/>
              <w:rPr>
                <w:sz w:val="20"/>
                <w:szCs w:val="20"/>
                <w:color w:val="auto"/>
              </w:rPr>
            </w:pPr>
            <w:r>
              <w:rPr>
                <w:rFonts w:ascii="Times New Roman" w:cs="Times New Roman" w:eastAsia="Times New Roman" w:hAnsi="Times New Roman"/>
                <w:sz w:val="11"/>
                <w:szCs w:val="11"/>
                <w:b w:val="1"/>
                <w:bCs w:val="1"/>
                <w:color w:val="auto"/>
                <w:w w:val="97"/>
              </w:rPr>
              <w:t>Grant Date</w:t>
            </w:r>
          </w:p>
        </w:tc>
      </w:tr>
      <w:tr>
        <w:trPr>
          <w:trHeight w:val="119"/>
        </w:trPr>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20" w:type="dxa"/>
            <w:vAlign w:val="bottom"/>
            <w:gridSpan w:val="6"/>
          </w:tcPr>
          <w:p>
            <w:pPr>
              <w:jc w:val="center"/>
              <w:ind w:right="180"/>
              <w:spacing w:after="0" w:line="120" w:lineRule="exact"/>
              <w:rPr>
                <w:sz w:val="20"/>
                <w:szCs w:val="20"/>
                <w:color w:val="auto"/>
              </w:rPr>
            </w:pPr>
            <w:r>
              <w:rPr>
                <w:rFonts w:ascii="Times New Roman" w:cs="Times New Roman" w:eastAsia="Times New Roman" w:hAnsi="Times New Roman"/>
                <w:sz w:val="11"/>
                <w:szCs w:val="11"/>
                <w:b w:val="1"/>
                <w:bCs w:val="1"/>
                <w:color w:val="auto"/>
                <w:w w:val="96"/>
              </w:rPr>
              <w:t>Estimated Future Payouts</w:t>
            </w:r>
          </w:p>
        </w:tc>
        <w:tc>
          <w:tcPr>
            <w:tcW w:w="2180" w:type="dxa"/>
            <w:vAlign w:val="bottom"/>
            <w:gridSpan w:val="6"/>
          </w:tcPr>
          <w:p>
            <w:pPr>
              <w:jc w:val="center"/>
              <w:ind w:right="120"/>
              <w:spacing w:after="0" w:line="120" w:lineRule="exact"/>
              <w:rPr>
                <w:sz w:val="20"/>
                <w:szCs w:val="20"/>
                <w:color w:val="auto"/>
              </w:rPr>
            </w:pPr>
            <w:r>
              <w:rPr>
                <w:rFonts w:ascii="Times New Roman" w:cs="Times New Roman" w:eastAsia="Times New Roman" w:hAnsi="Times New Roman"/>
                <w:sz w:val="11"/>
                <w:szCs w:val="11"/>
                <w:b w:val="1"/>
                <w:bCs w:val="1"/>
                <w:color w:val="auto"/>
                <w:w w:val="96"/>
              </w:rPr>
              <w:t>Estimated Future Payouts</w:t>
            </w:r>
          </w:p>
        </w:tc>
        <w:tc>
          <w:tcPr>
            <w:tcW w:w="74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92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820" w:type="dxa"/>
            <w:vAlign w:val="bottom"/>
            <w:gridSpan w:val="2"/>
          </w:tcPr>
          <w:p>
            <w:pPr>
              <w:jc w:val="center"/>
              <w:ind w:right="40"/>
              <w:spacing w:after="0" w:line="120" w:lineRule="exact"/>
              <w:rPr>
                <w:sz w:val="20"/>
                <w:szCs w:val="20"/>
                <w:color w:val="auto"/>
              </w:rPr>
            </w:pPr>
            <w:r>
              <w:rPr>
                <w:rFonts w:ascii="Times New Roman" w:cs="Times New Roman" w:eastAsia="Times New Roman" w:hAnsi="Times New Roman"/>
                <w:sz w:val="11"/>
                <w:szCs w:val="11"/>
                <w:b w:val="1"/>
                <w:bCs w:val="1"/>
                <w:color w:val="auto"/>
                <w:w w:val="96"/>
              </w:rPr>
              <w:t>or Base</w:t>
            </w:r>
          </w:p>
        </w:tc>
        <w:tc>
          <w:tcPr>
            <w:tcW w:w="1200" w:type="dxa"/>
            <w:vAlign w:val="bottom"/>
            <w:gridSpan w:val="2"/>
          </w:tcPr>
          <w:p>
            <w:pPr>
              <w:jc w:val="center"/>
              <w:ind w:right="380"/>
              <w:spacing w:after="0" w:line="120" w:lineRule="exact"/>
              <w:rPr>
                <w:sz w:val="20"/>
                <w:szCs w:val="20"/>
                <w:color w:val="auto"/>
              </w:rPr>
            </w:pPr>
            <w:r>
              <w:rPr>
                <w:rFonts w:ascii="Times New Roman" w:cs="Times New Roman" w:eastAsia="Times New Roman" w:hAnsi="Times New Roman"/>
                <w:sz w:val="11"/>
                <w:szCs w:val="11"/>
                <w:b w:val="1"/>
                <w:bCs w:val="1"/>
                <w:color w:val="auto"/>
                <w:w w:val="91"/>
              </w:rPr>
              <w:t>Fair Value</w:t>
            </w:r>
          </w:p>
        </w:tc>
      </w:tr>
      <w:tr>
        <w:trPr>
          <w:trHeight w:val="119"/>
        </w:trPr>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20" w:type="dxa"/>
            <w:vAlign w:val="bottom"/>
            <w:gridSpan w:val="6"/>
          </w:tcPr>
          <w:p>
            <w:pPr>
              <w:jc w:val="center"/>
              <w:ind w:right="180"/>
              <w:spacing w:after="0" w:line="120" w:lineRule="exact"/>
              <w:rPr>
                <w:sz w:val="20"/>
                <w:szCs w:val="20"/>
                <w:color w:val="auto"/>
              </w:rPr>
            </w:pPr>
            <w:r>
              <w:rPr>
                <w:rFonts w:ascii="Times New Roman" w:cs="Times New Roman" w:eastAsia="Times New Roman" w:hAnsi="Times New Roman"/>
                <w:sz w:val="11"/>
                <w:szCs w:val="11"/>
                <w:b w:val="1"/>
                <w:bCs w:val="1"/>
                <w:color w:val="auto"/>
                <w:w w:val="97"/>
              </w:rPr>
              <w:t>Under Non-Equity Incentive</w:t>
            </w:r>
          </w:p>
        </w:tc>
        <w:tc>
          <w:tcPr>
            <w:tcW w:w="2180" w:type="dxa"/>
            <w:vAlign w:val="bottom"/>
            <w:gridSpan w:val="6"/>
          </w:tcPr>
          <w:p>
            <w:pPr>
              <w:jc w:val="center"/>
              <w:ind w:right="120"/>
              <w:spacing w:after="0" w:line="120" w:lineRule="exact"/>
              <w:rPr>
                <w:sz w:val="20"/>
                <w:szCs w:val="20"/>
                <w:color w:val="auto"/>
              </w:rPr>
            </w:pPr>
            <w:r>
              <w:rPr>
                <w:rFonts w:ascii="Times New Roman" w:cs="Times New Roman" w:eastAsia="Times New Roman" w:hAnsi="Times New Roman"/>
                <w:sz w:val="11"/>
                <w:szCs w:val="11"/>
                <w:b w:val="1"/>
                <w:bCs w:val="1"/>
                <w:color w:val="auto"/>
                <w:w w:val="95"/>
              </w:rPr>
              <w:t>Under Equity Incentive</w:t>
            </w:r>
          </w:p>
        </w:tc>
        <w:tc>
          <w:tcPr>
            <w:tcW w:w="74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1"/>
                <w:szCs w:val="11"/>
                <w:b w:val="1"/>
                <w:bCs w:val="1"/>
                <w:color w:val="auto"/>
                <w:w w:val="96"/>
              </w:rPr>
              <w:t>of Shares</w:t>
            </w:r>
          </w:p>
        </w:tc>
        <w:tc>
          <w:tcPr>
            <w:tcW w:w="920" w:type="dxa"/>
            <w:vAlign w:val="bottom"/>
            <w:gridSpan w:val="2"/>
          </w:tcPr>
          <w:p>
            <w:pPr>
              <w:jc w:val="center"/>
              <w:ind w:right="160"/>
              <w:spacing w:after="0" w:line="120"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82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1200" w:type="dxa"/>
            <w:vAlign w:val="bottom"/>
            <w:gridSpan w:val="2"/>
          </w:tcPr>
          <w:p>
            <w:pPr>
              <w:jc w:val="center"/>
              <w:ind w:right="380"/>
              <w:spacing w:after="0" w:line="120" w:lineRule="exact"/>
              <w:rPr>
                <w:sz w:val="20"/>
                <w:szCs w:val="20"/>
                <w:color w:val="auto"/>
              </w:rPr>
            </w:pPr>
            <w:r>
              <w:rPr>
                <w:rFonts w:ascii="Times New Roman" w:cs="Times New Roman" w:eastAsia="Times New Roman" w:hAnsi="Times New Roman"/>
                <w:sz w:val="11"/>
                <w:szCs w:val="11"/>
                <w:b w:val="1"/>
                <w:bCs w:val="1"/>
                <w:color w:val="auto"/>
                <w:w w:val="99"/>
              </w:rPr>
              <w:t>of Stock</w:t>
            </w:r>
          </w:p>
        </w:tc>
      </w:tr>
      <w:tr>
        <w:trPr>
          <w:trHeight w:val="135"/>
        </w:trPr>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5"/>
              </w:rPr>
              <w:t>Plan Awards</w:t>
            </w:r>
          </w:p>
        </w:tc>
        <w:tc>
          <w:tcPr>
            <w:tcW w:w="6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5"/>
              </w:rPr>
              <w:t>Plan Awards</w:t>
            </w: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of Stock</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3"/>
              </w:rPr>
              <w:t>Underlying</w:t>
            </w: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of Option</w:t>
            </w: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7"/>
              </w:rPr>
              <w:t>and Option</w:t>
            </w:r>
          </w:p>
        </w:tc>
      </w:tr>
      <w:tr>
        <w:trPr>
          <w:trHeight w:val="110"/>
        </w:trPr>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right"/>
              <w:ind w:right="107"/>
              <w:spacing w:after="0" w:line="110" w:lineRule="exact"/>
              <w:rPr>
                <w:sz w:val="20"/>
                <w:szCs w:val="20"/>
                <w:color w:val="auto"/>
              </w:rPr>
            </w:pPr>
            <w:r>
              <w:rPr>
                <w:rFonts w:ascii="Times New Roman" w:cs="Times New Roman" w:eastAsia="Times New Roman" w:hAnsi="Times New Roman"/>
                <w:sz w:val="11"/>
                <w:szCs w:val="11"/>
                <w:b w:val="1"/>
                <w:bCs w:val="1"/>
                <w:color w:val="auto"/>
              </w:rPr>
              <w:t>Grant</w:t>
            </w:r>
          </w:p>
        </w:tc>
        <w:tc>
          <w:tcPr>
            <w:tcW w:w="140" w:type="dxa"/>
            <w:vAlign w:val="bottom"/>
          </w:tcPr>
          <w:p>
            <w:pPr>
              <w:spacing w:after="0"/>
              <w:rPr>
                <w:sz w:val="9"/>
                <w:szCs w:val="9"/>
                <w:color w:val="auto"/>
              </w:rPr>
            </w:pPr>
          </w:p>
        </w:tc>
        <w:tc>
          <w:tcPr>
            <w:tcW w:w="680" w:type="dxa"/>
            <w:vAlign w:val="bottom"/>
            <w:gridSpan w:val="2"/>
          </w:tcPr>
          <w:p>
            <w:pPr>
              <w:jc w:val="center"/>
              <w:ind w:right="100"/>
              <w:spacing w:after="0" w:line="110" w:lineRule="exact"/>
              <w:rPr>
                <w:sz w:val="20"/>
                <w:szCs w:val="20"/>
                <w:color w:val="auto"/>
              </w:rPr>
            </w:pPr>
            <w:r>
              <w:rPr>
                <w:rFonts w:ascii="Times New Roman" w:cs="Times New Roman" w:eastAsia="Times New Roman" w:hAnsi="Times New Roman"/>
                <w:sz w:val="11"/>
                <w:szCs w:val="11"/>
                <w:b w:val="1"/>
                <w:bCs w:val="1"/>
                <w:color w:val="auto"/>
                <w:w w:val="94"/>
              </w:rPr>
              <w:t>Approval</w:t>
            </w:r>
          </w:p>
        </w:tc>
        <w:tc>
          <w:tcPr>
            <w:tcW w:w="680" w:type="dxa"/>
            <w:vAlign w:val="bottom"/>
          </w:tcPr>
          <w:p>
            <w:pPr>
              <w:jc w:val="right"/>
              <w:ind w:right="67"/>
              <w:spacing w:after="0" w:line="110" w:lineRule="exact"/>
              <w:rPr>
                <w:sz w:val="20"/>
                <w:szCs w:val="20"/>
                <w:color w:val="auto"/>
              </w:rPr>
            </w:pPr>
            <w:r>
              <w:rPr>
                <w:rFonts w:ascii="Times New Roman" w:cs="Times New Roman" w:eastAsia="Times New Roman" w:hAnsi="Times New Roman"/>
                <w:sz w:val="11"/>
                <w:szCs w:val="11"/>
                <w:b w:val="1"/>
                <w:bCs w:val="1"/>
                <w:color w:val="auto"/>
              </w:rPr>
              <w:t>Threshold</w:t>
            </w:r>
          </w:p>
        </w:tc>
        <w:tc>
          <w:tcPr>
            <w:tcW w:w="120" w:type="dxa"/>
            <w:vAlign w:val="bottom"/>
          </w:tcPr>
          <w:p>
            <w:pPr>
              <w:spacing w:after="0"/>
              <w:rPr>
                <w:sz w:val="9"/>
                <w:szCs w:val="9"/>
                <w:color w:val="auto"/>
              </w:rPr>
            </w:pPr>
          </w:p>
        </w:tc>
        <w:tc>
          <w:tcPr>
            <w:tcW w:w="700" w:type="dxa"/>
            <w:vAlign w:val="bottom"/>
            <w:gridSpan w:val="2"/>
          </w:tcPr>
          <w:p>
            <w:pPr>
              <w:jc w:val="center"/>
              <w:ind w:right="160"/>
              <w:spacing w:after="0" w:line="110" w:lineRule="exact"/>
              <w:rPr>
                <w:sz w:val="20"/>
                <w:szCs w:val="20"/>
                <w:color w:val="auto"/>
              </w:rPr>
            </w:pPr>
            <w:r>
              <w:rPr>
                <w:rFonts w:ascii="Times New Roman" w:cs="Times New Roman" w:eastAsia="Times New Roman" w:hAnsi="Times New Roman"/>
                <w:sz w:val="11"/>
                <w:szCs w:val="11"/>
                <w:b w:val="1"/>
                <w:bCs w:val="1"/>
                <w:color w:val="auto"/>
                <w:w w:val="94"/>
              </w:rPr>
              <w:t>Target</w:t>
            </w:r>
          </w:p>
        </w:tc>
        <w:tc>
          <w:tcPr>
            <w:tcW w:w="660" w:type="dxa"/>
            <w:vAlign w:val="bottom"/>
          </w:tcPr>
          <w:p>
            <w:pPr>
              <w:jc w:val="right"/>
              <w:ind w:right="47"/>
              <w:spacing w:after="0" w:line="110" w:lineRule="exact"/>
              <w:rPr>
                <w:sz w:val="20"/>
                <w:szCs w:val="20"/>
                <w:color w:val="auto"/>
              </w:rPr>
            </w:pPr>
            <w:r>
              <w:rPr>
                <w:rFonts w:ascii="Times New Roman" w:cs="Times New Roman" w:eastAsia="Times New Roman" w:hAnsi="Times New Roman"/>
                <w:sz w:val="11"/>
                <w:szCs w:val="11"/>
                <w:b w:val="1"/>
                <w:bCs w:val="1"/>
                <w:color w:val="auto"/>
              </w:rPr>
              <w:t>Maximum</w:t>
            </w:r>
          </w:p>
        </w:tc>
        <w:tc>
          <w:tcPr>
            <w:tcW w:w="160" w:type="dxa"/>
            <w:vAlign w:val="bottom"/>
          </w:tcPr>
          <w:p>
            <w:pPr>
              <w:spacing w:after="0"/>
              <w:rPr>
                <w:sz w:val="9"/>
                <w:szCs w:val="9"/>
                <w:color w:val="auto"/>
              </w:rPr>
            </w:pPr>
          </w:p>
        </w:tc>
        <w:tc>
          <w:tcPr>
            <w:tcW w:w="660" w:type="dxa"/>
            <w:vAlign w:val="bottom"/>
          </w:tcPr>
          <w:p>
            <w:pPr>
              <w:jc w:val="right"/>
              <w:ind w:right="47"/>
              <w:spacing w:after="0" w:line="110" w:lineRule="exact"/>
              <w:rPr>
                <w:sz w:val="20"/>
                <w:szCs w:val="20"/>
                <w:color w:val="auto"/>
              </w:rPr>
            </w:pPr>
            <w:r>
              <w:rPr>
                <w:rFonts w:ascii="Times New Roman" w:cs="Times New Roman" w:eastAsia="Times New Roman" w:hAnsi="Times New Roman"/>
                <w:sz w:val="11"/>
                <w:szCs w:val="11"/>
                <w:b w:val="1"/>
                <w:bCs w:val="1"/>
                <w:color w:val="auto"/>
              </w:rPr>
              <w:t>Threshold</w:t>
            </w:r>
          </w:p>
        </w:tc>
        <w:tc>
          <w:tcPr>
            <w:tcW w:w="140" w:type="dxa"/>
            <w:vAlign w:val="bottom"/>
          </w:tcPr>
          <w:p>
            <w:pPr>
              <w:spacing w:after="0"/>
              <w:rPr>
                <w:sz w:val="9"/>
                <w:szCs w:val="9"/>
                <w:color w:val="auto"/>
              </w:rPr>
            </w:pPr>
          </w:p>
        </w:tc>
        <w:tc>
          <w:tcPr>
            <w:tcW w:w="620" w:type="dxa"/>
            <w:vAlign w:val="bottom"/>
            <w:gridSpan w:val="2"/>
          </w:tcPr>
          <w:p>
            <w:pPr>
              <w:jc w:val="center"/>
              <w:ind w:right="160"/>
              <w:spacing w:after="0" w:line="110" w:lineRule="exact"/>
              <w:rPr>
                <w:sz w:val="20"/>
                <w:szCs w:val="20"/>
                <w:color w:val="auto"/>
              </w:rPr>
            </w:pPr>
            <w:r>
              <w:rPr>
                <w:rFonts w:ascii="Times New Roman" w:cs="Times New Roman" w:eastAsia="Times New Roman" w:hAnsi="Times New Roman"/>
                <w:sz w:val="11"/>
                <w:szCs w:val="11"/>
                <w:b w:val="1"/>
                <w:bCs w:val="1"/>
                <w:color w:val="auto"/>
                <w:w w:val="94"/>
              </w:rPr>
              <w:t>Target</w:t>
            </w:r>
          </w:p>
        </w:tc>
        <w:tc>
          <w:tcPr>
            <w:tcW w:w="660" w:type="dxa"/>
            <w:vAlign w:val="bottom"/>
          </w:tcPr>
          <w:p>
            <w:pPr>
              <w:jc w:val="right"/>
              <w:ind w:right="47"/>
              <w:spacing w:after="0" w:line="110" w:lineRule="exact"/>
              <w:rPr>
                <w:sz w:val="20"/>
                <w:szCs w:val="20"/>
                <w:color w:val="auto"/>
              </w:rPr>
            </w:pPr>
            <w:r>
              <w:rPr>
                <w:rFonts w:ascii="Times New Roman" w:cs="Times New Roman" w:eastAsia="Times New Roman" w:hAnsi="Times New Roman"/>
                <w:sz w:val="11"/>
                <w:szCs w:val="11"/>
                <w:b w:val="1"/>
                <w:bCs w:val="1"/>
                <w:color w:val="auto"/>
              </w:rPr>
              <w:t>Maximum</w:t>
            </w:r>
          </w:p>
        </w:tc>
        <w:tc>
          <w:tcPr>
            <w:tcW w:w="100" w:type="dxa"/>
            <w:vAlign w:val="bottom"/>
          </w:tcPr>
          <w:p>
            <w:pPr>
              <w:spacing w:after="0"/>
              <w:rPr>
                <w:sz w:val="9"/>
                <w:szCs w:val="9"/>
                <w:color w:val="auto"/>
              </w:rPr>
            </w:pPr>
          </w:p>
        </w:tc>
        <w:tc>
          <w:tcPr>
            <w:tcW w:w="740" w:type="dxa"/>
            <w:vAlign w:val="bottom"/>
            <w:gridSpan w:val="2"/>
          </w:tcPr>
          <w:p>
            <w:pPr>
              <w:jc w:val="center"/>
              <w:ind w:right="100"/>
              <w:spacing w:after="0" w:line="110" w:lineRule="exact"/>
              <w:rPr>
                <w:sz w:val="20"/>
                <w:szCs w:val="20"/>
                <w:color w:val="auto"/>
              </w:rPr>
            </w:pPr>
            <w:r>
              <w:rPr>
                <w:rFonts w:ascii="Times New Roman" w:cs="Times New Roman" w:eastAsia="Times New Roman" w:hAnsi="Times New Roman"/>
                <w:sz w:val="11"/>
                <w:szCs w:val="11"/>
                <w:b w:val="1"/>
                <w:bCs w:val="1"/>
                <w:color w:val="auto"/>
                <w:w w:val="94"/>
              </w:rPr>
              <w:t>or Units</w:t>
            </w:r>
          </w:p>
        </w:tc>
        <w:tc>
          <w:tcPr>
            <w:tcW w:w="920" w:type="dxa"/>
            <w:vAlign w:val="bottom"/>
            <w:gridSpan w:val="2"/>
          </w:tcPr>
          <w:p>
            <w:pPr>
              <w:jc w:val="center"/>
              <w:ind w:right="160"/>
              <w:spacing w:after="0" w:line="110" w:lineRule="exact"/>
              <w:rPr>
                <w:sz w:val="20"/>
                <w:szCs w:val="20"/>
                <w:color w:val="auto"/>
              </w:rPr>
            </w:pPr>
            <w:r>
              <w:rPr>
                <w:rFonts w:ascii="Times New Roman" w:cs="Times New Roman" w:eastAsia="Times New Roman" w:hAnsi="Times New Roman"/>
                <w:sz w:val="11"/>
                <w:szCs w:val="11"/>
                <w:b w:val="1"/>
                <w:bCs w:val="1"/>
                <w:color w:val="auto"/>
                <w:w w:val="96"/>
              </w:rPr>
              <w:t>Options</w:t>
            </w:r>
          </w:p>
        </w:tc>
        <w:tc>
          <w:tcPr>
            <w:tcW w:w="820" w:type="dxa"/>
            <w:vAlign w:val="bottom"/>
            <w:gridSpan w:val="2"/>
          </w:tcPr>
          <w:p>
            <w:pPr>
              <w:jc w:val="center"/>
              <w:ind w:right="40"/>
              <w:spacing w:after="0" w:line="110" w:lineRule="exact"/>
              <w:rPr>
                <w:sz w:val="20"/>
                <w:szCs w:val="20"/>
                <w:color w:val="auto"/>
              </w:rPr>
            </w:pPr>
            <w:r>
              <w:rPr>
                <w:rFonts w:ascii="Times New Roman" w:cs="Times New Roman" w:eastAsia="Times New Roman" w:hAnsi="Times New Roman"/>
                <w:sz w:val="11"/>
                <w:szCs w:val="11"/>
                <w:b w:val="1"/>
                <w:bCs w:val="1"/>
                <w:color w:val="auto"/>
                <w:w w:val="92"/>
              </w:rPr>
              <w:t>Awards</w:t>
            </w:r>
          </w:p>
        </w:tc>
        <w:tc>
          <w:tcPr>
            <w:tcW w:w="1200" w:type="dxa"/>
            <w:vAlign w:val="bottom"/>
            <w:gridSpan w:val="2"/>
          </w:tcPr>
          <w:p>
            <w:pPr>
              <w:ind w:left="380"/>
              <w:spacing w:after="0" w:line="110" w:lineRule="exact"/>
              <w:rPr>
                <w:sz w:val="20"/>
                <w:szCs w:val="20"/>
                <w:color w:val="auto"/>
              </w:rPr>
            </w:pPr>
            <w:r>
              <w:rPr>
                <w:rFonts w:ascii="Times New Roman" w:cs="Times New Roman" w:eastAsia="Times New Roman" w:hAnsi="Times New Roman"/>
                <w:sz w:val="11"/>
                <w:szCs w:val="11"/>
                <w:b w:val="1"/>
                <w:bCs w:val="1"/>
                <w:color w:val="auto"/>
              </w:rPr>
              <w:t>Awards</w:t>
            </w:r>
          </w:p>
        </w:tc>
      </w:tr>
      <w:tr>
        <w:trPr>
          <w:trHeight w:val="135"/>
        </w:trPr>
        <w:tc>
          <w:tcPr>
            <w:tcW w:w="16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80" w:type="dxa"/>
            <w:vAlign w:val="bottom"/>
          </w:tcPr>
          <w:p>
            <w:pPr>
              <w:spacing w:after="0"/>
              <w:rPr>
                <w:sz w:val="11"/>
                <w:szCs w:val="11"/>
                <w:color w:val="auto"/>
              </w:rPr>
            </w:pPr>
          </w:p>
        </w:tc>
        <w:tc>
          <w:tcPr>
            <w:tcW w:w="60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Date</w:t>
            </w:r>
            <w:r>
              <w:rPr>
                <w:rFonts w:ascii="Times New Roman" w:cs="Times New Roman" w:eastAsia="Times New Roman" w:hAnsi="Times New Roman"/>
                <w:sz w:val="9"/>
                <w:szCs w:val="9"/>
                <w:color w:val="auto"/>
              </w:rPr>
              <w:t>(1)</w:t>
            </w:r>
          </w:p>
        </w:tc>
        <w:tc>
          <w:tcPr>
            <w:tcW w:w="140" w:type="dxa"/>
            <w:vAlign w:val="bottom"/>
          </w:tcPr>
          <w:p>
            <w:pPr>
              <w:spacing w:after="0"/>
              <w:rPr>
                <w:sz w:val="11"/>
                <w:szCs w:val="11"/>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Date</w:t>
            </w:r>
            <w:r>
              <w:rPr>
                <w:rFonts w:ascii="Times New Roman" w:cs="Times New Roman" w:eastAsia="Times New Roman" w:hAnsi="Times New Roman"/>
                <w:sz w:val="9"/>
                <w:szCs w:val="9"/>
                <w:color w:val="auto"/>
                <w:w w:val="98"/>
              </w:rPr>
              <w:t>(1)</w:t>
            </w:r>
          </w:p>
        </w:tc>
        <w:tc>
          <w:tcPr>
            <w:tcW w:w="680" w:type="dxa"/>
            <w:vAlign w:val="bottom"/>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gridSpan w:val="2"/>
          </w:tcPr>
          <w:p>
            <w:pPr>
              <w:jc w:val="center"/>
              <w:ind w:left="47"/>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60" w:type="dxa"/>
            <w:vAlign w:val="bottom"/>
          </w:tcPr>
          <w:p>
            <w:pPr>
              <w:spacing w:after="0"/>
              <w:rPr>
                <w:sz w:val="11"/>
                <w:szCs w:val="11"/>
                <w:color w:val="auto"/>
              </w:rPr>
            </w:pPr>
          </w:p>
        </w:tc>
        <w:tc>
          <w:tcPr>
            <w:tcW w:w="660" w:type="dxa"/>
            <w:vAlign w:val="bottom"/>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1"/>
                <w:szCs w:val="11"/>
                <w:color w:val="auto"/>
              </w:rPr>
            </w:pPr>
          </w:p>
        </w:tc>
        <w:tc>
          <w:tcPr>
            <w:tcW w:w="660" w:type="dxa"/>
            <w:vAlign w:val="bottom"/>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jc w:val="center"/>
              <w:ind w:left="87"/>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40" w:type="dxa"/>
            <w:vAlign w:val="bottom"/>
          </w:tcPr>
          <w:p>
            <w:pPr>
              <w:spacing w:after="0"/>
              <w:rPr>
                <w:sz w:val="11"/>
                <w:szCs w:val="11"/>
                <w:color w:val="auto"/>
              </w:rPr>
            </w:pPr>
          </w:p>
        </w:tc>
        <w:tc>
          <w:tcPr>
            <w:tcW w:w="660" w:type="dxa"/>
            <w:vAlign w:val="bottom"/>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1"/>
                <w:szCs w:val="11"/>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($/Sh)</w:t>
            </w:r>
          </w:p>
        </w:tc>
        <w:tc>
          <w:tcPr>
            <w:tcW w:w="1100" w:type="dxa"/>
            <w:vAlign w:val="bottom"/>
          </w:tcPr>
          <w:p>
            <w:pPr>
              <w:jc w:val="right"/>
              <w:ind w:right="387"/>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9"/>
                <w:szCs w:val="9"/>
                <w:color w:val="auto"/>
              </w:rPr>
              <w:t>(2)</w:t>
            </w:r>
          </w:p>
        </w:tc>
        <w:tc>
          <w:tcPr>
            <w:tcW w:w="100" w:type="dxa"/>
            <w:vAlign w:val="bottom"/>
          </w:tcPr>
          <w:p>
            <w:pPr>
              <w:spacing w:after="0"/>
              <w:rPr>
                <w:sz w:val="11"/>
                <w:szCs w:val="11"/>
                <w:color w:val="auto"/>
              </w:rPr>
            </w:pPr>
          </w:p>
        </w:tc>
      </w:tr>
      <w:tr>
        <w:trPr>
          <w:trHeight w:val="126"/>
        </w:trPr>
        <w:tc>
          <w:tcPr>
            <w:tcW w:w="1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Archie C. Black</w:t>
            </w:r>
          </w:p>
        </w:tc>
        <w:tc>
          <w:tcPr>
            <w:tcW w:w="80" w:type="dxa"/>
            <w:vAlign w:val="bottom"/>
            <w:tcBorders>
              <w:top w:val="single" w:sz="8" w:color="CFF0FC"/>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11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r>
      <w:tr>
        <w:trPr>
          <w:trHeight w:val="133"/>
        </w:trPr>
        <w:tc>
          <w:tcPr>
            <w:tcW w:w="1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 xml:space="preserve">Annual Cash Bonus </w:t>
            </w:r>
            <w:r>
              <w:rPr>
                <w:rFonts w:ascii="Times New Roman" w:cs="Times New Roman" w:eastAsia="Times New Roman" w:hAnsi="Times New Roman"/>
                <w:sz w:val="9"/>
                <w:szCs w:val="9"/>
                <w:color w:val="auto"/>
              </w:rPr>
              <w:t>(3)</w:t>
            </w: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1/22/2019</w:t>
            </w: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267,000</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445,000</w:t>
            </w: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845,500</w:t>
            </w: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r>
      <w:tr>
        <w:trPr>
          <w:trHeight w:val="133"/>
        </w:trPr>
        <w:tc>
          <w:tcPr>
            <w:tcW w:w="1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 xml:space="preserve">PSU Award </w:t>
            </w:r>
            <w:r>
              <w:rPr>
                <w:rFonts w:ascii="Times New Roman" w:cs="Times New Roman" w:eastAsia="Times New Roman" w:hAnsi="Times New Roman"/>
                <w:sz w:val="9"/>
                <w:szCs w:val="9"/>
                <w:color w:val="auto"/>
              </w:rPr>
              <w:t>(4)</w:t>
            </w: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2/19/2019</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1/22/2019</w:t>
            </w: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4,401</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11,002</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22,004</w:t>
            </w: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815,798</w:t>
            </w:r>
          </w:p>
        </w:tc>
        <w:tc>
          <w:tcPr>
            <w:tcW w:w="100" w:type="dxa"/>
            <w:vAlign w:val="bottom"/>
            <w:shd w:val="clear" w:color="auto" w:fill="CFF0FC"/>
          </w:tcPr>
          <w:p>
            <w:pPr>
              <w:spacing w:after="0"/>
              <w:rPr>
                <w:sz w:val="11"/>
                <w:szCs w:val="11"/>
                <w:color w:val="auto"/>
              </w:rPr>
            </w:pPr>
          </w:p>
        </w:tc>
      </w:tr>
      <w:tr>
        <w:trPr>
          <w:trHeight w:val="133"/>
        </w:trPr>
        <w:tc>
          <w:tcPr>
            <w:tcW w:w="1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 xml:space="preserve">RSU Award </w:t>
            </w:r>
            <w:r>
              <w:rPr>
                <w:rFonts w:ascii="Times New Roman" w:cs="Times New Roman" w:eastAsia="Times New Roman" w:hAnsi="Times New Roman"/>
                <w:sz w:val="9"/>
                <w:szCs w:val="9"/>
                <w:color w:val="auto"/>
              </w:rPr>
              <w:t>(5)</w:t>
            </w: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2/19/2019</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1/22/2019</w:t>
            </w: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22,004</w:t>
            </w:r>
          </w:p>
        </w:tc>
        <w:tc>
          <w:tcPr>
            <w:tcW w:w="8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1,200,098</w:t>
            </w:r>
          </w:p>
        </w:tc>
        <w:tc>
          <w:tcPr>
            <w:tcW w:w="100" w:type="dxa"/>
            <w:vAlign w:val="bottom"/>
            <w:shd w:val="clear" w:color="auto" w:fill="CFF0FC"/>
          </w:tcPr>
          <w:p>
            <w:pPr>
              <w:spacing w:after="0"/>
              <w:rPr>
                <w:sz w:val="11"/>
                <w:szCs w:val="11"/>
                <w:color w:val="auto"/>
              </w:rPr>
            </w:pPr>
          </w:p>
        </w:tc>
      </w:tr>
      <w:tr>
        <w:trPr>
          <w:trHeight w:val="133"/>
        </w:trPr>
        <w:tc>
          <w:tcPr>
            <w:tcW w:w="1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 xml:space="preserve">Stock Option Award </w:t>
            </w:r>
            <w:r>
              <w:rPr>
                <w:rFonts w:ascii="Times New Roman" w:cs="Times New Roman" w:eastAsia="Times New Roman" w:hAnsi="Times New Roman"/>
                <w:sz w:val="9"/>
                <w:szCs w:val="9"/>
                <w:color w:val="auto"/>
              </w:rPr>
              <w:t>(5)</w:t>
            </w: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2/19/2019</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1/22/2019</w:t>
            </w: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34,482</w:t>
            </w: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54.54</w:t>
            </w:r>
          </w:p>
        </w:tc>
        <w:tc>
          <w:tcPr>
            <w:tcW w:w="4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600,024</w:t>
            </w:r>
          </w:p>
        </w:tc>
        <w:tc>
          <w:tcPr>
            <w:tcW w:w="100" w:type="dxa"/>
            <w:vAlign w:val="bottom"/>
            <w:shd w:val="clear" w:color="auto" w:fill="CFF0FC"/>
          </w:tcPr>
          <w:p>
            <w:pPr>
              <w:spacing w:after="0"/>
              <w:rPr>
                <w:sz w:val="11"/>
                <w:szCs w:val="11"/>
                <w:color w:val="auto"/>
              </w:rPr>
            </w:pPr>
          </w:p>
        </w:tc>
      </w:tr>
      <w:tr>
        <w:trPr>
          <w:trHeight w:val="132"/>
        </w:trPr>
        <w:tc>
          <w:tcPr>
            <w:tcW w:w="16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Kimberly K. Nelson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3"/>
        </w:trPr>
        <w:tc>
          <w:tcPr>
            <w:tcW w:w="16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 xml:space="preserve">Annual Cash Bonus </w:t>
            </w:r>
            <w:r>
              <w:rPr>
                <w:rFonts w:ascii="Times New Roman" w:cs="Times New Roman" w:eastAsia="Times New Roman" w:hAnsi="Times New Roman"/>
                <w:sz w:val="9"/>
                <w:szCs w:val="9"/>
                <w:color w:val="auto"/>
              </w:rPr>
              <w:t>(3)</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1/22/2019</w:t>
            </w: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156,000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260,000</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494,000</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r>
      <w:tr>
        <w:trPr>
          <w:trHeight w:val="133"/>
        </w:trPr>
        <w:tc>
          <w:tcPr>
            <w:tcW w:w="16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PSU Award</w:t>
            </w:r>
            <w:r>
              <w:rPr>
                <w:rFonts w:ascii="Times New Roman" w:cs="Times New Roman" w:eastAsia="Times New Roman" w:hAnsi="Times New Roman"/>
                <w:sz w:val="9"/>
                <w:szCs w:val="9"/>
                <w:color w:val="auto"/>
              </w:rPr>
              <w:t>(4)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2/19/2019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1/22/2019</w:t>
            </w: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5,614</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11,228</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416,278</w:t>
            </w:r>
          </w:p>
        </w:tc>
        <w:tc>
          <w:tcPr>
            <w:tcW w:w="100" w:type="dxa"/>
            <w:vAlign w:val="bottom"/>
          </w:tcPr>
          <w:p>
            <w:pPr>
              <w:spacing w:after="0"/>
              <w:rPr>
                <w:sz w:val="11"/>
                <w:szCs w:val="11"/>
                <w:color w:val="auto"/>
              </w:rPr>
            </w:pPr>
          </w:p>
        </w:tc>
      </w:tr>
      <w:tr>
        <w:trPr>
          <w:trHeight w:val="133"/>
        </w:trPr>
        <w:tc>
          <w:tcPr>
            <w:tcW w:w="16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RSU Award</w:t>
            </w:r>
            <w:r>
              <w:rPr>
                <w:rFonts w:ascii="Times New Roman" w:cs="Times New Roman" w:eastAsia="Times New Roman" w:hAnsi="Times New Roman"/>
                <w:sz w:val="9"/>
                <w:szCs w:val="9"/>
                <w:color w:val="auto"/>
              </w:rPr>
              <w:t>(5)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2/19/2019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1/22/2019</w:t>
            </w: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11,230</w:t>
            </w:r>
          </w:p>
        </w:tc>
        <w:tc>
          <w:tcPr>
            <w:tcW w:w="80" w:type="dxa"/>
            <w:vAlign w:val="bottom"/>
          </w:tcPr>
          <w:p>
            <w:pPr>
              <w:spacing w:after="0"/>
              <w:rPr>
                <w:sz w:val="11"/>
                <w:szCs w:val="1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612,484</w:t>
            </w:r>
          </w:p>
        </w:tc>
        <w:tc>
          <w:tcPr>
            <w:tcW w:w="100" w:type="dxa"/>
            <w:vAlign w:val="bottom"/>
          </w:tcPr>
          <w:p>
            <w:pPr>
              <w:spacing w:after="0"/>
              <w:rPr>
                <w:sz w:val="11"/>
                <w:szCs w:val="11"/>
                <w:color w:val="auto"/>
              </w:rPr>
            </w:pPr>
          </w:p>
        </w:tc>
      </w:tr>
      <w:tr>
        <w:trPr>
          <w:trHeight w:val="133"/>
        </w:trPr>
        <w:tc>
          <w:tcPr>
            <w:tcW w:w="16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Stock Option Award</w:t>
            </w:r>
            <w:r>
              <w:rPr>
                <w:rFonts w:ascii="Times New Roman" w:cs="Times New Roman" w:eastAsia="Times New Roman" w:hAnsi="Times New Roman"/>
                <w:sz w:val="9"/>
                <w:szCs w:val="9"/>
                <w:color w:val="auto"/>
              </w:rPr>
              <w:t>(5)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2/19/2019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1/22/2019</w:t>
            </w: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17,600</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54.54</w:t>
            </w:r>
          </w:p>
        </w:tc>
        <w:tc>
          <w:tcPr>
            <w:tcW w:w="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306,259</w:t>
            </w:r>
          </w:p>
        </w:tc>
        <w:tc>
          <w:tcPr>
            <w:tcW w:w="100" w:type="dxa"/>
            <w:vAlign w:val="bottom"/>
          </w:tcPr>
          <w:p>
            <w:pPr>
              <w:spacing w:after="0"/>
              <w:rPr>
                <w:sz w:val="11"/>
                <w:szCs w:val="11"/>
                <w:color w:val="auto"/>
              </w:rPr>
            </w:pPr>
          </w:p>
        </w:tc>
      </w:tr>
      <w:tr>
        <w:trPr>
          <w:trHeight w:val="133"/>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James J. Frome</w:t>
            </w: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3"/>
        </w:trPr>
        <w:tc>
          <w:tcPr>
            <w:tcW w:w="1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Annual Cash Bonus</w:t>
            </w:r>
            <w:r>
              <w:rPr>
                <w:rFonts w:ascii="Times New Roman" w:cs="Times New Roman" w:eastAsia="Times New Roman" w:hAnsi="Times New Roman"/>
                <w:sz w:val="9"/>
                <w:szCs w:val="9"/>
                <w:color w:val="auto"/>
              </w:rPr>
              <w:t>(3)</w:t>
            </w: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1/22/2019</w:t>
            </w: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162,000</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270,000</w:t>
            </w: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513,000</w:t>
            </w: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r>
      <w:tr>
        <w:trPr>
          <w:trHeight w:val="133"/>
        </w:trPr>
        <w:tc>
          <w:tcPr>
            <w:tcW w:w="1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PSU Award</w:t>
            </w:r>
            <w:r>
              <w:rPr>
                <w:rFonts w:ascii="Times New Roman" w:cs="Times New Roman" w:eastAsia="Times New Roman" w:hAnsi="Times New Roman"/>
                <w:sz w:val="9"/>
                <w:szCs w:val="9"/>
                <w:color w:val="auto"/>
              </w:rPr>
              <w:t>(4)</w:t>
            </w: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2/19/2019</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1/22/2019</w:t>
            </w: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2,566</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6,416</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12,832</w:t>
            </w: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475,746</w:t>
            </w:r>
          </w:p>
        </w:tc>
        <w:tc>
          <w:tcPr>
            <w:tcW w:w="100" w:type="dxa"/>
            <w:vAlign w:val="bottom"/>
            <w:shd w:val="clear" w:color="auto" w:fill="CFF0FC"/>
          </w:tcPr>
          <w:p>
            <w:pPr>
              <w:spacing w:after="0"/>
              <w:rPr>
                <w:sz w:val="11"/>
                <w:szCs w:val="11"/>
                <w:color w:val="auto"/>
              </w:rPr>
            </w:pPr>
          </w:p>
        </w:tc>
      </w:tr>
      <w:tr>
        <w:trPr>
          <w:trHeight w:val="133"/>
        </w:trPr>
        <w:tc>
          <w:tcPr>
            <w:tcW w:w="1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RSU Award</w:t>
            </w:r>
            <w:r>
              <w:rPr>
                <w:rFonts w:ascii="Times New Roman" w:cs="Times New Roman" w:eastAsia="Times New Roman" w:hAnsi="Times New Roman"/>
                <w:sz w:val="9"/>
                <w:szCs w:val="9"/>
                <w:color w:val="auto"/>
              </w:rPr>
              <w:t>(5)</w:t>
            </w: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2/19/2019</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1/22/2019</w:t>
            </w: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12,834</w:t>
            </w:r>
          </w:p>
        </w:tc>
        <w:tc>
          <w:tcPr>
            <w:tcW w:w="8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699,966</w:t>
            </w:r>
          </w:p>
        </w:tc>
        <w:tc>
          <w:tcPr>
            <w:tcW w:w="100" w:type="dxa"/>
            <w:vAlign w:val="bottom"/>
            <w:shd w:val="clear" w:color="auto" w:fill="CFF0FC"/>
          </w:tcPr>
          <w:p>
            <w:pPr>
              <w:spacing w:after="0"/>
              <w:rPr>
                <w:sz w:val="11"/>
                <w:szCs w:val="11"/>
                <w:color w:val="auto"/>
              </w:rPr>
            </w:pPr>
          </w:p>
        </w:tc>
      </w:tr>
      <w:tr>
        <w:trPr>
          <w:trHeight w:val="133"/>
        </w:trPr>
        <w:tc>
          <w:tcPr>
            <w:tcW w:w="1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Stock Option Award</w:t>
            </w:r>
            <w:r>
              <w:rPr>
                <w:rFonts w:ascii="Times New Roman" w:cs="Times New Roman" w:eastAsia="Times New Roman" w:hAnsi="Times New Roman"/>
                <w:sz w:val="9"/>
                <w:szCs w:val="9"/>
                <w:color w:val="auto"/>
              </w:rPr>
              <w:t>(5)</w:t>
            </w: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2/19/2019</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1/22/2019</w:t>
            </w: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20,114</w:t>
            </w: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54.54</w:t>
            </w:r>
          </w:p>
        </w:tc>
        <w:tc>
          <w:tcPr>
            <w:tcW w:w="4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350,005</w:t>
            </w:r>
          </w:p>
        </w:tc>
        <w:tc>
          <w:tcPr>
            <w:tcW w:w="100" w:type="dxa"/>
            <w:vAlign w:val="bottom"/>
            <w:shd w:val="clear" w:color="auto" w:fill="CFF0FC"/>
          </w:tcPr>
          <w:p>
            <w:pPr>
              <w:spacing w:after="0"/>
              <w:rPr>
                <w:sz w:val="11"/>
                <w:szCs w:val="11"/>
                <w:color w:val="auto"/>
              </w:rPr>
            </w:pPr>
          </w:p>
        </w:tc>
      </w:tr>
    </w:tbl>
    <w:p>
      <w:pPr>
        <w:spacing w:after="0" w:line="260" w:lineRule="exact"/>
        <w:rPr>
          <w:sz w:val="20"/>
          <w:szCs w:val="20"/>
          <w:color w:val="auto"/>
        </w:rPr>
      </w:pPr>
    </w:p>
    <w:p>
      <w:pPr>
        <w:ind w:left="440" w:hanging="434"/>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equity awards granted in 2019 were granted under our 2010 Equity Incentive Plan.</w:t>
      </w:r>
    </w:p>
    <w:p>
      <w:pPr>
        <w:spacing w:after="0" w:line="124" w:lineRule="exact"/>
        <w:rPr>
          <w:rFonts w:ascii="Times New Roman" w:cs="Times New Roman" w:eastAsia="Times New Roman" w:hAnsi="Times New Roman"/>
          <w:sz w:val="18"/>
          <w:szCs w:val="18"/>
          <w:color w:val="auto"/>
        </w:rPr>
      </w:pPr>
    </w:p>
    <w:p>
      <w:pPr>
        <w:ind w:left="440" w:right="180" w:hanging="434"/>
        <w:spacing w:after="0" w:line="282" w:lineRule="auto"/>
        <w:tabs>
          <w:tab w:leader="none" w:pos="4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date fair value of each RSU award was computed in accordance with ASC Topic 718 based on the closing stock price on the grant date. For a discussion of the relevant assumptions used to determine the valuation of our option awards and PSU awards for financial reporting purposes, refer to Note M to the Notes to Consolidated Financial Statements included in our Annual Report on Form 10-K filed with the SEC on February 25, 2020.</w:t>
      </w:r>
    </w:p>
    <w:p>
      <w:pPr>
        <w:spacing w:after="0" w:line="52" w:lineRule="exact"/>
        <w:rPr>
          <w:rFonts w:ascii="Times New Roman" w:cs="Times New Roman" w:eastAsia="Times New Roman" w:hAnsi="Times New Roman"/>
          <w:sz w:val="17"/>
          <w:szCs w:val="17"/>
          <w:color w:val="auto"/>
        </w:rPr>
      </w:pPr>
    </w:p>
    <w:p>
      <w:pPr>
        <w:ind w:left="440" w:right="220" w:hanging="434"/>
        <w:spacing w:after="0" w:line="259" w:lineRule="auto"/>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estimated payouts of annual case incentives granted under our 2019 Management Incentive Plan. The amount each executive will receive is based on actual revenues and Adjusted EBITDA for the year. The actual cash incentive bonus earned in connection with the 2019 awards are reported in the 2019 Summary Compensation Table.</w:t>
      </w:r>
    </w:p>
    <w:p>
      <w:pPr>
        <w:spacing w:after="0" w:line="71" w:lineRule="exact"/>
        <w:rPr>
          <w:rFonts w:ascii="Times New Roman" w:cs="Times New Roman" w:eastAsia="Times New Roman" w:hAnsi="Times New Roman"/>
          <w:sz w:val="18"/>
          <w:szCs w:val="18"/>
          <w:color w:val="auto"/>
        </w:rPr>
      </w:pPr>
    </w:p>
    <w:p>
      <w:pPr>
        <w:ind w:left="440" w:right="260" w:hanging="434"/>
        <w:spacing w:after="0" w:line="259" w:lineRule="auto"/>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number of PSUs that may be earned under our 2010 Equity Incentive Plan at threshold, target and maximum levels. The PSUs will be paid out in shares of our common stock. The number of PSUs that the executive officer will receive will be determined at the conclusion of the 2019-2021 performance period and will be dependent upon the company’s achievement of TSR targets.</w:t>
      </w:r>
    </w:p>
    <w:p>
      <w:pPr>
        <w:spacing w:after="0" w:line="71" w:lineRule="exact"/>
        <w:rPr>
          <w:rFonts w:ascii="Times New Roman" w:cs="Times New Roman" w:eastAsia="Times New Roman" w:hAnsi="Times New Roman"/>
          <w:sz w:val="18"/>
          <w:szCs w:val="18"/>
          <w:color w:val="auto"/>
        </w:rPr>
      </w:pPr>
    </w:p>
    <w:p>
      <w:pPr>
        <w:ind w:left="440" w:right="360" w:hanging="434"/>
        <w:spacing w:after="0" w:line="274" w:lineRule="auto"/>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units (RSU) or shares (stock options) vested as to one-fourth of the underlying units/shares on February 13, 2020, with the remaining underlying units/shares vesting in 36 equal monthly installments on the 13th day of each month thereafter beginning March 13, 2020.</w:t>
      </w:r>
    </w:p>
    <w:p>
      <w:pPr>
        <w:spacing w:after="0" w:line="16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1370" cy="16510"/>
                    </a:xfrm>
                    <a:prstGeom prst="rect">
                      <a:avLst/>
                    </a:prstGeom>
                    <a:noFill/>
                  </pic:spPr>
                </pic:pic>
              </a:graphicData>
            </a:graphic>
          </wp:anchor>
        </w:drawing>
      </w:r>
    </w:p>
    <w:p>
      <w:pPr>
        <w:sectPr>
          <w:pgSz w:w="11900" w:h="16838" w:orient="portrait"/>
          <w:cols w:equalWidth="0" w:num="1">
            <w:col w:w="11320"/>
          </w:cols>
          <w:pgMar w:left="320" w:top="600" w:right="259" w:bottom="1440" w:gutter="0" w:footer="0" w:header="0"/>
        </w:sectPr>
      </w:pPr>
    </w:p>
    <w:bookmarkStart w:id="32" w:name="page33"/>
    <w:bookmarkEnd w:id="32"/>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207010</wp:posOffset>
            </wp:positionH>
            <wp:positionV relativeFrom="page">
              <wp:posOffset>374650</wp:posOffset>
            </wp:positionV>
            <wp:extent cx="71348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860" cy="8255"/>
                    </a:xfrm>
                    <a:prstGeom prst="rect">
                      <a:avLst/>
                    </a:prstGeom>
                    <a:noFill/>
                  </pic:spPr>
                </pic:pic>
              </a:graphicData>
            </a:graphic>
          </wp:anchor>
        </w:drawing>
        <w:t>Outstanding Equity Awards at Fiscal Year-End Table</w:t>
      </w:r>
    </w:p>
    <w:p>
      <w:pPr>
        <w:spacing w:after="0" w:line="164" w:lineRule="exact"/>
        <w:rPr>
          <w:sz w:val="20"/>
          <w:szCs w:val="20"/>
          <w:color w:val="auto"/>
        </w:rPr>
      </w:pPr>
    </w:p>
    <w:p>
      <w:pPr>
        <w:ind w:right="300" w:firstLine="589"/>
        <w:spacing w:after="0" w:line="274"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outstanding equity awards held by our named executive officers as of December 31, 2019. The unit, share, and per share amounts included in the table reflect our two-for-one stock split effective August 22, 2019.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1"/>
                <w:szCs w:val="11"/>
                <w:b w:val="1"/>
                <w:bCs w:val="1"/>
                <w:color w:val="auto"/>
                <w:w w:val="91"/>
              </w:rPr>
              <w:t>Option Awards</w:t>
            </w:r>
          </w:p>
        </w:tc>
        <w:tc>
          <w:tcPr>
            <w:tcW w:w="7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10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jc w:val="center"/>
              <w:ind w:right="7"/>
              <w:spacing w:after="0" w:line="110" w:lineRule="exact"/>
              <w:rPr>
                <w:sz w:val="20"/>
                <w:szCs w:val="20"/>
                <w:color w:val="auto"/>
              </w:rPr>
            </w:pPr>
            <w:r>
              <w:rPr>
                <w:rFonts w:ascii="Times New Roman" w:cs="Times New Roman" w:eastAsia="Times New Roman" w:hAnsi="Times New Roman"/>
                <w:sz w:val="11"/>
                <w:szCs w:val="11"/>
                <w:b w:val="1"/>
                <w:bCs w:val="1"/>
                <w:color w:val="auto"/>
                <w:w w:val="97"/>
              </w:rPr>
              <w:t>Equity Incentive</w:t>
            </w:r>
          </w:p>
        </w:tc>
        <w:tc>
          <w:tcPr>
            <w:tcW w:w="76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w w:val="94"/>
              </w:rPr>
              <w:t>Equity Incentive</w:t>
            </w: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60" w:type="dxa"/>
            <w:vAlign w:val="bottom"/>
          </w:tcPr>
          <w:p>
            <w:pPr>
              <w:jc w:val="center"/>
              <w:ind w:left="27"/>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Number of</w:t>
            </w: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jc w:val="center"/>
              <w:ind w:right="27"/>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280" w:type="dxa"/>
            <w:vAlign w:val="bottom"/>
          </w:tcPr>
          <w:p>
            <w:pPr>
              <w:jc w:val="center"/>
              <w:ind w:right="47"/>
              <w:spacing w:after="0" w:line="122" w:lineRule="exact"/>
              <w:rPr>
                <w:sz w:val="20"/>
                <w:szCs w:val="20"/>
                <w:color w:val="auto"/>
              </w:rPr>
            </w:pPr>
            <w:r>
              <w:rPr>
                <w:rFonts w:ascii="Times New Roman" w:cs="Times New Roman" w:eastAsia="Times New Roman" w:hAnsi="Times New Roman"/>
                <w:sz w:val="11"/>
                <w:szCs w:val="11"/>
                <w:b w:val="1"/>
                <w:bCs w:val="1"/>
                <w:color w:val="auto"/>
                <w:w w:val="95"/>
              </w:rPr>
              <w:t>Market Value of</w:t>
            </w:r>
          </w:p>
        </w:tc>
        <w:tc>
          <w:tcPr>
            <w:tcW w:w="1060" w:type="dxa"/>
            <w:vAlign w:val="bottom"/>
          </w:tcPr>
          <w:p>
            <w:pPr>
              <w:jc w:val="center"/>
              <w:ind w:right="7"/>
              <w:spacing w:after="0" w:line="122" w:lineRule="exact"/>
              <w:rPr>
                <w:sz w:val="20"/>
                <w:szCs w:val="20"/>
                <w:color w:val="auto"/>
              </w:rPr>
            </w:pPr>
            <w:r>
              <w:rPr>
                <w:rFonts w:ascii="Times New Roman" w:cs="Times New Roman" w:eastAsia="Times New Roman" w:hAnsi="Times New Roman"/>
                <w:sz w:val="11"/>
                <w:szCs w:val="11"/>
                <w:b w:val="1"/>
                <w:bCs w:val="1"/>
                <w:color w:val="auto"/>
                <w:w w:val="92"/>
              </w:rPr>
              <w:t>Plan Awards:</w:t>
            </w:r>
          </w:p>
        </w:tc>
        <w:tc>
          <w:tcPr>
            <w:tcW w:w="1080" w:type="dxa"/>
            <w:vAlign w:val="bottom"/>
            <w:gridSpan w:val="2"/>
          </w:tcPr>
          <w:p>
            <w:pPr>
              <w:jc w:val="center"/>
              <w:ind w:right="267"/>
              <w:spacing w:after="0" w:line="122" w:lineRule="exact"/>
              <w:rPr>
                <w:sz w:val="20"/>
                <w:szCs w:val="20"/>
                <w:color w:val="auto"/>
              </w:rPr>
            </w:pPr>
            <w:r>
              <w:rPr>
                <w:rFonts w:ascii="Times New Roman" w:cs="Times New Roman" w:eastAsia="Times New Roman" w:hAnsi="Times New Roman"/>
                <w:sz w:val="11"/>
                <w:szCs w:val="11"/>
                <w:b w:val="1"/>
                <w:bCs w:val="1"/>
                <w:color w:val="auto"/>
                <w:w w:val="92"/>
              </w:rPr>
              <w:t>Plan Awards:</w:t>
            </w: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60" w:type="dxa"/>
            <w:vAlign w:val="bottom"/>
          </w:tcPr>
          <w:p>
            <w:pPr>
              <w:jc w:val="center"/>
              <w:ind w:left="7"/>
              <w:spacing w:after="0" w:line="120"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102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jc w:val="center"/>
              <w:ind w:right="27"/>
              <w:spacing w:after="0" w:line="120" w:lineRule="exact"/>
              <w:rPr>
                <w:sz w:val="20"/>
                <w:szCs w:val="20"/>
                <w:color w:val="auto"/>
              </w:rPr>
            </w:pPr>
            <w:r>
              <w:rPr>
                <w:rFonts w:ascii="Times New Roman" w:cs="Times New Roman" w:eastAsia="Times New Roman" w:hAnsi="Times New Roman"/>
                <w:sz w:val="11"/>
                <w:szCs w:val="11"/>
                <w:b w:val="1"/>
                <w:bCs w:val="1"/>
                <w:color w:val="auto"/>
                <w:w w:val="93"/>
              </w:rPr>
              <w:t>Shares or</w:t>
            </w:r>
          </w:p>
        </w:tc>
        <w:tc>
          <w:tcPr>
            <w:tcW w:w="1280" w:type="dxa"/>
            <w:vAlign w:val="bottom"/>
          </w:tcPr>
          <w:p>
            <w:pPr>
              <w:jc w:val="center"/>
              <w:ind w:right="47"/>
              <w:spacing w:after="0" w:line="120" w:lineRule="exact"/>
              <w:rPr>
                <w:sz w:val="20"/>
                <w:szCs w:val="20"/>
                <w:color w:val="auto"/>
              </w:rPr>
            </w:pPr>
            <w:r>
              <w:rPr>
                <w:rFonts w:ascii="Times New Roman" w:cs="Times New Roman" w:eastAsia="Times New Roman" w:hAnsi="Times New Roman"/>
                <w:sz w:val="11"/>
                <w:szCs w:val="11"/>
                <w:b w:val="1"/>
                <w:bCs w:val="1"/>
                <w:color w:val="auto"/>
                <w:w w:val="93"/>
              </w:rPr>
              <w:t>Shares or</w:t>
            </w:r>
          </w:p>
        </w:tc>
        <w:tc>
          <w:tcPr>
            <w:tcW w:w="1060" w:type="dxa"/>
            <w:vAlign w:val="bottom"/>
          </w:tcPr>
          <w:p>
            <w:pPr>
              <w:jc w:val="center"/>
              <w:ind w:right="7"/>
              <w:spacing w:after="0" w:line="120" w:lineRule="exact"/>
              <w:rPr>
                <w:sz w:val="20"/>
                <w:szCs w:val="20"/>
                <w:color w:val="auto"/>
              </w:rPr>
            </w:pPr>
            <w:r>
              <w:rPr>
                <w:rFonts w:ascii="Times New Roman" w:cs="Times New Roman" w:eastAsia="Times New Roman" w:hAnsi="Times New Roman"/>
                <w:sz w:val="11"/>
                <w:szCs w:val="11"/>
                <w:b w:val="1"/>
                <w:bCs w:val="1"/>
                <w:color w:val="auto"/>
                <w:w w:val="91"/>
              </w:rPr>
              <w:t>Number</w:t>
            </w:r>
          </w:p>
        </w:tc>
        <w:tc>
          <w:tcPr>
            <w:tcW w:w="1080" w:type="dxa"/>
            <w:vAlign w:val="bottom"/>
            <w:gridSpan w:val="2"/>
          </w:tcPr>
          <w:p>
            <w:pPr>
              <w:jc w:val="center"/>
              <w:ind w:right="247"/>
              <w:spacing w:after="0" w:line="120" w:lineRule="exact"/>
              <w:rPr>
                <w:sz w:val="20"/>
                <w:szCs w:val="20"/>
                <w:color w:val="auto"/>
              </w:rPr>
            </w:pPr>
            <w:r>
              <w:rPr>
                <w:rFonts w:ascii="Times New Roman" w:cs="Times New Roman" w:eastAsia="Times New Roman" w:hAnsi="Times New Roman"/>
                <w:sz w:val="11"/>
                <w:szCs w:val="11"/>
                <w:b w:val="1"/>
                <w:bCs w:val="1"/>
                <w:color w:val="auto"/>
                <w:w w:val="94"/>
              </w:rPr>
              <w:t>Market Value</w:t>
            </w: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60" w:type="dxa"/>
            <w:vAlign w:val="bottom"/>
          </w:tcPr>
          <w:p>
            <w:pPr>
              <w:jc w:val="center"/>
              <w:ind w:left="27"/>
              <w:spacing w:after="0" w:line="120" w:lineRule="exact"/>
              <w:rPr>
                <w:sz w:val="20"/>
                <w:szCs w:val="20"/>
                <w:color w:val="auto"/>
              </w:rPr>
            </w:pPr>
            <w:r>
              <w:rPr>
                <w:rFonts w:ascii="Times New Roman" w:cs="Times New Roman" w:eastAsia="Times New Roman" w:hAnsi="Times New Roman"/>
                <w:sz w:val="11"/>
                <w:szCs w:val="11"/>
                <w:b w:val="1"/>
                <w:bCs w:val="1"/>
                <w:color w:val="auto"/>
                <w:w w:val="93"/>
              </w:rPr>
              <w:t>Underlying</w:t>
            </w:r>
          </w:p>
        </w:tc>
        <w:tc>
          <w:tcPr>
            <w:tcW w:w="102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jc w:val="center"/>
              <w:ind w:right="47"/>
              <w:spacing w:after="0" w:line="120" w:lineRule="exact"/>
              <w:rPr>
                <w:sz w:val="20"/>
                <w:szCs w:val="20"/>
                <w:color w:val="auto"/>
              </w:rPr>
            </w:pPr>
            <w:r>
              <w:rPr>
                <w:rFonts w:ascii="Times New Roman" w:cs="Times New Roman" w:eastAsia="Times New Roman" w:hAnsi="Times New Roman"/>
                <w:sz w:val="11"/>
                <w:szCs w:val="11"/>
                <w:b w:val="1"/>
                <w:bCs w:val="1"/>
                <w:color w:val="auto"/>
                <w:w w:val="95"/>
              </w:rPr>
              <w:t>Units</w:t>
            </w:r>
          </w:p>
        </w:tc>
        <w:tc>
          <w:tcPr>
            <w:tcW w:w="1280" w:type="dxa"/>
            <w:vAlign w:val="bottom"/>
          </w:tcPr>
          <w:p>
            <w:pPr>
              <w:jc w:val="center"/>
              <w:ind w:right="27"/>
              <w:spacing w:after="0" w:line="120" w:lineRule="exact"/>
              <w:rPr>
                <w:sz w:val="20"/>
                <w:szCs w:val="20"/>
                <w:color w:val="auto"/>
              </w:rPr>
            </w:pPr>
            <w:r>
              <w:rPr>
                <w:rFonts w:ascii="Times New Roman" w:cs="Times New Roman" w:eastAsia="Times New Roman" w:hAnsi="Times New Roman"/>
                <w:sz w:val="11"/>
                <w:szCs w:val="11"/>
                <w:b w:val="1"/>
                <w:bCs w:val="1"/>
                <w:color w:val="auto"/>
                <w:w w:val="95"/>
              </w:rPr>
              <w:t>Units</w:t>
            </w:r>
          </w:p>
        </w:tc>
        <w:tc>
          <w:tcPr>
            <w:tcW w:w="1060" w:type="dxa"/>
            <w:vAlign w:val="bottom"/>
          </w:tcPr>
          <w:p>
            <w:pPr>
              <w:jc w:val="center"/>
              <w:ind w:right="7"/>
              <w:spacing w:after="0" w:line="120" w:lineRule="exact"/>
              <w:rPr>
                <w:sz w:val="20"/>
                <w:szCs w:val="20"/>
                <w:color w:val="auto"/>
              </w:rPr>
            </w:pPr>
            <w:r>
              <w:rPr>
                <w:rFonts w:ascii="Times New Roman" w:cs="Times New Roman" w:eastAsia="Times New Roman" w:hAnsi="Times New Roman"/>
                <w:sz w:val="11"/>
                <w:szCs w:val="11"/>
                <w:b w:val="1"/>
                <w:bCs w:val="1"/>
                <w:color w:val="auto"/>
                <w:w w:val="95"/>
              </w:rPr>
              <w:t>of Unearned</w:t>
            </w:r>
          </w:p>
        </w:tc>
        <w:tc>
          <w:tcPr>
            <w:tcW w:w="1080" w:type="dxa"/>
            <w:vAlign w:val="bottom"/>
            <w:gridSpan w:val="2"/>
          </w:tcPr>
          <w:p>
            <w:pPr>
              <w:jc w:val="center"/>
              <w:ind w:right="267"/>
              <w:spacing w:after="0" w:line="120" w:lineRule="exact"/>
              <w:rPr>
                <w:sz w:val="20"/>
                <w:szCs w:val="20"/>
                <w:color w:val="auto"/>
              </w:rPr>
            </w:pPr>
            <w:r>
              <w:rPr>
                <w:rFonts w:ascii="Times New Roman" w:cs="Times New Roman" w:eastAsia="Times New Roman" w:hAnsi="Times New Roman"/>
                <w:sz w:val="11"/>
                <w:szCs w:val="11"/>
                <w:b w:val="1"/>
                <w:bCs w:val="1"/>
                <w:color w:val="auto"/>
                <w:w w:val="95"/>
              </w:rPr>
              <w:t>of Unearned</w:t>
            </w: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60" w:type="dxa"/>
            <w:vAlign w:val="bottom"/>
          </w:tcPr>
          <w:p>
            <w:pPr>
              <w:jc w:val="center"/>
              <w:ind w:left="27"/>
              <w:spacing w:after="0" w:line="120" w:lineRule="exact"/>
              <w:rPr>
                <w:sz w:val="20"/>
                <w:szCs w:val="20"/>
                <w:color w:val="auto"/>
              </w:rPr>
            </w:pPr>
            <w:r>
              <w:rPr>
                <w:rFonts w:ascii="Times New Roman" w:cs="Times New Roman" w:eastAsia="Times New Roman" w:hAnsi="Times New Roman"/>
                <w:sz w:val="11"/>
                <w:szCs w:val="11"/>
                <w:b w:val="1"/>
                <w:bCs w:val="1"/>
                <w:color w:val="auto"/>
                <w:w w:val="93"/>
              </w:rPr>
              <w:t>Unexercised</w:t>
            </w:r>
          </w:p>
        </w:tc>
        <w:tc>
          <w:tcPr>
            <w:tcW w:w="102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7"/>
              </w:rPr>
              <w:t>Unexercised</w:t>
            </w:r>
          </w:p>
        </w:tc>
        <w:tc>
          <w:tcPr>
            <w:tcW w:w="780" w:type="dxa"/>
            <w:vAlign w:val="bottom"/>
          </w:tcPr>
          <w:p>
            <w:pPr>
              <w:jc w:val="center"/>
              <w:ind w:right="247"/>
              <w:spacing w:after="0" w:line="120"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jc w:val="center"/>
              <w:ind w:right="27"/>
              <w:spacing w:after="0" w:line="120" w:lineRule="exact"/>
              <w:rPr>
                <w:sz w:val="20"/>
                <w:szCs w:val="20"/>
                <w:color w:val="auto"/>
              </w:rPr>
            </w:pPr>
            <w:r>
              <w:rPr>
                <w:rFonts w:ascii="Times New Roman" w:cs="Times New Roman" w:eastAsia="Times New Roman" w:hAnsi="Times New Roman"/>
                <w:sz w:val="11"/>
                <w:szCs w:val="11"/>
                <w:b w:val="1"/>
                <w:bCs w:val="1"/>
                <w:color w:val="auto"/>
                <w:w w:val="97"/>
              </w:rPr>
              <w:t>of Stock That</w:t>
            </w:r>
          </w:p>
        </w:tc>
        <w:tc>
          <w:tcPr>
            <w:tcW w:w="1280" w:type="dxa"/>
            <w:vAlign w:val="bottom"/>
          </w:tcPr>
          <w:p>
            <w:pPr>
              <w:jc w:val="center"/>
              <w:ind w:right="47"/>
              <w:spacing w:after="0" w:line="120" w:lineRule="exact"/>
              <w:rPr>
                <w:sz w:val="20"/>
                <w:szCs w:val="20"/>
                <w:color w:val="auto"/>
              </w:rPr>
            </w:pPr>
            <w:r>
              <w:rPr>
                <w:rFonts w:ascii="Times New Roman" w:cs="Times New Roman" w:eastAsia="Times New Roman" w:hAnsi="Times New Roman"/>
                <w:sz w:val="11"/>
                <w:szCs w:val="11"/>
                <w:b w:val="1"/>
                <w:bCs w:val="1"/>
                <w:color w:val="auto"/>
                <w:w w:val="96"/>
              </w:rPr>
              <w:t>of Stock that</w:t>
            </w:r>
          </w:p>
        </w:tc>
        <w:tc>
          <w:tcPr>
            <w:tcW w:w="1060" w:type="dxa"/>
            <w:vAlign w:val="bottom"/>
          </w:tcPr>
          <w:p>
            <w:pPr>
              <w:jc w:val="center"/>
              <w:ind w:right="7"/>
              <w:spacing w:after="0" w:line="120" w:lineRule="exact"/>
              <w:rPr>
                <w:sz w:val="20"/>
                <w:szCs w:val="20"/>
                <w:color w:val="auto"/>
              </w:rPr>
            </w:pPr>
            <w:r>
              <w:rPr>
                <w:rFonts w:ascii="Times New Roman" w:cs="Times New Roman" w:eastAsia="Times New Roman" w:hAnsi="Times New Roman"/>
                <w:sz w:val="11"/>
                <w:szCs w:val="11"/>
                <w:b w:val="1"/>
                <w:bCs w:val="1"/>
                <w:color w:val="auto"/>
                <w:w w:val="93"/>
              </w:rPr>
              <w:t>Shares or Units</w:t>
            </w:r>
          </w:p>
        </w:tc>
        <w:tc>
          <w:tcPr>
            <w:tcW w:w="1080" w:type="dxa"/>
            <w:vAlign w:val="bottom"/>
            <w:gridSpan w:val="2"/>
          </w:tcPr>
          <w:p>
            <w:pPr>
              <w:jc w:val="center"/>
              <w:ind w:right="247"/>
              <w:spacing w:after="0" w:line="120" w:lineRule="exact"/>
              <w:rPr>
                <w:sz w:val="20"/>
                <w:szCs w:val="20"/>
                <w:color w:val="auto"/>
              </w:rPr>
            </w:pPr>
            <w:r>
              <w:rPr>
                <w:rFonts w:ascii="Times New Roman" w:cs="Times New Roman" w:eastAsia="Times New Roman" w:hAnsi="Times New Roman"/>
                <w:sz w:val="11"/>
                <w:szCs w:val="11"/>
                <w:b w:val="1"/>
                <w:bCs w:val="1"/>
                <w:color w:val="auto"/>
                <w:w w:val="96"/>
              </w:rPr>
              <w:t>Shares or Units</w:t>
            </w: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60" w:type="dxa"/>
            <w:vAlign w:val="bottom"/>
          </w:tcPr>
          <w:p>
            <w:pPr>
              <w:jc w:val="center"/>
              <w:ind w:left="27"/>
              <w:spacing w:after="0" w:line="120" w:lineRule="exact"/>
              <w:rPr>
                <w:sz w:val="20"/>
                <w:szCs w:val="20"/>
                <w:color w:val="auto"/>
              </w:rPr>
            </w:pPr>
            <w:r>
              <w:rPr>
                <w:rFonts w:ascii="Times New Roman" w:cs="Times New Roman" w:eastAsia="Times New Roman" w:hAnsi="Times New Roman"/>
                <w:sz w:val="11"/>
                <w:szCs w:val="11"/>
                <w:b w:val="1"/>
                <w:bCs w:val="1"/>
                <w:color w:val="auto"/>
                <w:w w:val="94"/>
              </w:rPr>
              <w:t>Options (#)</w:t>
            </w:r>
          </w:p>
        </w:tc>
        <w:tc>
          <w:tcPr>
            <w:tcW w:w="102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8"/>
              </w:rPr>
              <w:t>Options (#)</w:t>
            </w:r>
          </w:p>
        </w:tc>
        <w:tc>
          <w:tcPr>
            <w:tcW w:w="780" w:type="dxa"/>
            <w:vAlign w:val="bottom"/>
          </w:tcPr>
          <w:p>
            <w:pPr>
              <w:jc w:val="center"/>
              <w:ind w:right="227"/>
              <w:spacing w:after="0" w:line="120" w:lineRule="exact"/>
              <w:rPr>
                <w:sz w:val="20"/>
                <w:szCs w:val="20"/>
                <w:color w:val="auto"/>
              </w:rPr>
            </w:pPr>
            <w:r>
              <w:rPr>
                <w:rFonts w:ascii="Times New Roman" w:cs="Times New Roman" w:eastAsia="Times New Roman" w:hAnsi="Times New Roman"/>
                <w:sz w:val="11"/>
                <w:szCs w:val="11"/>
                <w:b w:val="1"/>
                <w:bCs w:val="1"/>
                <w:color w:val="auto"/>
                <w:w w:val="95"/>
              </w:rPr>
              <w:t>Exercise</w:t>
            </w: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jc w:val="center"/>
              <w:ind w:right="27"/>
              <w:spacing w:after="0" w:line="120" w:lineRule="exact"/>
              <w:rPr>
                <w:sz w:val="20"/>
                <w:szCs w:val="20"/>
                <w:color w:val="auto"/>
              </w:rPr>
            </w:pPr>
            <w:r>
              <w:rPr>
                <w:rFonts w:ascii="Times New Roman" w:cs="Times New Roman" w:eastAsia="Times New Roman" w:hAnsi="Times New Roman"/>
                <w:sz w:val="11"/>
                <w:szCs w:val="11"/>
                <w:b w:val="1"/>
                <w:bCs w:val="1"/>
                <w:color w:val="auto"/>
                <w:w w:val="94"/>
              </w:rPr>
              <w:t>Have Not</w:t>
            </w:r>
          </w:p>
        </w:tc>
        <w:tc>
          <w:tcPr>
            <w:tcW w:w="1280" w:type="dxa"/>
            <w:vAlign w:val="bottom"/>
          </w:tcPr>
          <w:p>
            <w:pPr>
              <w:jc w:val="center"/>
              <w:ind w:right="47"/>
              <w:spacing w:after="0" w:line="120" w:lineRule="exact"/>
              <w:rPr>
                <w:sz w:val="20"/>
                <w:szCs w:val="20"/>
                <w:color w:val="auto"/>
              </w:rPr>
            </w:pPr>
            <w:r>
              <w:rPr>
                <w:rFonts w:ascii="Times New Roman" w:cs="Times New Roman" w:eastAsia="Times New Roman" w:hAnsi="Times New Roman"/>
                <w:sz w:val="11"/>
                <w:szCs w:val="11"/>
                <w:b w:val="1"/>
                <w:bCs w:val="1"/>
                <w:color w:val="auto"/>
                <w:w w:val="94"/>
              </w:rPr>
              <w:t>Have Not</w:t>
            </w:r>
          </w:p>
        </w:tc>
        <w:tc>
          <w:tcPr>
            <w:tcW w:w="1060" w:type="dxa"/>
            <w:vAlign w:val="bottom"/>
          </w:tcPr>
          <w:p>
            <w:pPr>
              <w:jc w:val="center"/>
              <w:ind w:right="7"/>
              <w:spacing w:after="0" w:line="120" w:lineRule="exact"/>
              <w:rPr>
                <w:sz w:val="20"/>
                <w:szCs w:val="20"/>
                <w:color w:val="auto"/>
              </w:rPr>
            </w:pPr>
            <w:r>
              <w:rPr>
                <w:rFonts w:ascii="Times New Roman" w:cs="Times New Roman" w:eastAsia="Times New Roman" w:hAnsi="Times New Roman"/>
                <w:sz w:val="11"/>
                <w:szCs w:val="11"/>
                <w:b w:val="1"/>
                <w:bCs w:val="1"/>
                <w:color w:val="auto"/>
                <w:w w:val="97"/>
              </w:rPr>
              <w:t>That Have Not</w:t>
            </w:r>
          </w:p>
        </w:tc>
        <w:tc>
          <w:tcPr>
            <w:tcW w:w="1080" w:type="dxa"/>
            <w:vAlign w:val="bottom"/>
            <w:gridSpan w:val="2"/>
          </w:tcPr>
          <w:p>
            <w:pPr>
              <w:jc w:val="center"/>
              <w:ind w:right="247"/>
              <w:spacing w:after="0" w:line="120" w:lineRule="exact"/>
              <w:rPr>
                <w:sz w:val="20"/>
                <w:szCs w:val="20"/>
                <w:color w:val="auto"/>
              </w:rPr>
            </w:pPr>
            <w:r>
              <w:rPr>
                <w:rFonts w:ascii="Times New Roman" w:cs="Times New Roman" w:eastAsia="Times New Roman" w:hAnsi="Times New Roman"/>
                <w:sz w:val="11"/>
                <w:szCs w:val="11"/>
                <w:b w:val="1"/>
                <w:bCs w:val="1"/>
                <w:color w:val="auto"/>
                <w:w w:val="94"/>
              </w:rPr>
              <w:t>That Have Not</w:t>
            </w:r>
          </w:p>
        </w:tc>
        <w:tc>
          <w:tcPr>
            <w:tcW w:w="0" w:type="dxa"/>
            <w:vAlign w:val="bottom"/>
          </w:tcPr>
          <w:p>
            <w:pPr>
              <w:spacing w:after="0"/>
              <w:rPr>
                <w:sz w:val="1"/>
                <w:szCs w:val="1"/>
                <w:color w:val="auto"/>
              </w:rPr>
            </w:pPr>
          </w:p>
        </w:tc>
      </w:tr>
      <w:tr>
        <w:trPr>
          <w:trHeight w:val="119"/>
        </w:trPr>
        <w:tc>
          <w:tcPr>
            <w:tcW w:w="12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40" w:type="dxa"/>
            <w:vAlign w:val="bottom"/>
          </w:tcPr>
          <w:p>
            <w:pPr>
              <w:spacing w:after="0"/>
              <w:rPr>
                <w:sz w:val="10"/>
                <w:szCs w:val="10"/>
                <w:color w:val="auto"/>
              </w:rPr>
            </w:pPr>
          </w:p>
        </w:tc>
        <w:tc>
          <w:tcPr>
            <w:tcW w:w="1020" w:type="dxa"/>
            <w:vAlign w:val="bottom"/>
          </w:tcPr>
          <w:p>
            <w:pPr>
              <w:jc w:val="right"/>
              <w:ind w:right="327"/>
              <w:spacing w:after="0" w:line="120" w:lineRule="exact"/>
              <w:rPr>
                <w:sz w:val="20"/>
                <w:szCs w:val="20"/>
                <w:color w:val="auto"/>
              </w:rPr>
            </w:pPr>
            <w:r>
              <w:rPr>
                <w:rFonts w:ascii="Times New Roman" w:cs="Times New Roman" w:eastAsia="Times New Roman" w:hAnsi="Times New Roman"/>
                <w:sz w:val="11"/>
                <w:szCs w:val="11"/>
                <w:b w:val="1"/>
                <w:bCs w:val="1"/>
                <w:color w:val="auto"/>
              </w:rPr>
              <w:t>Grant</w:t>
            </w:r>
          </w:p>
        </w:tc>
        <w:tc>
          <w:tcPr>
            <w:tcW w:w="860" w:type="dxa"/>
            <w:vAlign w:val="bottom"/>
          </w:tcPr>
          <w:p>
            <w:pPr>
              <w:jc w:val="center"/>
              <w:ind w:left="7"/>
              <w:spacing w:after="0" w:line="120" w:lineRule="exact"/>
              <w:rPr>
                <w:sz w:val="20"/>
                <w:szCs w:val="20"/>
                <w:color w:val="auto"/>
              </w:rPr>
            </w:pPr>
            <w:r>
              <w:rPr>
                <w:rFonts w:ascii="Times New Roman" w:cs="Times New Roman" w:eastAsia="Times New Roman" w:hAnsi="Times New Roman"/>
                <w:sz w:val="11"/>
                <w:szCs w:val="11"/>
                <w:b w:val="1"/>
                <w:bCs w:val="1"/>
                <w:color w:val="auto"/>
                <w:w w:val="95"/>
              </w:rPr>
              <w:t>Exercisable</w:t>
            </w:r>
          </w:p>
        </w:tc>
        <w:tc>
          <w:tcPr>
            <w:tcW w:w="102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6"/>
              </w:rPr>
              <w:t>Unexercisable</w:t>
            </w:r>
          </w:p>
        </w:tc>
        <w:tc>
          <w:tcPr>
            <w:tcW w:w="780" w:type="dxa"/>
            <w:vAlign w:val="bottom"/>
          </w:tcPr>
          <w:p>
            <w:pPr>
              <w:jc w:val="center"/>
              <w:ind w:right="247"/>
              <w:spacing w:after="0" w:line="120"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1200" w:type="dxa"/>
            <w:vAlign w:val="bottom"/>
            <w:gridSpan w:val="3"/>
          </w:tcPr>
          <w:p>
            <w:pPr>
              <w:jc w:val="center"/>
              <w:ind w:right="400"/>
              <w:spacing w:after="0" w:line="120"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40" w:type="dxa"/>
            <w:vAlign w:val="bottom"/>
          </w:tcPr>
          <w:p>
            <w:pPr>
              <w:spacing w:after="0"/>
              <w:rPr>
                <w:sz w:val="10"/>
                <w:szCs w:val="10"/>
                <w:color w:val="auto"/>
              </w:rPr>
            </w:pPr>
          </w:p>
        </w:tc>
        <w:tc>
          <w:tcPr>
            <w:tcW w:w="800" w:type="dxa"/>
            <w:vAlign w:val="bottom"/>
          </w:tcPr>
          <w:p>
            <w:pPr>
              <w:jc w:val="right"/>
              <w:ind w:right="287"/>
              <w:spacing w:after="0" w:line="120" w:lineRule="exact"/>
              <w:rPr>
                <w:sz w:val="20"/>
                <w:szCs w:val="20"/>
                <w:color w:val="auto"/>
              </w:rPr>
            </w:pPr>
            <w:r>
              <w:rPr>
                <w:rFonts w:ascii="Times New Roman" w:cs="Times New Roman" w:eastAsia="Times New Roman" w:hAnsi="Times New Roman"/>
                <w:sz w:val="11"/>
                <w:szCs w:val="11"/>
                <w:b w:val="1"/>
                <w:bCs w:val="1"/>
                <w:color w:val="auto"/>
              </w:rPr>
              <w:t>Grant</w:t>
            </w:r>
          </w:p>
        </w:tc>
        <w:tc>
          <w:tcPr>
            <w:tcW w:w="940" w:type="dxa"/>
            <w:vAlign w:val="bottom"/>
          </w:tcPr>
          <w:p>
            <w:pPr>
              <w:jc w:val="center"/>
              <w:ind w:right="27"/>
              <w:spacing w:after="0" w:line="120" w:lineRule="exact"/>
              <w:rPr>
                <w:sz w:val="20"/>
                <w:szCs w:val="20"/>
                <w:color w:val="auto"/>
              </w:rPr>
            </w:pPr>
            <w:r>
              <w:rPr>
                <w:rFonts w:ascii="Times New Roman" w:cs="Times New Roman" w:eastAsia="Times New Roman" w:hAnsi="Times New Roman"/>
                <w:sz w:val="11"/>
                <w:szCs w:val="11"/>
                <w:b w:val="1"/>
                <w:bCs w:val="1"/>
                <w:color w:val="auto"/>
                <w:w w:val="94"/>
              </w:rPr>
              <w:t>Vested</w:t>
            </w:r>
          </w:p>
        </w:tc>
        <w:tc>
          <w:tcPr>
            <w:tcW w:w="1280" w:type="dxa"/>
            <w:vAlign w:val="bottom"/>
          </w:tcPr>
          <w:p>
            <w:pPr>
              <w:jc w:val="center"/>
              <w:ind w:right="47"/>
              <w:spacing w:after="0" w:line="120" w:lineRule="exact"/>
              <w:rPr>
                <w:sz w:val="20"/>
                <w:szCs w:val="20"/>
                <w:color w:val="auto"/>
              </w:rPr>
            </w:pPr>
            <w:r>
              <w:rPr>
                <w:rFonts w:ascii="Times New Roman" w:cs="Times New Roman" w:eastAsia="Times New Roman" w:hAnsi="Times New Roman"/>
                <w:sz w:val="11"/>
                <w:szCs w:val="11"/>
                <w:b w:val="1"/>
                <w:bCs w:val="1"/>
                <w:color w:val="auto"/>
                <w:w w:val="94"/>
              </w:rPr>
              <w:t>Vested</w:t>
            </w:r>
          </w:p>
        </w:tc>
        <w:tc>
          <w:tcPr>
            <w:tcW w:w="1060" w:type="dxa"/>
            <w:vAlign w:val="bottom"/>
          </w:tcPr>
          <w:p>
            <w:pPr>
              <w:jc w:val="center"/>
              <w:ind w:right="7"/>
              <w:spacing w:after="0" w:line="120" w:lineRule="exact"/>
              <w:rPr>
                <w:sz w:val="20"/>
                <w:szCs w:val="20"/>
                <w:color w:val="auto"/>
              </w:rPr>
            </w:pPr>
            <w:r>
              <w:rPr>
                <w:rFonts w:ascii="Times New Roman" w:cs="Times New Roman" w:eastAsia="Times New Roman" w:hAnsi="Times New Roman"/>
                <w:sz w:val="11"/>
                <w:szCs w:val="11"/>
                <w:b w:val="1"/>
                <w:bCs w:val="1"/>
                <w:color w:val="auto"/>
                <w:w w:val="87"/>
              </w:rPr>
              <w:t>Vested</w:t>
            </w:r>
          </w:p>
        </w:tc>
        <w:tc>
          <w:tcPr>
            <w:tcW w:w="1080" w:type="dxa"/>
            <w:vAlign w:val="bottom"/>
            <w:gridSpan w:val="2"/>
          </w:tcPr>
          <w:p>
            <w:pPr>
              <w:jc w:val="center"/>
              <w:ind w:right="247"/>
              <w:spacing w:after="0" w:line="120" w:lineRule="exact"/>
              <w:rPr>
                <w:sz w:val="20"/>
                <w:szCs w:val="20"/>
                <w:color w:val="auto"/>
              </w:rPr>
            </w:pPr>
            <w:r>
              <w:rPr>
                <w:rFonts w:ascii="Times New Roman" w:cs="Times New Roman" w:eastAsia="Times New Roman" w:hAnsi="Times New Roman"/>
                <w:sz w:val="11"/>
                <w:szCs w:val="11"/>
                <w:b w:val="1"/>
                <w:bCs w:val="1"/>
                <w:color w:val="auto"/>
                <w:w w:val="94"/>
              </w:rPr>
              <w:t>Vested</w:t>
            </w:r>
          </w:p>
        </w:tc>
        <w:tc>
          <w:tcPr>
            <w:tcW w:w="0" w:type="dxa"/>
            <w:vAlign w:val="bottom"/>
          </w:tcPr>
          <w:p>
            <w:pPr>
              <w:spacing w:after="0"/>
              <w:rPr>
                <w:sz w:val="1"/>
                <w:szCs w:val="1"/>
                <w:color w:val="auto"/>
              </w:rPr>
            </w:pPr>
          </w:p>
        </w:tc>
      </w:tr>
      <w:tr>
        <w:trPr>
          <w:trHeight w:val="133"/>
        </w:trPr>
        <w:tc>
          <w:tcPr>
            <w:tcW w:w="12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jc w:val="right"/>
              <w:ind w:right="367"/>
              <w:spacing w:after="0"/>
              <w:rPr>
                <w:sz w:val="20"/>
                <w:szCs w:val="20"/>
                <w:color w:val="auto"/>
              </w:rPr>
            </w:pPr>
            <w:r>
              <w:rPr>
                <w:rFonts w:ascii="Times New Roman" w:cs="Times New Roman" w:eastAsia="Times New Roman" w:hAnsi="Times New Roman"/>
                <w:sz w:val="11"/>
                <w:szCs w:val="11"/>
                <w:b w:val="1"/>
                <w:bCs w:val="1"/>
                <w:color w:val="auto"/>
              </w:rPr>
              <w:t>Date</w:t>
            </w:r>
          </w:p>
        </w:tc>
        <w:tc>
          <w:tcPr>
            <w:tcW w:w="860" w:type="dxa"/>
            <w:vAlign w:val="bottom"/>
          </w:tcPr>
          <w:p>
            <w:pPr>
              <w:jc w:val="center"/>
              <w:ind w:left="27"/>
              <w:spacing w:after="0"/>
              <w:rPr>
                <w:sz w:val="20"/>
                <w:szCs w:val="20"/>
                <w:color w:val="auto"/>
              </w:rPr>
            </w:pPr>
            <w:r>
              <w:rPr>
                <w:rFonts w:ascii="Times New Roman" w:cs="Times New Roman" w:eastAsia="Times New Roman" w:hAnsi="Times New Roman"/>
                <w:sz w:val="9"/>
                <w:szCs w:val="9"/>
                <w:color w:val="auto"/>
                <w:w w:val="94"/>
              </w:rPr>
              <w:t>(1)</w:t>
            </w:r>
          </w:p>
        </w:tc>
        <w:tc>
          <w:tcPr>
            <w:tcW w:w="102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(1)</w:t>
            </w:r>
          </w:p>
        </w:tc>
        <w:tc>
          <w:tcPr>
            <w:tcW w:w="780" w:type="dxa"/>
            <w:vAlign w:val="bottom"/>
          </w:tcPr>
          <w:p>
            <w:pPr>
              <w:jc w:val="center"/>
              <w:ind w:right="247"/>
              <w:spacing w:after="0"/>
              <w:rPr>
                <w:sz w:val="20"/>
                <w:szCs w:val="20"/>
                <w:color w:val="auto"/>
              </w:rPr>
            </w:pPr>
            <w:r>
              <w:rPr>
                <w:rFonts w:ascii="Times New Roman" w:cs="Times New Roman" w:eastAsia="Times New Roman" w:hAnsi="Times New Roman"/>
                <w:sz w:val="11"/>
                <w:szCs w:val="11"/>
                <w:b w:val="1"/>
                <w:bCs w:val="1"/>
                <w:color w:val="auto"/>
                <w:w w:val="99"/>
              </w:rPr>
              <w:t>($/Sh)</w:t>
            </w:r>
          </w:p>
        </w:tc>
        <w:tc>
          <w:tcPr>
            <w:tcW w:w="1200" w:type="dxa"/>
            <w:vAlign w:val="bottom"/>
            <w:gridSpan w:val="3"/>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5"/>
              </w:rPr>
              <w:t>Expiration Date</w:t>
            </w:r>
          </w:p>
        </w:tc>
        <w:tc>
          <w:tcPr>
            <w:tcW w:w="40" w:type="dxa"/>
            <w:vAlign w:val="bottom"/>
          </w:tcPr>
          <w:p>
            <w:pPr>
              <w:spacing w:after="0"/>
              <w:rPr>
                <w:sz w:val="11"/>
                <w:szCs w:val="11"/>
                <w:color w:val="auto"/>
              </w:rPr>
            </w:pPr>
          </w:p>
        </w:tc>
        <w:tc>
          <w:tcPr>
            <w:tcW w:w="800" w:type="dxa"/>
            <w:vAlign w:val="bottom"/>
          </w:tcPr>
          <w:p>
            <w:pPr>
              <w:jc w:val="right"/>
              <w:ind w:right="307"/>
              <w:spacing w:after="0"/>
              <w:rPr>
                <w:sz w:val="20"/>
                <w:szCs w:val="20"/>
                <w:color w:val="auto"/>
              </w:rPr>
            </w:pPr>
            <w:r>
              <w:rPr>
                <w:rFonts w:ascii="Times New Roman" w:cs="Times New Roman" w:eastAsia="Times New Roman" w:hAnsi="Times New Roman"/>
                <w:sz w:val="11"/>
                <w:szCs w:val="11"/>
                <w:b w:val="1"/>
                <w:bCs w:val="1"/>
                <w:color w:val="auto"/>
              </w:rPr>
              <w:t>Date</w:t>
            </w:r>
          </w:p>
        </w:tc>
        <w:tc>
          <w:tcPr>
            <w:tcW w:w="940" w:type="dxa"/>
            <w:vAlign w:val="bottom"/>
          </w:tcPr>
          <w:p>
            <w:pPr>
              <w:jc w:val="center"/>
              <w:ind w:right="27"/>
              <w:spacing w:after="0"/>
              <w:rPr>
                <w:sz w:val="20"/>
                <w:szCs w:val="20"/>
                <w:color w:val="auto"/>
              </w:rPr>
            </w:pPr>
            <w:r>
              <w:rPr>
                <w:rFonts w:ascii="Times New Roman" w:cs="Times New Roman" w:eastAsia="Times New Roman" w:hAnsi="Times New Roman"/>
                <w:sz w:val="11"/>
                <w:szCs w:val="11"/>
                <w:b w:val="1"/>
                <w:bCs w:val="1"/>
                <w:color w:val="auto"/>
                <w:w w:val="94"/>
              </w:rPr>
              <w:t>(#)</w:t>
            </w:r>
            <w:r>
              <w:rPr>
                <w:rFonts w:ascii="Times New Roman" w:cs="Times New Roman" w:eastAsia="Times New Roman" w:hAnsi="Times New Roman"/>
                <w:sz w:val="9"/>
                <w:szCs w:val="9"/>
                <w:color w:val="auto"/>
                <w:w w:val="94"/>
              </w:rPr>
              <w:t>(2)</w:t>
            </w:r>
          </w:p>
        </w:tc>
        <w:tc>
          <w:tcPr>
            <w:tcW w:w="1280" w:type="dxa"/>
            <w:vAlign w:val="bottom"/>
          </w:tcPr>
          <w:p>
            <w:pPr>
              <w:jc w:val="center"/>
              <w:ind w:right="47"/>
              <w:spacing w:after="0"/>
              <w:rPr>
                <w:sz w:val="20"/>
                <w:szCs w:val="20"/>
                <w:color w:val="auto"/>
              </w:rPr>
            </w:pPr>
            <w:r>
              <w:rPr>
                <w:rFonts w:ascii="Times New Roman" w:cs="Times New Roman" w:eastAsia="Times New Roman" w:hAnsi="Times New Roman"/>
                <w:sz w:val="11"/>
                <w:szCs w:val="11"/>
                <w:b w:val="1"/>
                <w:bCs w:val="1"/>
                <w:color w:val="auto"/>
                <w:w w:val="94"/>
              </w:rPr>
              <w:t>($)</w:t>
            </w:r>
            <w:r>
              <w:rPr>
                <w:rFonts w:ascii="Times New Roman" w:cs="Times New Roman" w:eastAsia="Times New Roman" w:hAnsi="Times New Roman"/>
                <w:sz w:val="9"/>
                <w:szCs w:val="9"/>
                <w:color w:val="auto"/>
                <w:w w:val="94"/>
              </w:rPr>
              <w:t>(3)</w:t>
            </w:r>
          </w:p>
        </w:tc>
        <w:tc>
          <w:tcPr>
            <w:tcW w:w="1060" w:type="dxa"/>
            <w:vAlign w:val="bottom"/>
          </w:tcPr>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9"/>
                <w:szCs w:val="9"/>
                <w:color w:val="auto"/>
              </w:rPr>
              <w:t>(4)</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w:t>
            </w:r>
            <w:r>
              <w:rPr>
                <w:rFonts w:ascii="Times New Roman" w:cs="Times New Roman" w:eastAsia="Times New Roman" w:hAnsi="Times New Roman"/>
                <w:sz w:val="9"/>
                <w:szCs w:val="9"/>
                <w:color w:val="auto"/>
                <w:w w:val="94"/>
              </w:rPr>
              <w:t>(3)</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Archie C. Black</w:t>
            </w: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2/10/2014</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47,102</w:t>
            </w:r>
          </w:p>
        </w:tc>
        <w:tc>
          <w:tcPr>
            <w:tcW w:w="1020" w:type="dxa"/>
            <w:vAlign w:val="bottom"/>
            <w:tcBorders>
              <w:top w:val="single" w:sz="8" w:color="auto"/>
            </w:tcBorders>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32.98</w:t>
            </w: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2/10/2021</w:t>
            </w:r>
          </w:p>
        </w:tc>
        <w:tc>
          <w:tcPr>
            <w:tcW w:w="180" w:type="dxa"/>
            <w:vAlign w:val="bottom"/>
            <w:tcBorders>
              <w:top w:val="single" w:sz="8" w:color="CFF0FC"/>
            </w:tcBorders>
            <w:shd w:val="clear" w:color="auto" w:fill="CFF0FC"/>
          </w:tcPr>
          <w:p>
            <w:pPr>
              <w:spacing w:after="0"/>
              <w:rPr>
                <w:sz w:val="10"/>
                <w:szCs w:val="10"/>
                <w:color w:val="auto"/>
              </w:rPr>
            </w:pPr>
          </w:p>
        </w:tc>
        <w:tc>
          <w:tcPr>
            <w:tcW w:w="840" w:type="dxa"/>
            <w:vAlign w:val="bottom"/>
            <w:tcBorders>
              <w:top w:val="single" w:sz="8" w:color="auto"/>
            </w:tcBorders>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2/5/2016</w:t>
            </w:r>
          </w:p>
        </w:tc>
        <w:tc>
          <w:tcPr>
            <w:tcW w:w="940" w:type="dxa"/>
            <w:vAlign w:val="bottom"/>
            <w:tcBorders>
              <w:top w:val="single" w:sz="8" w:color="auto"/>
            </w:tcBorders>
            <w:shd w:val="clear" w:color="auto" w:fill="CFF0FC"/>
          </w:tcPr>
          <w:p>
            <w:pPr>
              <w:jc w:val="right"/>
              <w:ind w:right="207"/>
              <w:spacing w:after="0"/>
              <w:rPr>
                <w:sz w:val="20"/>
                <w:szCs w:val="20"/>
                <w:color w:val="auto"/>
              </w:rPr>
            </w:pPr>
            <w:r>
              <w:rPr>
                <w:rFonts w:ascii="Times New Roman" w:cs="Times New Roman" w:eastAsia="Times New Roman" w:hAnsi="Times New Roman"/>
                <w:sz w:val="11"/>
                <w:szCs w:val="11"/>
                <w:color w:val="auto"/>
              </w:rPr>
              <w:t>2,124</w:t>
            </w:r>
          </w:p>
        </w:tc>
        <w:tc>
          <w:tcPr>
            <w:tcW w:w="1280" w:type="dxa"/>
            <w:vAlign w:val="bottom"/>
            <w:tcBorders>
              <w:top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117,712</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3"/>
        </w:trPr>
        <w:tc>
          <w:tcPr>
            <w:tcW w:w="1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2/9/2015</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56,498</w:t>
            </w:r>
          </w:p>
        </w:tc>
        <w:tc>
          <w:tcPr>
            <w:tcW w:w="102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33.55</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2/9/2022</w:t>
            </w:r>
          </w:p>
        </w:tc>
        <w:tc>
          <w:tcPr>
            <w:tcW w:w="1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2/14/2017</w:t>
            </w:r>
          </w:p>
        </w:tc>
        <w:tc>
          <w:tcPr>
            <w:tcW w:w="940" w:type="dxa"/>
            <w:vAlign w:val="bottom"/>
            <w:shd w:val="clear" w:color="auto" w:fill="CFF0FC"/>
          </w:tcPr>
          <w:p>
            <w:pPr>
              <w:jc w:val="right"/>
              <w:ind w:right="207"/>
              <w:spacing w:after="0"/>
              <w:rPr>
                <w:sz w:val="20"/>
                <w:szCs w:val="20"/>
                <w:color w:val="auto"/>
              </w:rPr>
            </w:pPr>
            <w:r>
              <w:rPr>
                <w:rFonts w:ascii="Times New Roman" w:cs="Times New Roman" w:eastAsia="Times New Roman" w:hAnsi="Times New Roman"/>
                <w:sz w:val="11"/>
                <w:szCs w:val="11"/>
                <w:color w:val="auto"/>
              </w:rPr>
              <w:t>15,710</w:t>
            </w:r>
          </w:p>
        </w:tc>
        <w:tc>
          <w:tcPr>
            <w:tcW w:w="12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870,648</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3"/>
        </w:trPr>
        <w:tc>
          <w:tcPr>
            <w:tcW w:w="1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4/27/2015</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21,462</w:t>
            </w:r>
          </w:p>
        </w:tc>
        <w:tc>
          <w:tcPr>
            <w:tcW w:w="102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34.48</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4/27/2022</w:t>
            </w:r>
          </w:p>
        </w:tc>
        <w:tc>
          <w:tcPr>
            <w:tcW w:w="1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2/13/2018</w:t>
            </w:r>
          </w:p>
        </w:tc>
        <w:tc>
          <w:tcPr>
            <w:tcW w:w="940" w:type="dxa"/>
            <w:vAlign w:val="bottom"/>
            <w:shd w:val="clear" w:color="auto" w:fill="CFF0FC"/>
          </w:tcPr>
          <w:p>
            <w:pPr>
              <w:jc w:val="right"/>
              <w:ind w:right="207"/>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10,972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608,068</w:t>
            </w:r>
          </w:p>
        </w:tc>
        <w:tc>
          <w:tcPr>
            <w:tcW w:w="0" w:type="dxa"/>
            <w:vAlign w:val="bottom"/>
          </w:tcPr>
          <w:p>
            <w:pPr>
              <w:spacing w:after="0"/>
              <w:rPr>
                <w:sz w:val="1"/>
                <w:szCs w:val="1"/>
                <w:color w:val="auto"/>
              </w:rPr>
            </w:pPr>
          </w:p>
        </w:tc>
      </w:tr>
      <w:tr>
        <w:trPr>
          <w:trHeight w:val="133"/>
        </w:trPr>
        <w:tc>
          <w:tcPr>
            <w:tcW w:w="1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2/5/2016</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86,030</w:t>
            </w:r>
          </w:p>
        </w:tc>
        <w:tc>
          <w:tcPr>
            <w:tcW w:w="102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rPr>
              <w:t>6,350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24.04</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2/5/2023</w:t>
            </w:r>
          </w:p>
        </w:tc>
        <w:tc>
          <w:tcPr>
            <w:tcW w:w="1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5/3/2018</w:t>
            </w:r>
          </w:p>
        </w:tc>
        <w:tc>
          <w:tcPr>
            <w:tcW w:w="940" w:type="dxa"/>
            <w:vAlign w:val="bottom"/>
            <w:shd w:val="clear" w:color="auto" w:fill="CFF0FC"/>
          </w:tcPr>
          <w:p>
            <w:pPr>
              <w:jc w:val="right"/>
              <w:ind w:right="207"/>
              <w:spacing w:after="0"/>
              <w:rPr>
                <w:sz w:val="20"/>
                <w:szCs w:val="20"/>
                <w:color w:val="auto"/>
              </w:rPr>
            </w:pPr>
            <w:r>
              <w:rPr>
                <w:rFonts w:ascii="Times New Roman" w:cs="Times New Roman" w:eastAsia="Times New Roman" w:hAnsi="Times New Roman"/>
                <w:sz w:val="11"/>
                <w:szCs w:val="11"/>
                <w:color w:val="auto"/>
              </w:rPr>
              <w:t>11,888</w:t>
            </w:r>
          </w:p>
        </w:tc>
        <w:tc>
          <w:tcPr>
            <w:tcW w:w="12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658,833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3"/>
        </w:trPr>
        <w:tc>
          <w:tcPr>
            <w:tcW w:w="1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2/14/2017</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55,734</w:t>
            </w:r>
          </w:p>
        </w:tc>
        <w:tc>
          <w:tcPr>
            <w:tcW w:w="102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rPr>
              <w:t>22,952</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27.85</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2/14/2024</w:t>
            </w:r>
          </w:p>
        </w:tc>
        <w:tc>
          <w:tcPr>
            <w:tcW w:w="1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8/2/2018</w:t>
            </w:r>
          </w:p>
        </w:tc>
        <w:tc>
          <w:tcPr>
            <w:tcW w:w="940" w:type="dxa"/>
            <w:vAlign w:val="bottom"/>
            <w:shd w:val="clear" w:color="auto" w:fill="CFF0FC"/>
          </w:tcPr>
          <w:p>
            <w:pPr>
              <w:jc w:val="right"/>
              <w:ind w:right="207"/>
              <w:spacing w:after="0"/>
              <w:rPr>
                <w:sz w:val="20"/>
                <w:szCs w:val="20"/>
                <w:color w:val="auto"/>
              </w:rPr>
            </w:pPr>
            <w:r>
              <w:rPr>
                <w:rFonts w:ascii="Times New Roman" w:cs="Times New Roman" w:eastAsia="Times New Roman" w:hAnsi="Times New Roman"/>
                <w:sz w:val="11"/>
                <w:szCs w:val="11"/>
                <w:color w:val="auto"/>
              </w:rPr>
              <w:t>11,888</w:t>
            </w:r>
          </w:p>
        </w:tc>
        <w:tc>
          <w:tcPr>
            <w:tcW w:w="12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658,833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3"/>
        </w:trPr>
        <w:tc>
          <w:tcPr>
            <w:tcW w:w="1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2/13/2018</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29,638</w:t>
            </w:r>
          </w:p>
        </w:tc>
        <w:tc>
          <w:tcPr>
            <w:tcW w:w="102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rPr>
              <w:t>35,030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27.34</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2/13/2025</w:t>
            </w:r>
          </w:p>
        </w:tc>
        <w:tc>
          <w:tcPr>
            <w:tcW w:w="1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2/19/2019</w:t>
            </w:r>
          </w:p>
        </w:tc>
        <w:tc>
          <w:tcPr>
            <w:tcW w:w="940" w:type="dxa"/>
            <w:vAlign w:val="bottom"/>
            <w:shd w:val="clear" w:color="auto" w:fill="CFF0FC"/>
          </w:tcPr>
          <w:p>
            <w:pPr>
              <w:jc w:val="right"/>
              <w:ind w:right="207"/>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4,401</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243,892</w:t>
            </w:r>
          </w:p>
        </w:tc>
        <w:tc>
          <w:tcPr>
            <w:tcW w:w="0" w:type="dxa"/>
            <w:vAlign w:val="bottom"/>
          </w:tcPr>
          <w:p>
            <w:pPr>
              <w:spacing w:after="0"/>
              <w:rPr>
                <w:sz w:val="1"/>
                <w:szCs w:val="1"/>
                <w:color w:val="auto"/>
              </w:rPr>
            </w:pPr>
          </w:p>
        </w:tc>
      </w:tr>
      <w:tr>
        <w:trPr>
          <w:trHeight w:val="133"/>
        </w:trPr>
        <w:tc>
          <w:tcPr>
            <w:tcW w:w="1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2/19/2019</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rPr>
              <w:t>34,482</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54.54</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2/19/2026</w:t>
            </w:r>
          </w:p>
        </w:tc>
        <w:tc>
          <w:tcPr>
            <w:tcW w:w="1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2/19/2019</w:t>
            </w:r>
          </w:p>
        </w:tc>
        <w:tc>
          <w:tcPr>
            <w:tcW w:w="940" w:type="dxa"/>
            <w:vAlign w:val="bottom"/>
            <w:shd w:val="clear" w:color="auto" w:fill="CFF0FC"/>
          </w:tcPr>
          <w:p>
            <w:pPr>
              <w:jc w:val="right"/>
              <w:ind w:right="207"/>
              <w:spacing w:after="0"/>
              <w:rPr>
                <w:sz w:val="20"/>
                <w:szCs w:val="20"/>
                <w:color w:val="auto"/>
              </w:rPr>
            </w:pPr>
            <w:r>
              <w:rPr>
                <w:rFonts w:ascii="Times New Roman" w:cs="Times New Roman" w:eastAsia="Times New Roman" w:hAnsi="Times New Roman"/>
                <w:sz w:val="11"/>
                <w:szCs w:val="11"/>
                <w:color w:val="auto"/>
              </w:rPr>
              <w:t>22,004</w:t>
            </w:r>
          </w:p>
        </w:tc>
        <w:tc>
          <w:tcPr>
            <w:tcW w:w="12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1,219,462</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1220" w:type="dxa"/>
            <w:vAlign w:val="bottom"/>
          </w:tcPr>
          <w:p>
            <w:pPr>
              <w:spacing w:after="0"/>
              <w:rPr>
                <w:sz w:val="20"/>
                <w:szCs w:val="20"/>
                <w:color w:val="auto"/>
              </w:rPr>
            </w:pPr>
            <w:r>
              <w:rPr>
                <w:rFonts w:ascii="Times New Roman" w:cs="Times New Roman" w:eastAsia="Times New Roman" w:hAnsi="Times New Roman"/>
                <w:sz w:val="11"/>
                <w:szCs w:val="11"/>
                <w:color w:val="auto"/>
              </w:rPr>
              <w:t>Kimberly K. Nelson</w:t>
            </w:r>
          </w:p>
        </w:tc>
        <w:tc>
          <w:tcPr>
            <w:tcW w:w="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2/11/2011</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28,644</w:t>
            </w:r>
          </w:p>
        </w:tc>
        <w:tc>
          <w:tcPr>
            <w:tcW w:w="10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8.32</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2/11/2021</w:t>
            </w:r>
          </w:p>
        </w:tc>
        <w:tc>
          <w:tcPr>
            <w:tcW w:w="180" w:type="dxa"/>
            <w:vAlign w:val="bottom"/>
          </w:tcPr>
          <w:p>
            <w:pPr>
              <w:spacing w:after="0"/>
              <w:rPr>
                <w:sz w:val="11"/>
                <w:szCs w:val="11"/>
                <w:color w:val="auto"/>
              </w:rPr>
            </w:pPr>
          </w:p>
        </w:tc>
        <w:tc>
          <w:tcPr>
            <w:tcW w:w="84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color w:val="auto"/>
              </w:rPr>
              <w:t>2/5/2016</w:t>
            </w:r>
          </w:p>
        </w:tc>
        <w:tc>
          <w:tcPr>
            <w:tcW w:w="94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rPr>
              <w:t>954</w:t>
            </w:r>
          </w:p>
        </w:tc>
        <w:tc>
          <w:tcPr>
            <w:tcW w:w="12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52,871</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2/9/2015</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38,582</w:t>
            </w:r>
          </w:p>
        </w:tc>
        <w:tc>
          <w:tcPr>
            <w:tcW w:w="10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33.55</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2/9/2022</w:t>
            </w:r>
          </w:p>
        </w:tc>
        <w:tc>
          <w:tcPr>
            <w:tcW w:w="180" w:type="dxa"/>
            <w:vAlign w:val="bottom"/>
          </w:tcPr>
          <w:p>
            <w:pPr>
              <w:spacing w:after="0"/>
              <w:rPr>
                <w:sz w:val="11"/>
                <w:szCs w:val="11"/>
                <w:color w:val="auto"/>
              </w:rPr>
            </w:pPr>
          </w:p>
        </w:tc>
        <w:tc>
          <w:tcPr>
            <w:tcW w:w="84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color w:val="auto"/>
              </w:rPr>
              <w:t>2/14/2017</w:t>
            </w:r>
          </w:p>
        </w:tc>
        <w:tc>
          <w:tcPr>
            <w:tcW w:w="94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rPr>
              <w:t>6,416</w:t>
            </w:r>
          </w:p>
        </w:tc>
        <w:tc>
          <w:tcPr>
            <w:tcW w:w="12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355,575</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2/5/2016</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65,564</w:t>
            </w:r>
          </w:p>
        </w:tc>
        <w:tc>
          <w:tcPr>
            <w:tcW w:w="10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2,852</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24.04</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2/5/2023</w:t>
            </w:r>
          </w:p>
        </w:tc>
        <w:tc>
          <w:tcPr>
            <w:tcW w:w="180" w:type="dxa"/>
            <w:vAlign w:val="bottom"/>
          </w:tcPr>
          <w:p>
            <w:pPr>
              <w:spacing w:after="0"/>
              <w:rPr>
                <w:sz w:val="11"/>
                <w:szCs w:val="11"/>
                <w:color w:val="auto"/>
              </w:rPr>
            </w:pPr>
          </w:p>
        </w:tc>
        <w:tc>
          <w:tcPr>
            <w:tcW w:w="84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color w:val="auto"/>
              </w:rPr>
              <w:t>2/13/2018</w:t>
            </w:r>
          </w:p>
        </w:tc>
        <w:tc>
          <w:tcPr>
            <w:tcW w:w="94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310,352</w:t>
            </w: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2/14/2017</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22,758</w:t>
            </w:r>
          </w:p>
        </w:tc>
        <w:tc>
          <w:tcPr>
            <w:tcW w:w="10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9,372</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27.85</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2/14/2024</w:t>
            </w:r>
          </w:p>
        </w:tc>
        <w:tc>
          <w:tcPr>
            <w:tcW w:w="180" w:type="dxa"/>
            <w:vAlign w:val="bottom"/>
          </w:tcPr>
          <w:p>
            <w:pPr>
              <w:spacing w:after="0"/>
              <w:rPr>
                <w:sz w:val="11"/>
                <w:szCs w:val="11"/>
                <w:color w:val="auto"/>
              </w:rPr>
            </w:pPr>
          </w:p>
        </w:tc>
        <w:tc>
          <w:tcPr>
            <w:tcW w:w="84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color w:val="auto"/>
              </w:rPr>
              <w:t>2/13/2018</w:t>
            </w:r>
          </w:p>
        </w:tc>
        <w:tc>
          <w:tcPr>
            <w:tcW w:w="94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rPr>
              <w:t>12,136</w:t>
            </w:r>
          </w:p>
        </w:tc>
        <w:tc>
          <w:tcPr>
            <w:tcW w:w="12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672,577</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2/13/2018</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15,128</w:t>
            </w:r>
          </w:p>
        </w:tc>
        <w:tc>
          <w:tcPr>
            <w:tcW w:w="10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17,880</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27.34</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2/13/2025</w:t>
            </w:r>
          </w:p>
        </w:tc>
        <w:tc>
          <w:tcPr>
            <w:tcW w:w="180" w:type="dxa"/>
            <w:vAlign w:val="bottom"/>
          </w:tcPr>
          <w:p>
            <w:pPr>
              <w:spacing w:after="0"/>
              <w:rPr>
                <w:sz w:val="11"/>
                <w:szCs w:val="11"/>
                <w:color w:val="auto"/>
              </w:rPr>
            </w:pPr>
          </w:p>
        </w:tc>
        <w:tc>
          <w:tcPr>
            <w:tcW w:w="84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color w:val="auto"/>
              </w:rPr>
              <w:t>2/19/2019</w:t>
            </w:r>
          </w:p>
        </w:tc>
        <w:tc>
          <w:tcPr>
            <w:tcW w:w="94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124,451</w:t>
            </w: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2/19/2019</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17,600</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54.54</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2/19/2026</w:t>
            </w:r>
          </w:p>
        </w:tc>
        <w:tc>
          <w:tcPr>
            <w:tcW w:w="180" w:type="dxa"/>
            <w:vAlign w:val="bottom"/>
          </w:tcPr>
          <w:p>
            <w:pPr>
              <w:spacing w:after="0"/>
              <w:rPr>
                <w:sz w:val="11"/>
                <w:szCs w:val="11"/>
                <w:color w:val="auto"/>
              </w:rPr>
            </w:pPr>
          </w:p>
        </w:tc>
        <w:tc>
          <w:tcPr>
            <w:tcW w:w="84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color w:val="auto"/>
              </w:rPr>
              <w:t>2/19/2019</w:t>
            </w:r>
          </w:p>
        </w:tc>
        <w:tc>
          <w:tcPr>
            <w:tcW w:w="94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rPr>
              <w:t>11,230</w:t>
            </w:r>
          </w:p>
        </w:tc>
        <w:tc>
          <w:tcPr>
            <w:tcW w:w="12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622,367</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3"/>
        </w:trPr>
        <w:tc>
          <w:tcPr>
            <w:tcW w:w="12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James J. Frome</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2/8/2013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18,216</w:t>
            </w:r>
          </w:p>
        </w:tc>
        <w:tc>
          <w:tcPr>
            <w:tcW w:w="102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19.51</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2/8/2020</w:t>
            </w:r>
          </w:p>
        </w:tc>
        <w:tc>
          <w:tcPr>
            <w:tcW w:w="1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2/5/2016</w:t>
            </w:r>
          </w:p>
        </w:tc>
        <w:tc>
          <w:tcPr>
            <w:tcW w:w="940" w:type="dxa"/>
            <w:vAlign w:val="bottom"/>
            <w:shd w:val="clear" w:color="auto" w:fill="CFF0FC"/>
          </w:tcPr>
          <w:p>
            <w:pPr>
              <w:jc w:val="right"/>
              <w:ind w:right="207"/>
              <w:spacing w:after="0"/>
              <w:rPr>
                <w:sz w:val="20"/>
                <w:szCs w:val="20"/>
                <w:color w:val="auto"/>
              </w:rPr>
            </w:pPr>
            <w:r>
              <w:rPr>
                <w:rFonts w:ascii="Times New Roman" w:cs="Times New Roman" w:eastAsia="Times New Roman" w:hAnsi="Times New Roman"/>
                <w:sz w:val="11"/>
                <w:szCs w:val="11"/>
                <w:color w:val="auto"/>
              </w:rPr>
              <w:t>954</w:t>
            </w:r>
          </w:p>
        </w:tc>
        <w:tc>
          <w:tcPr>
            <w:tcW w:w="12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52,871</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3"/>
        </w:trPr>
        <w:tc>
          <w:tcPr>
            <w:tcW w:w="1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2/10/2014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20,018</w:t>
            </w:r>
          </w:p>
        </w:tc>
        <w:tc>
          <w:tcPr>
            <w:tcW w:w="102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32.98</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2/10/2021</w:t>
            </w:r>
          </w:p>
        </w:tc>
        <w:tc>
          <w:tcPr>
            <w:tcW w:w="1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2/14/2017</w:t>
            </w:r>
          </w:p>
        </w:tc>
        <w:tc>
          <w:tcPr>
            <w:tcW w:w="940" w:type="dxa"/>
            <w:vAlign w:val="bottom"/>
            <w:shd w:val="clear" w:color="auto" w:fill="CFF0FC"/>
          </w:tcPr>
          <w:p>
            <w:pPr>
              <w:jc w:val="right"/>
              <w:ind w:right="207"/>
              <w:spacing w:after="0"/>
              <w:rPr>
                <w:sz w:val="20"/>
                <w:szCs w:val="20"/>
                <w:color w:val="auto"/>
              </w:rPr>
            </w:pPr>
            <w:r>
              <w:rPr>
                <w:rFonts w:ascii="Times New Roman" w:cs="Times New Roman" w:eastAsia="Times New Roman" w:hAnsi="Times New Roman"/>
                <w:sz w:val="11"/>
                <w:szCs w:val="11"/>
                <w:color w:val="auto"/>
              </w:rPr>
              <w:t>6,520</w:t>
            </w:r>
          </w:p>
        </w:tc>
        <w:tc>
          <w:tcPr>
            <w:tcW w:w="12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361,338</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3"/>
        </w:trPr>
        <w:tc>
          <w:tcPr>
            <w:tcW w:w="1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2/9/2015</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39,398</w:t>
            </w:r>
          </w:p>
        </w:tc>
        <w:tc>
          <w:tcPr>
            <w:tcW w:w="102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33.55</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2/9/2022</w:t>
            </w:r>
          </w:p>
        </w:tc>
        <w:tc>
          <w:tcPr>
            <w:tcW w:w="1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2/13/2018</w:t>
            </w:r>
          </w:p>
        </w:tc>
        <w:tc>
          <w:tcPr>
            <w:tcW w:w="940" w:type="dxa"/>
            <w:vAlign w:val="bottom"/>
            <w:shd w:val="clear" w:color="auto" w:fill="CFF0FC"/>
          </w:tcPr>
          <w:p>
            <w:pPr>
              <w:jc w:val="right"/>
              <w:ind w:right="247"/>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354,688</w:t>
            </w:r>
          </w:p>
        </w:tc>
        <w:tc>
          <w:tcPr>
            <w:tcW w:w="0" w:type="dxa"/>
            <w:vAlign w:val="bottom"/>
          </w:tcPr>
          <w:p>
            <w:pPr>
              <w:spacing w:after="0"/>
              <w:rPr>
                <w:sz w:val="1"/>
                <w:szCs w:val="1"/>
                <w:color w:val="auto"/>
              </w:rPr>
            </w:pPr>
          </w:p>
        </w:tc>
      </w:tr>
      <w:tr>
        <w:trPr>
          <w:trHeight w:val="133"/>
        </w:trPr>
        <w:tc>
          <w:tcPr>
            <w:tcW w:w="1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2/5/2016</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65,564</w:t>
            </w:r>
          </w:p>
        </w:tc>
        <w:tc>
          <w:tcPr>
            <w:tcW w:w="102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rPr>
              <w:t>2,852</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24.04</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2/5/2023</w:t>
            </w:r>
          </w:p>
        </w:tc>
        <w:tc>
          <w:tcPr>
            <w:tcW w:w="1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2/13/2018</w:t>
            </w:r>
          </w:p>
        </w:tc>
        <w:tc>
          <w:tcPr>
            <w:tcW w:w="940" w:type="dxa"/>
            <w:vAlign w:val="bottom"/>
            <w:shd w:val="clear" w:color="auto" w:fill="CFF0FC"/>
          </w:tcPr>
          <w:p>
            <w:pPr>
              <w:jc w:val="right"/>
              <w:ind w:right="207"/>
              <w:spacing w:after="0"/>
              <w:rPr>
                <w:sz w:val="20"/>
                <w:szCs w:val="20"/>
                <w:color w:val="auto"/>
              </w:rPr>
            </w:pPr>
            <w:r>
              <w:rPr>
                <w:rFonts w:ascii="Times New Roman" w:cs="Times New Roman" w:eastAsia="Times New Roman" w:hAnsi="Times New Roman"/>
                <w:sz w:val="11"/>
                <w:szCs w:val="11"/>
                <w:color w:val="auto"/>
              </w:rPr>
              <w:t>13,868</w:t>
            </w:r>
          </w:p>
        </w:tc>
        <w:tc>
          <w:tcPr>
            <w:tcW w:w="12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768,565</w:t>
            </w:r>
          </w:p>
        </w:tc>
        <w:tc>
          <w:tcPr>
            <w:tcW w:w="10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3"/>
        </w:trPr>
        <w:tc>
          <w:tcPr>
            <w:tcW w:w="1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2/14/2017</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23,128</w:t>
            </w:r>
          </w:p>
        </w:tc>
        <w:tc>
          <w:tcPr>
            <w:tcW w:w="102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rPr>
              <w:t>9,526</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27.85</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2/14/2024</w:t>
            </w:r>
          </w:p>
        </w:tc>
        <w:tc>
          <w:tcPr>
            <w:tcW w:w="1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2/19/2019</w:t>
            </w:r>
          </w:p>
        </w:tc>
        <w:tc>
          <w:tcPr>
            <w:tcW w:w="940" w:type="dxa"/>
            <w:vAlign w:val="bottom"/>
            <w:shd w:val="clear" w:color="auto" w:fill="CFF0FC"/>
          </w:tcPr>
          <w:p>
            <w:pPr>
              <w:jc w:val="right"/>
              <w:ind w:right="247"/>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2,566</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142,230</w:t>
            </w:r>
          </w:p>
        </w:tc>
        <w:tc>
          <w:tcPr>
            <w:tcW w:w="0" w:type="dxa"/>
            <w:vAlign w:val="bottom"/>
          </w:tcPr>
          <w:p>
            <w:pPr>
              <w:spacing w:after="0"/>
              <w:rPr>
                <w:sz w:val="1"/>
                <w:szCs w:val="1"/>
                <w:color w:val="auto"/>
              </w:rPr>
            </w:pPr>
          </w:p>
        </w:tc>
      </w:tr>
      <w:tr>
        <w:trPr>
          <w:trHeight w:val="133"/>
        </w:trPr>
        <w:tc>
          <w:tcPr>
            <w:tcW w:w="1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2/13/2018</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17,288</w:t>
            </w:r>
          </w:p>
        </w:tc>
        <w:tc>
          <w:tcPr>
            <w:tcW w:w="102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rPr>
              <w:t>20,434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27.34</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2/13/2025</w:t>
            </w:r>
          </w:p>
        </w:tc>
        <w:tc>
          <w:tcPr>
            <w:tcW w:w="1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2/19/2019</w:t>
            </w:r>
          </w:p>
        </w:tc>
        <w:tc>
          <w:tcPr>
            <w:tcW w:w="940" w:type="dxa"/>
            <w:vAlign w:val="bottom"/>
            <w:shd w:val="clear" w:color="auto" w:fill="CFF0FC"/>
          </w:tcPr>
          <w:p>
            <w:pPr>
              <w:jc w:val="right"/>
              <w:ind w:right="207"/>
              <w:spacing w:after="0"/>
              <w:rPr>
                <w:sz w:val="20"/>
                <w:szCs w:val="20"/>
                <w:color w:val="auto"/>
              </w:rPr>
            </w:pPr>
            <w:r>
              <w:rPr>
                <w:rFonts w:ascii="Times New Roman" w:cs="Times New Roman" w:eastAsia="Times New Roman" w:hAnsi="Times New Roman"/>
                <w:sz w:val="11"/>
                <w:szCs w:val="11"/>
                <w:color w:val="auto"/>
              </w:rPr>
              <w:t>12,834</w:t>
            </w:r>
          </w:p>
        </w:tc>
        <w:tc>
          <w:tcPr>
            <w:tcW w:w="12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711,260</w:t>
            </w:r>
          </w:p>
        </w:tc>
        <w:tc>
          <w:tcPr>
            <w:tcW w:w="10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3"/>
        </w:trPr>
        <w:tc>
          <w:tcPr>
            <w:tcW w:w="1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2/19/2019</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rPr>
              <w:t>20,114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54.54</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2/19/2026</w:t>
            </w: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40" w:right="620" w:hanging="434"/>
        <w:spacing w:after="0" w:line="274" w:lineRule="auto"/>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vest as to one-fourth of the shares on the first anniversary of their grant date. The remaining shares vest in a series of 36 successive equal monthly installments upon completion of each additional month of service thereafter.</w:t>
      </w:r>
    </w:p>
    <w:p>
      <w:pPr>
        <w:spacing w:after="0" w:line="57" w:lineRule="exact"/>
        <w:rPr>
          <w:rFonts w:ascii="Times New Roman" w:cs="Times New Roman" w:eastAsia="Times New Roman" w:hAnsi="Times New Roman"/>
          <w:sz w:val="18"/>
          <w:szCs w:val="18"/>
          <w:color w:val="auto"/>
        </w:rPr>
      </w:pPr>
    </w:p>
    <w:p>
      <w:pPr>
        <w:ind w:left="440" w:right="420" w:hanging="434"/>
        <w:spacing w:after="0" w:line="274" w:lineRule="auto"/>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vest as to one-fourth of the units in February of the year following their grant date. The remaining underlying units vest in a series of 36 equal monthly installments upon completion of each additional month of service thereafter.</w:t>
      </w:r>
    </w:p>
    <w:p>
      <w:pPr>
        <w:spacing w:after="0" w:line="57" w:lineRule="exact"/>
        <w:rPr>
          <w:rFonts w:ascii="Times New Roman" w:cs="Times New Roman" w:eastAsia="Times New Roman" w:hAnsi="Times New Roman"/>
          <w:sz w:val="18"/>
          <w:szCs w:val="18"/>
          <w:color w:val="auto"/>
        </w:rPr>
      </w:pPr>
    </w:p>
    <w:p>
      <w:pPr>
        <w:ind w:left="440" w:hanging="434"/>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values are calculated using the year end closing sale price of a share of our common stock on the Nasdaq Global Market, which was $55.42.</w:t>
      </w:r>
    </w:p>
    <w:p>
      <w:pPr>
        <w:spacing w:after="0" w:line="111" w:lineRule="exact"/>
        <w:rPr>
          <w:rFonts w:ascii="Times New Roman" w:cs="Times New Roman" w:eastAsia="Times New Roman" w:hAnsi="Times New Roman"/>
          <w:sz w:val="18"/>
          <w:szCs w:val="18"/>
          <w:color w:val="auto"/>
        </w:rPr>
      </w:pPr>
    </w:p>
    <w:p>
      <w:pPr>
        <w:jc w:val="both"/>
        <w:ind w:left="440" w:right="200" w:hanging="434"/>
        <w:spacing w:after="0" w:line="255" w:lineRule="auto"/>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PSUs granted in 2019 and 2018 vest in accordance with the successful attainment of pre-determined TSR targets relative to the Index over a three-year performance period ending in 2021 and 2020, respectively. The number of PSUs reported is the threshold number established by the compensation committee. The PSUs awarded in 2017 for the 2017 – 2019 performance period did not vest because we did not meet the threshold revenue goal and as such, are not presented as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71348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340"/>
          </w:cols>
          <w:pgMar w:left="320" w:top="600" w:right="239" w:bottom="1440" w:gutter="0" w:footer="0" w:header="0"/>
        </w:sectPr>
      </w:pPr>
    </w:p>
    <w:bookmarkStart w:id="33" w:name="page34"/>
    <w:bookmarkEnd w:id="33"/>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207010</wp:posOffset>
            </wp:positionH>
            <wp:positionV relativeFrom="page">
              <wp:posOffset>374650</wp:posOffset>
            </wp:positionV>
            <wp:extent cx="71348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860" cy="8255"/>
                    </a:xfrm>
                    <a:prstGeom prst="rect">
                      <a:avLst/>
                    </a:prstGeom>
                    <a:noFill/>
                  </pic:spPr>
                </pic:pic>
              </a:graphicData>
            </a:graphic>
          </wp:anchor>
        </w:drawing>
        <w:t>2019 Options Exercised and Stock Vested Table</w:t>
      </w:r>
    </w:p>
    <w:p>
      <w:pPr>
        <w:spacing w:after="0" w:line="164" w:lineRule="exact"/>
        <w:rPr>
          <w:sz w:val="20"/>
          <w:szCs w:val="20"/>
          <w:color w:val="auto"/>
        </w:rPr>
      </w:pPr>
    </w:p>
    <w:p>
      <w:pPr>
        <w:ind w:right="260" w:firstLine="589"/>
        <w:spacing w:after="0" w:line="274"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stock awards vested and stock option exercises by our named executive officers during 2019. The unit and share amounts included in the table reflect our two-for-one stock split effective August 22, 2019.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tcBorders>
              <w:bottom w:val="single" w:sz="8" w:color="auto"/>
            </w:tcBorders>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tcBorders>
              <w:bottom w:val="single" w:sz="8" w:color="auto"/>
            </w:tcBorders>
            <w:gridSpan w:val="2"/>
          </w:tcPr>
          <w:p>
            <w:pPr>
              <w:ind w:left="16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52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480" w:type="dxa"/>
            <w:vAlign w:val="bottom"/>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Value Realized</w:t>
            </w:r>
          </w:p>
        </w:tc>
        <w:tc>
          <w:tcPr>
            <w:tcW w:w="280" w:type="dxa"/>
            <w:vAlign w:val="bottom"/>
          </w:tcPr>
          <w:p>
            <w:pPr>
              <w:spacing w:after="0"/>
              <w:rPr>
                <w:sz w:val="11"/>
                <w:szCs w:val="11"/>
                <w:color w:val="auto"/>
              </w:rPr>
            </w:pPr>
          </w:p>
        </w:tc>
        <w:tc>
          <w:tcPr>
            <w:tcW w:w="252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500" w:type="dxa"/>
            <w:vAlign w:val="bottom"/>
          </w:tcPr>
          <w:p>
            <w:pPr>
              <w:jc w:val="right"/>
              <w:ind w:right="239"/>
              <w:spacing w:after="0" w:line="128" w:lineRule="exact"/>
              <w:rPr>
                <w:sz w:val="20"/>
                <w:szCs w:val="20"/>
                <w:color w:val="auto"/>
              </w:rPr>
            </w:pPr>
            <w:r>
              <w:rPr>
                <w:rFonts w:ascii="Times New Roman" w:cs="Times New Roman" w:eastAsia="Times New Roman" w:hAnsi="Times New Roman"/>
                <w:sz w:val="14"/>
                <w:szCs w:val="14"/>
                <w:b w:val="1"/>
                <w:bCs w:val="1"/>
                <w:color w:val="auto"/>
              </w:rPr>
              <w:t>Value Realized</w:t>
            </w:r>
          </w:p>
        </w:tc>
        <w:tc>
          <w:tcPr>
            <w:tcW w:w="0" w:type="dxa"/>
            <w:vAlign w:val="bottom"/>
          </w:tcPr>
          <w:p>
            <w:pPr>
              <w:spacing w:after="0"/>
              <w:rPr>
                <w:sz w:val="1"/>
                <w:szCs w:val="1"/>
                <w:color w:val="auto"/>
              </w:rPr>
            </w:pPr>
          </w:p>
        </w:tc>
      </w:tr>
      <w:tr>
        <w:trPr>
          <w:trHeight w:val="170"/>
        </w:trPr>
        <w:tc>
          <w:tcPr>
            <w:tcW w:w="2820" w:type="dxa"/>
            <w:vAlign w:val="bottom"/>
            <w:gridSpan w:val="2"/>
            <w:vMerge w:val="continue"/>
          </w:tcPr>
          <w:p>
            <w:pPr>
              <w:spacing w:after="0"/>
              <w:rPr>
                <w:sz w:val="14"/>
                <w:szCs w:val="14"/>
                <w:color w:val="auto"/>
              </w:rPr>
            </w:pPr>
          </w:p>
        </w:tc>
        <w:tc>
          <w:tcPr>
            <w:tcW w:w="2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Acquired on Exercise (#)</w:t>
            </w: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on Exercise ($)</w:t>
            </w:r>
            <w:r>
              <w:rPr>
                <w:rFonts w:ascii="Times New Roman" w:cs="Times New Roman" w:eastAsia="Times New Roman" w:hAnsi="Times New Roman"/>
                <w:sz w:val="12"/>
                <w:szCs w:val="12"/>
                <w:color w:val="auto"/>
              </w:rPr>
              <w:t>(1)</w:t>
            </w:r>
          </w:p>
        </w:tc>
        <w:tc>
          <w:tcPr>
            <w:tcW w:w="2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Acquired on Vesting (#)</w:t>
            </w:r>
          </w:p>
        </w:tc>
        <w:tc>
          <w:tcPr>
            <w:tcW w:w="150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on Vesting ($)</w:t>
            </w: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219"/>
        </w:trPr>
        <w:tc>
          <w:tcPr>
            <w:tcW w:w="2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Archie C. Black</w:t>
            </w:r>
          </w:p>
        </w:tc>
        <w:tc>
          <w:tcPr>
            <w:tcW w:w="160" w:type="dxa"/>
            <w:vAlign w:val="bottom"/>
            <w:tcBorders>
              <w:top w:val="single" w:sz="8" w:color="CFF0FC"/>
            </w:tcBorders>
            <w:shd w:val="clear" w:color="auto" w:fill="CFF0FC"/>
          </w:tcPr>
          <w:p>
            <w:pPr>
              <w:spacing w:after="0"/>
              <w:rPr>
                <w:sz w:val="19"/>
                <w:szCs w:val="19"/>
                <w:color w:val="auto"/>
              </w:rPr>
            </w:pPr>
          </w:p>
        </w:tc>
        <w:tc>
          <w:tcPr>
            <w:tcW w:w="2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67,290</w:t>
            </w:r>
          </w:p>
        </w:tc>
        <w:tc>
          <w:tcPr>
            <w:tcW w:w="28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2,269,834</w:t>
            </w:r>
          </w:p>
        </w:tc>
        <w:tc>
          <w:tcPr>
            <w:tcW w:w="280" w:type="dxa"/>
            <w:vAlign w:val="bottom"/>
            <w:tcBorders>
              <w:top w:val="single" w:sz="8" w:color="CFF0FC"/>
            </w:tcBorders>
            <w:shd w:val="clear" w:color="auto" w:fill="CFF0FC"/>
          </w:tcPr>
          <w:p>
            <w:pPr>
              <w:spacing w:after="0"/>
              <w:rPr>
                <w:sz w:val="19"/>
                <w:szCs w:val="19"/>
                <w:color w:val="auto"/>
              </w:rPr>
            </w:pPr>
          </w:p>
        </w:tc>
        <w:tc>
          <w:tcPr>
            <w:tcW w:w="2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47,740</w:t>
            </w:r>
          </w:p>
        </w:tc>
        <w:tc>
          <w:tcPr>
            <w:tcW w:w="28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2,464,138</w:t>
            </w:r>
          </w:p>
        </w:tc>
        <w:tc>
          <w:tcPr>
            <w:tcW w:w="0" w:type="dxa"/>
            <w:vAlign w:val="bottom"/>
          </w:tcPr>
          <w:p>
            <w:pPr>
              <w:spacing w:after="0"/>
              <w:rPr>
                <w:sz w:val="1"/>
                <w:szCs w:val="1"/>
                <w:color w:val="auto"/>
              </w:rPr>
            </w:pPr>
          </w:p>
        </w:tc>
      </w:tr>
      <w:tr>
        <w:trPr>
          <w:trHeight w:val="359"/>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Kimberly K. Nelson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60,018</w:t>
            </w: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2,217,619</w:t>
            </w:r>
          </w:p>
        </w:tc>
        <w:tc>
          <w:tcPr>
            <w:tcW w:w="28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22,042</w:t>
            </w:r>
          </w:p>
        </w:tc>
        <w:tc>
          <w:tcPr>
            <w:tcW w:w="2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1,138,019</w:t>
            </w:r>
          </w:p>
        </w:tc>
        <w:tc>
          <w:tcPr>
            <w:tcW w:w="0" w:type="dxa"/>
            <w:vAlign w:val="bottom"/>
          </w:tcPr>
          <w:p>
            <w:pPr>
              <w:spacing w:after="0"/>
              <w:rPr>
                <w:sz w:val="1"/>
                <w:szCs w:val="1"/>
                <w:color w:val="auto"/>
              </w:rPr>
            </w:pPr>
          </w:p>
        </w:tc>
      </w:tr>
      <w:tr>
        <w:trPr>
          <w:trHeight w:val="131"/>
        </w:trPr>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2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J. Frome</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18,214</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646,415</w:t>
            </w:r>
          </w:p>
        </w:tc>
        <w:tc>
          <w:tcPr>
            <w:tcW w:w="280" w:type="dxa"/>
            <w:vAlign w:val="bottom"/>
            <w:shd w:val="clear" w:color="auto" w:fill="CFF0FC"/>
          </w:tcPr>
          <w:p>
            <w:pPr>
              <w:spacing w:after="0"/>
              <w:rPr>
                <w:sz w:val="19"/>
                <w:szCs w:val="19"/>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23,612</w:t>
            </w: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1,220,522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40" w:right="380" w:hanging="434"/>
        <w:spacing w:after="0" w:line="274" w:lineRule="auto"/>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value realized on exercise in 2019 by multiplying (a) the difference between (i) the market price of our common stock on the exercise date and (ii) the per share exercise price, by (b) the number of shares of our common stock acquired on exercise.</w:t>
      </w:r>
    </w:p>
    <w:p>
      <w:pPr>
        <w:spacing w:after="0" w:line="57" w:lineRule="exact"/>
        <w:rPr>
          <w:rFonts w:ascii="Times New Roman" w:cs="Times New Roman" w:eastAsia="Times New Roman" w:hAnsi="Times New Roman"/>
          <w:sz w:val="18"/>
          <w:szCs w:val="18"/>
          <w:color w:val="auto"/>
        </w:rPr>
      </w:pPr>
    </w:p>
    <w:p>
      <w:pPr>
        <w:ind w:left="440" w:right="200" w:hanging="434"/>
        <w:spacing w:after="0" w:line="274" w:lineRule="auto"/>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value realized by multiplying (a) the number of shares of our common stock vested by (b) the fair market value of our common stock of a share of our common stock on the vesting date.</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348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do not offer pension benefits to our named executive officers.</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348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do not offer non-qualified deferred compensation to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158115</wp:posOffset>
            </wp:positionV>
            <wp:extent cx="71348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Employment Agreements</w:t>
      </w:r>
    </w:p>
    <w:p>
      <w:pPr>
        <w:spacing w:after="0" w:line="164" w:lineRule="exact"/>
        <w:rPr>
          <w:sz w:val="20"/>
          <w:szCs w:val="20"/>
          <w:color w:val="auto"/>
        </w:rPr>
      </w:pPr>
    </w:p>
    <w:p>
      <w:pPr>
        <w:ind w:right="200" w:firstLine="589"/>
        <w:spacing w:after="0" w:line="259" w:lineRule="auto"/>
        <w:rPr>
          <w:sz w:val="20"/>
          <w:szCs w:val="20"/>
          <w:color w:val="auto"/>
        </w:rPr>
      </w:pPr>
      <w:r>
        <w:rPr>
          <w:rFonts w:ascii="Times New Roman" w:cs="Times New Roman" w:eastAsia="Times New Roman" w:hAnsi="Times New Roman"/>
          <w:sz w:val="18"/>
          <w:szCs w:val="18"/>
          <w:color w:val="auto"/>
        </w:rPr>
        <w:t>In November 2017, we entered into a new employment agreement with Mr. Black. In connection with entering into the employment agreement, Mr. Black entered into a non-competition and non-solicitation agreement with the company pursuant to which he agreed not to compete with our company or solicit our customers or employees for two years following termination of employment.</w:t>
      </w:r>
    </w:p>
    <w:p>
      <w:pPr>
        <w:spacing w:after="0" w:line="125" w:lineRule="exact"/>
        <w:rPr>
          <w:sz w:val="20"/>
          <w:szCs w:val="20"/>
          <w:color w:val="auto"/>
        </w:rPr>
      </w:pPr>
    </w:p>
    <w:p>
      <w:pPr>
        <w:ind w:right="60" w:firstLine="589"/>
        <w:spacing w:after="0" w:line="255" w:lineRule="auto"/>
        <w:rPr>
          <w:sz w:val="20"/>
          <w:szCs w:val="20"/>
          <w:color w:val="auto"/>
        </w:rPr>
      </w:pPr>
      <w:r>
        <w:rPr>
          <w:rFonts w:ascii="Times New Roman" w:cs="Times New Roman" w:eastAsia="Times New Roman" w:hAnsi="Times New Roman"/>
          <w:sz w:val="18"/>
          <w:szCs w:val="18"/>
          <w:color w:val="auto"/>
        </w:rPr>
        <w:t>In February 2016, we entered into revised employment agreements with Ms. Nelson and Mr. Frome. We have confidentiality and non-competition agreements with each of these executive officers requiring the executive officers not to disclose our confidential information at any time. The agreements also require the executive officers not to compete with us or solicit our employees to engage in other employment during the term of their employment with us and for one year thereafter.</w:t>
      </w:r>
    </w:p>
    <w:p>
      <w:pPr>
        <w:spacing w:after="0" w:line="127" w:lineRule="exact"/>
        <w:rPr>
          <w:sz w:val="20"/>
          <w:szCs w:val="20"/>
          <w:color w:val="auto"/>
        </w:rPr>
      </w:pPr>
    </w:p>
    <w:p>
      <w:pPr>
        <w:ind w:right="60" w:firstLine="589"/>
        <w:spacing w:after="0" w:line="255" w:lineRule="auto"/>
        <w:rPr>
          <w:sz w:val="20"/>
          <w:szCs w:val="20"/>
          <w:color w:val="auto"/>
        </w:rPr>
      </w:pPr>
      <w:r>
        <w:rPr>
          <w:rFonts w:ascii="Times New Roman" w:cs="Times New Roman" w:eastAsia="Times New Roman" w:hAnsi="Times New Roman"/>
          <w:sz w:val="18"/>
          <w:szCs w:val="18"/>
          <w:color w:val="auto"/>
        </w:rPr>
        <w:t>The employment agreements with our named executive officers address various termination of employment and change in control scenarios. Payment of amounts under these circumstances is subject to certain conditions and limitations, including that the executive officer must execute a release of claims against us to receive any payment or benefit. The terms of potential payments under these agreements upon a termination of employment or change in control are summarized below under “Potential Payments Upon Termination or Change-in-Control.”</w:t>
      </w:r>
    </w:p>
    <w:p>
      <w:pPr>
        <w:spacing w:after="0" w:line="127" w:lineRule="exact"/>
        <w:rPr>
          <w:sz w:val="20"/>
          <w:szCs w:val="20"/>
          <w:color w:val="auto"/>
        </w:rPr>
      </w:pPr>
    </w:p>
    <w:p>
      <w:pPr>
        <w:ind w:firstLine="589"/>
        <w:spacing w:after="0" w:line="259" w:lineRule="auto"/>
        <w:rPr>
          <w:sz w:val="20"/>
          <w:szCs w:val="20"/>
          <w:color w:val="auto"/>
        </w:rPr>
      </w:pPr>
      <w:r>
        <w:rPr>
          <w:rFonts w:ascii="Times New Roman" w:cs="Times New Roman" w:eastAsia="Times New Roman" w:hAnsi="Times New Roman"/>
          <w:sz w:val="18"/>
          <w:szCs w:val="18"/>
          <w:color w:val="auto"/>
        </w:rPr>
        <w:t>In February 2020, we entered into amended and restated executive severance and change in control agreements with our named executive officers. Because the agreements were not in effect as of December 31, 2019, the additional potential payments and benefits provided under these amended and restated agreements are not included in the table at the end of the “Potential Payments Upon Termination or Change-in-Control” section.</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1370" cy="16510"/>
                    </a:xfrm>
                    <a:prstGeom prst="rect">
                      <a:avLst/>
                    </a:prstGeom>
                    <a:noFill/>
                  </pic:spPr>
                </pic:pic>
              </a:graphicData>
            </a:graphic>
          </wp:anchor>
        </w:drawing>
      </w:r>
    </w:p>
    <w:p>
      <w:pPr>
        <w:sectPr>
          <w:pgSz w:w="11900" w:h="16838" w:orient="portrait"/>
          <w:cols w:equalWidth="0" w:num="1">
            <w:col w:w="11240"/>
          </w:cols>
          <w:pgMar w:left="320" w:top="600" w:right="339" w:bottom="1440" w:gutter="0" w:footer="0" w:header="0"/>
        </w:sectPr>
      </w:pPr>
    </w:p>
    <w:bookmarkStart w:id="34" w:name="page35"/>
    <w:bookmarkEnd w:id="34"/>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207010</wp:posOffset>
            </wp:positionH>
            <wp:positionV relativeFrom="page">
              <wp:posOffset>374650</wp:posOffset>
            </wp:positionV>
            <wp:extent cx="71348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860" cy="8255"/>
                    </a:xfrm>
                    <a:prstGeom prst="rect">
                      <a:avLst/>
                    </a:prstGeom>
                    <a:noFill/>
                  </pic:spPr>
                </pic:pic>
              </a:graphicData>
            </a:graphic>
          </wp:anchor>
        </w:drawing>
        <w:t>Potential Payments Upon Termination or Change in Control</w:t>
      </w:r>
    </w:p>
    <w:p>
      <w:pPr>
        <w:spacing w:after="0" w:line="164" w:lineRule="exact"/>
        <w:rPr>
          <w:sz w:val="20"/>
          <w:szCs w:val="20"/>
          <w:color w:val="auto"/>
        </w:rPr>
      </w:pPr>
    </w:p>
    <w:p>
      <w:pPr>
        <w:ind w:right="60" w:firstLine="589"/>
        <w:spacing w:after="0" w:line="259" w:lineRule="auto"/>
        <w:rPr>
          <w:sz w:val="20"/>
          <w:szCs w:val="20"/>
          <w:color w:val="auto"/>
        </w:rPr>
      </w:pPr>
      <w:r>
        <w:rPr>
          <w:rFonts w:ascii="Times New Roman" w:cs="Times New Roman" w:eastAsia="Times New Roman" w:hAnsi="Times New Roman"/>
          <w:sz w:val="18"/>
          <w:szCs w:val="18"/>
          <w:color w:val="auto"/>
        </w:rPr>
        <w:t>We had in effect on December 31, 2019, various agreements that would have required us to provide certain payments and benefits to our named executive officers in the event of certain specified terminations of employment, including a termination of employment in connection with a change in control of the company.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Employment Agreements in Effect on December 31, 2019</w:t>
      </w:r>
    </w:p>
    <w:p>
      <w:pPr>
        <w:spacing w:after="0" w:line="1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Mr. Black</w:t>
      </w:r>
    </w:p>
    <w:p>
      <w:pPr>
        <w:spacing w:after="0" w:line="166" w:lineRule="exact"/>
        <w:rPr>
          <w:sz w:val="20"/>
          <w:szCs w:val="20"/>
          <w:color w:val="auto"/>
        </w:rPr>
      </w:pPr>
    </w:p>
    <w:p>
      <w:pPr>
        <w:ind w:right="340" w:firstLine="589"/>
        <w:spacing w:after="0" w:line="274" w:lineRule="auto"/>
        <w:rPr>
          <w:sz w:val="20"/>
          <w:szCs w:val="20"/>
          <w:color w:val="auto"/>
        </w:rPr>
      </w:pPr>
      <w:r>
        <w:rPr>
          <w:rFonts w:ascii="Times New Roman" w:cs="Times New Roman" w:eastAsia="Times New Roman" w:hAnsi="Times New Roman"/>
          <w:sz w:val="18"/>
          <w:szCs w:val="18"/>
          <w:color w:val="auto"/>
        </w:rPr>
        <w:t>Mr. Black’s employment agreement in effect on December 31, 2019 provided that if we terminate Mr. Black without cause, or if he terminates his employment with us for good reason, we would:</w:t>
      </w:r>
    </w:p>
    <w:p>
      <w:pPr>
        <w:spacing w:after="0" w:line="57" w:lineRule="exact"/>
        <w:rPr>
          <w:sz w:val="20"/>
          <w:szCs w:val="20"/>
          <w:color w:val="auto"/>
        </w:rPr>
      </w:pPr>
    </w:p>
    <w:p>
      <w:pPr>
        <w:ind w:left="1020" w:hanging="431"/>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his then-current base salary for 12 months in accordance with our regular payroll practices; and</w:t>
      </w:r>
    </w:p>
    <w:p>
      <w:pPr>
        <w:spacing w:after="0" w:line="111" w:lineRule="exact"/>
        <w:rPr>
          <w:rFonts w:ascii="Times New Roman" w:cs="Times New Roman" w:eastAsia="Times New Roman" w:hAnsi="Times New Roman"/>
          <w:sz w:val="18"/>
          <w:szCs w:val="18"/>
          <w:color w:val="auto"/>
        </w:rPr>
      </w:pPr>
    </w:p>
    <w:p>
      <w:pPr>
        <w:ind w:left="1020" w:right="80" w:hanging="431"/>
        <w:spacing w:after="0" w:line="274"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health care benefits to him and his family for up to 12 months after the date of termination on the same terms as they are provided as of the date of termination.</w:t>
      </w:r>
    </w:p>
    <w:p>
      <w:pPr>
        <w:spacing w:after="0" w:line="110" w:lineRule="exact"/>
        <w:rPr>
          <w:sz w:val="20"/>
          <w:szCs w:val="20"/>
          <w:color w:val="auto"/>
        </w:rPr>
      </w:pPr>
    </w:p>
    <w:p>
      <w:pPr>
        <w:ind w:right="520" w:firstLine="589"/>
        <w:spacing w:after="0" w:line="274" w:lineRule="auto"/>
        <w:rPr>
          <w:sz w:val="20"/>
          <w:szCs w:val="20"/>
          <w:color w:val="auto"/>
        </w:rPr>
      </w:pPr>
      <w:r>
        <w:rPr>
          <w:rFonts w:ascii="Times New Roman" w:cs="Times New Roman" w:eastAsia="Times New Roman" w:hAnsi="Times New Roman"/>
          <w:sz w:val="18"/>
          <w:szCs w:val="18"/>
          <w:color w:val="auto"/>
        </w:rPr>
        <w:t>Retirement provisions in the agreement provide that if the sum of Mr. Black’s age plus years of service as an employee of the company is 74 or greater and Mr. Black provides the requisite notice regarding his retirement, then:</w:t>
      </w:r>
    </w:p>
    <w:p>
      <w:pPr>
        <w:spacing w:after="0" w:line="57" w:lineRule="exact"/>
        <w:rPr>
          <w:sz w:val="20"/>
          <w:szCs w:val="20"/>
          <w:color w:val="auto"/>
        </w:rPr>
      </w:pPr>
    </w:p>
    <w:p>
      <w:pPr>
        <w:ind w:left="1020" w:hanging="431"/>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his unvested stock options and RSUs will become fully vested;</w:t>
      </w:r>
    </w:p>
    <w:p>
      <w:pPr>
        <w:spacing w:after="0" w:line="111" w:lineRule="exact"/>
        <w:rPr>
          <w:rFonts w:ascii="Times New Roman" w:cs="Times New Roman" w:eastAsia="Times New Roman" w:hAnsi="Times New Roman"/>
          <w:sz w:val="18"/>
          <w:szCs w:val="18"/>
          <w:color w:val="auto"/>
        </w:rPr>
      </w:pPr>
    </w:p>
    <w:p>
      <w:pPr>
        <w:ind w:left="1020" w:right="100" w:hanging="431"/>
        <w:spacing w:after="0" w:line="259"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PSUs will continue to vest on each originally scheduled vesting date in an amount equal to the number of units subject to the awards that would otherwise have been determined to have been earned by Mr. Black had he remained continuously employed by the company through the originally scheduled vesting dates; and</w:t>
      </w:r>
    </w:p>
    <w:p>
      <w:pPr>
        <w:spacing w:after="0" w:line="71" w:lineRule="exact"/>
        <w:rPr>
          <w:rFonts w:ascii="Times New Roman" w:cs="Times New Roman" w:eastAsia="Times New Roman" w:hAnsi="Times New Roman"/>
          <w:sz w:val="18"/>
          <w:szCs w:val="18"/>
          <w:color w:val="auto"/>
        </w:rPr>
      </w:pPr>
    </w:p>
    <w:p>
      <w:pPr>
        <w:ind w:left="1020" w:hanging="431"/>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Black shall receive a pro-rated portion of any target annual cash incentive bonus for the year of his retirement.</w:t>
      </w:r>
    </w:p>
    <w:p>
      <w:pPr>
        <w:spacing w:after="0" w:line="164" w:lineRule="exact"/>
        <w:rPr>
          <w:sz w:val="20"/>
          <w:szCs w:val="20"/>
          <w:color w:val="auto"/>
        </w:rPr>
      </w:pPr>
    </w:p>
    <w:p>
      <w:pPr>
        <w:jc w:val="both"/>
        <w:ind w:right="60" w:firstLine="589"/>
        <w:spacing w:after="0" w:line="259" w:lineRule="auto"/>
        <w:rPr>
          <w:sz w:val="20"/>
          <w:szCs w:val="20"/>
          <w:color w:val="auto"/>
        </w:rPr>
      </w:pPr>
      <w:r>
        <w:rPr>
          <w:rFonts w:ascii="Times New Roman" w:cs="Times New Roman" w:eastAsia="Times New Roman" w:hAnsi="Times New Roman"/>
          <w:sz w:val="18"/>
          <w:szCs w:val="18"/>
          <w:color w:val="auto"/>
        </w:rPr>
        <w:t>Mr. Black was eligible for retirement at December 31, 2019 under the terms of the employment agreement. The agreement further provides that in the event a change in control, all of Mr. Black’s unvested stock options, RSUs and PSUs (at actual performance level) outstanding as of the change in control will become fully vested as of the change in control.</w:t>
      </w:r>
    </w:p>
    <w:p>
      <w:pPr>
        <w:spacing w:after="0" w:line="125" w:lineRule="exact"/>
        <w:rPr>
          <w:sz w:val="20"/>
          <w:szCs w:val="20"/>
          <w:color w:val="auto"/>
        </w:rPr>
      </w:pPr>
    </w:p>
    <w:p>
      <w:pPr>
        <w:jc w:val="both"/>
        <w:ind w:firstLine="589"/>
        <w:spacing w:after="0" w:line="268" w:lineRule="auto"/>
        <w:rPr>
          <w:sz w:val="20"/>
          <w:szCs w:val="20"/>
          <w:color w:val="auto"/>
        </w:rPr>
      </w:pPr>
      <w:r>
        <w:rPr>
          <w:rFonts w:ascii="Times New Roman" w:cs="Times New Roman" w:eastAsia="Times New Roman" w:hAnsi="Times New Roman"/>
          <w:sz w:val="17"/>
          <w:szCs w:val="17"/>
          <w:color w:val="auto"/>
        </w:rPr>
        <w:t>For purposes of his employment agreement, “cause” means (i) failure by Mr. Black to cure a material breach of the terms of any non-competition/non-solicitation agreement with us within 30 days of receiving written notice of breach from us, (ii) gross negligence or willful misconduct, (iii) conviction of any crime involving moral turpitude or any felony, (iv) willful violation of specific and lawful instructions from the Board that are reasonably related to</w:t>
      </w:r>
    </w:p>
    <w:p>
      <w:pPr>
        <w:spacing w:after="0" w:line="1"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8"/>
          <w:szCs w:val="18"/>
          <w:color w:val="auto"/>
        </w:rPr>
        <w:t>Mr. Black’s employment by the company, and (v) fraud, embezzlement, theft or proven dishonesty against the company. “Good Reason” is defined to mean the occurrence of any of the following events, in each case without Mr. Black’s consent: (i) a material reduction in Mr. Black’s base salary or annual bonus opportunity, (ii) a material reduction in Mr. Black’s employment responsibilities, or (iii) a relocation of Mr. Black’s primary work location by more than 30 miles.</w:t>
      </w:r>
    </w:p>
    <w:p>
      <w:pPr>
        <w:spacing w:after="0" w:line="13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Other Named Executive Officers</w:t>
      </w:r>
    </w:p>
    <w:p>
      <w:pPr>
        <w:spacing w:after="0" w:line="166" w:lineRule="exact"/>
        <w:rPr>
          <w:sz w:val="20"/>
          <w:szCs w:val="20"/>
          <w:color w:val="auto"/>
        </w:rPr>
      </w:pPr>
    </w:p>
    <w:p>
      <w:pPr>
        <w:ind w:right="40" w:firstLine="589"/>
        <w:spacing w:after="0" w:line="274" w:lineRule="auto"/>
        <w:rPr>
          <w:sz w:val="20"/>
          <w:szCs w:val="20"/>
          <w:color w:val="auto"/>
        </w:rPr>
      </w:pPr>
      <w:r>
        <w:rPr>
          <w:rFonts w:ascii="Times New Roman" w:cs="Times New Roman" w:eastAsia="Times New Roman" w:hAnsi="Times New Roman"/>
          <w:sz w:val="18"/>
          <w:szCs w:val="18"/>
          <w:color w:val="auto"/>
        </w:rPr>
        <w:t>The employment agreements with each of our other named executive officers in effect on December 31, 2019 provided that if we terminate the named executive officer’s employment without cause, we would pay the executive officer:</w:t>
      </w:r>
    </w:p>
    <w:p>
      <w:pPr>
        <w:spacing w:after="0" w:line="57" w:lineRule="exact"/>
        <w:rPr>
          <w:sz w:val="20"/>
          <w:szCs w:val="20"/>
          <w:color w:val="auto"/>
        </w:rPr>
      </w:pPr>
    </w:p>
    <w:p>
      <w:pPr>
        <w:ind w:left="1020" w:hanging="431"/>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of his or her then-current base salary over a 12-month period in accordance with our normal payroll practices;</w:t>
      </w:r>
    </w:p>
    <w:p>
      <w:pPr>
        <w:spacing w:after="0" w:line="111" w:lineRule="exact"/>
        <w:rPr>
          <w:rFonts w:ascii="Times New Roman" w:cs="Times New Roman" w:eastAsia="Times New Roman" w:hAnsi="Times New Roman"/>
          <w:sz w:val="18"/>
          <w:szCs w:val="18"/>
          <w:color w:val="auto"/>
        </w:rPr>
      </w:pPr>
    </w:p>
    <w:p>
      <w:pPr>
        <w:ind w:left="1020" w:right="120" w:hanging="431"/>
        <w:spacing w:after="0" w:line="274"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100% of his or her target annual cash incentive bonus for the fiscal year in which the termination of employment occurs (payable in a lump sum no later than 60 calendar days after the date of termination); and</w:t>
      </w:r>
    </w:p>
    <w:p>
      <w:pPr>
        <w:spacing w:after="0" w:line="57" w:lineRule="exact"/>
        <w:rPr>
          <w:rFonts w:ascii="Times New Roman" w:cs="Times New Roman" w:eastAsia="Times New Roman" w:hAnsi="Times New Roman"/>
          <w:sz w:val="18"/>
          <w:szCs w:val="18"/>
          <w:color w:val="auto"/>
        </w:rPr>
      </w:pPr>
    </w:p>
    <w:p>
      <w:pPr>
        <w:ind w:left="1020" w:hanging="431"/>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12 months of continued payment of health insurance premiums.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1370" cy="16510"/>
                    </a:xfrm>
                    <a:prstGeom prst="rect">
                      <a:avLst/>
                    </a:prstGeom>
                    <a:noFill/>
                  </pic:spPr>
                </pic:pic>
              </a:graphicData>
            </a:graphic>
          </wp:anchor>
        </w:drawing>
      </w:r>
    </w:p>
    <w:p>
      <w:pPr>
        <w:sectPr>
          <w:pgSz w:w="11900" w:h="16838" w:orient="portrait"/>
          <w:cols w:equalWidth="0" w:num="1">
            <w:col w:w="11240"/>
          </w:cols>
          <w:pgMar w:left="320" w:top="600" w:right="339" w:bottom="1440" w:gutter="0" w:footer="0" w:header="0"/>
        </w:sectPr>
      </w:pPr>
    </w:p>
    <w:bookmarkStart w:id="35" w:name="page36"/>
    <w:bookmarkEnd w:id="35"/>
    <w:p>
      <w:pPr>
        <w:ind w:left="600"/>
        <w:spacing w:after="0"/>
        <w:rPr>
          <w:sz w:val="20"/>
          <w:szCs w:val="20"/>
          <w:color w:val="auto"/>
        </w:rPr>
      </w:pPr>
      <w:r>
        <w:rPr>
          <w:rFonts w:ascii="Times New Roman" w:cs="Times New Roman" w:eastAsia="Times New Roman" w:hAnsi="Times New Roman"/>
          <w:sz w:val="18"/>
          <w:szCs w:val="18"/>
          <w:color w:val="auto"/>
        </w:rPr>
        <w:t>If the executive officer resigns for good reason of the company, we would pay the executive officer:</w:t>
      </w:r>
    </w:p>
    <w:p>
      <w:pPr>
        <w:spacing w:after="0" w:line="111" w:lineRule="exact"/>
        <w:rPr>
          <w:sz w:val="20"/>
          <w:szCs w:val="20"/>
          <w:color w:val="auto"/>
        </w:rPr>
      </w:pPr>
    </w:p>
    <w:p>
      <w:pPr>
        <w:ind w:left="1020" w:hanging="431"/>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months of his or her then-current base salary over a six-month period in accordance with our normal payroll practices;</w:t>
      </w:r>
    </w:p>
    <w:p>
      <w:pPr>
        <w:spacing w:after="0" w:line="111" w:lineRule="exact"/>
        <w:rPr>
          <w:rFonts w:ascii="Times New Roman" w:cs="Times New Roman" w:eastAsia="Times New Roman" w:hAnsi="Times New Roman"/>
          <w:sz w:val="18"/>
          <w:szCs w:val="18"/>
          <w:color w:val="auto"/>
        </w:rPr>
      </w:pPr>
    </w:p>
    <w:p>
      <w:pPr>
        <w:ind w:left="1020" w:right="180" w:hanging="431"/>
        <w:spacing w:after="0" w:line="274"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50% of his or her target annual cash incentive bonus for the fiscal year in which the termination of employment occurs (payable in a lump sum no later than 60 calendar days after the date of termination); and</w:t>
      </w:r>
    </w:p>
    <w:p>
      <w:pPr>
        <w:spacing w:after="0" w:line="57" w:lineRule="exact"/>
        <w:rPr>
          <w:rFonts w:ascii="Times New Roman" w:cs="Times New Roman" w:eastAsia="Times New Roman" w:hAnsi="Times New Roman"/>
          <w:sz w:val="18"/>
          <w:szCs w:val="18"/>
          <w:color w:val="auto"/>
        </w:rPr>
      </w:pPr>
    </w:p>
    <w:p>
      <w:pPr>
        <w:ind w:left="1020" w:hanging="431"/>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six months of continued payment of health insurance premiums.</w:t>
      </w:r>
    </w:p>
    <w:p>
      <w:pPr>
        <w:spacing w:after="0" w:line="164" w:lineRule="exact"/>
        <w:rPr>
          <w:sz w:val="20"/>
          <w:szCs w:val="20"/>
          <w:color w:val="auto"/>
        </w:rPr>
      </w:pPr>
    </w:p>
    <w:p>
      <w:pPr>
        <w:ind w:right="360" w:firstLine="589"/>
        <w:spacing w:after="0" w:line="259" w:lineRule="auto"/>
        <w:rPr>
          <w:sz w:val="20"/>
          <w:szCs w:val="20"/>
          <w:color w:val="auto"/>
        </w:rPr>
      </w:pPr>
      <w:r>
        <w:rPr>
          <w:rFonts w:ascii="Times New Roman" w:cs="Times New Roman" w:eastAsia="Times New Roman" w:hAnsi="Times New Roman"/>
          <w:sz w:val="18"/>
          <w:szCs w:val="18"/>
          <w:color w:val="auto"/>
        </w:rPr>
        <w:t>If we terminate the executive officer’s employment without cause upon or within 12 months after a change in control of the company, or if the executive officer terminates his or her employment for good reason upon or within 12 months after a change in control of the company, we would pay the named executive officer:</w:t>
      </w:r>
    </w:p>
    <w:p>
      <w:pPr>
        <w:spacing w:after="0" w:line="72" w:lineRule="exact"/>
        <w:rPr>
          <w:sz w:val="20"/>
          <w:szCs w:val="20"/>
          <w:color w:val="auto"/>
        </w:rPr>
      </w:pPr>
    </w:p>
    <w:p>
      <w:pPr>
        <w:ind w:left="1020" w:hanging="431"/>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of his or her then-current base salary over a 12-month period in accordance with our normal payroll practices;</w:t>
      </w:r>
    </w:p>
    <w:p>
      <w:pPr>
        <w:spacing w:after="0" w:line="111" w:lineRule="exact"/>
        <w:rPr>
          <w:rFonts w:ascii="Times New Roman" w:cs="Times New Roman" w:eastAsia="Times New Roman" w:hAnsi="Times New Roman"/>
          <w:sz w:val="18"/>
          <w:szCs w:val="18"/>
          <w:color w:val="auto"/>
        </w:rPr>
      </w:pPr>
    </w:p>
    <w:p>
      <w:pPr>
        <w:ind w:left="1020" w:right="100" w:hanging="431"/>
        <w:spacing w:after="0" w:line="274"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100% of his or her target annual cash incentive bonus for the fiscal year in which the termination of employment occurs (payable in a lump sum no later than 60 calendar days after the date of termination); and</w:t>
      </w:r>
    </w:p>
    <w:p>
      <w:pPr>
        <w:spacing w:after="0" w:line="57" w:lineRule="exact"/>
        <w:rPr>
          <w:rFonts w:ascii="Times New Roman" w:cs="Times New Roman" w:eastAsia="Times New Roman" w:hAnsi="Times New Roman"/>
          <w:sz w:val="18"/>
          <w:szCs w:val="18"/>
          <w:color w:val="auto"/>
        </w:rPr>
      </w:pPr>
    </w:p>
    <w:p>
      <w:pPr>
        <w:ind w:left="1020" w:hanging="431"/>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12 months of continued payment of health insurance premiums.</w:t>
      </w:r>
    </w:p>
    <w:p>
      <w:pPr>
        <w:spacing w:after="0" w:line="164" w:lineRule="exact"/>
        <w:rPr>
          <w:sz w:val="20"/>
          <w:szCs w:val="20"/>
          <w:color w:val="auto"/>
        </w:rPr>
      </w:pPr>
    </w:p>
    <w:p>
      <w:pPr>
        <w:ind w:right="300" w:firstLine="589"/>
        <w:spacing w:after="0" w:line="274" w:lineRule="auto"/>
        <w:rPr>
          <w:sz w:val="20"/>
          <w:szCs w:val="20"/>
          <w:color w:val="auto"/>
        </w:rPr>
      </w:pPr>
      <w:r>
        <w:rPr>
          <w:rFonts w:ascii="Times New Roman" w:cs="Times New Roman" w:eastAsia="Times New Roman" w:hAnsi="Times New Roman"/>
          <w:sz w:val="18"/>
          <w:szCs w:val="18"/>
          <w:color w:val="auto"/>
        </w:rPr>
        <w:t>In addition, the employment agreements with each of our other named executive officers provided that all unvested stock options, RSUs and other equity awards will become fully vested as of the change in control.</w:t>
      </w:r>
    </w:p>
    <w:p>
      <w:pPr>
        <w:spacing w:after="0" w:line="110" w:lineRule="exact"/>
        <w:rPr>
          <w:sz w:val="20"/>
          <w:szCs w:val="20"/>
          <w:color w:val="auto"/>
        </w:rPr>
      </w:pPr>
    </w:p>
    <w:p>
      <w:pPr>
        <w:ind w:right="40" w:firstLine="589"/>
        <w:spacing w:after="0" w:line="250" w:lineRule="auto"/>
        <w:rPr>
          <w:sz w:val="20"/>
          <w:szCs w:val="20"/>
          <w:color w:val="auto"/>
        </w:rPr>
      </w:pPr>
      <w:r>
        <w:rPr>
          <w:rFonts w:ascii="Times New Roman" w:cs="Times New Roman" w:eastAsia="Times New Roman" w:hAnsi="Times New Roman"/>
          <w:sz w:val="18"/>
          <w:szCs w:val="18"/>
          <w:color w:val="auto"/>
        </w:rPr>
        <w:t>For purposes of these employment agreements, “cause” means (i) failure by the executive to cure a material breach of the terms of any non-competition/non-solicitation agreement with us within 30 days of receiving written notice of breach from us, (ii) gross negligence or willful misconduct, (iii) conviction of any crime involving moral turpitude or any felony, (iv) willful violation of specific and lawful instructions from the Board or CEO that are reasonably related to the executive’s employment by the company, and (v) fraud, embezzlement, theft or proven dishonesty against the company. “Good Reason” is defined to mean the occurrence of any of the following events, in each case without the executive officer’s consent: (i) a material reduction in the executive officer’s base salary or annual bonus opportunity, (ii) a material reduction in the executive officer’s employment responsibilities, or (iii) a relocation of the executive officer’s primary work location by more than 30 miles.</w:t>
      </w:r>
    </w:p>
    <w:p>
      <w:pPr>
        <w:spacing w:after="0" w:line="1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00AAE5"/>
        </w:rPr>
        <w:t>Stock Option, RSU and PSU Award Agreements</w:t>
      </w:r>
    </w:p>
    <w:p>
      <w:pPr>
        <w:spacing w:after="0" w:line="168" w:lineRule="exact"/>
        <w:rPr>
          <w:sz w:val="20"/>
          <w:szCs w:val="20"/>
          <w:color w:val="auto"/>
        </w:rPr>
      </w:pPr>
    </w:p>
    <w:p>
      <w:pPr>
        <w:ind w:firstLine="589"/>
        <w:spacing w:after="0" w:line="263" w:lineRule="auto"/>
        <w:rPr>
          <w:sz w:val="20"/>
          <w:szCs w:val="20"/>
          <w:color w:val="auto"/>
        </w:rPr>
      </w:pPr>
      <w:r>
        <w:rPr>
          <w:rFonts w:ascii="Times New Roman" w:cs="Times New Roman" w:eastAsia="Times New Roman" w:hAnsi="Times New Roman"/>
          <w:sz w:val="17"/>
          <w:szCs w:val="17"/>
          <w:color w:val="auto"/>
        </w:rPr>
        <w:t>Generally, option agreements and RSU agreements executed pursuant to our 2010 Equity Incentive Plan provide that in the event of a sale of all or substantially all of our assets or a merger, consolidation or share exchange involving our company, the surviving or successor entity may continue, assume or replace some or all of the outstanding awards under the 2010 Equity Incentive Plan. Our awards agreements with our named executive officers typically provide that if awards granted to him or her under the 2010 Equity Incentive Plan are continued, assumed or replaced in connection with such an event and if within one year after the event he or she experiences an involuntary termination of service other than for cause, then his or her outstanding awards will vest in full, will immediately become fully exercisable and will remain exercisable for one year following the date of termination. If awards granted to any participant are not continued, assumed or replaced, the administrator may provide for the surrender of any outstanding award in exchange for payment to the holder of the amount of the consideration that would have been received in the event for the number of shares subject to the award less the aggregate exercise price (if any) of the award. In the event of a change in control (as defined in the 2010 Equity Incentive Plan) of the company that does not involve a merger, consolidation, share exchange or sale of all or substantially all of our company’s assets, the plan administrator, in its discretion, may provide that any outstanding award will become fully vested and exercisable upon the change in control or upon the involuntary termination of employment of the participant within one year after the change in control or that any outstanding award will be surrendered in exchange for payment to the holder of the amount of the consideration that would have been received in the change in control for the number of shares subject to the award less the aggregate exercise price (if any) of the award.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20"/>
          </w:cols>
          <w:pgMar w:left="320" w:top="452" w:right="359" w:bottom="1440" w:gutter="0" w:footer="0" w:header="0"/>
        </w:sectPr>
      </w:pPr>
    </w:p>
    <w:bookmarkStart w:id="36" w:name="page37"/>
    <w:bookmarkEnd w:id="36"/>
    <w:p>
      <w:pPr>
        <w:ind w:right="80" w:firstLine="589"/>
        <w:spacing w:after="0" w:line="249" w:lineRule="auto"/>
        <w:rPr>
          <w:sz w:val="20"/>
          <w:szCs w:val="20"/>
          <w:color w:val="auto"/>
        </w:rPr>
      </w:pPr>
      <w:r>
        <w:rPr>
          <w:rFonts w:ascii="Times New Roman" w:cs="Times New Roman" w:eastAsia="Times New Roman" w:hAnsi="Times New Roman"/>
          <w:sz w:val="18"/>
          <w:szCs w:val="18"/>
          <w:color w:val="auto"/>
        </w:rPr>
        <w:t>PSU agreements executed pursuant to our 2010 Equity Incentive Plan for the grants made in 2018 and 2019 provide that in the event a change in control of the company occurs prior to the scheduled vesting date of a PSU award and the executive continues serving until the date of the change in control, the applicable performance period will be truncated and will end as of the end of the company’s most recently completed fiscal quarter prior to the date of the change in control and the executive will be entitled to have vest as of the date of the change in control the number of PSUs that are determined to have been earned based on actual performance against the performance goal specified in the agreement over the truncated performance period. The PSU award agreements provide that the preceding determination of the number of PSUs to be paid out upon a change in control shall be deemed to satisfy any applicable change in control acceleration provisions contained in the executive officer’s employment or severance agreements. The PSUs awarded in 2017 for the 2017-2019 performance period did not vest because we did not meet the threshold revenue goal.</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Amendments to Employment Agreements Effective February 2020</w:t>
      </w:r>
    </w:p>
    <w:p>
      <w:pPr>
        <w:spacing w:after="0" w:line="168" w:lineRule="exact"/>
        <w:rPr>
          <w:sz w:val="20"/>
          <w:szCs w:val="20"/>
          <w:color w:val="auto"/>
        </w:rPr>
      </w:pPr>
    </w:p>
    <w:p>
      <w:pPr>
        <w:ind w:right="660" w:firstLine="589"/>
        <w:spacing w:after="0" w:line="274" w:lineRule="auto"/>
        <w:rPr>
          <w:sz w:val="20"/>
          <w:szCs w:val="20"/>
          <w:color w:val="auto"/>
        </w:rPr>
      </w:pPr>
      <w:r>
        <w:rPr>
          <w:rFonts w:ascii="Times New Roman" w:cs="Times New Roman" w:eastAsia="Times New Roman" w:hAnsi="Times New Roman"/>
          <w:sz w:val="18"/>
          <w:szCs w:val="18"/>
          <w:color w:val="auto"/>
        </w:rPr>
        <w:t>Summarized below are changes to the potential payments and benefits upon termination of employment or a change in control for our named executive officers that became effective in February 2020.</w:t>
      </w:r>
    </w:p>
    <w:p>
      <w:pPr>
        <w:spacing w:after="0" w:line="1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u w:val="single" w:color="auto"/>
          <w:color w:val="auto"/>
        </w:rPr>
        <w:t>Changes Applicable to Mr. Black Only</w:t>
      </w:r>
    </w:p>
    <w:p>
      <w:pPr>
        <w:spacing w:after="0" w:line="166" w:lineRule="exact"/>
        <w:rPr>
          <w:sz w:val="20"/>
          <w:szCs w:val="20"/>
          <w:color w:val="auto"/>
        </w:rPr>
      </w:pPr>
    </w:p>
    <w:p>
      <w:pPr>
        <w:ind w:firstLine="589"/>
        <w:spacing w:after="0" w:line="259" w:lineRule="auto"/>
        <w:rPr>
          <w:sz w:val="20"/>
          <w:szCs w:val="20"/>
          <w:color w:val="auto"/>
        </w:rPr>
      </w:pPr>
      <w:r>
        <w:rPr>
          <w:rFonts w:ascii="Times New Roman" w:cs="Times New Roman" w:eastAsia="Times New Roman" w:hAnsi="Times New Roman"/>
          <w:sz w:val="18"/>
          <w:szCs w:val="18"/>
          <w:color w:val="auto"/>
        </w:rPr>
        <w:t>Effective February 2020, if we terminate Mr. Black without cause, or if he resigns from employment with us for Good Reason, within the period starting three months immediately before a change in control and continuing for 12 months following a change in control, we will pay Mr. Black the following benefits in addition to those described above:</w:t>
      </w:r>
    </w:p>
    <w:p>
      <w:pPr>
        <w:spacing w:after="0" w:line="72" w:lineRule="exact"/>
        <w:rPr>
          <w:sz w:val="20"/>
          <w:szCs w:val="20"/>
          <w:color w:val="auto"/>
        </w:rPr>
      </w:pPr>
    </w:p>
    <w:p>
      <w:pPr>
        <w:ind w:left="1020" w:right="20" w:hanging="431"/>
        <w:spacing w:after="0" w:line="274"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months of then-current base salary in accordance with our regular payroll practices (18 months total when combined with benefits described above);</w:t>
      </w:r>
    </w:p>
    <w:p>
      <w:pPr>
        <w:spacing w:after="0" w:line="57" w:lineRule="exact"/>
        <w:rPr>
          <w:rFonts w:ascii="Times New Roman" w:cs="Times New Roman" w:eastAsia="Times New Roman" w:hAnsi="Times New Roman"/>
          <w:sz w:val="18"/>
          <w:szCs w:val="18"/>
          <w:color w:val="auto"/>
        </w:rPr>
      </w:pPr>
    </w:p>
    <w:p>
      <w:pPr>
        <w:ind w:left="1020" w:right="240" w:hanging="431"/>
        <w:spacing w:after="0" w:line="274"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portion of any target annual cash incentive bonus for the fiscal year in which the termination of employment occurs (payable in a lump sum no later than 60 calendar days after the date of termination); and</w:t>
      </w:r>
    </w:p>
    <w:p>
      <w:pPr>
        <w:spacing w:after="0" w:line="57" w:lineRule="exact"/>
        <w:rPr>
          <w:rFonts w:ascii="Times New Roman" w:cs="Times New Roman" w:eastAsia="Times New Roman" w:hAnsi="Times New Roman"/>
          <w:sz w:val="18"/>
          <w:szCs w:val="18"/>
          <w:color w:val="auto"/>
        </w:rPr>
      </w:pPr>
    </w:p>
    <w:p>
      <w:pPr>
        <w:ind w:left="1020" w:hanging="431"/>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months of continued payment of health insurance premiums (18 months total when combined with benefits described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Changes Applicable to all of the Named Executive Officers</w:t>
      </w:r>
    </w:p>
    <w:p>
      <w:pPr>
        <w:spacing w:after="0" w:line="166" w:lineRule="exact"/>
        <w:rPr>
          <w:sz w:val="20"/>
          <w:szCs w:val="20"/>
          <w:color w:val="auto"/>
        </w:rPr>
      </w:pPr>
    </w:p>
    <w:p>
      <w:pPr>
        <w:ind w:firstLine="589"/>
        <w:spacing w:after="0" w:line="255" w:lineRule="auto"/>
        <w:rPr>
          <w:sz w:val="20"/>
          <w:szCs w:val="20"/>
          <w:color w:val="auto"/>
        </w:rPr>
      </w:pPr>
      <w:r>
        <w:rPr>
          <w:rFonts w:ascii="Times New Roman" w:cs="Times New Roman" w:eastAsia="Times New Roman" w:hAnsi="Times New Roman"/>
          <w:sz w:val="18"/>
          <w:szCs w:val="18"/>
          <w:color w:val="auto"/>
        </w:rPr>
        <w:t>Effective February 2020, the retirement provisions for the named executive officers in the agreement provide that if (a) the sum of the named executive officer’s age plus years of service as an employee of the company is 78 or greater, (b) the named executive officer provides the requisite six months’ notice regarding retirement and (c) the named executive officer continues to provide full-time services for the company through the period prior to retirement, then upon retirement:</w:t>
      </w:r>
    </w:p>
    <w:p>
      <w:pPr>
        <w:spacing w:after="0" w:line="74" w:lineRule="exact"/>
        <w:rPr>
          <w:sz w:val="20"/>
          <w:szCs w:val="20"/>
          <w:color w:val="auto"/>
        </w:rPr>
      </w:pPr>
    </w:p>
    <w:p>
      <w:pPr>
        <w:ind w:left="1020" w:hanging="431"/>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equity awards with solely a service based vesting condition will become fully vested; and</w:t>
      </w:r>
    </w:p>
    <w:p>
      <w:pPr>
        <w:spacing w:after="0" w:line="111" w:lineRule="exact"/>
        <w:rPr>
          <w:rFonts w:ascii="Times New Roman" w:cs="Times New Roman" w:eastAsia="Times New Roman" w:hAnsi="Times New Roman"/>
          <w:sz w:val="18"/>
          <w:szCs w:val="18"/>
          <w:color w:val="auto"/>
        </w:rPr>
      </w:pPr>
    </w:p>
    <w:p>
      <w:pPr>
        <w:ind w:left="1020" w:right="60" w:hanging="431"/>
        <w:spacing w:after="0" w:line="259"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 awards with a performance period vesting condition will continue to vest on each originally scheduled vesting date in an amount equal to the number of units subject to the awards that would otherwise have been determined to have been earned with continuous employed with the company through the originally scheduled vesting dates.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1370" cy="16510"/>
                    </a:xfrm>
                    <a:prstGeom prst="rect">
                      <a:avLst/>
                    </a:prstGeom>
                    <a:noFill/>
                  </pic:spPr>
                </pic:pic>
              </a:graphicData>
            </a:graphic>
          </wp:anchor>
        </w:drawing>
      </w:r>
    </w:p>
    <w:p>
      <w:pPr>
        <w:sectPr>
          <w:pgSz w:w="11900" w:h="16838" w:orient="portrait"/>
          <w:cols w:equalWidth="0" w:num="1">
            <w:col w:w="11220"/>
          </w:cols>
          <w:pgMar w:left="320" w:top="505" w:right="359" w:bottom="1440" w:gutter="0" w:footer="0" w:header="0"/>
        </w:sectPr>
      </w:pPr>
    </w:p>
    <w:bookmarkStart w:id="37" w:name="page38"/>
    <w:bookmarkEnd w:id="37"/>
    <w:p>
      <w:pPr>
        <w:ind w:right="20" w:firstLine="589"/>
        <w:spacing w:after="0" w:line="250" w:lineRule="auto"/>
        <w:rPr>
          <w:sz w:val="20"/>
          <w:szCs w:val="20"/>
          <w:color w:val="auto"/>
        </w:rPr>
      </w:pPr>
      <w:r>
        <w:rPr>
          <w:rFonts w:ascii="Times New Roman" w:cs="Times New Roman" w:eastAsia="Times New Roman" w:hAnsi="Times New Roman"/>
          <w:sz w:val="18"/>
          <w:szCs w:val="18"/>
          <w:color w:val="auto"/>
        </w:rPr>
        <w:t>The following table lists the potential payments and benefits a termination of employment or change in control of the company for our named executive officers for agreements in effect at December 31, 2019. The tables assume the triggering event for the payments or provision of benefits occurred on December 31, 2019, the last day of our last completed fiscal year. Amounts in the table for the acceleration of unvested stock options are calculated based on the number of share of our common stock subject to accelerated stock options multiplied by the difference between the closing price for a share of our common stock on the Nasdaq Global Market on December 31, 2019 ($55.42), the last trading day of our last completed fiscal year, and the per share exercise price. The amounts in the table for the acceleration of RSUs and PSUs are determined by multiplying the number of accelerated units by the closing price for our common stock on December 31, 2019.</w:t>
      </w:r>
    </w:p>
    <w:p>
      <w:pPr>
        <w:spacing w:after="0" w:line="179"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8"/>
              </w:rPr>
              <w:t>Termination</w:t>
            </w:r>
          </w:p>
        </w:tc>
        <w:tc>
          <w:tcPr>
            <w:tcW w:w="180" w:type="dxa"/>
            <w:vAlign w:val="bottom"/>
          </w:tcPr>
          <w:p>
            <w:pPr>
              <w:spacing w:after="0"/>
              <w:rPr>
                <w:sz w:val="13"/>
                <w:szCs w:val="13"/>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Termination</w:t>
            </w:r>
          </w:p>
        </w:tc>
        <w:tc>
          <w:tcPr>
            <w:tcW w:w="12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Termination</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w w:val="99"/>
              </w:rPr>
              <w:t>for Good</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Reason</w:t>
            </w:r>
          </w:p>
        </w:tc>
        <w:tc>
          <w:tcPr>
            <w:tcW w:w="128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Without Cause or</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5"/>
              <w:spacing w:after="0" w:line="146" w:lineRule="exact"/>
              <w:rPr>
                <w:sz w:val="20"/>
                <w:szCs w:val="20"/>
                <w:color w:val="auto"/>
              </w:rPr>
            </w:pPr>
            <w:r>
              <w:rPr>
                <w:rFonts w:ascii="Times New Roman" w:cs="Times New Roman" w:eastAsia="Times New Roman" w:hAnsi="Times New Roman"/>
                <w:sz w:val="14"/>
                <w:szCs w:val="14"/>
                <w:b w:val="1"/>
                <w:bCs w:val="1"/>
                <w:color w:val="auto"/>
                <w:w w:val="98"/>
              </w:rPr>
              <w:t>Unrelated to</w:t>
            </w:r>
          </w:p>
        </w:tc>
        <w:tc>
          <w:tcPr>
            <w:tcW w:w="180" w:type="dxa"/>
            <w:vAlign w:val="bottom"/>
          </w:tcPr>
          <w:p>
            <w:pPr>
              <w:spacing w:after="0"/>
              <w:rPr>
                <w:sz w:val="12"/>
                <w:szCs w:val="12"/>
                <w:color w:val="auto"/>
              </w:rPr>
            </w:pPr>
          </w:p>
        </w:tc>
        <w:tc>
          <w:tcPr>
            <w:tcW w:w="1040" w:type="dxa"/>
            <w:vAlign w:val="bottom"/>
            <w:gridSpan w:val="3"/>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Unrelated to</w:t>
            </w:r>
          </w:p>
        </w:tc>
        <w:tc>
          <w:tcPr>
            <w:tcW w:w="1280" w:type="dxa"/>
            <w:vAlign w:val="bottom"/>
            <w:gridSpan w:val="3"/>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for Good Reason</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7"/>
              </w:rPr>
              <w:t>Retirement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5"/>
              <w:spacing w:after="0" w:line="146"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280" w:type="dxa"/>
            <w:vAlign w:val="bottom"/>
            <w:gridSpan w:val="3"/>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and a Change in</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Control</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12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Archie C. Black</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Salary/Bonus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495,000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495,000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Health Benefits</w:t>
            </w:r>
            <w:r>
              <w:rPr>
                <w:rFonts w:ascii="Times New Roman" w:cs="Times New Roman" w:eastAsia="Times New Roman" w:hAnsi="Times New Roman"/>
                <w:sz w:val="15"/>
                <w:szCs w:val="15"/>
                <w:color w:val="auto"/>
              </w:rPr>
              <w:t>(1)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Value of Accelerated RSUs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3,525,488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3,525,488</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3,525,488</w:t>
            </w:r>
          </w:p>
        </w:tc>
        <w:tc>
          <w:tcPr>
            <w:tcW w:w="0" w:type="dxa"/>
            <w:vAlign w:val="bottom"/>
          </w:tcPr>
          <w:p>
            <w:pPr>
              <w:spacing w:after="0"/>
              <w:rPr>
                <w:sz w:val="1"/>
                <w:szCs w:val="1"/>
                <w:color w:val="auto"/>
              </w:rPr>
            </w:pPr>
          </w:p>
        </w:tc>
      </w:tr>
      <w:tr>
        <w:trPr>
          <w:trHeight w:val="225"/>
        </w:trPr>
        <w:tc>
          <w:tcPr>
            <w:tcW w:w="2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Value of Accelerated Options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1,846,036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1,846,036</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1,846,036</w:t>
            </w:r>
          </w:p>
        </w:tc>
        <w:tc>
          <w:tcPr>
            <w:tcW w:w="0" w:type="dxa"/>
            <w:vAlign w:val="bottom"/>
          </w:tcPr>
          <w:p>
            <w:pPr>
              <w:spacing w:after="0"/>
              <w:rPr>
                <w:sz w:val="1"/>
                <w:szCs w:val="1"/>
                <w:color w:val="auto"/>
              </w:rPr>
            </w:pPr>
          </w:p>
        </w:tc>
      </w:tr>
      <w:tr>
        <w:trPr>
          <w:trHeight w:val="208"/>
        </w:trPr>
        <w:tc>
          <w:tcPr>
            <w:tcW w:w="2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Value of Accelerated PSUs</w:t>
            </w:r>
            <w:r>
              <w:rPr>
                <w:rFonts w:ascii="Times New Roman" w:cs="Times New Roman" w:eastAsia="Times New Roman" w:hAnsi="Times New Roman"/>
                <w:sz w:val="15"/>
                <w:szCs w:val="15"/>
                <w:color w:val="auto"/>
              </w:rPr>
              <w:t>(2)</w:t>
            </w:r>
          </w:p>
        </w:tc>
        <w:tc>
          <w:tcPr>
            <w:tcW w:w="80" w:type="dxa"/>
            <w:vAlign w:val="bottom"/>
            <w:shd w:val="clear" w:color="auto" w:fill="CFF0FC"/>
          </w:tcPr>
          <w:p>
            <w:pPr>
              <w:spacing w:after="0"/>
              <w:rPr>
                <w:sz w:val="18"/>
                <w:szCs w:val="18"/>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3,370,922</w:t>
            </w:r>
          </w:p>
        </w:tc>
        <w:tc>
          <w:tcPr>
            <w:tcW w:w="120" w:type="dxa"/>
            <w:vAlign w:val="bottom"/>
            <w:shd w:val="clear" w:color="auto" w:fill="CFF0FC"/>
          </w:tcPr>
          <w:p>
            <w:pPr>
              <w:spacing w:after="0"/>
              <w:rPr>
                <w:sz w:val="18"/>
                <w:szCs w:val="18"/>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3,370,922</w:t>
            </w:r>
          </w:p>
        </w:tc>
        <w:tc>
          <w:tcPr>
            <w:tcW w:w="160" w:type="dxa"/>
            <w:vAlign w:val="bottom"/>
            <w:shd w:val="clear" w:color="auto" w:fill="CFF0FC"/>
          </w:tcPr>
          <w:p>
            <w:pPr>
              <w:spacing w:after="0"/>
              <w:rPr>
                <w:sz w:val="18"/>
                <w:szCs w:val="18"/>
                <w:color w:val="auto"/>
              </w:rPr>
            </w:pPr>
          </w:p>
        </w:tc>
        <w:tc>
          <w:tcPr>
            <w:tcW w:w="2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3,370,922</w:t>
            </w:r>
          </w:p>
        </w:tc>
        <w:tc>
          <w:tcPr>
            <w:tcW w:w="0" w:type="dxa"/>
            <w:vAlign w:val="bottom"/>
          </w:tcPr>
          <w:p>
            <w:pPr>
              <w:spacing w:after="0"/>
              <w:rPr>
                <w:sz w:val="1"/>
                <w:szCs w:val="1"/>
                <w:color w:val="auto"/>
              </w:rPr>
            </w:pPr>
          </w:p>
        </w:tc>
      </w:tr>
      <w:tr>
        <w:trPr>
          <w:trHeight w:val="190"/>
        </w:trPr>
        <w:tc>
          <w:tcPr>
            <w:tcW w:w="2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300" w:type="dxa"/>
            <w:vAlign w:val="bottom"/>
            <w:gridSpan w:val="2"/>
            <w:vMerge w:val="continue"/>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vMerge w:val="continue"/>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42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8,742,446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506,461</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506,461</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8,742,446</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8,742,446</w:t>
            </w:r>
          </w:p>
        </w:tc>
        <w:tc>
          <w:tcPr>
            <w:tcW w:w="0" w:type="dxa"/>
            <w:vAlign w:val="bottom"/>
          </w:tcPr>
          <w:p>
            <w:pPr>
              <w:spacing w:after="0"/>
              <w:rPr>
                <w:sz w:val="1"/>
                <w:szCs w:val="1"/>
                <w:color w:val="auto"/>
              </w:rPr>
            </w:pPr>
          </w:p>
        </w:tc>
      </w:tr>
      <w:tr>
        <w:trPr>
          <w:trHeight w:val="220"/>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Kimberly K. Nelson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Salary/Bonus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302,500</w:t>
            </w:r>
          </w:p>
        </w:tc>
        <w:tc>
          <w:tcPr>
            <w:tcW w:w="1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605,000</w:t>
            </w:r>
          </w:p>
        </w:tc>
        <w:tc>
          <w:tcPr>
            <w:tcW w:w="1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Health Benefits</w:t>
            </w:r>
            <w:r>
              <w:rPr>
                <w:rFonts w:ascii="Times New Roman" w:cs="Times New Roman" w:eastAsia="Times New Roman" w:hAnsi="Times New Roman"/>
                <w:sz w:val="15"/>
                <w:szCs w:val="15"/>
                <w:color w:val="auto"/>
              </w:rPr>
              <w:t>(1)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1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Value of Accelerated RSUs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1,703,389</w:t>
            </w:r>
          </w:p>
        </w:tc>
        <w:tc>
          <w:tcPr>
            <w:tcW w:w="1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1,703,389</w:t>
            </w:r>
          </w:p>
        </w:tc>
        <w:tc>
          <w:tcPr>
            <w:tcW w:w="0" w:type="dxa"/>
            <w:vAlign w:val="bottom"/>
          </w:tcPr>
          <w:p>
            <w:pPr>
              <w:spacing w:after="0"/>
              <w:rPr>
                <w:sz w:val="1"/>
                <w:szCs w:val="1"/>
                <w:color w:val="auto"/>
              </w:rPr>
            </w:pPr>
          </w:p>
        </w:tc>
      </w:tr>
      <w:tr>
        <w:trPr>
          <w:trHeight w:val="225"/>
        </w:trPr>
        <w:tc>
          <w:tcPr>
            <w:tcW w:w="2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Value of Accelerated Options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865,440</w:t>
            </w:r>
          </w:p>
        </w:tc>
        <w:tc>
          <w:tcPr>
            <w:tcW w:w="1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865,440</w:t>
            </w:r>
          </w:p>
        </w:tc>
        <w:tc>
          <w:tcPr>
            <w:tcW w:w="0" w:type="dxa"/>
            <w:vAlign w:val="bottom"/>
          </w:tcPr>
          <w:p>
            <w:pPr>
              <w:spacing w:after="0"/>
              <w:rPr>
                <w:sz w:val="1"/>
                <w:szCs w:val="1"/>
                <w:color w:val="auto"/>
              </w:rPr>
            </w:pPr>
          </w:p>
        </w:tc>
      </w:tr>
      <w:tr>
        <w:trPr>
          <w:trHeight w:val="230"/>
        </w:trPr>
        <w:tc>
          <w:tcPr>
            <w:tcW w:w="2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Value of Accelerated PSUs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1,720,348</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1,720,348</w:t>
            </w:r>
          </w:p>
        </w:tc>
        <w:tc>
          <w:tcPr>
            <w:tcW w:w="0" w:type="dxa"/>
            <w:vAlign w:val="bottom"/>
          </w:tcPr>
          <w:p>
            <w:pPr>
              <w:spacing w:after="0"/>
              <w:rPr>
                <w:sz w:val="1"/>
                <w:szCs w:val="1"/>
                <w:color w:val="auto"/>
              </w:rPr>
            </w:pPr>
          </w:p>
        </w:tc>
      </w:tr>
      <w:tr>
        <w:trPr>
          <w:trHeight w:val="218"/>
        </w:trPr>
        <w:tc>
          <w:tcPr>
            <w:tcW w:w="2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612,829</w:t>
            </w:r>
          </w:p>
        </w:tc>
        <w:tc>
          <w:tcPr>
            <w:tcW w:w="1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306,415</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4,902,006</w:t>
            </w: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4,289,177</w:t>
            </w:r>
          </w:p>
        </w:tc>
        <w:tc>
          <w:tcPr>
            <w:tcW w:w="0" w:type="dxa"/>
            <w:vAlign w:val="bottom"/>
          </w:tcPr>
          <w:p>
            <w:pPr>
              <w:spacing w:after="0"/>
              <w:rPr>
                <w:sz w:val="1"/>
                <w:szCs w:val="1"/>
                <w:color w:val="auto"/>
              </w:rPr>
            </w:pPr>
          </w:p>
        </w:tc>
      </w:tr>
      <w:tr>
        <w:trPr>
          <w:trHeight w:val="225"/>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James J. Frome</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Salary/Bonus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630,000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315,000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630,000</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Health Benefits</w:t>
            </w:r>
            <w:r>
              <w:rPr>
                <w:rFonts w:ascii="Times New Roman" w:cs="Times New Roman" w:eastAsia="Times New Roman" w:hAnsi="Times New Roman"/>
                <w:sz w:val="15"/>
                <w:szCs w:val="15"/>
                <w:color w:val="auto"/>
              </w:rPr>
              <w:t>(1)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11,461</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Value of Accelerated RSUs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1,894,034</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1,894,034</w:t>
            </w:r>
          </w:p>
        </w:tc>
        <w:tc>
          <w:tcPr>
            <w:tcW w:w="0" w:type="dxa"/>
            <w:vAlign w:val="bottom"/>
          </w:tcPr>
          <w:p>
            <w:pPr>
              <w:spacing w:after="0"/>
              <w:rPr>
                <w:sz w:val="1"/>
                <w:szCs w:val="1"/>
                <w:color w:val="auto"/>
              </w:rPr>
            </w:pPr>
          </w:p>
        </w:tc>
      </w:tr>
      <w:tr>
        <w:trPr>
          <w:trHeight w:val="225"/>
        </w:trPr>
        <w:tc>
          <w:tcPr>
            <w:tcW w:w="2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Value of Accelerated Options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943,615</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943,615</w:t>
            </w:r>
          </w:p>
        </w:tc>
        <w:tc>
          <w:tcPr>
            <w:tcW w:w="0" w:type="dxa"/>
            <w:vAlign w:val="bottom"/>
          </w:tcPr>
          <w:p>
            <w:pPr>
              <w:spacing w:after="0"/>
              <w:rPr>
                <w:sz w:val="1"/>
                <w:szCs w:val="1"/>
                <w:color w:val="auto"/>
              </w:rPr>
            </w:pPr>
          </w:p>
        </w:tc>
      </w:tr>
      <w:tr>
        <w:trPr>
          <w:trHeight w:val="225"/>
        </w:trPr>
        <w:tc>
          <w:tcPr>
            <w:tcW w:w="2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Value of Accelerated PSUs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1,966,080</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1,966,080</w:t>
            </w:r>
          </w:p>
        </w:tc>
        <w:tc>
          <w:tcPr>
            <w:tcW w:w="0" w:type="dxa"/>
            <w:vAlign w:val="bottom"/>
          </w:tcPr>
          <w:p>
            <w:pPr>
              <w:spacing w:after="0"/>
              <w:rPr>
                <w:sz w:val="1"/>
                <w:szCs w:val="1"/>
                <w:color w:val="auto"/>
              </w:rPr>
            </w:pPr>
          </w:p>
        </w:tc>
      </w:tr>
      <w:tr>
        <w:trPr>
          <w:trHeight w:val="218"/>
        </w:trPr>
        <w:tc>
          <w:tcPr>
            <w:tcW w:w="242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641,461</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320,730</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5,445,190</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4,803,729</w:t>
            </w: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440" w:hanging="434"/>
        <w:spacing w:after="0"/>
        <w:tabs>
          <w:tab w:leader="none" w:pos="4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for health benefits were determined via employer paid health and dental benefits incurred in 2019 for the named executive.</w:t>
      </w:r>
    </w:p>
    <w:p>
      <w:pPr>
        <w:spacing w:after="0" w:line="124" w:lineRule="exact"/>
        <w:rPr>
          <w:rFonts w:ascii="Times New Roman" w:cs="Times New Roman" w:eastAsia="Times New Roman" w:hAnsi="Times New Roman"/>
          <w:sz w:val="18"/>
          <w:szCs w:val="18"/>
          <w:color w:val="auto"/>
        </w:rPr>
      </w:pPr>
    </w:p>
    <w:p>
      <w:pPr>
        <w:ind w:left="440" w:hanging="434"/>
        <w:spacing w:after="0" w:line="252" w:lineRule="auto"/>
        <w:tabs>
          <w:tab w:leader="none" w:pos="4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terms of Mr. Black’s employment agreement in effect on December 31, 2019, upon retirement, outstanding PSUs will continue to vest on each originally scheduled vesting date in an amount equal to the number of units subject to the awards that would otherwise have been determined to have been earned by Mr. Black had he remained continuously employed by the company through the originally scheduled vesting dates. Because these performance determinations cannot be made until after December 31, 2019, the amount included in the Retirement column reflects the value of Mr. Black’s outstanding based on an estimated performance level at December 31, 2019.</w:t>
      </w:r>
    </w:p>
    <w:p>
      <w:pPr>
        <w:spacing w:after="0" w:line="79" w:lineRule="exact"/>
        <w:rPr>
          <w:rFonts w:ascii="Times New Roman" w:cs="Times New Roman" w:eastAsia="Times New Roman" w:hAnsi="Times New Roman"/>
          <w:sz w:val="18"/>
          <w:szCs w:val="18"/>
          <w:color w:val="auto"/>
        </w:rPr>
      </w:pPr>
    </w:p>
    <w:p>
      <w:pPr>
        <w:ind w:left="440" w:right="240" w:hanging="434"/>
        <w:spacing w:after="0" w:line="255" w:lineRule="auto"/>
        <w:tabs>
          <w:tab w:leader="none" w:pos="4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change in control, the PSU performance period for outstanding PSUs will be truncated and will end as of the end of the Company’s most recently completed fiscal quarter prior to the date of change in control. Vesting will be as of the date of change in control and based on actual performance over the truncated performance period. The amount noted reflects the value of the outstanding PSUs based on an estimated performance level at December 31, 2019.</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1370" cy="16510"/>
                    </a:xfrm>
                    <a:prstGeom prst="rect">
                      <a:avLst/>
                    </a:prstGeom>
                    <a:noFill/>
                  </pic:spPr>
                </pic:pic>
              </a:graphicData>
            </a:graphic>
          </wp:anchor>
        </w:drawing>
      </w:r>
    </w:p>
    <w:p>
      <w:pPr>
        <w:sectPr>
          <w:pgSz w:w="11900" w:h="16838" w:orient="portrait"/>
          <w:cols w:equalWidth="0" w:num="1">
            <w:col w:w="11220"/>
          </w:cols>
          <w:pgMar w:left="320" w:top="505" w:right="359" w:bottom="1440" w:gutter="0" w:footer="0" w:header="0"/>
        </w:sectPr>
      </w:pPr>
    </w:p>
    <w:bookmarkStart w:id="38" w:name="page39"/>
    <w:bookmarkEnd w:id="38"/>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207010</wp:posOffset>
            </wp:positionH>
            <wp:positionV relativeFrom="page">
              <wp:posOffset>375285</wp:posOffset>
            </wp:positionV>
            <wp:extent cx="71348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860" cy="8255"/>
                    </a:xfrm>
                    <a:prstGeom prst="rect">
                      <a:avLst/>
                    </a:prstGeom>
                    <a:noFill/>
                  </pic:spPr>
                </pic:pic>
              </a:graphicData>
            </a:graphic>
          </wp:anchor>
        </w:drawing>
        <w:t>CEO Pay Ratio</w:t>
      </w:r>
    </w:p>
    <w:p>
      <w:pPr>
        <w:spacing w:after="0" w:line="164" w:lineRule="exact"/>
        <w:rPr>
          <w:sz w:val="20"/>
          <w:szCs w:val="20"/>
          <w:color w:val="auto"/>
        </w:rPr>
      </w:pPr>
    </w:p>
    <w:p>
      <w:pPr>
        <w:ind w:right="260" w:firstLine="589"/>
        <w:spacing w:after="0" w:line="274" w:lineRule="auto"/>
        <w:rPr>
          <w:sz w:val="20"/>
          <w:szCs w:val="20"/>
          <w:color w:val="auto"/>
        </w:rPr>
      </w:pPr>
      <w:r>
        <w:rPr>
          <w:rFonts w:ascii="Times New Roman" w:cs="Times New Roman" w:eastAsia="Times New Roman" w:hAnsi="Times New Roman"/>
          <w:sz w:val="18"/>
          <w:szCs w:val="18"/>
          <w:color w:val="auto"/>
        </w:rPr>
        <w:t>We are providing the following information about the relationship of the median of the annual total compensation of our employees and the annual total compensation of Archie C. Black, our Chief Executive Officer (our “CEO”), for 2019:</w:t>
      </w:r>
    </w:p>
    <w:p>
      <w:pPr>
        <w:spacing w:after="0" w:line="57" w:lineRule="exact"/>
        <w:rPr>
          <w:sz w:val="20"/>
          <w:szCs w:val="20"/>
          <w:color w:val="auto"/>
        </w:rPr>
      </w:pPr>
    </w:p>
    <w:p>
      <w:pPr>
        <w:ind w:left="860" w:hanging="430"/>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of the annual total compensation of all employees of our company (other than our CEO) was $76,511; and</w:t>
      </w:r>
    </w:p>
    <w:p>
      <w:pPr>
        <w:spacing w:after="0" w:line="111" w:lineRule="exact"/>
        <w:rPr>
          <w:rFonts w:ascii="Times New Roman" w:cs="Times New Roman" w:eastAsia="Times New Roman" w:hAnsi="Times New Roman"/>
          <w:sz w:val="18"/>
          <w:szCs w:val="18"/>
          <w:color w:val="auto"/>
        </w:rPr>
      </w:pPr>
    </w:p>
    <w:p>
      <w:pPr>
        <w:ind w:left="860" w:right="260" w:hanging="430"/>
        <w:spacing w:after="0" w:line="274" w:lineRule="auto"/>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our CEO, as reported in the 2019 Summary Compensation Table included on page 26 of this proxy statement, was $3,662,221.</w:t>
      </w:r>
    </w:p>
    <w:p>
      <w:pPr>
        <w:spacing w:after="0" w:line="110" w:lineRule="exact"/>
        <w:rPr>
          <w:sz w:val="20"/>
          <w:szCs w:val="20"/>
          <w:color w:val="auto"/>
        </w:rPr>
      </w:pPr>
    </w:p>
    <w:p>
      <w:pPr>
        <w:ind w:right="760" w:firstLine="589"/>
        <w:spacing w:after="0" w:line="304" w:lineRule="auto"/>
        <w:rPr>
          <w:sz w:val="20"/>
          <w:szCs w:val="20"/>
          <w:color w:val="auto"/>
        </w:rPr>
      </w:pPr>
      <w:r>
        <w:rPr>
          <w:rFonts w:ascii="Times New Roman" w:cs="Times New Roman" w:eastAsia="Times New Roman" w:hAnsi="Times New Roman"/>
          <w:sz w:val="17"/>
          <w:szCs w:val="17"/>
          <w:color w:val="auto"/>
        </w:rPr>
        <w:t>Based on this information for 2019, the ratio of our CEO’s annual total compensation to the median of the annual total compensation of our employees was 48:1. We believe this pay ratio to be a reasonable estimate, calculated in a manner consistent with Item 402(u) of Regulation S-K.</w:t>
      </w:r>
    </w:p>
    <w:p>
      <w:pPr>
        <w:spacing w:after="0" w:line="88" w:lineRule="exact"/>
        <w:rPr>
          <w:sz w:val="20"/>
          <w:szCs w:val="20"/>
          <w:color w:val="auto"/>
        </w:rPr>
      </w:pPr>
    </w:p>
    <w:p>
      <w:pPr>
        <w:ind w:firstLine="589"/>
        <w:spacing w:after="0" w:line="252" w:lineRule="auto"/>
        <w:rPr>
          <w:sz w:val="20"/>
          <w:szCs w:val="20"/>
          <w:color w:val="auto"/>
        </w:rPr>
      </w:pPr>
      <w:r>
        <w:rPr>
          <w:rFonts w:ascii="Times New Roman" w:cs="Times New Roman" w:eastAsia="Times New Roman" w:hAnsi="Times New Roman"/>
          <w:sz w:val="18"/>
          <w:szCs w:val="18"/>
          <w:color w:val="auto"/>
        </w:rPr>
        <w:t>In 2019, we identified our median employee based on the total cash and equity compensation paid during 2019 to all 1,387 members of our workforce (including full-time, part-time and temporary employees as well as certain independent contractors), other than our CEO, who were employed on December 31, 2019. For purposes of determining the total cash and equity compensation of each employee, we included the contractual amount of annual base salary, the annual target bonus and commission cash incentives, and the grant date fair value of equity awards granted in 2019. We did not include any adjustments for the value of benefits provided.</w:t>
      </w:r>
    </w:p>
    <w:p>
      <w:pPr>
        <w:spacing w:after="0" w:line="132" w:lineRule="exact"/>
        <w:rPr>
          <w:sz w:val="20"/>
          <w:szCs w:val="20"/>
          <w:color w:val="auto"/>
        </w:rPr>
      </w:pPr>
    </w:p>
    <w:p>
      <w:pPr>
        <w:ind w:right="380" w:firstLine="589"/>
        <w:spacing w:after="0" w:line="259" w:lineRule="auto"/>
        <w:rPr>
          <w:sz w:val="20"/>
          <w:szCs w:val="20"/>
          <w:color w:val="auto"/>
        </w:rPr>
      </w:pPr>
      <w:r>
        <w:rPr>
          <w:rFonts w:ascii="Times New Roman" w:cs="Times New Roman" w:eastAsia="Times New Roman" w:hAnsi="Times New Roman"/>
          <w:sz w:val="18"/>
          <w:szCs w:val="18"/>
          <w:color w:val="auto"/>
        </w:rPr>
        <w:t>We determined the median employee’s total compensation for 2019, including any perquisites and other benefits, in the same manner that we determine the total compensation of our named executive officers for purposes of the 2019 Summary Compensation Table disclosed above. The elements included in the CEO’s total compensation are fully discussed above in the footnotes to the 2019 Summary Compensation Table.</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20"/>
          </w:cols>
          <w:pgMar w:left="320" w:top="600" w:right="359" w:bottom="1440" w:gutter="0" w:footer="0" w:header="0"/>
        </w:sectPr>
      </w:pPr>
    </w:p>
    <w:bookmarkStart w:id="39" w:name="page40"/>
    <w:bookmarkEnd w:id="39"/>
    <w:p>
      <w:pPr>
        <w:jc w:val="center"/>
        <w:ind w:left="400" w:right="180"/>
        <w:spacing w:after="0" w:line="284" w:lineRule="auto"/>
        <w:rPr>
          <w:sz w:val="20"/>
          <w:szCs w:val="20"/>
          <w:color w:val="auto"/>
        </w:rPr>
      </w:pPr>
      <w:r>
        <w:rPr>
          <w:rFonts w:ascii="Times New Roman" w:cs="Times New Roman" w:eastAsia="Times New Roman" w:hAnsi="Times New Roman"/>
          <w:sz w:val="35"/>
          <w:szCs w:val="35"/>
          <w:b w:val="1"/>
          <w:bCs w:val="1"/>
          <w:color w:val="00AAE5"/>
        </w:rPr>
        <w:t>AUDIT COMMITTEE REPORT AND PAYMENT OF FEES TO OUR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-602615</wp:posOffset>
            </wp:positionV>
            <wp:extent cx="71348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Audit Committee Report</w:t>
      </w:r>
    </w:p>
    <w:p>
      <w:pPr>
        <w:spacing w:after="0" w:line="174" w:lineRule="exact"/>
        <w:rPr>
          <w:sz w:val="20"/>
          <w:szCs w:val="20"/>
          <w:color w:val="auto"/>
        </w:rPr>
      </w:pPr>
    </w:p>
    <w:p>
      <w:pPr>
        <w:jc w:val="both"/>
        <w:ind w:right="180" w:firstLine="589"/>
        <w:spacing w:after="0" w:line="259" w:lineRule="auto"/>
        <w:rPr>
          <w:sz w:val="20"/>
          <w:szCs w:val="20"/>
          <w:color w:val="auto"/>
        </w:rPr>
      </w:pPr>
      <w:r>
        <w:rPr>
          <w:rFonts w:ascii="Times New Roman" w:cs="Times New Roman" w:eastAsia="Times New Roman" w:hAnsi="Times New Roman"/>
          <w:sz w:val="18"/>
          <w:szCs w:val="18"/>
          <w:color w:val="auto"/>
        </w:rPr>
        <w:t>The primary function of our audit committee is oversight of our financial reporting process, publicly filed financial reports, internal accounting and financial controls, and the independent audit of our consolidated financial statements. The consolidated financial statements of SPS Commerce, Inc. for the year ended December 31, 2019 were audited by KPMG, our independent auditor.</w:t>
      </w:r>
    </w:p>
    <w:p>
      <w:pPr>
        <w:spacing w:after="0" w:line="1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part of its activities, the audit committee has:</w:t>
      </w:r>
    </w:p>
    <w:p>
      <w:pPr>
        <w:spacing w:after="0" w:line="111" w:lineRule="exact"/>
        <w:rPr>
          <w:sz w:val="20"/>
          <w:szCs w:val="20"/>
          <w:color w:val="auto"/>
        </w:rPr>
      </w:pPr>
    </w:p>
    <w:p>
      <w:pPr>
        <w:ind w:left="1020" w:hanging="431"/>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management and the independent auditor the company’s audited consolidated financial statements;</w:t>
      </w:r>
    </w:p>
    <w:p>
      <w:pPr>
        <w:spacing w:after="0" w:line="111" w:lineRule="exact"/>
        <w:rPr>
          <w:rFonts w:ascii="Times New Roman" w:cs="Times New Roman" w:eastAsia="Times New Roman" w:hAnsi="Times New Roman"/>
          <w:sz w:val="18"/>
          <w:szCs w:val="18"/>
          <w:color w:val="auto"/>
        </w:rPr>
      </w:pPr>
    </w:p>
    <w:p>
      <w:pPr>
        <w:ind w:left="1020" w:right="40" w:hanging="431"/>
        <w:spacing w:after="0" w:line="274"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the independent auditor the matters required to be discussed by the applicable requirements of the Public Company Accounting Oversight Board (“PCAOB”) and the SEC; and</w:t>
      </w:r>
    </w:p>
    <w:p>
      <w:pPr>
        <w:spacing w:after="0" w:line="57" w:lineRule="exact"/>
        <w:rPr>
          <w:rFonts w:ascii="Times New Roman" w:cs="Times New Roman" w:eastAsia="Times New Roman" w:hAnsi="Times New Roman"/>
          <w:sz w:val="18"/>
          <w:szCs w:val="18"/>
          <w:color w:val="auto"/>
        </w:rPr>
      </w:pPr>
    </w:p>
    <w:p>
      <w:pPr>
        <w:ind w:left="1020" w:right="100" w:hanging="431"/>
        <w:spacing w:after="0" w:line="259"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letter from the independent auditor required by applicable requirements of the PCAOB regarding the independent auditor’s communications with the audit committee concerning independence, and has discussed with the independent auditor the independent auditor’s independence.</w:t>
      </w:r>
    </w:p>
    <w:p>
      <w:pPr>
        <w:spacing w:after="0" w:line="125" w:lineRule="exact"/>
        <w:rPr>
          <w:sz w:val="20"/>
          <w:szCs w:val="20"/>
          <w:color w:val="auto"/>
        </w:rPr>
      </w:pPr>
    </w:p>
    <w:p>
      <w:pPr>
        <w:ind w:right="60" w:firstLine="589"/>
        <w:spacing w:after="0" w:line="251" w:lineRule="auto"/>
        <w:rPr>
          <w:sz w:val="20"/>
          <w:szCs w:val="20"/>
          <w:color w:val="auto"/>
        </w:rPr>
      </w:pPr>
      <w:r>
        <w:rPr>
          <w:rFonts w:ascii="Times New Roman" w:cs="Times New Roman" w:eastAsia="Times New Roman" w:hAnsi="Times New Roman"/>
          <w:sz w:val="18"/>
          <w:szCs w:val="18"/>
          <w:color w:val="auto"/>
        </w:rPr>
        <w:t>Management is responsible for the company’s system of internal controls and financial reporting process. KPMG is responsible for performing an independent audit of the consolidated financial statements and internal controls over financial reporting in accordance with the standards of the PCAOB and for issuing a report thereon. Our committee’s responsibility is to monitor and oversee these processes. Based on the foregoing review and discussions and a review of the report of KPMG with respect to the consolidated financial statements, and relying thereon, we have recommended to the board of directors of SPS Commerce, Inc. the inclusion of the audited consolidated financial statements in SPS Commerce, Inc.’s Annual Report on Form 10-K for the year ended December 31, 2019, for filing with the SEC.</w:t>
      </w:r>
    </w:p>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Audit Committee of the Board of Directors of SPS Commerce,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Sven A. Wehrwein, </w:t>
      </w:r>
      <w:r>
        <w:rPr>
          <w:rFonts w:ascii="Times New Roman" w:cs="Times New Roman" w:eastAsia="Times New Roman" w:hAnsi="Times New Roman"/>
          <w:sz w:val="18"/>
          <w:szCs w:val="18"/>
          <w:i w:val="1"/>
          <w:iCs w:val="1"/>
          <w:color w:val="auto"/>
        </w:rPr>
        <w:t>Chair</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Martin J. Leestma</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Philip E. Soran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71348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Auditor Fees</w:t>
      </w:r>
    </w:p>
    <w:p>
      <w:pPr>
        <w:spacing w:after="0" w:line="174" w:lineRule="exact"/>
        <w:rPr>
          <w:sz w:val="20"/>
          <w:szCs w:val="20"/>
          <w:color w:val="auto"/>
        </w:rPr>
      </w:pPr>
    </w:p>
    <w:p>
      <w:pPr>
        <w:ind w:right="160" w:firstLine="589"/>
        <w:spacing w:after="0" w:line="257" w:lineRule="auto"/>
        <w:rPr>
          <w:sz w:val="20"/>
          <w:szCs w:val="20"/>
          <w:color w:val="auto"/>
        </w:rPr>
      </w:pPr>
      <w:r>
        <w:rPr>
          <w:rFonts w:ascii="Times New Roman" w:cs="Times New Roman" w:eastAsia="Times New Roman" w:hAnsi="Times New Roman"/>
          <w:sz w:val="18"/>
          <w:szCs w:val="18"/>
          <w:color w:val="auto"/>
        </w:rPr>
        <w:t>KPMG has served as our independent auditor since June 2013. The following table presents fees for professional audit services rendered by KPMG for 2019 and 2018.</w:t>
      </w:r>
    </w:p>
    <w:tbl>
      <w:tblPr>
        <w:tblLayout w:type="fixed"/>
        <w:tblInd w:w="56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220" w:type="dxa"/>
            <w:vAlign w:val="bottom"/>
            <w:tcBorders>
              <w:bottom w:val="single" w:sz="8" w:color="CFF0FC"/>
            </w:tcBorders>
          </w:tcPr>
          <w:p>
            <w:pPr>
              <w:spacing w:after="0"/>
              <w:rPr>
                <w:sz w:val="13"/>
                <w:szCs w:val="13"/>
                <w:color w:val="auto"/>
              </w:rPr>
            </w:pPr>
          </w:p>
        </w:tc>
        <w:tc>
          <w:tcPr>
            <w:tcW w:w="27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5"/>
              <w:spacing w:after="0" w:line="158"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5"/>
              <w:spacing w:after="0" w:line="158"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15"/>
                <w:szCs w:val="15"/>
                <w:color w:val="auto"/>
              </w:rPr>
              <w:t>(1)</w:t>
            </w:r>
          </w:p>
        </w:tc>
        <w:tc>
          <w:tcPr>
            <w:tcW w:w="27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639,000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672,000</w:t>
            </w:r>
          </w:p>
        </w:tc>
        <w:tc>
          <w:tcPr>
            <w:tcW w:w="80" w:type="dxa"/>
            <w:vAlign w:val="bottom"/>
            <w:shd w:val="clear" w:color="auto" w:fill="CFF0FC"/>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15"/>
                <w:szCs w:val="15"/>
                <w:color w:val="auto"/>
              </w:rPr>
              <w:t>(2)</w:t>
            </w:r>
          </w:p>
        </w:tc>
        <w:tc>
          <w:tcPr>
            <w:tcW w:w="3020" w:type="dxa"/>
            <w:vAlign w:val="bottom"/>
            <w:gridSpan w:val="2"/>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5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15"/>
                <w:szCs w:val="15"/>
                <w:color w:val="auto"/>
              </w:rPr>
              <w:t>(3)</w:t>
            </w:r>
          </w:p>
        </w:tc>
        <w:tc>
          <w:tcPr>
            <w:tcW w:w="30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195,800</w:t>
            </w:r>
          </w:p>
        </w:tc>
        <w:tc>
          <w:tcPr>
            <w:tcW w:w="560" w:type="dxa"/>
            <w:vAlign w:val="bottom"/>
            <w:gridSpan w:val="2"/>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100,300</w:t>
            </w:r>
          </w:p>
        </w:tc>
        <w:tc>
          <w:tcPr>
            <w:tcW w:w="80" w:type="dxa"/>
            <w:vAlign w:val="bottom"/>
            <w:shd w:val="clear" w:color="auto" w:fill="CFF0FC"/>
          </w:tcPr>
          <w:p>
            <w:pPr>
              <w:spacing w:after="0"/>
              <w:rPr>
                <w:sz w:val="19"/>
                <w:szCs w:val="19"/>
                <w:color w:val="auto"/>
              </w:rPr>
            </w:pPr>
          </w:p>
        </w:tc>
      </w:tr>
      <w:tr>
        <w:trPr>
          <w:trHeight w:val="225"/>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700" w:type="dxa"/>
            <w:vAlign w:val="bottom"/>
          </w:tcPr>
          <w:p>
            <w:pPr>
              <w:spacing w:after="0"/>
              <w:rPr>
                <w:sz w:val="19"/>
                <w:szCs w:val="19"/>
                <w:color w:val="auto"/>
              </w:rPr>
            </w:pPr>
          </w:p>
        </w:tc>
        <w:tc>
          <w:tcPr>
            <w:tcW w:w="32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879,800</w:t>
            </w:r>
          </w:p>
        </w:tc>
        <w:tc>
          <w:tcPr>
            <w:tcW w:w="240" w:type="dxa"/>
            <w:vAlign w:val="bottom"/>
          </w:tcPr>
          <w:p>
            <w:pPr>
              <w:spacing w:after="0"/>
              <w:rPr>
                <w:sz w:val="19"/>
                <w:szCs w:val="19"/>
                <w:color w:val="auto"/>
              </w:rPr>
            </w:pPr>
          </w:p>
        </w:tc>
        <w:tc>
          <w:tcPr>
            <w:tcW w:w="3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772,300</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80010</wp:posOffset>
            </wp:positionV>
            <wp:extent cx="1093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93470" cy="8255"/>
                    </a:xfrm>
                    <a:prstGeom prst="rect">
                      <a:avLst/>
                    </a:prstGeom>
                    <a:noFill/>
                  </pic:spPr>
                </pic:pic>
              </a:graphicData>
            </a:graphic>
          </wp:anchor>
        </w:drawing>
      </w:r>
    </w:p>
    <w:p>
      <w:pPr>
        <w:spacing w:after="0" w:line="141" w:lineRule="exact"/>
        <w:rPr>
          <w:sz w:val="20"/>
          <w:szCs w:val="20"/>
          <w:color w:val="auto"/>
        </w:rPr>
      </w:pPr>
    </w:p>
    <w:p>
      <w:pPr>
        <w:ind w:left="440" w:hanging="434"/>
        <w:spacing w:after="0" w:line="259" w:lineRule="auto"/>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the audit of our annual consolidated financial statements, the review of our interim consolidated financial statements, the review of financial information included in our filings with the SEC (including our common stock offerings) and other professional services provided in connection with statutory and regulatory filings or engagements.</w:t>
      </w:r>
    </w:p>
    <w:p>
      <w:pPr>
        <w:spacing w:after="0" w:line="5" w:lineRule="exact"/>
        <w:rPr>
          <w:rFonts w:ascii="Times New Roman" w:cs="Times New Roman" w:eastAsia="Times New Roman" w:hAnsi="Times New Roman"/>
          <w:sz w:val="18"/>
          <w:szCs w:val="18"/>
          <w:color w:val="auto"/>
        </w:rPr>
      </w:pPr>
    </w:p>
    <w:p>
      <w:pPr>
        <w:ind w:left="440" w:hanging="434"/>
        <w:spacing w:after="0"/>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for the audit of our employee benefit plan.</w:t>
      </w:r>
    </w:p>
    <w:p>
      <w:pPr>
        <w:spacing w:after="0" w:line="111" w:lineRule="exact"/>
        <w:rPr>
          <w:rFonts w:ascii="Times New Roman" w:cs="Times New Roman" w:eastAsia="Times New Roman" w:hAnsi="Times New Roman"/>
          <w:sz w:val="18"/>
          <w:szCs w:val="18"/>
          <w:color w:val="auto"/>
        </w:rPr>
      </w:pPr>
    </w:p>
    <w:p>
      <w:pPr>
        <w:ind w:left="440" w:right="20" w:hanging="434"/>
        <w:spacing w:after="0" w:line="274" w:lineRule="auto"/>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the aggregate fees billed in 2019 and 2018 for professional services rendered for transfer pricing, tax compliance, tax advice and tax planning.</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180"/>
          </w:cols>
          <w:pgMar w:left="320" w:top="362"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207010</wp:posOffset>
            </wp:positionH>
            <wp:positionV relativeFrom="page">
              <wp:posOffset>375285</wp:posOffset>
            </wp:positionV>
            <wp:extent cx="71348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860" cy="8255"/>
                    </a:xfrm>
                    <a:prstGeom prst="rect">
                      <a:avLst/>
                    </a:prstGeom>
                    <a:noFill/>
                  </pic:spPr>
                </pic:pic>
              </a:graphicData>
            </a:graphic>
          </wp:anchor>
        </w:drawing>
        <w:t>Auditor Services Pre-Approval Policy</w:t>
      </w:r>
    </w:p>
    <w:p>
      <w:pPr>
        <w:spacing w:after="0" w:line="174" w:lineRule="exact"/>
        <w:rPr>
          <w:sz w:val="20"/>
          <w:szCs w:val="20"/>
          <w:color w:val="auto"/>
        </w:rPr>
      </w:pPr>
    </w:p>
    <w:p>
      <w:pPr>
        <w:ind w:firstLine="589"/>
        <w:spacing w:after="0" w:line="251" w:lineRule="auto"/>
        <w:rPr>
          <w:sz w:val="20"/>
          <w:szCs w:val="20"/>
          <w:color w:val="auto"/>
        </w:rPr>
      </w:pPr>
      <w:r>
        <w:rPr>
          <w:rFonts w:ascii="Times New Roman" w:cs="Times New Roman" w:eastAsia="Times New Roman" w:hAnsi="Times New Roman"/>
          <w:sz w:val="18"/>
          <w:szCs w:val="18"/>
          <w:color w:val="auto"/>
        </w:rPr>
        <w:t>The audit committee has adopted an auditor services pre-approval policy applicable to services performed for us by our independent auditor. In accordance with this policy, the audit committee’s practice is to approve annually all audit, audit-related and tax and other services to be provided by the independent auditor during the year. If a service to be provided is not pre-approved as part of the annual process or if it may exceed pre-approved fee levels, the service must receive a specific and separate pre-approval by the audit committee, which may delegate authority to grant such pre-approvals during the year to one or more independent members of the audit committee. Any pre-approvals granted pursuant to delegated authority must be reported to the audit committee at its next regular meeting.</w:t>
      </w:r>
    </w:p>
    <w:p>
      <w:pPr>
        <w:spacing w:after="0" w:line="132" w:lineRule="exact"/>
        <w:rPr>
          <w:sz w:val="20"/>
          <w:szCs w:val="20"/>
          <w:color w:val="auto"/>
        </w:rPr>
      </w:pPr>
    </w:p>
    <w:p>
      <w:pPr>
        <w:jc w:val="both"/>
        <w:ind w:right="300" w:firstLine="589"/>
        <w:spacing w:after="0" w:line="259" w:lineRule="auto"/>
        <w:rPr>
          <w:sz w:val="20"/>
          <w:szCs w:val="20"/>
          <w:color w:val="auto"/>
        </w:rPr>
      </w:pPr>
      <w:r>
        <w:rPr>
          <w:rFonts w:ascii="Times New Roman" w:cs="Times New Roman" w:eastAsia="Times New Roman" w:hAnsi="Times New Roman"/>
          <w:sz w:val="18"/>
          <w:szCs w:val="18"/>
          <w:color w:val="auto"/>
        </w:rPr>
        <w:t>Our audit committee has determined that the provision of the non-audit services described in the table above was compatible with maintaining the independence of our independent auditor. The audit committee reviews each non-audit service to be provided and assesses the impact of the service on the auditor’s independence.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sectPr>
      </w:pPr>
    </w:p>
    <w:bookmarkStart w:id="41" w:name="page42"/>
    <w:bookmarkEnd w:id="41"/>
    <w:p>
      <w:pPr>
        <w:jc w:val="center"/>
        <w:ind w:left="460" w:right="540"/>
        <w:spacing w:after="0" w:line="302" w:lineRule="auto"/>
        <w:rPr>
          <w:sz w:val="20"/>
          <w:szCs w:val="20"/>
          <w:color w:val="auto"/>
        </w:rPr>
      </w:pPr>
      <w:r>
        <w:rPr>
          <w:rFonts w:ascii="Arial" w:cs="Arial" w:eastAsia="Arial" w:hAnsi="Arial"/>
          <w:sz w:val="35"/>
          <w:szCs w:val="35"/>
          <w:b w:val="1"/>
          <w:bCs w:val="1"/>
          <w:color w:val="00AAE5"/>
        </w:rPr>
        <w:t>ITEM 2 – RATIFICATION OF SELECTION OF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-635000</wp:posOffset>
            </wp:positionV>
            <wp:extent cx="71348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jc w:val="both"/>
        <w:ind w:firstLine="589"/>
        <w:spacing w:after="0" w:line="274" w:lineRule="auto"/>
        <w:rPr>
          <w:sz w:val="20"/>
          <w:szCs w:val="20"/>
          <w:color w:val="auto"/>
        </w:rPr>
      </w:pPr>
      <w:r>
        <w:rPr>
          <w:rFonts w:ascii="Times New Roman" w:cs="Times New Roman" w:eastAsia="Times New Roman" w:hAnsi="Times New Roman"/>
          <w:sz w:val="17"/>
          <w:szCs w:val="17"/>
          <w:color w:val="auto"/>
        </w:rPr>
        <w:t>The audit committee of our board of directors has selected KPMG to serve as our independent auditor for the year ending December 31, 2020. While it is not required to do so, our board of directors is submitting the selection of KPMG for ratification in order to ascertain the views of our stockholders with respect to the choice of audit firm. If the selection is not ratified, the audit committee will reconsider its selection. Representatives of KPMG are expected to be present at the annual meeting, will be available to answer stockholder questions and will have the opportunity to make a statement if they desire to do so.</w:t>
      </w:r>
    </w:p>
    <w:p>
      <w:pPr>
        <w:spacing w:after="0" w:line="179" w:lineRule="exact"/>
        <w:rPr>
          <w:sz w:val="20"/>
          <w:szCs w:val="20"/>
          <w:color w:val="auto"/>
        </w:rPr>
      </w:pPr>
    </w:p>
    <w:p>
      <w:pPr>
        <w:ind w:right="40" w:firstLine="589"/>
        <w:spacing w:after="0" w:line="306" w:lineRule="auto"/>
        <w:rPr>
          <w:sz w:val="20"/>
          <w:szCs w:val="20"/>
          <w:color w:val="auto"/>
        </w:rPr>
      </w:pPr>
      <w:r>
        <w:rPr>
          <w:rFonts w:ascii="Times New Roman" w:cs="Times New Roman" w:eastAsia="Times New Roman" w:hAnsi="Times New Roman"/>
          <w:sz w:val="17"/>
          <w:szCs w:val="17"/>
          <w:b w:val="1"/>
          <w:bCs w:val="1"/>
          <w:color w:val="auto"/>
        </w:rPr>
        <w:t>The board of directors recommends that you vote FOR ratification of the selection of KPMG as the independent auditor of SPS Commerce, Inc. and our subsidiaries for the year ending December 31, 2020. Proxies will be voted FOR ratification of this selection unless otherwise specified.</w:t>
      </w:r>
    </w:p>
    <w:p>
      <w:pPr>
        <w:spacing w:after="0" w:line="1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1370" cy="16510"/>
                    </a:xfrm>
                    <a:prstGeom prst="rect">
                      <a:avLst/>
                    </a:prstGeom>
                    <a:noFill/>
                  </pic:spPr>
                </pic:pic>
              </a:graphicData>
            </a:graphic>
          </wp:anchor>
        </w:drawing>
      </w:r>
    </w:p>
    <w:p>
      <w:pPr>
        <w:sectPr>
          <w:pgSz w:w="11900" w:h="16838" w:orient="portrait"/>
          <w:cols w:equalWidth="0" w:num="1">
            <w:col w:w="11120"/>
          </w:cols>
          <w:pgMar w:left="320" w:top="353" w:right="459" w:bottom="1440" w:gutter="0" w:footer="0" w:header="0"/>
        </w:sectPr>
      </w:pPr>
    </w:p>
    <w:bookmarkStart w:id="42" w:name="page43"/>
    <w:bookmarkEnd w:id="42"/>
    <w:p>
      <w:pPr>
        <w:jc w:val="center"/>
        <w:ind w:left="340" w:right="620"/>
        <w:spacing w:after="0" w:line="274" w:lineRule="auto"/>
        <w:rPr>
          <w:sz w:val="20"/>
          <w:szCs w:val="20"/>
          <w:color w:val="auto"/>
        </w:rPr>
      </w:pPr>
      <w:r>
        <w:rPr>
          <w:rFonts w:ascii="Arial" w:cs="Arial" w:eastAsia="Arial" w:hAnsi="Arial"/>
          <w:sz w:val="35"/>
          <w:szCs w:val="35"/>
          <w:b w:val="1"/>
          <w:bCs w:val="1"/>
          <w:color w:val="00AAE5"/>
        </w:rPr>
        <w:t>ITEM 3 – ADVISORY VOTE TO APPROVE THE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-866775</wp:posOffset>
            </wp:positionV>
            <wp:extent cx="71348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6" w:lineRule="exact"/>
        <w:rPr>
          <w:sz w:val="20"/>
          <w:szCs w:val="20"/>
          <w:color w:val="auto"/>
        </w:rPr>
      </w:pPr>
    </w:p>
    <w:p>
      <w:pPr>
        <w:ind w:right="140" w:firstLine="589"/>
        <w:spacing w:after="0" w:line="251" w:lineRule="auto"/>
        <w:rPr>
          <w:sz w:val="20"/>
          <w:szCs w:val="20"/>
          <w:color w:val="auto"/>
        </w:rPr>
      </w:pPr>
      <w:r>
        <w:rPr>
          <w:rFonts w:ascii="Times New Roman" w:cs="Times New Roman" w:eastAsia="Times New Roman" w:hAnsi="Times New Roman"/>
          <w:sz w:val="18"/>
          <w:szCs w:val="18"/>
          <w:color w:val="auto"/>
        </w:rPr>
        <w:t>We are providing our stockholders the opportunity to cast an advisory (non-binding) vote to approve the compensation of our named executive officers as disclosed in this proxy statement (a “Say-on-Pay” vote). As described in the Compensation Discussion and Analysis, we have designed the compensation arrangements for our named executive officers to provide compensation in overall amounts and in forms that attract and retain talented and experienced individuals and motivate our executive officers to achieve the goals that are important to our growth. During 2019, our compensation primarily consisted of base salary, annual cash incentive awards, stock options, RSU awards and PSU awards, which helps align the incentives of our named executive officers with the interests of our stockholders.</w:t>
      </w:r>
    </w:p>
    <w:p>
      <w:pPr>
        <w:spacing w:after="0" w:line="132" w:lineRule="exact"/>
        <w:rPr>
          <w:sz w:val="20"/>
          <w:szCs w:val="20"/>
          <w:color w:val="auto"/>
        </w:rPr>
      </w:pPr>
    </w:p>
    <w:p>
      <w:pPr>
        <w:ind w:right="60" w:firstLine="589"/>
        <w:spacing w:after="0" w:line="304" w:lineRule="auto"/>
        <w:rPr>
          <w:sz w:val="20"/>
          <w:szCs w:val="20"/>
          <w:color w:val="auto"/>
        </w:rPr>
      </w:pPr>
      <w:r>
        <w:rPr>
          <w:rFonts w:ascii="Times New Roman" w:cs="Times New Roman" w:eastAsia="Times New Roman" w:hAnsi="Times New Roman"/>
          <w:sz w:val="17"/>
          <w:szCs w:val="17"/>
          <w:color w:val="auto"/>
        </w:rPr>
        <w:t>We ask our stockholders to cast an advisory vote on our executive compensation program at each annual meeting. As a result, we are presenting this proposal, which gives you, as a stockholder, the opportunity to endorse our executive compensation program by voting for or against the following resolution:</w:t>
      </w:r>
    </w:p>
    <w:p>
      <w:pPr>
        <w:spacing w:after="0" w:line="88" w:lineRule="exact"/>
        <w:rPr>
          <w:sz w:val="20"/>
          <w:szCs w:val="20"/>
          <w:color w:val="auto"/>
        </w:rPr>
      </w:pPr>
    </w:p>
    <w:p>
      <w:pPr>
        <w:ind w:right="1060" w:firstLine="589"/>
        <w:spacing w:after="0" w:line="274" w:lineRule="auto"/>
        <w:rPr>
          <w:sz w:val="20"/>
          <w:szCs w:val="20"/>
          <w:color w:val="auto"/>
        </w:rPr>
      </w:pPr>
      <w:r>
        <w:rPr>
          <w:rFonts w:ascii="Times New Roman" w:cs="Times New Roman" w:eastAsia="Times New Roman" w:hAnsi="Times New Roman"/>
          <w:sz w:val="18"/>
          <w:szCs w:val="18"/>
          <w:color w:val="auto"/>
        </w:rPr>
        <w:t>“RESOLVED, that the stockholders approve the compensation of the SPS Commerce, Inc. named executive officers, as disclosed in the Compensation Discussion and Analysis, the compensation tables, and the related disclosure contained in our 2019 proxy statement.”</w:t>
      </w:r>
    </w:p>
    <w:p>
      <w:pPr>
        <w:spacing w:after="0" w:line="110" w:lineRule="exact"/>
        <w:rPr>
          <w:sz w:val="20"/>
          <w:szCs w:val="20"/>
          <w:color w:val="auto"/>
        </w:rPr>
      </w:pPr>
    </w:p>
    <w:p>
      <w:pPr>
        <w:jc w:val="both"/>
        <w:ind w:firstLine="589"/>
        <w:spacing w:after="0" w:line="259" w:lineRule="auto"/>
        <w:rPr>
          <w:sz w:val="20"/>
          <w:szCs w:val="20"/>
          <w:color w:val="auto"/>
        </w:rPr>
      </w:pPr>
      <w:r>
        <w:rPr>
          <w:rFonts w:ascii="Times New Roman" w:cs="Times New Roman" w:eastAsia="Times New Roman" w:hAnsi="Times New Roman"/>
          <w:sz w:val="18"/>
          <w:szCs w:val="18"/>
          <w:color w:val="auto"/>
        </w:rPr>
        <w:t>The compensation committee believes that the executive compensation for 2019 is reasonable and appropriate, is justified by our performance, and is the result of a carefully considered approach. In deciding how to vote on this proposal, the board of directors asks you to consider the key points with regard to our executive compensation program included in the Compensation Discussion and Analysis on pages 19-25 of this proxy statement.</w:t>
      </w:r>
    </w:p>
    <w:p>
      <w:pPr>
        <w:spacing w:after="0" w:line="125" w:lineRule="exact"/>
        <w:rPr>
          <w:sz w:val="20"/>
          <w:szCs w:val="20"/>
          <w:color w:val="auto"/>
        </w:rPr>
      </w:pPr>
    </w:p>
    <w:p>
      <w:pPr>
        <w:ind w:firstLine="589"/>
        <w:spacing w:after="0" w:line="250" w:lineRule="auto"/>
        <w:rPr>
          <w:sz w:val="20"/>
          <w:szCs w:val="20"/>
          <w:color w:val="auto"/>
        </w:rPr>
      </w:pPr>
      <w:r>
        <w:rPr>
          <w:rFonts w:ascii="Times New Roman" w:cs="Times New Roman" w:eastAsia="Times New Roman" w:hAnsi="Times New Roman"/>
          <w:sz w:val="18"/>
          <w:szCs w:val="18"/>
          <w:color w:val="auto"/>
        </w:rPr>
        <w:t>Because your vote is advisory, it will not be binding on the board of directors or the compensation committee and will not overrule any decision by the board or the compensation committee or require the board or the committee to take any action. However, the board of directors and the compensation committee will carefully review the voting results. To the extent there is any significant negative vote on this proposal, we may consult directly with stockholders to better understand the concerns that influenced the vote. The board of directors and the compensation committee consider constructive feedback obtained through this process in making future decisions about our executive compensation program. We currently hold our Say-on-Pay vote every year so the next advisory vote on the compensation of our named executive officers will occur at our 2021 Annual Meeting of Stockholders. The next advisory vote regarding the frequency of future Say-on-Pay votes will occur at our 2025 Annual Meeting of Stockholders.</w:t>
      </w:r>
    </w:p>
    <w:p>
      <w:pPr>
        <w:spacing w:after="0" w:line="198" w:lineRule="exact"/>
        <w:rPr>
          <w:sz w:val="20"/>
          <w:szCs w:val="20"/>
          <w:color w:val="auto"/>
        </w:rPr>
      </w:pPr>
    </w:p>
    <w:p>
      <w:pPr>
        <w:ind w:right="440" w:firstLine="589"/>
        <w:spacing w:after="0" w:line="276" w:lineRule="auto"/>
        <w:rPr>
          <w:sz w:val="20"/>
          <w:szCs w:val="20"/>
          <w:color w:val="auto"/>
        </w:rPr>
      </w:pPr>
      <w:r>
        <w:rPr>
          <w:rFonts w:ascii="Times New Roman" w:cs="Times New Roman" w:eastAsia="Times New Roman" w:hAnsi="Times New Roman"/>
          <w:sz w:val="18"/>
          <w:szCs w:val="18"/>
          <w:b w:val="1"/>
          <w:bCs w:val="1"/>
          <w:color w:val="auto"/>
        </w:rPr>
        <w:t>The board of directors, upon recommendation of the compensation committee, unanimously recommends a vote “FOR” approval of the compensation of our named executive officers.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43" w:name="page44"/>
    <w:bookmarkEnd w:id="43"/>
    <w:p>
      <w:pPr>
        <w:jc w:val="center"/>
        <w:ind w:left="380" w:right="240"/>
        <w:spacing w:after="0" w:line="264" w:lineRule="auto"/>
        <w:rPr>
          <w:sz w:val="20"/>
          <w:szCs w:val="20"/>
          <w:color w:val="auto"/>
        </w:rPr>
      </w:pPr>
      <w:r>
        <w:rPr>
          <w:rFonts w:ascii="Arial" w:cs="Arial" w:eastAsia="Arial" w:hAnsi="Arial"/>
          <w:sz w:val="35"/>
          <w:szCs w:val="35"/>
          <w:b w:val="1"/>
          <w:bCs w:val="1"/>
          <w:color w:val="00AAE5"/>
        </w:rPr>
        <w:t>ITEM 4 – APPROVAL OF AN AMENDMENT TO OUR EIGHTH AMENDED AND RESTATED CERTIFICATE OF INCORPORATION TO INCREASE THE NUMBER OF AUTHORIZED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-1116330</wp:posOffset>
            </wp:positionV>
            <wp:extent cx="71348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4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On March 4, 2020, our board of directors adopted, subject to stockholder approval, an amendment to Section 4.1 of our Eighth Amended and Restated Certificate of Incorporation (the “Amendment”) to increase the number of authorized shares of common stock by 55,000,000 shares. The following discussion is qualified by the text of the Amendment, which is set forth in Appendix B attached to this proxy statement. Our board of directors believes that the Amendment is necessary to maintain flexibility to issue shares of common stock for future corporate needs.</w:t>
      </w:r>
    </w:p>
    <w:p>
      <w:pPr>
        <w:spacing w:after="0" w:line="127"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additional authorized shares of common stock to be authorized by the Amendment would have rights identical to our current issued and outstanding shares of common stock. Issuance of the additional shares of common stock would not affect the rights of the holders of our issued and outstanding shares of common stock, except for effects incidental to any increase in the number of shares of common stock issued and outstanding, such as dilution of earnings per share and voting rights.</w:t>
      </w:r>
    </w:p>
    <w:p>
      <w:pPr>
        <w:spacing w:after="0" w:line="127" w:lineRule="exact"/>
        <w:rPr>
          <w:sz w:val="20"/>
          <w:szCs w:val="20"/>
          <w:color w:val="auto"/>
        </w:rPr>
      </w:pPr>
    </w:p>
    <w:p>
      <w:pPr>
        <w:ind w:right="120" w:firstLine="432"/>
        <w:spacing w:after="0" w:line="274" w:lineRule="auto"/>
        <w:rPr>
          <w:sz w:val="20"/>
          <w:szCs w:val="20"/>
          <w:color w:val="auto"/>
        </w:rPr>
      </w:pPr>
      <w:r>
        <w:rPr>
          <w:rFonts w:ascii="Times New Roman" w:cs="Times New Roman" w:eastAsia="Times New Roman" w:hAnsi="Times New Roman"/>
          <w:sz w:val="18"/>
          <w:szCs w:val="18"/>
          <w:color w:val="auto"/>
        </w:rPr>
        <w:t>If the Amendment is approved by stockholders at the annual meeting, then it will become effective upon filing of a Certificate of Amendment with the Delaware Secretary of State, which filing is expected to occur promptly following the annual meeting.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6" w:lineRule="exact"/>
        <w:rPr>
          <w:sz w:val="20"/>
          <w:szCs w:val="20"/>
          <w:color w:val="auto"/>
        </w:rPr>
      </w:pPr>
    </w:p>
    <w:p>
      <w:pPr>
        <w:jc w:val="both"/>
        <w:ind w:right="20" w:firstLine="432"/>
        <w:spacing w:after="0" w:line="255" w:lineRule="auto"/>
        <w:rPr>
          <w:sz w:val="20"/>
          <w:szCs w:val="20"/>
          <w:color w:val="auto"/>
        </w:rPr>
      </w:pPr>
      <w:r>
        <w:rPr>
          <w:rFonts w:ascii="Times New Roman" w:cs="Times New Roman" w:eastAsia="Times New Roman" w:hAnsi="Times New Roman"/>
          <w:sz w:val="18"/>
          <w:szCs w:val="18"/>
          <w:color w:val="auto"/>
        </w:rPr>
        <w:t>Our existing Eighth Amended and Restated Certificate of Incorporation authorizes up to 60,000,000 shares of capital stock, of which 55,000,000 shares shall be shares of common stock, par value $0.001 per share (the “Common Stock”), and 5,000,000 shares shall be shares of preferred stock, par value $0.001 per share (the “Preferred Stock”). As of March 25, 2020, we had no preferred stock issued and outstanding. We estimate that at March 25, 2020, the following shares of common stock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126365</wp:posOffset>
            </wp:positionV>
            <wp:extent cx="6646545" cy="2355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46545" cy="235585"/>
                    </a:xfrm>
                    <a:prstGeom prst="rect">
                      <a:avLst/>
                    </a:prstGeom>
                    <a:noFill/>
                  </pic:spPr>
                </pic:pic>
              </a:graphicData>
            </a:graphic>
          </wp:anchor>
        </w:drawing>
      </w:r>
    </w:p>
    <w:p>
      <w:pPr>
        <w:spacing w:after="0" w:line="17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35"/>
          <w:szCs w:val="35"/>
          <w:color w:val="auto"/>
          <w:vertAlign w:val="superscript"/>
        </w:rPr>
        <w:t>35,019,093</w:t>
      </w:r>
      <w:r>
        <w:rPr>
          <w:rFonts w:ascii="Times New Roman" w:cs="Times New Roman" w:eastAsia="Times New Roman" w:hAnsi="Times New Roman"/>
          <w:sz w:val="18"/>
          <w:szCs w:val="18"/>
          <w:color w:val="auto"/>
        </w:rPr>
        <w:t>issued and outstanding;</w:t>
      </w:r>
    </w:p>
    <w:p>
      <w:pPr>
        <w:ind w:left="1020"/>
        <w:spacing w:after="0"/>
        <w:rPr>
          <w:sz w:val="20"/>
          <w:szCs w:val="20"/>
          <w:color w:val="auto"/>
        </w:rPr>
      </w:pPr>
      <w:r>
        <w:rPr>
          <w:rFonts w:ascii="Times New Roman" w:cs="Times New Roman" w:eastAsia="Times New Roman" w:hAnsi="Times New Roman"/>
          <w:sz w:val="18"/>
          <w:szCs w:val="18"/>
          <w:color w:val="auto"/>
        </w:rPr>
        <w:t>1,456,192reserved for issuance upon exercise of outstanding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19050</wp:posOffset>
            </wp:positionV>
            <wp:extent cx="6646545" cy="134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46545" cy="134620"/>
                    </a:xfrm>
                    <a:prstGeom prst="rect">
                      <a:avLst/>
                    </a:prstGeom>
                    <a:noFill/>
                  </pic:spPr>
                </pic:pic>
              </a:graphicData>
            </a:graphic>
          </wp:anchor>
        </w:drawing>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569,256reserved for issuance for restricted stock units;</w:t>
      </w:r>
    </w:p>
    <w:p>
      <w:pPr>
        <w:spacing w:after="0" w:line="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276,478reserved for issuance for performance share units;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2540</wp:posOffset>
            </wp:positionV>
            <wp:extent cx="6646545" cy="134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46545" cy="134620"/>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8"/>
          <w:szCs w:val="18"/>
          <w:color w:val="auto"/>
        </w:rPr>
        <w:t>13,989,060reserved and remain available for future grants under our 2010 Equity Incentive Plan.</w:t>
      </w:r>
    </w:p>
    <w:p>
      <w:pPr>
        <w:spacing w:after="0" w:line="145"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color w:val="auto"/>
        </w:rPr>
        <w:t>Accordingly, at March 25, 2020, approximately 3,700,000 shares of common stock remained unreserved and available for future issuance. In consideration of the foregoing, our board of directors approved the Amendment in substantially the form set forth in Appendix B and has recommended that our stockholders do the same.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Amendment</w:t>
      </w:r>
    </w:p>
    <w:p>
      <w:pPr>
        <w:spacing w:after="0" w:line="166" w:lineRule="exact"/>
        <w:rPr>
          <w:sz w:val="20"/>
          <w:szCs w:val="20"/>
          <w:color w:val="auto"/>
        </w:rPr>
      </w:pPr>
    </w:p>
    <w:p>
      <w:pPr>
        <w:ind w:right="160" w:firstLine="432"/>
        <w:spacing w:after="0" w:line="255" w:lineRule="auto"/>
        <w:rPr>
          <w:sz w:val="20"/>
          <w:szCs w:val="20"/>
          <w:color w:val="auto"/>
        </w:rPr>
      </w:pPr>
      <w:r>
        <w:rPr>
          <w:rFonts w:ascii="Times New Roman" w:cs="Times New Roman" w:eastAsia="Times New Roman" w:hAnsi="Times New Roman"/>
          <w:sz w:val="18"/>
          <w:szCs w:val="18"/>
          <w:color w:val="auto"/>
        </w:rPr>
        <w:t>We believe that the additional shares of authorized common stock are necessary to provide us with appropriate flexibility to utilize equity for business and financial purposes that our board of directors determines to be in our company’s best interests on a timely basis without the expense and delay of a stockholders’ meeting. Our board of directors believes that the remaining authorized common stock is not likely to be sufficient to permit us to respond to potential business opportunities or to pursue important objectives designed to enhance shareholder value.</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1370" cy="16510"/>
                    </a:xfrm>
                    <a:prstGeom prst="rect">
                      <a:avLst/>
                    </a:prstGeom>
                    <a:noFill/>
                  </pic:spPr>
                </pic:pic>
              </a:graphicData>
            </a:graphic>
          </wp:anchor>
        </w:drawing>
      </w:r>
    </w:p>
    <w:p>
      <w:pPr>
        <w:sectPr>
          <w:pgSz w:w="11900" w:h="16838" w:orient="portrait"/>
          <w:cols w:equalWidth="0" w:num="1">
            <w:col w:w="11200"/>
          </w:cols>
          <w:pgMar w:left="320" w:top="353" w:right="379" w:bottom="1440" w:gutter="0" w:footer="0" w:header="0"/>
        </w:sectPr>
      </w:pPr>
    </w:p>
    <w:bookmarkStart w:id="44" w:name="page45"/>
    <w:bookmarkEnd w:id="44"/>
    <w:p>
      <w:pPr>
        <w:ind w:firstLine="432"/>
        <w:spacing w:after="0" w:line="250" w:lineRule="auto"/>
        <w:rPr>
          <w:sz w:val="20"/>
          <w:szCs w:val="20"/>
          <w:color w:val="auto"/>
        </w:rPr>
      </w:pPr>
      <w:r>
        <w:rPr>
          <w:rFonts w:ascii="Times New Roman" w:cs="Times New Roman" w:eastAsia="Times New Roman" w:hAnsi="Times New Roman"/>
          <w:sz w:val="18"/>
          <w:szCs w:val="18"/>
          <w:color w:val="auto"/>
        </w:rPr>
        <w:t>The additional authorized shares of common stock will provide us with flexibility to use our common stock, without further shareholder approval (except to the extent such approval may be required by law or by applicable exchange listing standards) for any proper corporate purposes, including, without limitation, raising capital through one or more future public offerings or private placements of equity securities, expanding our business or acquiring assets through future transactions, entering into strategic relationships, providing equity-based compensation and/or incentives to employees, officer or directors, effecting stock dividends or for other general corporate purposes. If the Amendment is approved by our stockholders, our board of directors does not intend to solicit further stockholder approval prior to the issuance of any additional shares of common stock or securities convertible into common stock, except as may be required by applicable, law, regulation, or exchange listing rules.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Possible Effects of the Amendment</w:t>
      </w:r>
    </w:p>
    <w:p>
      <w:pPr>
        <w:spacing w:after="0" w:line="166"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increase in authorized shares of our common stock will not have any immediate effect on the rights of existing stockholders. Because the holders of our common stock do not have any preemptive rights, future issuance of shares of common stock or securities exercisable for or convertible into shares of common stock could have a dilutive effect on our earnings per share, book value per share, voting rights of stockholders and could have a negative effect on the price of our common stock.</w:t>
      </w:r>
    </w:p>
    <w:p>
      <w:pPr>
        <w:spacing w:after="0" w:line="127" w:lineRule="exact"/>
        <w:rPr>
          <w:sz w:val="20"/>
          <w:szCs w:val="20"/>
          <w:color w:val="auto"/>
        </w:rPr>
      </w:pPr>
    </w:p>
    <w:p>
      <w:pPr>
        <w:ind w:firstLine="432"/>
        <w:spacing w:after="0" w:line="248" w:lineRule="auto"/>
        <w:rPr>
          <w:sz w:val="20"/>
          <w:szCs w:val="20"/>
          <w:color w:val="auto"/>
        </w:rPr>
      </w:pPr>
      <w:r>
        <w:rPr>
          <w:rFonts w:ascii="Times New Roman" w:cs="Times New Roman" w:eastAsia="Times New Roman" w:hAnsi="Times New Roman"/>
          <w:sz w:val="18"/>
          <w:szCs w:val="18"/>
          <w:color w:val="auto"/>
        </w:rPr>
        <w:t>We are not proposing the increase in the number of authorized shares of common stock with the intent of using the additional shares to prevent or discourage any actual or threatened takeover of our company. Under certain circumstances, however, the additional authorized shares could be used in a manner that has anti-takeover effect. For example, the additional shares could be used to dilute the stock ownership or voting rights of persons seeking to obtain control of our company or could be issued to persons allied with the board of directors or management and thereby have the effect of making it more difficult to remove directors or members of management by diluting the stock ownership or voting rights of persons seeking to effect such a removal. Accordingly, if the Amendment is approved by stockholders, the additional shares of authorized common stock may render more difficult or discourage a merger, tender offer or proxy contest, the assumption of control by a holder or group of holders of a large block of common stock, or the replacement or removal of one or more directors or members of management. The following other provisions of our Certificate of Incorporation and Bylaws, in combination with the additional authorized shares may also have an anti-takeover effect of preventing or discouraging a change in control of our company: (i) ability of the board of directors to designate the terms of and issue shares of preferred stock without further stockholder approval; (ii) prohibiting the ability of stockholders to act by written consent without a meeting; and (iii) the absence of cumulative voting rights in the election of directors.</w:t>
      </w:r>
    </w:p>
    <w:p>
      <w:pPr>
        <w:spacing w:after="0" w:line="203" w:lineRule="exact"/>
        <w:rPr>
          <w:sz w:val="20"/>
          <w:szCs w:val="20"/>
          <w:color w:val="auto"/>
        </w:rPr>
      </w:pPr>
    </w:p>
    <w:p>
      <w:pPr>
        <w:ind w:right="780" w:firstLine="589"/>
        <w:spacing w:after="0" w:line="27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approval of the amendment to our Eighth Amended and Restated Certificate of Incorporation to increase the number of authorized shares of common stock.</w:t>
      </w: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180"/>
          </w:cols>
          <w:pgMar w:left="320" w:top="505" w:right="399" w:bottom="1440" w:gutter="0" w:footer="0" w:header="0"/>
        </w:sectPr>
      </w:pPr>
    </w:p>
    <w:bookmarkStart w:id="45" w:name="page46"/>
    <w:bookmarkEnd w:id="45"/>
    <w:p>
      <w:pPr>
        <w:jc w:val="center"/>
        <w:ind w:right="100"/>
        <w:spacing w:after="0"/>
        <w:rPr>
          <w:sz w:val="20"/>
          <w:szCs w:val="20"/>
          <w:color w:val="auto"/>
        </w:rPr>
      </w:pPr>
      <w:r>
        <w:rPr>
          <w:rFonts w:ascii="Arial" w:cs="Arial" w:eastAsia="Arial" w:hAnsi="Arial"/>
          <w:sz w:val="35"/>
          <w:szCs w:val="35"/>
          <w:b w:val="1"/>
          <w:bCs w:val="1"/>
          <w:color w:val="00AAE5"/>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-238760</wp:posOffset>
            </wp:positionV>
            <wp:extent cx="71348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69" w:lineRule="exact"/>
        <w:rPr>
          <w:sz w:val="20"/>
          <w:szCs w:val="20"/>
          <w:color w:val="auto"/>
        </w:rPr>
      </w:pPr>
    </w:p>
    <w:p>
      <w:pPr>
        <w:ind w:right="180"/>
        <w:spacing w:after="0" w:line="293" w:lineRule="auto"/>
        <w:rPr>
          <w:sz w:val="20"/>
          <w:szCs w:val="20"/>
          <w:color w:val="auto"/>
        </w:rPr>
      </w:pPr>
      <w:r>
        <w:rPr>
          <w:rFonts w:ascii="Arial" w:cs="Arial" w:eastAsia="Arial" w:hAnsi="Arial"/>
          <w:sz w:val="19"/>
          <w:szCs w:val="19"/>
          <w:b w:val="1"/>
          <w:bCs w:val="1"/>
          <w:color w:val="auto"/>
        </w:rPr>
        <w:t>Beneficial Ownership of Directors, Nominees, Executive Officers and Beneficial Owners of More than Five Percent of Our Common Stock</w:t>
      </w:r>
    </w:p>
    <w:p>
      <w:pPr>
        <w:spacing w:after="0" w:line="61" w:lineRule="exact"/>
        <w:rPr>
          <w:sz w:val="20"/>
          <w:szCs w:val="20"/>
          <w:color w:val="auto"/>
        </w:rPr>
      </w:pPr>
    </w:p>
    <w:p>
      <w:pPr>
        <w:ind w:right="140" w:firstLine="589"/>
        <w:spacing w:after="0" w:line="249" w:lineRule="auto"/>
        <w:rPr>
          <w:sz w:val="20"/>
          <w:szCs w:val="20"/>
          <w:color w:val="auto"/>
        </w:rPr>
      </w:pPr>
      <w:r>
        <w:rPr>
          <w:rFonts w:ascii="Times New Roman" w:cs="Times New Roman" w:eastAsia="Times New Roman" w:hAnsi="Times New Roman"/>
          <w:sz w:val="18"/>
          <w:szCs w:val="18"/>
          <w:color w:val="auto"/>
        </w:rPr>
        <w:t>The following table shows how many shares of our common stock were beneficially owned as of March 25, 2020 by each of the persons known by us to be beneficial owners of more than 5% of our common stock, our directors, the director nominees and the executive officers named in the 2019 Summary Compensation Table contained in this proxy statement, and by all of our directors and executive officers as a group. Percentage ownership of our common stock in the table is based on 35,019,093 shares of our common stock issued and outstanding on March 25, 2020. Except as otherwise noted below, persons have sole voting and investment power and the address for each director or officer listed in the table is c/o SPS Commerce, Inc., 333 South Seventh Street, Suite 1000, Minneapolis, Minnesota 55402.</w:t>
      </w:r>
    </w:p>
    <w:tbl>
      <w:tblPr>
        <w:tblLayout w:type="fixed"/>
        <w:tblInd w:w="0" w:type="dxa"/>
        <w:tblCellMar>
          <w:top w:w="0" w:type="dxa"/>
          <w:left w:w="0" w:type="dxa"/>
          <w:bottom w:w="0" w:type="dxa"/>
          <w:right w:w="0" w:type="dxa"/>
        </w:tblCellMar>
      </w:tblPr>
      <w:tr>
        <w:trPr>
          <w:trHeight w:val="136"/>
        </w:trPr>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Deemed Beneficially</w:t>
            </w: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Owned as a Result of</w:t>
            </w: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Equity Awards</w:t>
            </w: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Ownership of</w:t>
            </w:r>
          </w:p>
        </w:tc>
        <w:tc>
          <w:tcPr>
            <w:tcW w:w="560" w:type="dxa"/>
            <w:vAlign w:val="bottom"/>
          </w:tcPr>
          <w:p>
            <w:pPr>
              <w:spacing w:after="0"/>
              <w:rPr>
                <w:sz w:val="12"/>
                <w:szCs w:val="12"/>
                <w:color w:val="auto"/>
              </w:rPr>
            </w:pP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Exercisable or Vesting</w:t>
            </w:r>
          </w:p>
        </w:tc>
        <w:tc>
          <w:tcPr>
            <w:tcW w:w="440" w:type="dxa"/>
            <w:vAlign w:val="bottom"/>
          </w:tcPr>
          <w:p>
            <w:pPr>
              <w:spacing w:after="0"/>
              <w:rPr>
                <w:sz w:val="12"/>
                <w:szCs w:val="12"/>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Total Beneficial</w:t>
            </w:r>
          </w:p>
        </w:tc>
        <w:tc>
          <w:tcPr>
            <w:tcW w:w="176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6"/>
        </w:trPr>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6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Within 60 Days of</w:t>
            </w:r>
          </w:p>
        </w:tc>
        <w:tc>
          <w:tcPr>
            <w:tcW w:w="4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780" w:type="dxa"/>
            <w:vAlign w:val="bottom"/>
            <w:gridSpan w:val="2"/>
            <w:vMerge w:val="continue"/>
          </w:tcPr>
          <w:p>
            <w:pPr>
              <w:spacing w:after="0"/>
              <w:rPr>
                <w:sz w:val="14"/>
                <w:szCs w:val="14"/>
                <w:color w:val="auto"/>
              </w:rPr>
            </w:pPr>
          </w:p>
        </w:tc>
        <w:tc>
          <w:tcPr>
            <w:tcW w:w="16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56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March 25, 2020</w:t>
            </w:r>
          </w:p>
        </w:tc>
        <w:tc>
          <w:tcPr>
            <w:tcW w:w="44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7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Outstanding Shares</w:t>
            </w:r>
          </w:p>
        </w:tc>
        <w:tc>
          <w:tcPr>
            <w:tcW w:w="0" w:type="dxa"/>
            <w:vAlign w:val="bottom"/>
          </w:tcPr>
          <w:p>
            <w:pPr>
              <w:spacing w:after="0"/>
              <w:rPr>
                <w:sz w:val="1"/>
                <w:szCs w:val="1"/>
                <w:color w:val="auto"/>
              </w:rPr>
            </w:pPr>
          </w:p>
        </w:tc>
      </w:tr>
      <w:tr>
        <w:trPr>
          <w:trHeight w:val="245"/>
        </w:trPr>
        <w:tc>
          <w:tcPr>
            <w:tcW w:w="36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Directors:</w:t>
            </w:r>
          </w:p>
        </w:tc>
        <w:tc>
          <w:tcPr>
            <w:tcW w:w="100" w:type="dxa"/>
            <w:vAlign w:val="bottom"/>
            <w:tcBorders>
              <w:top w:val="single" w:sz="8" w:color="CFF0FC"/>
            </w:tcBorders>
            <w:shd w:val="clear" w:color="auto" w:fill="CFF0FC"/>
          </w:tcPr>
          <w:p>
            <w:pPr>
              <w:spacing w:after="0"/>
              <w:rPr>
                <w:sz w:val="21"/>
                <w:szCs w:val="21"/>
                <w:color w:val="auto"/>
              </w:rPr>
            </w:pPr>
          </w:p>
        </w:tc>
        <w:tc>
          <w:tcPr>
            <w:tcW w:w="1620" w:type="dxa"/>
            <w:vAlign w:val="bottom"/>
            <w:tcBorders>
              <w:top w:val="single" w:sz="8" w:color="auto"/>
            </w:tcBorders>
            <w:shd w:val="clear" w:color="auto" w:fill="CFF0FC"/>
          </w:tcPr>
          <w:p>
            <w:pPr>
              <w:spacing w:after="0"/>
              <w:rPr>
                <w:sz w:val="21"/>
                <w:szCs w:val="21"/>
                <w:color w:val="auto"/>
              </w:rPr>
            </w:pPr>
          </w:p>
        </w:tc>
        <w:tc>
          <w:tcPr>
            <w:tcW w:w="560" w:type="dxa"/>
            <w:vAlign w:val="bottom"/>
            <w:tcBorders>
              <w:top w:val="single" w:sz="8" w:color="CFF0FC"/>
            </w:tcBorders>
            <w:shd w:val="clear" w:color="auto" w:fill="CFF0FC"/>
          </w:tcPr>
          <w:p>
            <w:pPr>
              <w:spacing w:after="0"/>
              <w:rPr>
                <w:sz w:val="21"/>
                <w:szCs w:val="21"/>
                <w:color w:val="auto"/>
              </w:rPr>
            </w:pPr>
          </w:p>
        </w:tc>
        <w:tc>
          <w:tcPr>
            <w:tcW w:w="1960" w:type="dxa"/>
            <w:vAlign w:val="bottom"/>
            <w:tcBorders>
              <w:top w:val="single" w:sz="8" w:color="auto"/>
            </w:tcBorders>
            <w:shd w:val="clear" w:color="auto" w:fill="CFF0FC"/>
          </w:tcPr>
          <w:p>
            <w:pPr>
              <w:spacing w:after="0"/>
              <w:rPr>
                <w:sz w:val="21"/>
                <w:szCs w:val="21"/>
                <w:color w:val="auto"/>
              </w:rPr>
            </w:pPr>
          </w:p>
        </w:tc>
        <w:tc>
          <w:tcPr>
            <w:tcW w:w="440" w:type="dxa"/>
            <w:vAlign w:val="bottom"/>
            <w:tcBorders>
              <w:top w:val="single" w:sz="8" w:color="CFF0FC"/>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CFF0FC"/>
            </w:tcBorders>
            <w:shd w:val="clear" w:color="auto" w:fill="CFF0FC"/>
          </w:tcPr>
          <w:p>
            <w:pPr>
              <w:spacing w:after="0"/>
              <w:rPr>
                <w:sz w:val="21"/>
                <w:szCs w:val="21"/>
                <w:color w:val="auto"/>
              </w:rPr>
            </w:pPr>
          </w:p>
        </w:tc>
        <w:tc>
          <w:tcPr>
            <w:tcW w:w="1760" w:type="dxa"/>
            <w:vAlign w:val="bottom"/>
            <w:tcBorders>
              <w:top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Archie C. Black</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5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288,370</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291,911</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J. Frome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5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8"/>
                <w:szCs w:val="18"/>
                <w:color w:val="auto"/>
              </w:rPr>
              <w:t>(3)</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148,754</w:t>
            </w:r>
          </w:p>
        </w:tc>
        <w:tc>
          <w:tcPr>
            <w:tcW w:w="4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149,048</w:t>
            </w: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J. Leestma</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13,439</w:t>
            </w:r>
          </w:p>
        </w:tc>
        <w:tc>
          <w:tcPr>
            <w:tcW w:w="56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45,952</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59,391</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Kimberly K. Nelson</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68,221</w:t>
            </w:r>
          </w:p>
        </w:tc>
        <w:tc>
          <w:tcPr>
            <w:tcW w:w="5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8"/>
                <w:szCs w:val="18"/>
                <w:color w:val="auto"/>
              </w:rPr>
              <w:t>(4)</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160,644</w:t>
            </w:r>
          </w:p>
        </w:tc>
        <w:tc>
          <w:tcPr>
            <w:tcW w:w="4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228,865</w:t>
            </w: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B. Ramsey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56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47,074</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52,306</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Marty M. Reaume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560" w:type="dxa"/>
            <w:vAlign w:val="bottom"/>
            <w:shd w:val="clear" w:color="auto" w:fill="CFF0FC"/>
          </w:tcPr>
          <w:p>
            <w:pPr>
              <w:spacing w:after="0"/>
              <w:rPr>
                <w:sz w:val="21"/>
                <w:szCs w:val="21"/>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18,850</w:t>
            </w:r>
          </w:p>
        </w:tc>
        <w:tc>
          <w:tcPr>
            <w:tcW w:w="4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20,583</w:t>
            </w: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Tami L. Reller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56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38,288</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41,943</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Philip E. Soran</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14,470</w:t>
            </w:r>
          </w:p>
        </w:tc>
        <w:tc>
          <w:tcPr>
            <w:tcW w:w="560" w:type="dxa"/>
            <w:vAlign w:val="bottom"/>
            <w:shd w:val="clear" w:color="auto" w:fill="CFF0FC"/>
          </w:tcPr>
          <w:p>
            <w:pPr>
              <w:spacing w:after="0"/>
              <w:rPr>
                <w:sz w:val="21"/>
                <w:szCs w:val="21"/>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53,972</w:t>
            </w:r>
          </w:p>
        </w:tc>
        <w:tc>
          <w:tcPr>
            <w:tcW w:w="4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68,442</w:t>
            </w: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Sven A. Wehrwein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14,470</w:t>
            </w:r>
          </w:p>
        </w:tc>
        <w:tc>
          <w:tcPr>
            <w:tcW w:w="56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45,952</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60,422</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directors, director nominees, and</w:t>
            </w:r>
          </w:p>
        </w:tc>
        <w:tc>
          <w:tcPr>
            <w:tcW w:w="16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executive officers as a group</w:t>
            </w:r>
          </w:p>
        </w:tc>
        <w:tc>
          <w:tcPr>
            <w:tcW w:w="16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(9 persons)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125,055</w:t>
            </w:r>
          </w:p>
        </w:tc>
        <w:tc>
          <w:tcPr>
            <w:tcW w:w="5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8"/>
                <w:szCs w:val="18"/>
                <w:color w:val="auto"/>
              </w:rPr>
              <w:t>(5)</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847,856</w:t>
            </w:r>
          </w:p>
        </w:tc>
        <w:tc>
          <w:tcPr>
            <w:tcW w:w="4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972,911</w:t>
            </w:r>
          </w:p>
        </w:tc>
        <w:tc>
          <w:tcPr>
            <w:tcW w:w="16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2"/>
        </w:trPr>
        <w:tc>
          <w:tcPr>
            <w:tcW w:w="3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beneficial owners:</w:t>
            </w:r>
          </w:p>
        </w:tc>
        <w:tc>
          <w:tcPr>
            <w:tcW w:w="16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9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Inc.</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6,017,252</w:t>
            </w:r>
          </w:p>
        </w:tc>
        <w:tc>
          <w:tcPr>
            <w:tcW w:w="5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6,017,252</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5"/>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The Vanguard Group</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2,506,196</w:t>
            </w:r>
          </w:p>
        </w:tc>
        <w:tc>
          <w:tcPr>
            <w:tcW w:w="5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8"/>
                <w:szCs w:val="18"/>
                <w:color w:val="auto"/>
              </w:rPr>
              <w:t>(7)</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2,506,196</w:t>
            </w: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40" w:hanging="346"/>
        <w:spacing w:after="0"/>
        <w:tabs>
          <w:tab w:leader="none" w:pos="4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111" w:lineRule="exact"/>
        <w:rPr>
          <w:sz w:val="20"/>
          <w:szCs w:val="20"/>
          <w:color w:val="auto"/>
        </w:rPr>
      </w:pPr>
    </w:p>
    <w:p>
      <w:pPr>
        <w:ind w:left="440" w:hanging="434"/>
        <w:spacing w:after="0"/>
        <w:tabs>
          <w:tab w:leader="none" w:pos="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1,600 shares owned by Mr. Black’s sons and 297 shares held in trust pursuant to our 401(k) plan.</w:t>
      </w:r>
    </w:p>
    <w:p>
      <w:pPr>
        <w:spacing w:after="0" w:line="111" w:lineRule="exact"/>
        <w:rPr>
          <w:rFonts w:ascii="Times New Roman" w:cs="Times New Roman" w:eastAsia="Times New Roman" w:hAnsi="Times New Roman"/>
          <w:sz w:val="18"/>
          <w:szCs w:val="18"/>
          <w:color w:val="auto"/>
        </w:rPr>
      </w:pPr>
    </w:p>
    <w:p>
      <w:pPr>
        <w:ind w:left="440" w:right="480" w:hanging="434"/>
        <w:spacing w:after="0" w:line="274" w:lineRule="auto"/>
        <w:tabs>
          <w:tab w:leader="none" w:pos="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2,492, 1,266, and 1,158 shares for Messrs. Black and Frome and Ms. Nelson, respectively, of restricted stock that have vested but have not been settled as of the date of the table.</w:t>
      </w:r>
    </w:p>
    <w:p>
      <w:pPr>
        <w:spacing w:after="0" w:line="57" w:lineRule="exact"/>
        <w:rPr>
          <w:rFonts w:ascii="Times New Roman" w:cs="Times New Roman" w:eastAsia="Times New Roman" w:hAnsi="Times New Roman"/>
          <w:sz w:val="18"/>
          <w:szCs w:val="18"/>
          <w:color w:val="auto"/>
        </w:rPr>
      </w:pPr>
    </w:p>
    <w:p>
      <w:pPr>
        <w:ind w:left="440" w:hanging="434"/>
        <w:spacing w:after="0"/>
        <w:tabs>
          <w:tab w:leader="none" w:pos="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294 shares held in trust pursuant to our 401(k) plan.</w:t>
      </w:r>
    </w:p>
    <w:p>
      <w:pPr>
        <w:spacing w:after="0" w:line="111" w:lineRule="exact"/>
        <w:rPr>
          <w:rFonts w:ascii="Times New Roman" w:cs="Times New Roman" w:eastAsia="Times New Roman" w:hAnsi="Times New Roman"/>
          <w:sz w:val="18"/>
          <w:szCs w:val="18"/>
          <w:color w:val="auto"/>
        </w:rPr>
      </w:pPr>
    </w:p>
    <w:p>
      <w:pPr>
        <w:ind w:left="440" w:hanging="434"/>
        <w:spacing w:after="0"/>
        <w:tabs>
          <w:tab w:leader="none" w:pos="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276 shares held in trust pursuant to our 401(k) plan.</w:t>
      </w:r>
    </w:p>
    <w:p>
      <w:pPr>
        <w:spacing w:after="0" w:line="111" w:lineRule="exact"/>
        <w:rPr>
          <w:rFonts w:ascii="Times New Roman" w:cs="Times New Roman" w:eastAsia="Times New Roman" w:hAnsi="Times New Roman"/>
          <w:sz w:val="18"/>
          <w:szCs w:val="18"/>
          <w:color w:val="auto"/>
        </w:rPr>
      </w:pPr>
    </w:p>
    <w:p>
      <w:pPr>
        <w:ind w:left="440" w:hanging="434"/>
        <w:spacing w:after="0"/>
        <w:tabs>
          <w:tab w:leader="none" w:pos="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indirect holdings included in footnotes 1, 2 and 3.</w:t>
      </w:r>
    </w:p>
    <w:p>
      <w:pPr>
        <w:spacing w:after="0" w:line="111" w:lineRule="exact"/>
        <w:rPr>
          <w:rFonts w:ascii="Times New Roman" w:cs="Times New Roman" w:eastAsia="Times New Roman" w:hAnsi="Times New Roman"/>
          <w:sz w:val="18"/>
          <w:szCs w:val="18"/>
          <w:color w:val="auto"/>
        </w:rPr>
      </w:pPr>
    </w:p>
    <w:p>
      <w:pPr>
        <w:ind w:left="440" w:right="340" w:hanging="434"/>
        <w:spacing w:after="0" w:line="259" w:lineRule="auto"/>
        <w:tabs>
          <w:tab w:leader="none" w:pos="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indicated is based on information reported to the SEC in a Schedule 13G/A filed by BlackRock, Inc. on February 4, 2020, and reflects beneficial ownership as of December 31, 2019. BlackRock, Inc. has sole voting power as to 5,839,641 shares and sole dispositive power as to 6,017,252 shares. The address for BlackRock, Inc. is 55 East 52nd Street, New York, NY 10055.</w:t>
      </w:r>
    </w:p>
    <w:p>
      <w:pPr>
        <w:spacing w:after="0" w:line="1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1370" cy="16510"/>
                    </a:xfrm>
                    <a:prstGeom prst="rect">
                      <a:avLst/>
                    </a:prstGeom>
                    <a:noFill/>
                  </pic:spPr>
                </pic:pic>
              </a:graphicData>
            </a:graphic>
          </wp:anchor>
        </w:drawing>
      </w:r>
    </w:p>
    <w:p>
      <w:pPr>
        <w:sectPr>
          <w:pgSz w:w="11900" w:h="16838" w:orient="portrait"/>
          <w:cols w:equalWidth="0" w:num="1">
            <w:col w:w="11340"/>
          </w:cols>
          <w:pgMar w:left="320" w:top="340" w:right="239" w:bottom="1440" w:gutter="0" w:footer="0" w:header="0"/>
        </w:sectPr>
      </w:pPr>
    </w:p>
    <w:bookmarkStart w:id="46" w:name="page47"/>
    <w:bookmarkEnd w:id="46"/>
    <w:p>
      <w:pPr>
        <w:ind w:left="434" w:hanging="434"/>
        <w:spacing w:after="0" w:line="250" w:lineRule="auto"/>
        <w:tabs>
          <w:tab w:leader="none" w:pos="43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indicated is based on information reported to the SEC in a Schedule 13G/A filed by The Vanguard Group on February 12, 2020, and reflects beneficial ownership as of December 31, 2019. The Vanguard Group has sole voting power as to 73,336 shares, shared voting power as to 6,144 shares, sole dispositive power as to 2,430,924 shares and shared dispositive power as to 75,272 shares. The address for The Vanguard Group is 100 Vanguard Blvd., Malvern, Pennsylvania 19355. Vanguard Fiduciary Trust Company, a wholly-owned subsidiary of The Vanguard Group, Inc., is the beneficial owner of 69,128 shares as a result of it serving as investment manager of collective trust accounts. Vanguard Investments Australia, Ltd., a wholly-owned subsidiary of The Vanguard Group, Inc., is the beneficial owner of 10,352 shares as a result of it serving as investment manager of Australian investment offerings.</w:t>
      </w:r>
    </w:p>
    <w:p>
      <w:pPr>
        <w:spacing w:after="0" w:line="187"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393700</wp:posOffset>
            </wp:positionV>
            <wp:extent cx="7151370"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1370" cy="16510"/>
                    </a:xfrm>
                    <a:prstGeom prst="rect">
                      <a:avLst/>
                    </a:prstGeom>
                    <a:noFill/>
                  </pic:spPr>
                </pic:pic>
              </a:graphicData>
            </a:graphic>
          </wp:anchor>
        </w:drawing>
      </w:r>
    </w:p>
    <w:p>
      <w:pPr>
        <w:sectPr>
          <w:pgSz w:w="11900" w:h="16838" w:orient="portrait"/>
          <w:cols w:equalWidth="0" w:num="1">
            <w:col w:w="11214"/>
          </w:cols>
          <w:pgMar w:left="326" w:top="452" w:right="359" w:bottom="1440" w:gutter="0" w:footer="0" w:header="0"/>
        </w:sectPr>
      </w:pPr>
    </w:p>
    <w:bookmarkStart w:id="47" w:name="page48"/>
    <w:bookmarkEnd w:id="47"/>
    <w:p>
      <w:pPr>
        <w:jc w:val="center"/>
        <w:ind w:right="-79"/>
        <w:spacing w:after="0"/>
        <w:rPr>
          <w:sz w:val="20"/>
          <w:szCs w:val="20"/>
          <w:color w:val="auto"/>
        </w:rPr>
      </w:pPr>
      <w:r>
        <w:rPr>
          <w:rFonts w:ascii="Times New Roman" w:cs="Times New Roman" w:eastAsia="Times New Roman" w:hAnsi="Times New Roman"/>
          <w:sz w:val="35"/>
          <w:szCs w:val="35"/>
          <w:b w:val="1"/>
          <w:bCs w:val="1"/>
          <w:color w:val="00AAE5"/>
        </w:rPr>
        <w:t>CERTAIN RELATIONSHIPS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-244475</wp:posOffset>
            </wp:positionV>
            <wp:extent cx="71348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35"/>
          <w:szCs w:val="35"/>
          <w:b w:val="1"/>
          <w:bCs w:val="1"/>
          <w:color w:val="00AAE5"/>
        </w:rPr>
        <w:t>RELATED TRANSACTIONS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1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describe below transactions and series of similar transactions, during our last fiscal year, to which we were a party or will be a party, in which:</w:t>
      </w:r>
    </w:p>
    <w:p>
      <w:pPr>
        <w:spacing w:after="0" w:line="111" w:lineRule="exact"/>
        <w:rPr>
          <w:sz w:val="20"/>
          <w:szCs w:val="20"/>
          <w:color w:val="auto"/>
        </w:rPr>
      </w:pPr>
    </w:p>
    <w:p>
      <w:pPr>
        <w:ind w:left="1020" w:hanging="431"/>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11" w:lineRule="exact"/>
        <w:rPr>
          <w:rFonts w:ascii="Times New Roman" w:cs="Times New Roman" w:eastAsia="Times New Roman" w:hAnsi="Times New Roman"/>
          <w:sz w:val="18"/>
          <w:szCs w:val="18"/>
          <w:color w:val="auto"/>
        </w:rPr>
      </w:pPr>
    </w:p>
    <w:p>
      <w:pPr>
        <w:ind w:left="1020" w:right="280" w:hanging="431"/>
        <w:spacing w:after="0" w:line="274"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holders of more than 5% of our common stock or any member of their immediate family had or will have a direct or indirect material interest.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Director Indemnification Agreements</w:t>
      </w:r>
    </w:p>
    <w:p>
      <w:pPr>
        <w:spacing w:after="0" w:line="168" w:lineRule="exact"/>
        <w:rPr>
          <w:sz w:val="20"/>
          <w:szCs w:val="20"/>
          <w:color w:val="auto"/>
        </w:rPr>
      </w:pPr>
    </w:p>
    <w:p>
      <w:pPr>
        <w:ind w:right="420" w:firstLine="589"/>
        <w:spacing w:after="0" w:line="274" w:lineRule="auto"/>
        <w:rPr>
          <w:sz w:val="20"/>
          <w:szCs w:val="20"/>
          <w:color w:val="auto"/>
        </w:rPr>
      </w:pPr>
      <w:r>
        <w:rPr>
          <w:rFonts w:ascii="Times New Roman" w:cs="Times New Roman" w:eastAsia="Times New Roman" w:hAnsi="Times New Roman"/>
          <w:sz w:val="18"/>
          <w:szCs w:val="18"/>
          <w:color w:val="auto"/>
        </w:rPr>
        <w:t>We entered into indemnification agreements with each of our directors that provide, in general, that we will indemnify them to the fullest extent permitted by law in connection with their service to us or on our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71348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for Approval of Related Person Transactions</w:t>
      </w:r>
    </w:p>
    <w:p>
      <w:pPr>
        <w:spacing w:after="0" w:line="166" w:lineRule="exact"/>
        <w:rPr>
          <w:sz w:val="20"/>
          <w:szCs w:val="20"/>
          <w:color w:val="auto"/>
        </w:rPr>
      </w:pPr>
    </w:p>
    <w:p>
      <w:pPr>
        <w:ind w:firstLine="589"/>
        <w:spacing w:after="0" w:line="248" w:lineRule="auto"/>
        <w:rPr>
          <w:sz w:val="20"/>
          <w:szCs w:val="20"/>
          <w:color w:val="auto"/>
        </w:rPr>
      </w:pPr>
      <w:r>
        <w:rPr>
          <w:rFonts w:ascii="Times New Roman" w:cs="Times New Roman" w:eastAsia="Times New Roman" w:hAnsi="Times New Roman"/>
          <w:sz w:val="18"/>
          <w:szCs w:val="18"/>
          <w:color w:val="auto"/>
        </w:rPr>
        <w:t>The board of directors has adopted a written statement of policy regarding transactions with related persons, which we refer to as our related person policy. Our related person policy requires that any executive officer requesting to enter into a transaction with a “related person” generally must promptly disclose to our audit committee the related person transaction and all material facts with respect thereto. In reviewing a transaction, our audit committee will consider all relevant facts and circumstances, including (1) the commercial reasonableness of the terms, (2) the benefit and perceived benefits, or lack thereof, to us, (3) opportunity costs of alternate transactions and (4) the materiality and character of the related person’s interest, and the actual or apparent conflict of interest of the related person. Our audit committee will not approve or ratify a related person transaction unless it determines that, upon consideration of all relevant information, the transaction is beneficial to our company and stockholders and the terms of the transaction are fair to our company. No related person transaction will be consummated without the approval or ratification of our audit committee. It is our policy that directors interested in a related person transaction will recuse themselves from any vote relating to a related person transaction in which they have an interest. Under our related person policy, a “related person” includes any of our directors, director nominees, executive officers, any beneficial owner of more than 5% of our common stock and any immediate family member of any of the foregoing. Related person transactions exempt from our policy include transactions available to all of our employees and stockholders on the same terms and transactions between us and the related person that, when aggregated with the amount of all other transactions between us and the related person or its affiliates, involve less than $120,000 in a fiscal year.</w:t>
      </w: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180"/>
          </w:cols>
          <w:pgMar w:left="320" w:top="349" w:right="39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35"/>
          <w:szCs w:val="35"/>
          <w:b w:val="1"/>
          <w:bCs w:val="1"/>
          <w:color w:val="00AAE5"/>
        </w:rPr>
        <w:drawing>
          <wp:anchor simplePos="0" relativeHeight="251657728" behindDoc="1" locked="0" layoutInCell="0" allowOverlap="1">
            <wp:simplePos x="0" y="0"/>
            <wp:positionH relativeFrom="page">
              <wp:posOffset>207010</wp:posOffset>
            </wp:positionH>
            <wp:positionV relativeFrom="page">
              <wp:posOffset>231775</wp:posOffset>
            </wp:positionV>
            <wp:extent cx="71348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4860" cy="8255"/>
                    </a:xfrm>
                    <a:prstGeom prst="rect">
                      <a:avLst/>
                    </a:prstGeom>
                    <a:noFill/>
                  </pic:spPr>
                </pic:pic>
              </a:graphicData>
            </a:graphic>
          </wp:anchor>
        </w:drawing>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175260</wp:posOffset>
            </wp:positionV>
            <wp:extent cx="71348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Delinquent Section 16(a) Reports</w:t>
      </w:r>
    </w:p>
    <w:p>
      <w:pPr>
        <w:spacing w:after="0" w:line="174" w:lineRule="exact"/>
        <w:rPr>
          <w:sz w:val="20"/>
          <w:szCs w:val="20"/>
          <w:color w:val="auto"/>
        </w:rPr>
      </w:pPr>
    </w:p>
    <w:p>
      <w:pPr>
        <w:ind w:firstLine="221"/>
        <w:spacing w:after="0" w:line="255"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our executive officers and directors, and persons who beneficially own more than 10% of our common stock, to file initial reports of ownership of our securities and reports of changes in ownership with the SEC. Based on a review of Forms 3, 4 and 5 and on written representations from our executive officers and directors, we believe that all of our executive officers and directors complied with all Section 16(a) filing requirements during 2019 except that Mr. Black filed two late Form 4s reporting transfers of shares to a trust.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Stockholder Proposals for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348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54" w:lineRule="exact"/>
        <w:rPr>
          <w:sz w:val="20"/>
          <w:szCs w:val="20"/>
          <w:color w:val="auto"/>
        </w:rPr>
      </w:pPr>
    </w:p>
    <w:p>
      <w:pPr>
        <w:ind w:right="280" w:firstLine="589"/>
        <w:spacing w:after="0" w:line="255" w:lineRule="auto"/>
        <w:rPr>
          <w:sz w:val="20"/>
          <w:szCs w:val="20"/>
          <w:color w:val="auto"/>
        </w:rPr>
      </w:pPr>
      <w:r>
        <w:rPr>
          <w:rFonts w:ascii="Times New Roman" w:cs="Times New Roman" w:eastAsia="Times New Roman" w:hAnsi="Times New Roman"/>
          <w:sz w:val="18"/>
          <w:szCs w:val="18"/>
          <w:color w:val="auto"/>
        </w:rPr>
        <w:t>In order for a stockholder proposal to be considered for inclusion in our proxy statement for the 2021 annual meeting of stockholders, the written proposal must be received at our principal executive offices on or before December 7, 2020. The proposal should be addressed to SPS Commerce, Inc., Attention: Chief Financial Officer, 333 South Seventh Street, Suite 1000, Minneapolis, Minnesota 55402. The proposal must comply with SEC regulations regarding the inclusion of stockholder proposals in company-sponsored proxy materials.</w:t>
      </w:r>
    </w:p>
    <w:p>
      <w:pPr>
        <w:spacing w:after="0" w:line="127" w:lineRule="exact"/>
        <w:rPr>
          <w:sz w:val="20"/>
          <w:szCs w:val="20"/>
          <w:color w:val="auto"/>
        </w:rPr>
      </w:pPr>
    </w:p>
    <w:p>
      <w:pPr>
        <w:ind w:right="80" w:firstLine="589"/>
        <w:spacing w:after="0" w:line="251" w:lineRule="auto"/>
        <w:rPr>
          <w:sz w:val="20"/>
          <w:szCs w:val="20"/>
          <w:color w:val="auto"/>
        </w:rPr>
      </w:pPr>
      <w:r>
        <w:rPr>
          <w:rFonts w:ascii="Times New Roman" w:cs="Times New Roman" w:eastAsia="Times New Roman" w:hAnsi="Times New Roman"/>
          <w:sz w:val="18"/>
          <w:szCs w:val="18"/>
          <w:color w:val="auto"/>
        </w:rPr>
        <w:t>In accordance with our bylaws, in order to be properly brought before the 2021 annual meeting, a stockholder’s notice of the matter the stockholder wishes to present must be delivered to our principal executive offices in Minneapolis, Minnesota, at the address identified in the preceding paragraph, not less than 90 nor more than 120 days prior to the first anniversary of the date of this year’s annual meeting. As a result, any notice given by or on behalf of a stockholder pursuant to these provisions of our bylaws (and not pursuant to Rule 14a-8 of the SEC) must be received no earlier than January 18, 2021, and no later than February 17, 2021. Any notice given by or on behalf of a stockholder outside of the dates included in this paragraph and the preceding paragraph is considered untimely.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Householding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348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54" w:lineRule="exact"/>
        <w:rPr>
          <w:sz w:val="20"/>
          <w:szCs w:val="20"/>
          <w:color w:val="auto"/>
        </w:rPr>
      </w:pPr>
    </w:p>
    <w:p>
      <w:pPr>
        <w:ind w:right="60" w:firstLine="589"/>
        <w:spacing w:after="0" w:line="267" w:lineRule="auto"/>
        <w:rPr>
          <w:sz w:val="20"/>
          <w:szCs w:val="20"/>
          <w:color w:val="auto"/>
        </w:rPr>
      </w:pPr>
      <w:r>
        <w:rPr>
          <w:rFonts w:ascii="Times New Roman" w:cs="Times New Roman" w:eastAsia="Times New Roman" w:hAnsi="Times New Roman"/>
          <w:sz w:val="17"/>
          <w:szCs w:val="17"/>
          <w:color w:val="auto"/>
        </w:rPr>
        <w:t>Some banks, brokers, and other nominee record holders may be participating in the practice of “householding” proxy statements and annual reports. This means that only one copy of the Notice of Internet Availability of Proxy Materials, Proxy Statement, and 2019 Annual Report to Stockholders, as applicable, is being delivered to multiple stockholders sharing an address unless we have received contrary instructions. We will promptly deliver a separate copy of any of these documents to you if you write to us at SPS Commerce, Inc., 333 South Seventh Street, Minneapolis, Minnesota 55402, Attention: Corporate Secretary or call us at (612) 435-9400. If you want to receive separate copies of the Notice of Internet Availability of Proxy Materials, Proxy Statement, or Annual Report to Stockholders in the future, or if you are receiving multiple copies and would like to receive only one copy for your household, you should contact your bank, broker, or other nominee record holder, or you may contact us at the above address or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Other Matters</w:t>
      </w:r>
    </w:p>
    <w:p>
      <w:pPr>
        <w:spacing w:after="0" w:line="174" w:lineRule="exact"/>
        <w:rPr>
          <w:sz w:val="20"/>
          <w:szCs w:val="20"/>
          <w:color w:val="auto"/>
        </w:rPr>
      </w:pPr>
    </w:p>
    <w:p>
      <w:pPr>
        <w:ind w:right="140" w:firstLine="589"/>
        <w:spacing w:after="0" w:line="274" w:lineRule="auto"/>
        <w:rPr>
          <w:sz w:val="20"/>
          <w:szCs w:val="20"/>
          <w:color w:val="auto"/>
        </w:rPr>
      </w:pPr>
      <w:r>
        <w:rPr>
          <w:rFonts w:ascii="Times New Roman" w:cs="Times New Roman" w:eastAsia="Times New Roman" w:hAnsi="Times New Roman"/>
          <w:sz w:val="18"/>
          <w:szCs w:val="18"/>
          <w:color w:val="auto"/>
        </w:rPr>
        <w:t>We do not know of any other matters that may be presented for consideration at the annual meeting. If any other business does properly come before the meeting, the persons named as proxies above will vote as they deem in the best interests of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4648200</wp:posOffset>
            </wp:positionH>
            <wp:positionV relativeFrom="paragraph">
              <wp:posOffset>115570</wp:posOffset>
            </wp:positionV>
            <wp:extent cx="1337945" cy="4629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3794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Archie C. Black</w:t>
      </w:r>
    </w:p>
    <w:p>
      <w:pPr>
        <w:spacing w:after="0" w:line="24"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6, 2020</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1370" cy="165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9"/>
          <w:szCs w:val="19"/>
          <w:b w:val="1"/>
          <w:bCs w:val="1"/>
          <w:color w:val="auto"/>
        </w:rPr>
        <w:t>Location of SPS Commerce, Inc.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348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Monday, May 18, 2020, at 1:00 p.m.</w:t>
      </w:r>
    </w:p>
    <w:p>
      <w:pPr>
        <w:spacing w:after="0" w:line="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SPS Tower</w:t>
      </w:r>
    </w:p>
    <w:p>
      <w:pPr>
        <w:spacing w:after="0" w:line="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333 South Seventh Street, Suite 1000</w:t>
      </w:r>
    </w:p>
    <w:p>
      <w:pPr>
        <w:spacing w:after="0" w:line="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Minneapolis, MN 55402</w:t>
      </w:r>
    </w:p>
    <w:p>
      <w:pPr>
        <w:spacing w:after="0" w:line="145" w:lineRule="exact"/>
        <w:rPr>
          <w:sz w:val="20"/>
          <w:szCs w:val="20"/>
          <w:color w:val="auto"/>
        </w:rPr>
      </w:pPr>
    </w:p>
    <w:p>
      <w:pPr>
        <w:ind w:firstLine="589"/>
        <w:spacing w:after="0" w:line="274" w:lineRule="auto"/>
        <w:rPr>
          <w:sz w:val="20"/>
          <w:szCs w:val="20"/>
          <w:color w:val="auto"/>
        </w:rPr>
      </w:pPr>
      <w:r>
        <w:rPr>
          <w:rFonts w:ascii="Times New Roman" w:cs="Times New Roman" w:eastAsia="Times New Roman" w:hAnsi="Times New Roman"/>
          <w:sz w:val="18"/>
          <w:szCs w:val="18"/>
          <w:color w:val="auto"/>
        </w:rPr>
        <w:t>Beneficial owners of common stock held in street name by a broker, bank, trust or other nominee may need proof of ownership to be admitted to the meeting. A brokerage statement or letter from the broker, bank, trust or other nominee are examples of proof of ownership.</w:t>
      </w:r>
    </w:p>
    <w:p>
      <w:pPr>
        <w:spacing w:after="0" w:line="200" w:lineRule="exact"/>
        <w:rPr>
          <w:sz w:val="20"/>
          <w:szCs w:val="20"/>
          <w:color w:val="auto"/>
        </w:rPr>
      </w:pPr>
    </w:p>
    <w:p>
      <w:pPr>
        <w:spacing w:after="0" w:line="36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1370" cy="16510"/>
                    </a:xfrm>
                    <a:prstGeom prst="rect">
                      <a:avLst/>
                    </a:prstGeom>
                    <a:noFill/>
                  </pic:spPr>
                </pic:pic>
              </a:graphicData>
            </a:graphic>
          </wp:anchor>
        </w:drawing>
      </w:r>
    </w:p>
    <w:p>
      <w:pPr>
        <w:sectPr>
          <w:pgSz w:w="11900" w:h="16838" w:orient="portrait"/>
          <w:cols w:equalWidth="0" w:num="1">
            <w:col w:w="11080"/>
          </w:cols>
          <w:pgMar w:left="320" w:top="1067" w:right="499" w:bottom="1440" w:gutter="0" w:footer="0" w:header="0"/>
        </w:sectPr>
      </w:pPr>
    </w:p>
    <w:bookmarkStart w:id="50" w:name="page51"/>
    <w:bookmarkEnd w:id="50"/>
    <w:p>
      <w:pPr>
        <w:ind w:left="10160"/>
        <w:spacing w:after="0"/>
        <w:rPr>
          <w:sz w:val="20"/>
          <w:szCs w:val="20"/>
          <w:color w:val="auto"/>
        </w:rPr>
      </w:pPr>
      <w:r>
        <w:rPr>
          <w:rFonts w:ascii="Times New Roman" w:cs="Times New Roman" w:eastAsia="Times New Roman" w:hAnsi="Times New Roman"/>
          <w:sz w:val="21"/>
          <w:szCs w:val="21"/>
          <w:b w:val="1"/>
          <w:bCs w:val="1"/>
          <w:color w:val="auto"/>
        </w:rPr>
        <w:t>Appendix A</w:t>
      </w:r>
    </w:p>
    <w:p>
      <w:pPr>
        <w:spacing w:after="0" w:line="110" w:lineRule="exact"/>
        <w:rPr>
          <w:sz w:val="20"/>
          <w:szCs w:val="20"/>
          <w:color w:val="auto"/>
        </w:rPr>
      </w:pPr>
    </w:p>
    <w:p>
      <w:pPr>
        <w:jc w:val="center"/>
        <w:ind w:right="80"/>
        <w:spacing w:after="0"/>
        <w:rPr>
          <w:sz w:val="20"/>
          <w:szCs w:val="20"/>
          <w:color w:val="auto"/>
        </w:rPr>
      </w:pPr>
      <w:r>
        <w:rPr>
          <w:rFonts w:ascii="Arial" w:cs="Arial" w:eastAsia="Arial" w:hAnsi="Arial"/>
          <w:sz w:val="35"/>
          <w:szCs w:val="35"/>
          <w:b w:val="1"/>
          <w:bCs w:val="1"/>
          <w:color w:val="00AAE5"/>
        </w:rPr>
        <w:t>RECONCILIATION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-238760</wp:posOffset>
            </wp:positionV>
            <wp:extent cx="71348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35"/>
          <w:szCs w:val="35"/>
          <w:b w:val="1"/>
          <w:bCs w:val="1"/>
          <w:color w:val="00AAE5"/>
        </w:rPr>
        <w:t>NON-GAAP FINANCIAL MEASURES</w:t>
      </w:r>
    </w:p>
    <w:p>
      <w:pPr>
        <w:spacing w:after="0" w:line="151" w:lineRule="exact"/>
        <w:rPr>
          <w:sz w:val="20"/>
          <w:szCs w:val="20"/>
          <w:color w:val="auto"/>
        </w:rPr>
      </w:pPr>
    </w:p>
    <w:p>
      <w:pPr>
        <w:ind w:right="220" w:firstLine="589"/>
        <w:spacing w:after="0" w:line="249" w:lineRule="auto"/>
        <w:rPr>
          <w:sz w:val="20"/>
          <w:szCs w:val="20"/>
          <w:color w:val="auto"/>
        </w:rPr>
      </w:pPr>
      <w:r>
        <w:rPr>
          <w:rFonts w:ascii="Times New Roman" w:cs="Times New Roman" w:eastAsia="Times New Roman" w:hAnsi="Times New Roman"/>
          <w:sz w:val="18"/>
          <w:szCs w:val="18"/>
          <w:color w:val="auto"/>
        </w:rPr>
        <w:t>Adjusted EBITDA consists of net income adjusted for depreciation and amortization, interest expense, interest income (net), income tax expense, stock-based compensation expense, and other adjustments as necessary for a fair presentation. Other adjustments included the impact of the fair value adjustment for the EDIAdmin earn-out liability, returned escrow shares in 2019 related to the acquisition of ToolBox, loss on disposals in 2019, and impairment of internally developed software in 2019. We use Adjusted EBITDA as a measure of operating performance because it assists us in comparing performance on a consistent basis, as it removes the impact of our capital structure from our operating results.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 The following table provides a reconciliation of net income to Adjusted EBITDA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2"/>
        </w:trPr>
        <w:tc>
          <w:tcPr>
            <w:tcW w:w="770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4"/>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CFF0FC"/>
            </w:tcBorders>
          </w:tcPr>
          <w:p>
            <w:pPr>
              <w:spacing w:after="0"/>
              <w:rPr>
                <w:sz w:val="13"/>
                <w:szCs w:val="13"/>
                <w:color w:val="auto"/>
              </w:rPr>
            </w:pPr>
          </w:p>
        </w:tc>
      </w:tr>
      <w:tr>
        <w:trPr>
          <w:trHeight w:val="218"/>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CFF0FC"/>
          </w:tcPr>
          <w:p>
            <w:pPr>
              <w:jc w:val="right"/>
              <w:ind w:right="761"/>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5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23,872</w:t>
            </w:r>
          </w:p>
        </w:tc>
        <w:tc>
          <w:tcPr>
            <w:tcW w:w="100" w:type="dxa"/>
            <w:vAlign w:val="bottom"/>
            <w:shd w:val="clear" w:color="auto" w:fill="CFF0FC"/>
          </w:tcPr>
          <w:p>
            <w:pPr>
              <w:spacing w:after="0"/>
              <w:rPr>
                <w:sz w:val="19"/>
                <w:szCs w:val="19"/>
                <w:color w:val="auto"/>
              </w:rPr>
            </w:pPr>
          </w:p>
        </w:tc>
      </w:tr>
      <w:tr>
        <w:trPr>
          <w:trHeight w:val="225"/>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100" w:type="dxa"/>
            <w:vAlign w:val="bottom"/>
          </w:tcPr>
          <w:p>
            <w:pPr>
              <w:spacing w:after="0"/>
              <w:rPr>
                <w:sz w:val="19"/>
                <w:szCs w:val="19"/>
                <w:color w:val="auto"/>
              </w:rPr>
            </w:pPr>
          </w:p>
        </w:tc>
      </w:tr>
      <w:tr>
        <w:trPr>
          <w:trHeight w:val="225"/>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9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(2,947)</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(2,329)</w:t>
            </w:r>
          </w:p>
        </w:tc>
      </w:tr>
      <w:tr>
        <w:trPr>
          <w:trHeight w:val="225"/>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00" w:type="dxa"/>
            <w:vAlign w:val="bottom"/>
          </w:tcPr>
          <w:p>
            <w:pPr>
              <w:spacing w:after="0"/>
              <w:rPr>
                <w:sz w:val="19"/>
                <w:szCs w:val="19"/>
                <w:color w:val="auto"/>
              </w:rPr>
            </w:pPr>
          </w:p>
        </w:tc>
      </w:tr>
      <w:tr>
        <w:trPr>
          <w:trHeight w:val="225"/>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12,510</w:t>
            </w:r>
          </w:p>
        </w:tc>
        <w:tc>
          <w:tcPr>
            <w:tcW w:w="100" w:type="dxa"/>
            <w:vAlign w:val="bottom"/>
            <w:shd w:val="clear" w:color="auto" w:fill="CFF0FC"/>
          </w:tcPr>
          <w:p>
            <w:pPr>
              <w:spacing w:after="0"/>
              <w:rPr>
                <w:sz w:val="19"/>
                <w:szCs w:val="19"/>
                <w:color w:val="auto"/>
              </w:rPr>
            </w:pPr>
          </w:p>
        </w:tc>
      </w:tr>
      <w:tr>
        <w:trPr>
          <w:trHeight w:val="225"/>
        </w:trPr>
        <w:tc>
          <w:tcPr>
            <w:tcW w:w="7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auto"/>
            </w:tcBorders>
          </w:tcPr>
          <w:p>
            <w:pPr>
              <w:spacing w:after="0"/>
              <w:rPr>
                <w:sz w:val="19"/>
                <w:szCs w:val="19"/>
                <w:color w:val="auto"/>
              </w:rPr>
            </w:pPr>
          </w:p>
        </w:tc>
      </w:tr>
      <w:tr>
        <w:trPr>
          <w:trHeight w:val="218"/>
        </w:trPr>
        <w:tc>
          <w:tcPr>
            <w:tcW w:w="77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920" w:type="dxa"/>
            <w:vAlign w:val="bottom"/>
            <w:tcBorders>
              <w:bottom w:val="single" w:sz="8" w:color="auto"/>
            </w:tcBorders>
            <w:shd w:val="clear" w:color="auto" w:fill="CFF0FC"/>
          </w:tcPr>
          <w:p>
            <w:pPr>
              <w:jc w:val="right"/>
              <w:ind w:right="761"/>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69,763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5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51,301</w:t>
            </w:r>
          </w:p>
        </w:tc>
        <w:tc>
          <w:tcPr>
            <w:tcW w:w="100" w:type="dxa"/>
            <w:vAlign w:val="bottom"/>
            <w:tcBorders>
              <w:bottom w:val="single" w:sz="8" w:color="auto"/>
            </w:tcBorders>
            <w:shd w:val="clear" w:color="auto" w:fill="CFF0FC"/>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100" w:firstLine="589"/>
        <w:spacing w:after="0" w:line="269" w:lineRule="auto"/>
        <w:rPr>
          <w:sz w:val="20"/>
          <w:szCs w:val="20"/>
          <w:color w:val="auto"/>
        </w:rPr>
      </w:pPr>
      <w:r>
        <w:rPr>
          <w:rFonts w:ascii="Times New Roman" w:cs="Times New Roman" w:eastAsia="Times New Roman" w:hAnsi="Times New Roman"/>
          <w:sz w:val="17"/>
          <w:szCs w:val="17"/>
          <w:color w:val="auto"/>
        </w:rPr>
        <w:t>Non-GAAP income per share consists of net income plus stock-based compensation expense, amortization expense related to intangible assets, and other adjustments as necessary for a fair presentation, divided by the weighted average number of shares of common stock outstanding during each period. Other adjustments included the impact of the fair value adjustment for the EDIAdmin earn-out liability, returned escrow shares in 2019 related to the acquisition of ToolBox, depreciation on asset retirements and disposals in 2019, and impairment of internally developed software in 2019. To quantify the tax effects, we recalculate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ind w:right="560" w:firstLine="589"/>
        <w:spacing w:after="0" w:line="274" w:lineRule="auto"/>
        <w:rPr>
          <w:sz w:val="20"/>
          <w:szCs w:val="20"/>
          <w:color w:val="auto"/>
        </w:rPr>
      </w:pPr>
      <w:r>
        <w:rPr>
          <w:rFonts w:ascii="Times New Roman" w:cs="Times New Roman" w:eastAsia="Times New Roman" w:hAnsi="Times New Roman"/>
          <w:sz w:val="18"/>
          <w:szCs w:val="18"/>
          <w:color w:val="auto"/>
        </w:rPr>
        <w:t>We believe non-GAAP income per share is useful to an investor because it is widely used to measure a company’s operating performance. The following table provides a reconciliation of net income to non-GAAP income per share (in thousands, except per share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740" w:type="dxa"/>
            <w:vAlign w:val="bottom"/>
            <w:tcBorders>
              <w:bottom w:val="single" w:sz="8" w:color="CFF0FC"/>
            </w:tcBorders>
          </w:tcPr>
          <w:p>
            <w:pPr>
              <w:spacing w:after="0"/>
              <w:rPr>
                <w:sz w:val="13"/>
                <w:szCs w:val="13"/>
                <w:color w:val="auto"/>
              </w:rPr>
            </w:pPr>
          </w:p>
        </w:tc>
        <w:tc>
          <w:tcPr>
            <w:tcW w:w="196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73"/>
              <w:spacing w:after="0" w:line="152"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33,712</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7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14,690</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income as historically reported</w:t>
            </w:r>
          </w:p>
        </w:tc>
        <w:tc>
          <w:tcPr>
            <w:tcW w:w="19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53,229</w:t>
            </w:r>
          </w:p>
        </w:tc>
        <w:tc>
          <w:tcPr>
            <w:tcW w:w="2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40,569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Income tax effects of adjustments</w:t>
            </w:r>
          </w:p>
        </w:tc>
        <w:tc>
          <w:tcPr>
            <w:tcW w:w="1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740" w:type="dxa"/>
            <w:vAlign w:val="bottom"/>
            <w:tcBorders>
              <w:bottom w:val="single" w:sz="8" w:color="CFF0FC"/>
            </w:tcBorders>
            <w:vMerge w:val="continue"/>
          </w:tcPr>
          <w:p>
            <w:pPr>
              <w:spacing w:after="0"/>
              <w:rPr>
                <w:sz w:val="17"/>
                <w:szCs w:val="17"/>
                <w:color w:val="auto"/>
              </w:rPr>
            </w:pPr>
          </w:p>
        </w:tc>
        <w:tc>
          <w:tcPr>
            <w:tcW w:w="1960" w:type="dxa"/>
            <w:vAlign w:val="bottom"/>
            <w:tcBorders>
              <w:bottom w:val="single" w:sz="8" w:color="CFF0FC"/>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(7,304)</w:t>
            </w:r>
          </w:p>
        </w:tc>
        <w:tc>
          <w:tcPr>
            <w:tcW w:w="28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(6,594)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income with tax adjustments</w:t>
            </w:r>
          </w:p>
        </w:tc>
        <w:tc>
          <w:tcPr>
            <w:tcW w:w="19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45,925</w:t>
            </w:r>
          </w:p>
        </w:tc>
        <w:tc>
          <w:tcPr>
            <w:tcW w:w="2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7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33,975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 used to compute non-GAAP income per share</w:t>
            </w:r>
          </w:p>
        </w:tc>
        <w:tc>
          <w:tcPr>
            <w:tcW w:w="1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740" w:type="dxa"/>
            <w:vAlign w:val="bottom"/>
            <w:vMerge w:val="continue"/>
          </w:tcPr>
          <w:p>
            <w:pPr>
              <w:spacing w:after="0"/>
              <w:rPr>
                <w:sz w:val="17"/>
                <w:szCs w:val="17"/>
                <w:color w:val="auto"/>
              </w:rPr>
            </w:pPr>
          </w:p>
        </w:tc>
        <w:tc>
          <w:tcPr>
            <w:tcW w:w="1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35,024</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36,002</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income per share with tax adjustments</w:t>
            </w:r>
          </w:p>
        </w:tc>
        <w:tc>
          <w:tcPr>
            <w:tcW w:w="1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900" w:type="dxa"/>
            <w:vAlign w:val="bottom"/>
            <w:gridSpan w:val="2"/>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920" w:type="dxa"/>
            <w:vAlign w:val="bottom"/>
            <w:gridSpan w:val="2"/>
          </w:tcPr>
          <w:p>
            <w:pPr>
              <w:jc w:val="right"/>
              <w:ind w:right="477"/>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900" w:type="dxa"/>
            <w:vAlign w:val="bottom"/>
            <w:gridSpan w:val="2"/>
            <w:shd w:val="clear" w:color="auto" w:fill="CFF0FC"/>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920" w:type="dxa"/>
            <w:vAlign w:val="bottom"/>
            <w:gridSpan w:val="2"/>
            <w:shd w:val="clear" w:color="auto" w:fill="CFF0FC"/>
          </w:tcPr>
          <w:p>
            <w:pPr>
              <w:jc w:val="right"/>
              <w:ind w:right="477"/>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12529"/>
        </w:rPr>
        <w:t>Shares and per share data have been adjusted for all periods presented to reflect a two-for-one stock split effective August 22, 2019.</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5137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52" w:name="page53"/>
    <w:bookmarkEnd w:id="52"/>
    <w:p>
      <w:pPr>
        <w:ind w:left="10160"/>
        <w:spacing w:after="0"/>
        <w:rPr>
          <w:sz w:val="20"/>
          <w:szCs w:val="20"/>
          <w:color w:val="auto"/>
        </w:rPr>
      </w:pPr>
      <w:r>
        <w:rPr>
          <w:rFonts w:ascii="Times New Roman" w:cs="Times New Roman" w:eastAsia="Times New Roman" w:hAnsi="Times New Roman"/>
          <w:sz w:val="21"/>
          <w:szCs w:val="21"/>
          <w:b w:val="1"/>
          <w:bCs w:val="1"/>
          <w:color w:val="auto"/>
        </w:rPr>
        <w:t>Appendix B</w:t>
      </w:r>
    </w:p>
    <w:p>
      <w:pPr>
        <w:spacing w:after="0" w:line="110" w:lineRule="exact"/>
        <w:rPr>
          <w:sz w:val="20"/>
          <w:szCs w:val="20"/>
          <w:color w:val="auto"/>
        </w:rPr>
      </w:pPr>
    </w:p>
    <w:p>
      <w:pPr>
        <w:jc w:val="center"/>
        <w:ind w:right="100"/>
        <w:spacing w:after="0"/>
        <w:rPr>
          <w:sz w:val="20"/>
          <w:szCs w:val="20"/>
          <w:color w:val="auto"/>
        </w:rPr>
      </w:pPr>
      <w:r>
        <w:rPr>
          <w:rFonts w:ascii="Arial" w:cs="Arial" w:eastAsia="Arial" w:hAnsi="Arial"/>
          <w:sz w:val="35"/>
          <w:szCs w:val="35"/>
          <w:b w:val="1"/>
          <w:bCs w:val="1"/>
          <w:color w:val="00AAE5"/>
        </w:rPr>
        <w:t>PROPOSED AMENDMENT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-238760</wp:posOffset>
            </wp:positionV>
            <wp:extent cx="71348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8" w:lineRule="exact"/>
        <w:rPr>
          <w:sz w:val="20"/>
          <w:szCs w:val="20"/>
          <w:color w:val="auto"/>
        </w:rPr>
      </w:pPr>
    </w:p>
    <w:p>
      <w:pPr>
        <w:jc w:val="center"/>
        <w:ind w:right="100"/>
        <w:spacing w:after="0"/>
        <w:rPr>
          <w:sz w:val="20"/>
          <w:szCs w:val="20"/>
          <w:color w:val="auto"/>
        </w:rPr>
      </w:pPr>
      <w:r>
        <w:rPr>
          <w:rFonts w:ascii="Arial" w:cs="Arial" w:eastAsia="Arial" w:hAnsi="Arial"/>
          <w:sz w:val="35"/>
          <w:szCs w:val="35"/>
          <w:b w:val="1"/>
          <w:bCs w:val="1"/>
          <w:color w:val="00AAE5"/>
        </w:rPr>
        <w:t>SECTION 4.1 OF OUR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35"/>
          <w:szCs w:val="35"/>
          <w:b w:val="1"/>
          <w:bCs w:val="1"/>
          <w:color w:val="00AAE5"/>
        </w:rPr>
        <w:t>EIGHTH AMENDED AND RESTATED CERTIFICATE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35"/>
          <w:szCs w:val="35"/>
          <w:b w:val="1"/>
          <w:bCs w:val="1"/>
          <w:color w:val="00AAE5"/>
        </w:rPr>
        <w:t>INCORPORATION</w:t>
      </w:r>
    </w:p>
    <w:p>
      <w:pPr>
        <w:spacing w:after="0" w:line="177" w:lineRule="exact"/>
        <w:rPr>
          <w:sz w:val="20"/>
          <w:szCs w:val="20"/>
          <w:color w:val="auto"/>
        </w:rPr>
      </w:pPr>
    </w:p>
    <w:p>
      <w:pPr>
        <w:jc w:val="both"/>
        <w:ind w:left="860" w:hanging="860"/>
        <w:spacing w:after="0" w:line="259" w:lineRule="auto"/>
        <w:tabs>
          <w:tab w:leader="none" w:pos="8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auto"/>
        </w:rPr>
        <w:t>AUTHORIZED CAPITAL STOCK</w:t>
      </w:r>
      <w:r>
        <w:rPr>
          <w:rFonts w:ascii="Times New Roman" w:cs="Times New Roman" w:eastAsia="Times New Roman" w:hAnsi="Times New Roman"/>
          <w:sz w:val="18"/>
          <w:szCs w:val="18"/>
          <w:color w:val="auto"/>
        </w:rPr>
        <w:t>. The Corporation shall be authorized to issue 115,000,000 shares of capital stock, of which 110,000,000</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shares shall be shares of common stock, par value $0.001 per share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and 5,000,000 shares shall be shares of preferred stock, par value $0.001 per share (the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485775</wp:posOffset>
            </wp:positionV>
            <wp:extent cx="715137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366395</wp:posOffset>
            </wp:positionV>
            <wp:extent cx="7151370" cy="74377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1370" cy="7437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1157605</wp:posOffset>
            </wp:positionH>
            <wp:positionV relativeFrom="page">
              <wp:posOffset>231775</wp:posOffset>
            </wp:positionV>
            <wp:extent cx="5241925" cy="67983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5241925" cy="67983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lvl w:ilvl="1">
      <w:lvlJc w:val="left"/>
      <w:lvlText w:val="(%2)"/>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1"/>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2"/>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1"/>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2"/>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1)"/>
      <w:numFmt w:val="decimal"/>
      <w:start w:val="1"/>
    </w:lvl>
  </w:abstractNum>
  <w:abstractNum w:abstractNumId="46">
    <w:nsid w:val="38437FDB"/>
    <w:multiLevelType w:val="hybridMultilevel"/>
    <w:lvl w:ilvl="0">
      <w:lvlJc w:val="left"/>
      <w:lvlText w:val="(%1)"/>
      <w:numFmt w:val="decimal"/>
      <w:start w:val="7"/>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2020-04-07T16:22:34Z</dcterms:created>
  <dcterms:modified xsi:type="dcterms:W3CDTF">2020-04-07T16:22:34Z</dcterms:modified>
</cp:coreProperties>
</file>