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2"/>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12"/>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ind w:left="4752"/>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97" w:lineRule="exact"/>
        <w:rPr>
          <w:sz w:val="24"/>
          <w:szCs w:val="24"/>
          <w:color w:val="auto"/>
        </w:rPr>
      </w:pPr>
    </w:p>
    <w:p>
      <w:pPr>
        <w:ind w:left="3932" w:right="1559" w:hanging="3932"/>
        <w:spacing w:after="0" w:line="38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2025</w:t>
      </w:r>
    </w:p>
    <w:p>
      <w:pPr>
        <w:spacing w:after="0" w:line="60" w:lineRule="exact"/>
        <w:rPr>
          <w:sz w:val="24"/>
          <w:szCs w:val="24"/>
          <w:color w:val="auto"/>
        </w:rPr>
      </w:pPr>
    </w:p>
    <w:p>
      <w:pPr>
        <w:ind w:left="5472"/>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312" w:right="1179" w:hanging="4312"/>
        <w:spacing w:after="0" w:line="443" w:lineRule="auto"/>
        <w:tabs>
          <w:tab w:leader="none" w:pos="35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4208780</wp:posOffset>
            </wp:positionH>
            <wp:positionV relativeFrom="paragraph">
              <wp:posOffset>-135890</wp:posOffset>
            </wp:positionV>
            <wp:extent cx="285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07" w:lineRule="exact"/>
        <w:rPr>
          <w:sz w:val="24"/>
          <w:szCs w:val="24"/>
          <w:color w:val="auto"/>
        </w:rPr>
      </w:pPr>
    </w:p>
    <w:p>
      <w:pPr>
        <w:ind w:left="4272"/>
        <w:spacing w:after="0"/>
        <w:rPr>
          <w:sz w:val="20"/>
          <w:szCs w:val="20"/>
          <w:color w:val="auto"/>
        </w:rPr>
      </w:pPr>
      <w:r>
        <w:rPr>
          <w:rFonts w:ascii="Times New Roman" w:cs="Times New Roman" w:eastAsia="Times New Roman" w:hAnsi="Times New Roman"/>
          <w:sz w:val="18"/>
          <w:szCs w:val="18"/>
          <w:b w:val="1"/>
          <w:bCs w:val="1"/>
          <w:color w:val="auto"/>
        </w:rPr>
        <w:t>Commission file number 001-34702</w:t>
      </w:r>
    </w:p>
    <w:p>
      <w:pPr>
        <w:spacing w:after="0" w:line="81" w:lineRule="exact"/>
        <w:rPr>
          <w:sz w:val="24"/>
          <w:szCs w:val="24"/>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72" w:lineRule="exact"/>
        <w:rPr>
          <w:rFonts w:ascii="Times New Roman" w:cs="Times New Roman" w:eastAsia="Times New Roman" w:hAnsi="Times New Roman"/>
          <w:sz w:val="18"/>
          <w:szCs w:val="18"/>
          <w:color w:val="auto"/>
        </w:rPr>
      </w:pPr>
    </w:p>
    <w:p>
      <w:pPr>
        <w:ind w:left="35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SPS Commerce, Inc. 401(k) Retirement Savings Plan</w:t>
      </w:r>
    </w:p>
    <w:p>
      <w:pPr>
        <w:spacing w:after="0" w:line="94"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73" w:lineRule="exact"/>
        <w:rPr>
          <w:sz w:val="24"/>
          <w:szCs w:val="24"/>
          <w:color w:val="auto"/>
        </w:rPr>
      </w:pPr>
    </w:p>
    <w:p>
      <w:pPr>
        <w:ind w:left="3292"/>
        <w:spacing w:after="0"/>
        <w:rPr>
          <w:sz w:val="20"/>
          <w:szCs w:val="20"/>
          <w:color w:val="auto"/>
        </w:rPr>
      </w:pPr>
      <w:r>
        <w:rPr>
          <w:rFonts w:ascii="Times New Roman" w:cs="Times New Roman" w:eastAsia="Times New Roman" w:hAnsi="Times New Roman"/>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3248660</wp:posOffset>
            </wp:positionH>
            <wp:positionV relativeFrom="paragraph">
              <wp:posOffset>10160</wp:posOffset>
            </wp:positionV>
            <wp:extent cx="64325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2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333 South Seventh Street, Suite 1000</w:t>
      </w:r>
    </w:p>
    <w:p>
      <w:pPr>
        <w:spacing w:after="0" w:line="6"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ectPr>
          <w:pgSz w:w="11900" w:h="16838" w:orient="portrait"/>
          <w:cols w:equalWidth="0" w:num="1">
            <w:col w:w="10131"/>
          </w:cols>
          <w:pgMar w:left="328" w:top="981" w:right="1440" w:bottom="144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SPS COMMERCE,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00AAE5"/>
        </w:rPr>
        <w:t>ANNUAL REPORT ON FORM 11-K</w:t>
      </w:r>
    </w:p>
    <w:p>
      <w:pPr>
        <w:jc w:val="center"/>
        <w:spacing w:after="0"/>
        <w:rPr>
          <w:sz w:val="20"/>
          <w:szCs w:val="20"/>
          <w:color w:val="auto"/>
        </w:rPr>
      </w:pPr>
      <w:r>
        <w:rPr>
          <w:rFonts w:ascii="Times New Roman" w:cs="Times New Roman" w:eastAsia="Times New Roman" w:hAnsi="Times New Roman"/>
          <w:sz w:val="18"/>
          <w:szCs w:val="18"/>
          <w:b w:val="1"/>
          <w:bCs w:val="1"/>
          <w:color w:val="00AAE5"/>
        </w:rPr>
        <w:t>TABLE OF CONTENTS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42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10660" w:type="dxa"/>
            <w:vAlign w:val="bottom"/>
            <w:gridSpan w:val="9"/>
          </w:tcPr>
          <w:p>
            <w:pPr>
              <w:spacing w:after="0"/>
              <w:rPr>
                <w:sz w:val="20"/>
                <w:szCs w:val="20"/>
                <w:color w:val="auto"/>
              </w:rPr>
            </w:pPr>
            <w:r>
              <w:rPr>
                <w:rFonts w:ascii="Times New Roman" w:cs="Times New Roman" w:eastAsia="Times New Roman" w:hAnsi="Times New Roman"/>
                <w:sz w:val="18"/>
                <w:szCs w:val="18"/>
                <w:color w:val="3051F2"/>
              </w:rPr>
              <w:t>Report of Independent Registered Public Accounting Firm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6"/>
        </w:trPr>
        <w:tc>
          <w:tcPr>
            <w:tcW w:w="4220" w:type="dxa"/>
            <w:vAlign w:val="bottom"/>
            <w:tcBorders>
              <w:top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4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344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9"/>
              </w:rPr>
              <w:t>Statements of Net Assets Available for Benefits</w:t>
            </w:r>
          </w:p>
        </w:tc>
        <w:tc>
          <w:tcPr>
            <w:tcW w:w="69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7"/>
        </w:trPr>
        <w:tc>
          <w:tcPr>
            <w:tcW w:w="260" w:type="dxa"/>
            <w:vAlign w:val="bottom"/>
          </w:tcPr>
          <w:p>
            <w:pPr>
              <w:spacing w:after="0"/>
              <w:rPr>
                <w:sz w:val="24"/>
                <w:szCs w:val="24"/>
                <w:color w:val="auto"/>
              </w:rPr>
            </w:pPr>
          </w:p>
        </w:tc>
        <w:tc>
          <w:tcPr>
            <w:tcW w:w="42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9"/>
              </w:rPr>
              <w:t>Statement of Changes in Net Assets Available for Benefits</w:t>
            </w:r>
          </w:p>
        </w:tc>
        <w:tc>
          <w:tcPr>
            <w:tcW w:w="618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216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9"/>
              </w:rPr>
              <w:t>Notes to Financial Statements</w:t>
            </w:r>
          </w:p>
        </w:tc>
        <w:tc>
          <w:tcPr>
            <w:tcW w:w="824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547"/>
        </w:trPr>
        <w:tc>
          <w:tcPr>
            <w:tcW w:w="106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Supplementary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60" w:type="dxa"/>
            <w:vAlign w:val="bottom"/>
          </w:tcPr>
          <w:p>
            <w:pPr>
              <w:spacing w:after="0"/>
              <w:rPr>
                <w:sz w:val="24"/>
                <w:szCs w:val="24"/>
                <w:color w:val="auto"/>
              </w:rPr>
            </w:pPr>
          </w:p>
        </w:tc>
        <w:tc>
          <w:tcPr>
            <w:tcW w:w="10400" w:type="dxa"/>
            <w:vAlign w:val="bottom"/>
            <w:gridSpan w:val="8"/>
          </w:tcPr>
          <w:p>
            <w:pPr>
              <w:spacing w:after="0"/>
              <w:rPr>
                <w:sz w:val="20"/>
                <w:szCs w:val="20"/>
                <w:color w:val="auto"/>
              </w:rPr>
            </w:pPr>
            <w:r>
              <w:rPr>
                <w:rFonts w:ascii="Times New Roman" w:cs="Times New Roman" w:eastAsia="Times New Roman" w:hAnsi="Times New Roman"/>
                <w:sz w:val="18"/>
                <w:szCs w:val="18"/>
                <w:color w:val="3051F2"/>
              </w:rPr>
              <w:t>Form 5500, Schedule H, Part IV, Line 4(i) – Schedule of Assets (Held at End of Year)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5440" w:type="dxa"/>
            <w:vAlign w:val="bottom"/>
            <w:gridSpan w:val="5"/>
            <w:shd w:val="clear" w:color="auto" w:fill="3051F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line="20" w:lineRule="exact"/>
              <w:rPr>
                <w:sz w:val="1"/>
                <w:szCs w:val="1"/>
                <w:color w:val="auto"/>
              </w:rPr>
            </w:pPr>
          </w:p>
        </w:tc>
      </w:tr>
      <w:tr>
        <w:trPr>
          <w:trHeight w:val="345"/>
        </w:trPr>
        <w:tc>
          <w:tcPr>
            <w:tcW w:w="1000" w:type="dxa"/>
            <w:vAlign w:val="bottom"/>
            <w:tcBorders>
              <w:bottom w:val="single" w:sz="8" w:color="3051F2"/>
            </w:tcBorders>
            <w:gridSpan w:val="3"/>
          </w:tcPr>
          <w:p>
            <w:pPr>
              <w:spacing w:after="0"/>
              <w:rPr>
                <w:sz w:val="20"/>
                <w:szCs w:val="20"/>
                <w:color w:val="auto"/>
              </w:rPr>
            </w:pPr>
            <w:r>
              <w:rPr>
                <w:rFonts w:ascii="Times New Roman" w:cs="Times New Roman" w:eastAsia="Times New Roman" w:hAnsi="Times New Roman"/>
                <w:sz w:val="18"/>
                <w:szCs w:val="18"/>
                <w:color w:val="3051F2"/>
                <w:w w:val="99"/>
              </w:rPr>
              <w:t>Exhibit Index</w:t>
            </w:r>
          </w:p>
        </w:tc>
        <w:tc>
          <w:tcPr>
            <w:tcW w:w="9660" w:type="dxa"/>
            <w:vAlign w:val="bottom"/>
            <w:gridSpan w:val="6"/>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60" w:type="dxa"/>
            <w:vAlign w:val="bottom"/>
            <w:gridSpan w:val="9"/>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60" w:type="dxa"/>
            <w:vAlign w:val="bottom"/>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0" w:right="480" w:hanging="332"/>
        <w:spacing w:after="0" w:line="250" w:lineRule="auto"/>
        <w:tabs>
          <w:tab w:leader="none" w:pos="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schedules required by 29 CFR 2520.103-10 of the Department of Labor’s Rules and Regulations for Reporting and Disclosure under the Employee Retirement Income Security Act of 1974, as amended (“ERISA”), are not included because they are not applicable.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for purposes of this Annual Report on Form 11-K, the word “Company” refers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447040</wp:posOffset>
            </wp:positionV>
            <wp:extent cx="16256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tabs>
          <w:tab w:leader="none" w:pos="5940" w:val="left"/>
          <w:tab w:leader="none" w:pos="8300" w:val="left"/>
        </w:tabs>
        <w:rPr>
          <w:sz w:val="20"/>
          <w:szCs w:val="20"/>
          <w:color w:val="auto"/>
        </w:rPr>
      </w:pPr>
      <w:r>
        <w:rPr>
          <w:rFonts w:ascii="Times New Roman" w:cs="Times New Roman" w:eastAsia="Times New Roman" w:hAnsi="Times New Roman"/>
          <w:sz w:val="13"/>
          <w:szCs w:val="13"/>
          <w:b w:val="1"/>
          <w:bCs w:val="1"/>
          <w:color w:val="auto"/>
        </w:rPr>
        <w:t>SPS COMMERCE, INC. 401(K) RETIREMENT SAVINGS PLAN</w:t>
      </w:r>
      <w:r>
        <w:rPr>
          <w:sz w:val="20"/>
          <w:szCs w:val="20"/>
          <w:color w:val="auto"/>
        </w:rPr>
        <w:tab/>
      </w: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SPS Commerce, Inc. 401(k) Retirement Savings Plan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ind w:right="200"/>
        <w:spacing w:after="0" w:line="215" w:lineRule="auto"/>
        <w:rPr>
          <w:sz w:val="20"/>
          <w:szCs w:val="20"/>
          <w:color w:val="auto"/>
        </w:rPr>
      </w:pPr>
      <w:r>
        <w:rPr>
          <w:rFonts w:ascii="Times New Roman" w:cs="Times New Roman" w:eastAsia="Times New Roman" w:hAnsi="Times New Roman"/>
          <w:sz w:val="17"/>
          <w:szCs w:val="17"/>
          <w:color w:val="auto"/>
        </w:rPr>
        <w:t>We have audited the accompanying statements of net assets available for benefits of SPS Commerce, Inc. 401(k) Retirement Savings Plan (the “Plan”) as of December 31, 2025 and 2024, and the related statement of changes in net assets available for benefits for the year ended December 31, 2025, and the</w:t>
      </w:r>
    </w:p>
    <w:p>
      <w:pPr>
        <w:spacing w:after="0" w:line="1" w:lineRule="exact"/>
        <w:rPr>
          <w:sz w:val="20"/>
          <w:szCs w:val="20"/>
          <w:color w:val="auto"/>
        </w:rPr>
      </w:pPr>
    </w:p>
    <w:p>
      <w:pPr>
        <w:ind w:right="80"/>
        <w:spacing w:after="0" w:line="207" w:lineRule="auto"/>
        <w:rPr>
          <w:sz w:val="20"/>
          <w:szCs w:val="20"/>
          <w:color w:val="auto"/>
        </w:rPr>
      </w:pPr>
      <w:r>
        <w:rPr>
          <w:rFonts w:ascii="Times New Roman" w:cs="Times New Roman" w:eastAsia="Times New Roman" w:hAnsi="Times New Roman"/>
          <w:sz w:val="17"/>
          <w:szCs w:val="17"/>
          <w:color w:val="auto"/>
        </w:rPr>
        <w:t>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w:t>
      </w:r>
    </w:p>
    <w:p>
      <w:pPr>
        <w:spacing w:after="0"/>
        <w:rPr>
          <w:sz w:val="20"/>
          <w:szCs w:val="20"/>
          <w:color w:val="auto"/>
        </w:rPr>
      </w:pPr>
      <w:r>
        <w:rPr>
          <w:rFonts w:ascii="Times New Roman" w:cs="Times New Roman" w:eastAsia="Times New Roman" w:hAnsi="Times New Roman"/>
          <w:sz w:val="18"/>
          <w:szCs w:val="18"/>
          <w:color w:val="auto"/>
        </w:rPr>
        <w:t>ended December 31, 2025,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ind w:right="60"/>
        <w:spacing w:after="0" w:line="215" w:lineRule="auto"/>
        <w:rPr>
          <w:sz w:val="20"/>
          <w:szCs w:val="20"/>
          <w:color w:val="auto"/>
        </w:rPr>
      </w:pPr>
      <w:r>
        <w:rPr>
          <w:rFonts w:ascii="Times New Roman" w:cs="Times New Roman" w:eastAsia="Times New Roman" w:hAnsi="Times New Roman"/>
          <w:sz w:val="17"/>
          <w:szCs w:val="17"/>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w:t>
      </w:r>
    </w:p>
    <w:p>
      <w:pPr>
        <w:spacing w:after="0" w:line="1" w:lineRule="exact"/>
        <w:rPr>
          <w:sz w:val="20"/>
          <w:szCs w:val="20"/>
          <w:color w:val="auto"/>
        </w:rPr>
      </w:pPr>
    </w:p>
    <w:p>
      <w:pPr>
        <w:ind w:right="540"/>
        <w:spacing w:after="0" w:line="218" w:lineRule="auto"/>
        <w:rPr>
          <w:sz w:val="20"/>
          <w:szCs w:val="20"/>
          <w:color w:val="auto"/>
        </w:rPr>
      </w:pPr>
      <w:r>
        <w:rPr>
          <w:rFonts w:ascii="Times New Roman" w:cs="Times New Roman" w:eastAsia="Times New Roman" w:hAnsi="Times New Roman"/>
          <w:sz w:val="18"/>
          <w:szCs w:val="18"/>
          <w:color w:val="auto"/>
        </w:rPr>
        <w:t>required to be independent with respect to the Plan in accordance with the U.S. federal securities laws and the applicable rules and regulations of the Securities and Exchange Commission and the PCAOB.</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conducted our audits in accordance with standards of the PCAOB. Those standards require that we plan and perform the audit to obtain reasonable</w:t>
      </w:r>
    </w:p>
    <w:p>
      <w:pPr>
        <w:ind w:right="20"/>
        <w:spacing w:after="0" w:line="195" w:lineRule="auto"/>
        <w:rPr>
          <w:sz w:val="20"/>
          <w:szCs w:val="20"/>
          <w:color w:val="auto"/>
        </w:rPr>
      </w:pPr>
      <w:r>
        <w:rPr>
          <w:rFonts w:ascii="Times New Roman" w:cs="Times New Roman" w:eastAsia="Times New Roman" w:hAnsi="Times New Roman"/>
          <w:sz w:val="18"/>
          <w:szCs w:val="18"/>
          <w:color w:val="auto"/>
        </w:rPr>
        <w:t>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w:t>
      </w:r>
    </w:p>
    <w:p>
      <w:pPr>
        <w:spacing w:after="0" w:line="204" w:lineRule="auto"/>
        <w:rPr>
          <w:sz w:val="20"/>
          <w:szCs w:val="20"/>
          <w:color w:val="auto"/>
        </w:rPr>
      </w:pPr>
      <w:r>
        <w:rPr>
          <w:rFonts w:ascii="Times New Roman" w:cs="Times New Roman" w:eastAsia="Times New Roman" w:hAnsi="Times New Roman"/>
          <w:sz w:val="18"/>
          <w:szCs w:val="18"/>
          <w:color w:val="auto"/>
        </w:rPr>
        <w:t>control over financial reporting but not for the purpose o expressing an opinion on the effectiveness of the Plan’s internal control over financial 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express no such opinion.</w:t>
      </w:r>
    </w:p>
    <w:p>
      <w:pPr>
        <w:spacing w:after="0" w:line="178"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w:t>
      </w:r>
    </w:p>
    <w:p>
      <w:pPr>
        <w:ind w:right="420"/>
        <w:spacing w:after="0" w:line="218" w:lineRule="auto"/>
        <w:rPr>
          <w:sz w:val="20"/>
          <w:szCs w:val="20"/>
          <w:color w:val="auto"/>
        </w:rPr>
      </w:pPr>
      <w:r>
        <w:rPr>
          <w:rFonts w:ascii="Times New Roman" w:cs="Times New Roman" w:eastAsia="Times New Roman" w:hAnsi="Times New Roman"/>
          <w:sz w:val="18"/>
          <w:szCs w:val="18"/>
          <w:color w:val="auto"/>
        </w:rPr>
        <w:t>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ind w:right="520"/>
        <w:spacing w:after="0" w:line="207" w:lineRule="auto"/>
        <w:rPr>
          <w:sz w:val="20"/>
          <w:szCs w:val="20"/>
          <w:color w:val="auto"/>
        </w:rPr>
      </w:pPr>
      <w:r>
        <w:rPr>
          <w:rFonts w:ascii="Times New Roman" w:cs="Times New Roman" w:eastAsia="Times New Roman" w:hAnsi="Times New Roman"/>
          <w:sz w:val="17"/>
          <w:szCs w:val="17"/>
          <w:color w:val="auto"/>
        </w:rPr>
        <w:t>The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w:t>
      </w:r>
    </w:p>
    <w:p>
      <w:pPr>
        <w:ind w:right="220"/>
        <w:spacing w:after="0" w:line="207" w:lineRule="auto"/>
        <w:rPr>
          <w:sz w:val="20"/>
          <w:szCs w:val="20"/>
          <w:color w:val="auto"/>
        </w:rPr>
      </w:pPr>
      <w:r>
        <w:rPr>
          <w:rFonts w:ascii="Times New Roman" w:cs="Times New Roman" w:eastAsia="Times New Roman" w:hAnsi="Times New Roman"/>
          <w:sz w:val="17"/>
          <w:szCs w:val="17"/>
          <w:color w:val="auto"/>
        </w:rPr>
        <w:t>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w:t>
      </w:r>
    </w:p>
    <w:p>
      <w:pPr>
        <w:spacing w:after="0" w:line="203" w:lineRule="auto"/>
        <w:rPr>
          <w:sz w:val="20"/>
          <w:szCs w:val="20"/>
          <w:color w:val="auto"/>
        </w:rPr>
      </w:pPr>
      <w:r>
        <w:rPr>
          <w:rFonts w:ascii="Times New Roman" w:cs="Times New Roman" w:eastAsia="Times New Roman" w:hAnsi="Times New Roman"/>
          <w:sz w:val="18"/>
          <w:szCs w:val="18"/>
          <w:color w:val="auto"/>
        </w:rPr>
        <w:t>forming our opinion on the supplemental information, we evaluated whether the supplemental information, including its form and content, is presented in</w:t>
      </w:r>
    </w:p>
    <w:p>
      <w:pPr>
        <w:spacing w:after="0" w:line="1"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8"/>
          <w:szCs w:val="18"/>
          <w:color w:val="auto"/>
        </w:rPr>
        <w:t>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Wipfli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450215</wp:posOffset>
            </wp:positionV>
            <wp:extent cx="16256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0"/>
        <w:spacing w:after="0"/>
        <w:tabs>
          <w:tab w:leader="none" w:pos="5940" w:val="left"/>
          <w:tab w:leader="none" w:pos="8300" w:val="left"/>
        </w:tabs>
        <w:rPr>
          <w:sz w:val="20"/>
          <w:szCs w:val="20"/>
          <w:color w:val="auto"/>
        </w:rPr>
      </w:pPr>
      <w:r>
        <w:rPr>
          <w:rFonts w:ascii="Times New Roman" w:cs="Times New Roman" w:eastAsia="Times New Roman" w:hAnsi="Times New Roman"/>
          <w:sz w:val="13"/>
          <w:szCs w:val="13"/>
          <w:b w:val="1"/>
          <w:bCs w:val="1"/>
          <w:color w:val="auto"/>
        </w:rPr>
        <w:t>SPS COMMERCE, INC. 401(K) RETIREMENT SAVINGS PLAN</w:t>
      </w:r>
      <w:r>
        <w:rPr>
          <w:sz w:val="20"/>
          <w:szCs w:val="20"/>
          <w:color w:val="auto"/>
        </w:rPr>
        <w:tab/>
      </w: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3820" w:type="dxa"/>
            <w:vAlign w:val="bottom"/>
            <w:gridSpan w:val="5"/>
          </w:tcPr>
          <w:p>
            <w:pPr>
              <w:jc w:val="center"/>
              <w:ind w:left="1370"/>
              <w:spacing w:after="0"/>
              <w:rPr>
                <w:sz w:val="20"/>
                <w:szCs w:val="20"/>
                <w:color w:val="auto"/>
              </w:rPr>
            </w:pPr>
            <w:r>
              <w:rPr>
                <w:rFonts w:ascii="Times New Roman" w:cs="Times New Roman" w:eastAsia="Times New Roman" w:hAnsi="Times New Roman"/>
                <w:sz w:val="18"/>
                <w:szCs w:val="18"/>
                <w:b w:val="1"/>
                <w:bCs w:val="1"/>
                <w:color w:val="00AAE5"/>
                <w:w w:val="99"/>
              </w:rPr>
              <w:t>SPS COMMERCE, INC.</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75"/>
        </w:trPr>
        <w:tc>
          <w:tcPr>
            <w:tcW w:w="2980" w:type="dxa"/>
            <w:vAlign w:val="bottom"/>
          </w:tcPr>
          <w:p>
            <w:pPr>
              <w:spacing w:after="0"/>
              <w:rPr>
                <w:sz w:val="15"/>
                <w:szCs w:val="15"/>
                <w:color w:val="auto"/>
              </w:rPr>
            </w:pPr>
          </w:p>
        </w:tc>
        <w:tc>
          <w:tcPr>
            <w:tcW w:w="5180" w:type="dxa"/>
            <w:vAlign w:val="bottom"/>
            <w:gridSpan w:val="8"/>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00AAE5"/>
                <w:w w:val="99"/>
              </w:rPr>
              <w:t>401(K) RETIREMENT SAVINGS PLAN</w:t>
            </w:r>
          </w:p>
        </w:tc>
      </w:tr>
      <w:tr>
        <w:trPr>
          <w:trHeight w:val="238"/>
        </w:trPr>
        <w:tc>
          <w:tcPr>
            <w:tcW w:w="2980" w:type="dxa"/>
            <w:vAlign w:val="bottom"/>
          </w:tcPr>
          <w:p>
            <w:pPr>
              <w:spacing w:after="0"/>
              <w:rPr>
                <w:sz w:val="20"/>
                <w:szCs w:val="20"/>
                <w:color w:val="auto"/>
              </w:rPr>
            </w:pPr>
          </w:p>
        </w:tc>
        <w:tc>
          <w:tcPr>
            <w:tcW w:w="5180" w:type="dxa"/>
            <w:vAlign w:val="bottom"/>
            <w:gridSpan w:val="8"/>
          </w:tcPr>
          <w:p>
            <w:pPr>
              <w:jc w:val="center"/>
              <w:ind w:left="30"/>
              <w:spacing w:after="0"/>
              <w:rPr>
                <w:sz w:val="20"/>
                <w:szCs w:val="20"/>
                <w:color w:val="auto"/>
              </w:rPr>
            </w:pPr>
            <w:r>
              <w:rPr>
                <w:rFonts w:ascii="Times New Roman" w:cs="Times New Roman" w:eastAsia="Times New Roman" w:hAnsi="Times New Roman"/>
                <w:sz w:val="18"/>
                <w:szCs w:val="18"/>
                <w:b w:val="1"/>
                <w:bCs w:val="1"/>
                <w:color w:val="00AAE5"/>
                <w:w w:val="98"/>
              </w:rPr>
              <w:t>STATEMENTS OF NET ASSETS AVAILABLE FOR BENEFITS</w:t>
            </w:r>
          </w:p>
        </w:tc>
      </w:tr>
      <w:tr>
        <w:trPr>
          <w:trHeight w:val="454"/>
        </w:trPr>
        <w:tc>
          <w:tcPr>
            <w:tcW w:w="2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29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200"/>
        </w:trPr>
        <w:tc>
          <w:tcPr>
            <w:tcW w:w="29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r>
      <w:tr>
        <w:trPr>
          <w:trHeight w:val="37"/>
        </w:trPr>
        <w:tc>
          <w:tcPr>
            <w:tcW w:w="2980" w:type="dxa"/>
            <w:vAlign w:val="bottom"/>
            <w:tcBorders>
              <w:bottom w:val="single" w:sz="8" w:color="CFF0FC"/>
            </w:tcBorders>
          </w:tcPr>
          <w:p>
            <w:pPr>
              <w:spacing w:after="0"/>
              <w:rPr>
                <w:sz w:val="3"/>
                <w:szCs w:val="3"/>
                <w:color w:val="auto"/>
              </w:rPr>
            </w:pPr>
          </w:p>
        </w:tc>
        <w:tc>
          <w:tcPr>
            <w:tcW w:w="2460" w:type="dxa"/>
            <w:vAlign w:val="bottom"/>
            <w:tcBorders>
              <w:bottom w:val="single" w:sz="8" w:color="CFF0FC"/>
            </w:tcBorders>
          </w:tcPr>
          <w:p>
            <w:pPr>
              <w:spacing w:after="0"/>
              <w:rPr>
                <w:sz w:val="3"/>
                <w:szCs w:val="3"/>
                <w:color w:val="auto"/>
              </w:rPr>
            </w:pPr>
          </w:p>
        </w:tc>
        <w:tc>
          <w:tcPr>
            <w:tcW w:w="18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257"/>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 bearing cash</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80" w:type="dxa"/>
            <w:vAlign w:val="bottom"/>
          </w:tcPr>
          <w:p>
            <w:pPr>
              <w:spacing w:after="0"/>
              <w:rPr>
                <w:sz w:val="22"/>
                <w:szCs w:val="22"/>
                <w:color w:val="auto"/>
              </w:rPr>
            </w:pPr>
          </w:p>
        </w:tc>
      </w:tr>
      <w:tr>
        <w:trPr>
          <w:trHeight w:val="40"/>
        </w:trPr>
        <w:tc>
          <w:tcPr>
            <w:tcW w:w="29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57"/>
        </w:trPr>
        <w:tc>
          <w:tcPr>
            <w:tcW w:w="2980" w:type="dxa"/>
            <w:vAlign w:val="bottom"/>
            <w:shd w:val="clear" w:color="auto" w:fill="CFF0FC"/>
          </w:tcPr>
          <w:p>
            <w:pPr>
              <w:spacing w:after="0"/>
              <w:rPr>
                <w:sz w:val="22"/>
                <w:szCs w:val="22"/>
                <w:color w:val="auto"/>
              </w:rPr>
            </w:pPr>
          </w:p>
        </w:tc>
        <w:tc>
          <w:tcPr>
            <w:tcW w:w="24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41"/>
        </w:trPr>
        <w:tc>
          <w:tcPr>
            <w:tcW w:w="29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77"/>
        </w:trPr>
        <w:tc>
          <w:tcPr>
            <w:tcW w:w="29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Mutual funds</w:t>
            </w:r>
          </w:p>
        </w:tc>
        <w:tc>
          <w:tcPr>
            <w:tcW w:w="24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74,651,689</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62,109,137</w:t>
            </w:r>
          </w:p>
        </w:tc>
        <w:tc>
          <w:tcPr>
            <w:tcW w:w="280" w:type="dxa"/>
            <w:vAlign w:val="bottom"/>
          </w:tcPr>
          <w:p>
            <w:pPr>
              <w:spacing w:after="0"/>
              <w:rPr>
                <w:sz w:val="24"/>
                <w:szCs w:val="24"/>
                <w:color w:val="auto"/>
              </w:rPr>
            </w:pPr>
          </w:p>
        </w:tc>
      </w:tr>
      <w:tr>
        <w:trPr>
          <w:trHeight w:val="257"/>
        </w:trPr>
        <w:tc>
          <w:tcPr>
            <w:tcW w:w="2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SPS Commerce, Inc. common stock</w:t>
            </w:r>
          </w:p>
        </w:tc>
        <w:tc>
          <w:tcPr>
            <w:tcW w:w="2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10,714,050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19,378,857</w:t>
            </w:r>
          </w:p>
        </w:tc>
        <w:tc>
          <w:tcPr>
            <w:tcW w:w="280" w:type="dxa"/>
            <w:vAlign w:val="bottom"/>
          </w:tcPr>
          <w:p>
            <w:pPr>
              <w:spacing w:after="0"/>
              <w:rPr>
                <w:sz w:val="22"/>
                <w:szCs w:val="22"/>
                <w:color w:val="auto"/>
              </w:rPr>
            </w:pPr>
          </w:p>
        </w:tc>
      </w:tr>
      <w:tr>
        <w:trPr>
          <w:trHeight w:val="40"/>
        </w:trPr>
        <w:tc>
          <w:tcPr>
            <w:tcW w:w="29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97"/>
        </w:trPr>
        <w:tc>
          <w:tcPr>
            <w:tcW w:w="29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24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shd w:val="clear" w:color="auto" w:fill="CCEEFF"/>
              </w:rPr>
              <w:t>170,546,549</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129,601,053</w:t>
            </w:r>
          </w:p>
        </w:tc>
        <w:tc>
          <w:tcPr>
            <w:tcW w:w="280" w:type="dxa"/>
            <w:vAlign w:val="bottom"/>
          </w:tcPr>
          <w:p>
            <w:pPr>
              <w:spacing w:after="0"/>
              <w:rPr>
                <w:sz w:val="24"/>
                <w:szCs w:val="24"/>
                <w:color w:val="auto"/>
              </w:rPr>
            </w:pPr>
          </w:p>
        </w:tc>
      </w:tr>
      <w:tr>
        <w:trPr>
          <w:trHeight w:val="250"/>
        </w:trPr>
        <w:tc>
          <w:tcPr>
            <w:tcW w:w="2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Total investments</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255,912,288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211,089,047</w:t>
            </w:r>
          </w:p>
        </w:tc>
        <w:tc>
          <w:tcPr>
            <w:tcW w:w="280" w:type="dxa"/>
            <w:vAlign w:val="bottom"/>
          </w:tcPr>
          <w:p>
            <w:pPr>
              <w:spacing w:after="0"/>
              <w:rPr>
                <w:sz w:val="21"/>
                <w:szCs w:val="21"/>
                <w:color w:val="auto"/>
              </w:rPr>
            </w:pPr>
          </w:p>
        </w:tc>
      </w:tr>
      <w:tr>
        <w:trPr>
          <w:trHeight w:val="40"/>
        </w:trPr>
        <w:tc>
          <w:tcPr>
            <w:tcW w:w="29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r>
      <w:tr>
        <w:trPr>
          <w:trHeight w:val="257"/>
        </w:trPr>
        <w:tc>
          <w:tcPr>
            <w:tcW w:w="2980" w:type="dxa"/>
            <w:vAlign w:val="bottom"/>
            <w:shd w:val="clear" w:color="auto" w:fill="CFF0FC"/>
          </w:tcPr>
          <w:p>
            <w:pPr>
              <w:spacing w:after="0"/>
              <w:rPr>
                <w:sz w:val="22"/>
                <w:szCs w:val="22"/>
                <w:color w:val="auto"/>
              </w:rPr>
            </w:pPr>
          </w:p>
        </w:tc>
        <w:tc>
          <w:tcPr>
            <w:tcW w:w="24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receivables</w:t>
            </w:r>
          </w:p>
        </w:tc>
        <w:tc>
          <w:tcPr>
            <w:tcW w:w="2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9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97"/>
        </w:trPr>
        <w:tc>
          <w:tcPr>
            <w:tcW w:w="2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4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1,611,115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1,261,443</w:t>
            </w:r>
          </w:p>
        </w:tc>
        <w:tc>
          <w:tcPr>
            <w:tcW w:w="280" w:type="dxa"/>
            <w:vAlign w:val="bottom"/>
          </w:tcPr>
          <w:p>
            <w:pPr>
              <w:spacing w:after="0"/>
              <w:rPr>
                <w:sz w:val="24"/>
                <w:szCs w:val="24"/>
                <w:color w:val="auto"/>
              </w:rPr>
            </w:pPr>
          </w:p>
        </w:tc>
      </w:tr>
      <w:tr>
        <w:trPr>
          <w:trHeight w:val="250"/>
        </w:trPr>
        <w:tc>
          <w:tcPr>
            <w:tcW w:w="29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Total receivables</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1,615,836</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1,261,443</w:t>
            </w:r>
          </w:p>
        </w:tc>
        <w:tc>
          <w:tcPr>
            <w:tcW w:w="280" w:type="dxa"/>
            <w:vAlign w:val="bottom"/>
          </w:tcPr>
          <w:p>
            <w:pPr>
              <w:spacing w:after="0"/>
              <w:rPr>
                <w:sz w:val="21"/>
                <w:szCs w:val="21"/>
                <w:color w:val="auto"/>
              </w:rPr>
            </w:pPr>
          </w:p>
        </w:tc>
      </w:tr>
      <w:tr>
        <w:trPr>
          <w:trHeight w:val="40"/>
        </w:trPr>
        <w:tc>
          <w:tcPr>
            <w:tcW w:w="298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50"/>
        </w:trPr>
        <w:tc>
          <w:tcPr>
            <w:tcW w:w="298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25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257,530,044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212,352,632</w:t>
            </w:r>
          </w:p>
        </w:tc>
        <w:tc>
          <w:tcPr>
            <w:tcW w:w="280" w:type="dxa"/>
            <w:vAlign w:val="bottom"/>
          </w:tcPr>
          <w:p>
            <w:pPr>
              <w:spacing w:after="0"/>
              <w:rPr>
                <w:sz w:val="22"/>
                <w:szCs w:val="22"/>
                <w:color w:val="auto"/>
              </w:rPr>
            </w:pPr>
          </w:p>
        </w:tc>
      </w:tr>
      <w:tr>
        <w:trPr>
          <w:trHeight w:val="40"/>
        </w:trPr>
        <w:tc>
          <w:tcPr>
            <w:tcW w:w="29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20"/>
        </w:trPr>
        <w:tc>
          <w:tcPr>
            <w:tcW w:w="2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447040</wp:posOffset>
            </wp:positionV>
            <wp:extent cx="16256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tabs>
          <w:tab w:leader="none" w:pos="5940" w:val="left"/>
          <w:tab w:leader="none" w:pos="8300" w:val="left"/>
        </w:tabs>
        <w:rPr>
          <w:sz w:val="20"/>
          <w:szCs w:val="20"/>
          <w:color w:val="auto"/>
        </w:rPr>
      </w:pPr>
      <w:r>
        <w:rPr>
          <w:rFonts w:ascii="Times New Roman" w:cs="Times New Roman" w:eastAsia="Times New Roman" w:hAnsi="Times New Roman"/>
          <w:sz w:val="13"/>
          <w:szCs w:val="13"/>
          <w:b w:val="1"/>
          <w:bCs w:val="1"/>
          <w:color w:val="auto"/>
        </w:rPr>
        <w:t>SPS COMMERCE, INC. 401(K) RETIREMENT SAVINGS PLAN</w:t>
      </w:r>
      <w:r>
        <w:rPr>
          <w:sz w:val="20"/>
          <w:szCs w:val="20"/>
          <w:color w:val="auto"/>
        </w:rPr>
        <w:tab/>
      </w:r>
      <w:r>
        <w:rPr>
          <w:rFonts w:ascii="Times New Roman" w:cs="Times New Roman" w:eastAsia="Times New Roman" w:hAnsi="Times New Roman"/>
          <w:sz w:val="14"/>
          <w:szCs w:val="14"/>
          <w:color w:val="auto"/>
        </w:rPr>
        <w:t>4</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SPS COMMERCE,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00AAE5"/>
        </w:rPr>
        <w:t>401(K) RETIREMENT SAVINGS PLAN</w:t>
      </w:r>
    </w:p>
    <w:p>
      <w:pPr>
        <w:jc w:val="center"/>
        <w:spacing w:after="0"/>
        <w:rPr>
          <w:sz w:val="20"/>
          <w:szCs w:val="20"/>
          <w:color w:val="auto"/>
        </w:rPr>
      </w:pPr>
      <w:r>
        <w:rPr>
          <w:rFonts w:ascii="Times New Roman" w:cs="Times New Roman" w:eastAsia="Times New Roman" w:hAnsi="Times New Roman"/>
          <w:sz w:val="18"/>
          <w:szCs w:val="18"/>
          <w:b w:val="1"/>
          <w:bCs w:val="1"/>
          <w:color w:val="00AAE5"/>
        </w:rPr>
        <w:t>STATEMENT OF CHANGES IN NET ASSETS AVAILABLE FOR BENEFITS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9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50"/>
        </w:trPr>
        <w:tc>
          <w:tcPr>
            <w:tcW w:w="9220" w:type="dxa"/>
            <w:vAlign w:val="bottom"/>
            <w:tcBorders>
              <w:bottom w:val="single" w:sz="8" w:color="CFF0FC"/>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57"/>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Activity &amp; Additions</w:t>
            </w:r>
          </w:p>
        </w:tc>
        <w:tc>
          <w:tcPr>
            <w:tcW w:w="22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CFF0FC"/>
            </w:tcBorders>
            <w:shd w:val="clear" w:color="auto" w:fill="CFF0FC"/>
          </w:tcPr>
          <w:p>
            <w:pPr>
              <w:spacing w:after="0"/>
              <w:rPr>
                <w:sz w:val="22"/>
                <w:szCs w:val="22"/>
                <w:color w:val="auto"/>
              </w:rPr>
            </w:pPr>
          </w:p>
        </w:tc>
      </w:tr>
      <w:tr>
        <w:trPr>
          <w:trHeight w:val="257"/>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40"/>
        </w:trPr>
        <w:tc>
          <w:tcPr>
            <w:tcW w:w="9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77"/>
        </w:trPr>
        <w:tc>
          <w:tcPr>
            <w:tcW w:w="92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23,867,828</w:t>
            </w:r>
          </w:p>
        </w:tc>
      </w:tr>
      <w:tr>
        <w:trPr>
          <w:trHeight w:val="257"/>
        </w:trPr>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2,656,724</w:t>
            </w:r>
          </w:p>
        </w:tc>
      </w:tr>
      <w:tr>
        <w:trPr>
          <w:trHeight w:val="41"/>
        </w:trPr>
        <w:tc>
          <w:tcPr>
            <w:tcW w:w="922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70"/>
        </w:trPr>
        <w:tc>
          <w:tcPr>
            <w:tcW w:w="922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bottom w:val="single" w:sz="8" w:color="CFF0FC"/>
            </w:tcBorders>
            <w:shd w:val="clear" w:color="auto" w:fill="CFF0FC"/>
          </w:tcPr>
          <w:p>
            <w:pPr>
              <w:spacing w:after="0"/>
              <w:rPr>
                <w:sz w:val="23"/>
                <w:szCs w:val="23"/>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26,524,552</w:t>
            </w:r>
          </w:p>
        </w:tc>
      </w:tr>
      <w:tr>
        <w:trPr>
          <w:trHeight w:val="257"/>
        </w:trPr>
        <w:tc>
          <w:tcPr>
            <w:tcW w:w="9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9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118,377</w:t>
            </w:r>
          </w:p>
        </w:tc>
      </w:tr>
      <w:tr>
        <w:trPr>
          <w:trHeight w:val="257"/>
        </w:trPr>
        <w:tc>
          <w:tcPr>
            <w:tcW w:w="9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9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Contributions</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r>
      <w:tr>
        <w:trPr>
          <w:trHeight w:val="257"/>
        </w:trPr>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Participant elective deferral</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21,422,325</w:t>
            </w:r>
          </w:p>
        </w:tc>
      </w:tr>
      <w:tr>
        <w:trPr>
          <w:trHeight w:val="40"/>
        </w:trPr>
        <w:tc>
          <w:tcPr>
            <w:tcW w:w="9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77"/>
        </w:trPr>
        <w:tc>
          <w:tcPr>
            <w:tcW w:w="92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Employer matching</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6,099,464</w:t>
            </w:r>
          </w:p>
        </w:tc>
      </w:tr>
      <w:tr>
        <w:trPr>
          <w:trHeight w:val="257"/>
        </w:trPr>
        <w:tc>
          <w:tcPr>
            <w:tcW w:w="9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Participant rollovers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3,694,989</w:t>
            </w:r>
          </w:p>
        </w:tc>
      </w:tr>
      <w:tr>
        <w:trPr>
          <w:trHeight w:val="41"/>
        </w:trPr>
        <w:tc>
          <w:tcPr>
            <w:tcW w:w="922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70"/>
        </w:trPr>
        <w:tc>
          <w:tcPr>
            <w:tcW w:w="922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Total contributions</w:t>
            </w:r>
          </w:p>
        </w:tc>
        <w:tc>
          <w:tcPr>
            <w:tcW w:w="220" w:type="dxa"/>
            <w:vAlign w:val="bottom"/>
            <w:tcBorders>
              <w:bottom w:val="single" w:sz="8" w:color="CFF0FC"/>
            </w:tcBorders>
            <w:shd w:val="clear" w:color="auto" w:fill="CFF0FC"/>
          </w:tcPr>
          <w:p>
            <w:pPr>
              <w:spacing w:after="0"/>
              <w:rPr>
                <w:sz w:val="23"/>
                <w:szCs w:val="23"/>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31,216,778</w:t>
            </w:r>
          </w:p>
        </w:tc>
      </w:tr>
      <w:tr>
        <w:trPr>
          <w:trHeight w:val="257"/>
        </w:trPr>
        <w:tc>
          <w:tcPr>
            <w:tcW w:w="9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9220" w:type="dxa"/>
            <w:vAlign w:val="bottom"/>
            <w:tcBorders>
              <w:bottom w:val="single" w:sz="8" w:color="CFF0FC"/>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Total investment activity and additions</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57,859,707</w:t>
            </w:r>
          </w:p>
        </w:tc>
      </w:tr>
      <w:tr>
        <w:trPr>
          <w:trHeight w:val="256"/>
        </w:trPr>
        <w:tc>
          <w:tcPr>
            <w:tcW w:w="9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r>
      <w:tr>
        <w:trPr>
          <w:trHeight w:val="257"/>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18,327,587</w:t>
            </w:r>
          </w:p>
        </w:tc>
      </w:tr>
      <w:tr>
        <w:trPr>
          <w:trHeight w:val="40"/>
        </w:trPr>
        <w:tc>
          <w:tcPr>
            <w:tcW w:w="9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97"/>
        </w:trPr>
        <w:tc>
          <w:tcPr>
            <w:tcW w:w="9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249,299</w:t>
            </w:r>
          </w:p>
        </w:tc>
      </w:tr>
      <w:tr>
        <w:trPr>
          <w:trHeight w:val="250"/>
        </w:trPr>
        <w:tc>
          <w:tcPr>
            <w:tcW w:w="9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Total deductions</w:t>
            </w:r>
          </w:p>
        </w:tc>
        <w:tc>
          <w:tcPr>
            <w:tcW w:w="2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18,576,886</w:t>
            </w:r>
          </w:p>
        </w:tc>
      </w:tr>
      <w:tr>
        <w:trPr>
          <w:trHeight w:val="40"/>
        </w:trPr>
        <w:tc>
          <w:tcPr>
            <w:tcW w:w="9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6"/>
        </w:trPr>
        <w:tc>
          <w:tcPr>
            <w:tcW w:w="9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r>
      <w:tr>
        <w:trPr>
          <w:trHeight w:val="257"/>
        </w:trPr>
        <w:tc>
          <w:tcPr>
            <w:tcW w:w="9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39,282,821</w:t>
            </w:r>
          </w:p>
        </w:tc>
      </w:tr>
      <w:tr>
        <w:trPr>
          <w:trHeight w:val="40"/>
        </w:trPr>
        <w:tc>
          <w:tcPr>
            <w:tcW w:w="9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70"/>
        </w:trPr>
        <w:tc>
          <w:tcPr>
            <w:tcW w:w="92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580" w:type="dxa"/>
            <w:vAlign w:val="bottom"/>
            <w:shd w:val="clear" w:color="auto" w:fill="CFF0FC"/>
          </w:tcPr>
          <w:p>
            <w:pPr>
              <w:spacing w:after="0"/>
              <w:rPr>
                <w:sz w:val="23"/>
                <w:szCs w:val="23"/>
                <w:color w:val="auto"/>
              </w:rPr>
            </w:pPr>
          </w:p>
        </w:tc>
      </w:tr>
      <w:tr>
        <w:trPr>
          <w:trHeight w:val="257"/>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in</w:t>
            </w: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5,894,591</w:t>
            </w:r>
          </w:p>
        </w:tc>
      </w:tr>
      <w:tr>
        <w:trPr>
          <w:trHeight w:val="40"/>
        </w:trPr>
        <w:tc>
          <w:tcPr>
            <w:tcW w:w="9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6"/>
        </w:trPr>
        <w:tc>
          <w:tcPr>
            <w:tcW w:w="9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r>
      <w:tr>
        <w:trPr>
          <w:trHeight w:val="257"/>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40"/>
        </w:trPr>
        <w:tc>
          <w:tcPr>
            <w:tcW w:w="9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97"/>
        </w:trPr>
        <w:tc>
          <w:tcPr>
            <w:tcW w:w="9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212,352,632</w:t>
            </w:r>
          </w:p>
        </w:tc>
      </w:tr>
      <w:tr>
        <w:trPr>
          <w:trHeight w:val="236"/>
        </w:trPr>
        <w:tc>
          <w:tcPr>
            <w:tcW w:w="9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r>
      <w:tr>
        <w:trPr>
          <w:trHeight w:val="302"/>
        </w:trPr>
        <w:tc>
          <w:tcPr>
            <w:tcW w:w="9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257,530,044</w:t>
            </w:r>
          </w:p>
        </w:tc>
      </w:tr>
      <w:tr>
        <w:trPr>
          <w:trHeight w:val="20"/>
        </w:trPr>
        <w:tc>
          <w:tcPr>
            <w:tcW w:w="9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2307590</wp:posOffset>
            </wp:positionV>
            <wp:extent cx="16256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ectPr>
          <w:pgSz w:w="11900" w:h="16838" w:orient="portrait"/>
          <w:cols w:equalWidth="0" w:num="1">
            <w:col w:w="11240"/>
          </w:cols>
          <w:pgMar w:left="320" w:top="114" w:right="339" w:bottom="10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tabs>
          <w:tab w:leader="none" w:pos="5940" w:val="left"/>
          <w:tab w:leader="none" w:pos="8300" w:val="left"/>
        </w:tabs>
        <w:rPr>
          <w:sz w:val="20"/>
          <w:szCs w:val="20"/>
          <w:color w:val="auto"/>
        </w:rPr>
      </w:pPr>
      <w:r>
        <w:rPr>
          <w:rFonts w:ascii="Times New Roman" w:cs="Times New Roman" w:eastAsia="Times New Roman" w:hAnsi="Times New Roman"/>
          <w:sz w:val="13"/>
          <w:szCs w:val="13"/>
          <w:b w:val="1"/>
          <w:bCs w:val="1"/>
          <w:color w:val="auto"/>
        </w:rPr>
        <w:t>SPS COMMERCE, INC. 401(K) RETIREMENT SAVINGS PLAN</w:t>
      </w:r>
      <w:r>
        <w:rPr>
          <w:sz w:val="20"/>
          <w:szCs w:val="20"/>
          <w:color w:val="auto"/>
        </w:rPr>
        <w:tab/>
      </w:r>
      <w:r>
        <w:rPr>
          <w:rFonts w:ascii="Times New Roman" w:cs="Times New Roman" w:eastAsia="Times New Roman" w:hAnsi="Times New Roman"/>
          <w:sz w:val="14"/>
          <w:szCs w:val="14"/>
          <w:color w:val="auto"/>
        </w:rPr>
        <w:t>5</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005"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SPS COMMERCE,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00AAE5"/>
        </w:rPr>
        <w:t>401(K) RETIREMENT SAVINGS PLAN</w:t>
      </w:r>
    </w:p>
    <w:p>
      <w:pPr>
        <w:jc w:val="center"/>
        <w:spacing w:after="0"/>
        <w:rPr>
          <w:sz w:val="20"/>
          <w:szCs w:val="20"/>
          <w:color w:val="auto"/>
        </w:rPr>
      </w:pPr>
      <w:r>
        <w:rPr>
          <w:rFonts w:ascii="Times New Roman" w:cs="Times New Roman" w:eastAsia="Times New Roman" w:hAnsi="Times New Roman"/>
          <w:sz w:val="18"/>
          <w:szCs w:val="18"/>
          <w:b w:val="1"/>
          <w:bCs w:val="1"/>
          <w:color w:val="00AAE5"/>
        </w:rPr>
        <w:t>Notes to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A – Plan Description</w:t>
      </w:r>
    </w:p>
    <w:p>
      <w:pPr>
        <w:spacing w:after="0" w:line="216"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The following description of the SPS Commerce, Inc. 401(k) Retirement Savings Plan (the “Plan”) is provided for general informational purposes only. Participants should refer to the Plan document for a more complete description of the Plan’s provisions.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General</w:t>
      </w:r>
    </w:p>
    <w:p>
      <w:pPr>
        <w:spacing w:after="0" w:line="81"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17"/>
          <w:szCs w:val="17"/>
          <w:color w:val="auto"/>
        </w:rPr>
        <w:t>The Plan, established on December 20, 1995, is a defined contribution plan subject to the provisions of ERISA and was most recently restated on May 1, 2024 when the Plan adopted the Fidelity Pre-Approved Defined Contribution Plan document. SPS Commerce, Inc. is the Plan administrator and</w:t>
      </w:r>
    </w:p>
    <w:p>
      <w:pPr>
        <w:spacing w:after="0"/>
        <w:rPr>
          <w:sz w:val="20"/>
          <w:szCs w:val="20"/>
          <w:color w:val="auto"/>
        </w:rPr>
      </w:pPr>
      <w:r>
        <w:rPr>
          <w:rFonts w:ascii="Times New Roman" w:cs="Times New Roman" w:eastAsia="Times New Roman" w:hAnsi="Times New Roman"/>
          <w:sz w:val="18"/>
          <w:szCs w:val="18"/>
          <w:color w:val="auto"/>
        </w:rPr>
        <w:t>sponsor (further referred to herein as the “Company,” “Plan Administrator,” or “Plan Sponsor”).</w:t>
      </w:r>
    </w:p>
    <w:p>
      <w:pPr>
        <w:spacing w:after="0" w:line="57" w:lineRule="exact"/>
        <w:rPr>
          <w:sz w:val="20"/>
          <w:szCs w:val="20"/>
          <w:color w:val="auto"/>
        </w:rPr>
      </w:pPr>
    </w:p>
    <w:p>
      <w:pPr>
        <w:ind w:right="420" w:firstLine="648"/>
        <w:spacing w:after="0" w:line="222" w:lineRule="auto"/>
        <w:rPr>
          <w:sz w:val="20"/>
          <w:szCs w:val="20"/>
          <w:color w:val="auto"/>
        </w:rPr>
      </w:pPr>
      <w:r>
        <w:rPr>
          <w:rFonts w:ascii="Times New Roman" w:cs="Times New Roman" w:eastAsia="Times New Roman" w:hAnsi="Times New Roman"/>
          <w:sz w:val="18"/>
          <w:szCs w:val="18"/>
          <w:color w:val="auto"/>
        </w:rPr>
        <w:t>In May 2025, and in connection with the Company’s prior acquisition of all of the outstanding equity ownership interests of SupplyPike, Inc. (“SupplyPike”), the Company transferred the net assets from the defined contribution retirement plan that SupplyPike's eligible employees were</w:t>
      </w:r>
    </w:p>
    <w:p>
      <w:pPr>
        <w:spacing w:after="0" w:line="2"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participating in (the “SupplyPike Plan”) into the Plan. Total net assets transferred into the Plan were $5.9 million. Participants in the SupplyPike Plan became eligible in the Plan in January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Eligibility</w:t>
      </w:r>
    </w:p>
    <w:p>
      <w:pPr>
        <w:spacing w:after="0" w:line="94" w:lineRule="exact"/>
        <w:rPr>
          <w:sz w:val="20"/>
          <w:szCs w:val="20"/>
          <w:color w:val="auto"/>
        </w:rPr>
      </w:pPr>
    </w:p>
    <w:p>
      <w:pPr>
        <w:ind w:right="240" w:firstLine="648"/>
        <w:spacing w:after="0" w:line="226" w:lineRule="auto"/>
        <w:rPr>
          <w:sz w:val="20"/>
          <w:szCs w:val="20"/>
          <w:color w:val="auto"/>
        </w:rPr>
      </w:pPr>
      <w:r>
        <w:rPr>
          <w:rFonts w:ascii="Times New Roman" w:cs="Times New Roman" w:eastAsia="Times New Roman" w:hAnsi="Times New Roman"/>
          <w:sz w:val="18"/>
          <w:szCs w:val="18"/>
          <w:color w:val="auto"/>
        </w:rPr>
        <w:t>All regular employees, upon attaining age 21, may become participants in the Plan on the first day of each Plan month for both participant deferrals and Company matching contributions. Additionally, participants are eligible to receive Company discretionary nonelective contributions on the first day of the month following one year of eligible service if they are employed as of the last day of the plan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Funding Policy</w:t>
      </w:r>
    </w:p>
    <w:p>
      <w:pPr>
        <w:spacing w:after="0" w:line="6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Pretax and Roth contributions made pursuant to participant election deferrals are permitted in whole percentages from 1% to 80% of the</w:t>
      </w:r>
    </w:p>
    <w:p>
      <w:pPr>
        <w:ind w:right="140"/>
        <w:spacing w:after="0" w:line="233" w:lineRule="auto"/>
        <w:rPr>
          <w:sz w:val="20"/>
          <w:szCs w:val="20"/>
          <w:color w:val="auto"/>
        </w:rPr>
      </w:pPr>
      <w:r>
        <w:rPr>
          <w:rFonts w:ascii="Times New Roman" w:cs="Times New Roman" w:eastAsia="Times New Roman" w:hAnsi="Times New Roman"/>
          <w:sz w:val="18"/>
          <w:szCs w:val="18"/>
          <w:color w:val="auto"/>
        </w:rPr>
        <w:t>participant’s compensation, subject to limits established by law. Participants who will be age 50 or older by the end of the Plan year are permitted to make catch-up contributions. Participants may also make rollover contributions to the Plan from other qualified plans.</w:t>
      </w:r>
    </w:p>
    <w:p>
      <w:pPr>
        <w:spacing w:after="0" w:line="51"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The Company matches half of the participant’s elective deferrals, up to the first 6% of the participant’s pre-tax compensation for each pay period. Half of the match is in Company stock, which is purchased in the open market by Fidelity Management Trust Company (“Fidelity”) and immediately</w:t>
      </w:r>
    </w:p>
    <w:p>
      <w:pPr>
        <w:spacing w:after="0"/>
        <w:rPr>
          <w:sz w:val="20"/>
          <w:szCs w:val="20"/>
          <w:color w:val="auto"/>
        </w:rPr>
      </w:pPr>
      <w:r>
        <w:rPr>
          <w:rFonts w:ascii="Times New Roman" w:cs="Times New Roman" w:eastAsia="Times New Roman" w:hAnsi="Times New Roman"/>
          <w:sz w:val="18"/>
          <w:szCs w:val="18"/>
          <w:color w:val="auto"/>
        </w:rPr>
        <w:t>deposited into the participant’s 401(k) account. The other half of the match is allocated in the same manner as the participant investment election(s).</w:t>
      </w:r>
    </w:p>
    <w:p>
      <w:pPr>
        <w:spacing w:after="0" w:line="57" w:lineRule="exact"/>
        <w:rPr>
          <w:sz w:val="20"/>
          <w:szCs w:val="20"/>
          <w:color w:val="auto"/>
        </w:rPr>
      </w:pPr>
    </w:p>
    <w:p>
      <w:pPr>
        <w:ind w:right="720" w:firstLine="648"/>
        <w:spacing w:after="0" w:line="237" w:lineRule="auto"/>
        <w:rPr>
          <w:sz w:val="20"/>
          <w:szCs w:val="20"/>
          <w:color w:val="auto"/>
        </w:rPr>
      </w:pPr>
      <w:r>
        <w:rPr>
          <w:rFonts w:ascii="Times New Roman" w:cs="Times New Roman" w:eastAsia="Times New Roman" w:hAnsi="Times New Roman"/>
          <w:sz w:val="18"/>
          <w:szCs w:val="18"/>
          <w:color w:val="auto"/>
        </w:rPr>
        <w:t>The Company may make discretionary nonelective contributions at the discretion of the Company’s Board of Directors. No discretionary employer contributions were made during the year ended December 31,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Participants’ 401(k) Accounts</w:t>
      </w:r>
    </w:p>
    <w:p>
      <w:pPr>
        <w:spacing w:after="0" w:line="81" w:lineRule="exact"/>
        <w:rPr>
          <w:sz w:val="20"/>
          <w:szCs w:val="20"/>
          <w:color w:val="auto"/>
        </w:rPr>
      </w:pPr>
    </w:p>
    <w:p>
      <w:pPr>
        <w:ind w:right="260" w:firstLine="648"/>
        <w:spacing w:after="0" w:line="222" w:lineRule="auto"/>
        <w:rPr>
          <w:sz w:val="20"/>
          <w:szCs w:val="20"/>
          <w:color w:val="auto"/>
        </w:rPr>
      </w:pPr>
      <w:r>
        <w:rPr>
          <w:rFonts w:ascii="Times New Roman" w:cs="Times New Roman" w:eastAsia="Times New Roman" w:hAnsi="Times New Roman"/>
          <w:sz w:val="18"/>
          <w:szCs w:val="18"/>
          <w:color w:val="auto"/>
        </w:rPr>
        <w:t>Participants’ accounts are credited with their contributions, employer matching contributions, discretionary employer contributions, earnings or losses thereon, and charged with an allocation of administrative expenses. Expense allocations are either pro-rata to each participant or based on each</w:t>
      </w:r>
    </w:p>
    <w:p>
      <w:pPr>
        <w:spacing w:after="0" w:line="2" w:lineRule="exact"/>
        <w:rPr>
          <w:sz w:val="20"/>
          <w:szCs w:val="20"/>
          <w:color w:val="auto"/>
        </w:rPr>
      </w:pPr>
    </w:p>
    <w:p>
      <w:pPr>
        <w:ind w:right="880"/>
        <w:spacing w:after="0" w:line="226" w:lineRule="auto"/>
        <w:rPr>
          <w:sz w:val="20"/>
          <w:szCs w:val="20"/>
          <w:color w:val="auto"/>
        </w:rPr>
      </w:pPr>
      <w:r>
        <w:rPr>
          <w:rFonts w:ascii="Times New Roman" w:cs="Times New Roman" w:eastAsia="Times New Roman" w:hAnsi="Times New Roman"/>
          <w:sz w:val="18"/>
          <w:szCs w:val="18"/>
          <w:color w:val="auto"/>
        </w:rPr>
        <w:t>participant’s account balance, as defined by the Plan. The benefit to which a participant is entitled is the benefit which can be provided from the participant’s vested account.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Vesting</w:t>
      </w:r>
    </w:p>
    <w:p>
      <w:pPr>
        <w:spacing w:after="0" w:line="94" w:lineRule="exact"/>
        <w:rPr>
          <w:sz w:val="20"/>
          <w:szCs w:val="20"/>
          <w:color w:val="auto"/>
        </w:rPr>
      </w:pPr>
    </w:p>
    <w:p>
      <w:pPr>
        <w:jc w:val="both"/>
        <w:ind w:right="160" w:firstLine="648"/>
        <w:spacing w:after="0" w:line="226" w:lineRule="auto"/>
        <w:rPr>
          <w:sz w:val="20"/>
          <w:szCs w:val="20"/>
          <w:color w:val="auto"/>
        </w:rPr>
      </w:pPr>
      <w:r>
        <w:rPr>
          <w:rFonts w:ascii="Times New Roman" w:cs="Times New Roman" w:eastAsia="Times New Roman" w:hAnsi="Times New Roman"/>
          <w:sz w:val="18"/>
          <w:szCs w:val="18"/>
          <w:color w:val="auto"/>
        </w:rPr>
        <w:t>Each participant is fully vested in the portion of the participant’s account that relates to participant contributions and earnings thereon. Vesting in the employer matching and discretionary nonelective contribution portions of participant accounts, plus actual earnings thereon, is based on hire date and years of vesting service, as defined in the Plan document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Hire Date and Years of Service</w:t>
            </w:r>
          </w:p>
        </w:tc>
        <w:tc>
          <w:tcPr>
            <w:tcW w:w="20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Vesting Percentage</w:t>
            </w:r>
          </w:p>
        </w:tc>
        <w:tc>
          <w:tcPr>
            <w:tcW w:w="240" w:type="dxa"/>
            <w:vAlign w:val="bottom"/>
          </w:tcPr>
          <w:p>
            <w:pPr>
              <w:spacing w:after="0"/>
              <w:rPr>
                <w:sz w:val="16"/>
                <w:szCs w:val="16"/>
                <w:color w:val="auto"/>
              </w:rPr>
            </w:pPr>
          </w:p>
        </w:tc>
      </w:tr>
      <w:tr>
        <w:trPr>
          <w:trHeight w:val="37"/>
        </w:trPr>
        <w:tc>
          <w:tcPr>
            <w:tcW w:w="8740" w:type="dxa"/>
            <w:vAlign w:val="bottom"/>
            <w:tcBorders>
              <w:bottom w:val="single" w:sz="8" w:color="auto"/>
            </w:tcBorders>
          </w:tcPr>
          <w:p>
            <w:pPr>
              <w:spacing w:after="0"/>
              <w:rPr>
                <w:sz w:val="3"/>
                <w:szCs w:val="3"/>
                <w:color w:val="auto"/>
              </w:rPr>
            </w:pPr>
          </w:p>
        </w:tc>
        <w:tc>
          <w:tcPr>
            <w:tcW w:w="200" w:type="dxa"/>
            <w:vAlign w:val="bottom"/>
            <w:tcBorders>
              <w:bottom w:val="single" w:sz="8" w:color="CFF0FC"/>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70"/>
        </w:trPr>
        <w:tc>
          <w:tcPr>
            <w:tcW w:w="8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Hire date prior to January 1, 2018</w:t>
            </w:r>
          </w:p>
        </w:tc>
        <w:tc>
          <w:tcPr>
            <w:tcW w:w="20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r>
      <w:tr>
        <w:trPr>
          <w:trHeight w:val="257"/>
        </w:trPr>
        <w:tc>
          <w:tcPr>
            <w:tcW w:w="8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immediately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8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77"/>
        </w:trPr>
        <w:tc>
          <w:tcPr>
            <w:tcW w:w="8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Hire date January 1, 2018 or after</w:t>
            </w:r>
          </w:p>
        </w:tc>
        <w:tc>
          <w:tcPr>
            <w:tcW w:w="2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r>
      <w:tr>
        <w:trPr>
          <w:trHeight w:val="256"/>
        </w:trPr>
        <w:tc>
          <w:tcPr>
            <w:tcW w:w="8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than two years of service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41"/>
        </w:trPr>
        <w:tc>
          <w:tcPr>
            <w:tcW w:w="8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6"/>
        </w:trPr>
        <w:tc>
          <w:tcPr>
            <w:tcW w:w="89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two years or more of service</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874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20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r>
    </w:tbl>
    <w:p>
      <w:pPr>
        <w:spacing w:after="0" w:line="306"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Plan participants from defined contribution retirement plans merged into the Plan are generally fully vested in all balances transferred into the Plan. All contributions made after entering the Plan follow normal Plan vesting terms, as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129540</wp:posOffset>
            </wp:positionV>
            <wp:extent cx="16256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329" w:lineRule="exact"/>
        <w:rPr>
          <w:sz w:val="20"/>
          <w:szCs w:val="20"/>
          <w:color w:val="auto"/>
        </w:rPr>
      </w:pPr>
    </w:p>
    <w:p>
      <w:pPr>
        <w:ind w:left="340"/>
        <w:spacing w:after="0"/>
        <w:tabs>
          <w:tab w:leader="none" w:pos="5940" w:val="left"/>
          <w:tab w:leader="none" w:pos="8300" w:val="left"/>
        </w:tabs>
        <w:rPr>
          <w:sz w:val="20"/>
          <w:szCs w:val="20"/>
          <w:color w:val="auto"/>
        </w:rPr>
      </w:pPr>
      <w:r>
        <w:rPr>
          <w:rFonts w:ascii="Times New Roman" w:cs="Times New Roman" w:eastAsia="Times New Roman" w:hAnsi="Times New Roman"/>
          <w:sz w:val="26"/>
          <w:szCs w:val="26"/>
          <w:b w:val="1"/>
          <w:bCs w:val="1"/>
          <w:color w:val="auto"/>
          <w:vertAlign w:val="superscript"/>
        </w:rPr>
        <w:t>SPS COMMERCE, INC. 401(K) RETIREMENT SAVINGS PLAN</w:t>
      </w:r>
      <w:r>
        <w:rPr>
          <w:sz w:val="20"/>
          <w:szCs w:val="20"/>
          <w:color w:val="auto"/>
        </w:rPr>
        <w:tab/>
      </w:r>
      <w:r>
        <w:rPr>
          <w:rFonts w:ascii="Times New Roman" w:cs="Times New Roman" w:eastAsia="Times New Roman" w:hAnsi="Times New Roman"/>
          <w:sz w:val="14"/>
          <w:szCs w:val="14"/>
          <w:color w:val="auto"/>
        </w:rPr>
        <w:t>6</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Forfeitures</w:t>
      </w:r>
    </w:p>
    <w:p>
      <w:pPr>
        <w:spacing w:after="0" w:line="81" w:lineRule="exact"/>
        <w:rPr>
          <w:sz w:val="20"/>
          <w:szCs w:val="20"/>
          <w:color w:val="auto"/>
        </w:rPr>
      </w:pPr>
    </w:p>
    <w:p>
      <w:pPr>
        <w:ind w:right="340" w:firstLine="648"/>
        <w:spacing w:after="0" w:line="237" w:lineRule="auto"/>
        <w:rPr>
          <w:sz w:val="20"/>
          <w:szCs w:val="20"/>
          <w:color w:val="auto"/>
        </w:rPr>
      </w:pPr>
      <w:r>
        <w:rPr>
          <w:rFonts w:ascii="Times New Roman" w:cs="Times New Roman" w:eastAsia="Times New Roman" w:hAnsi="Times New Roman"/>
          <w:sz w:val="18"/>
          <w:szCs w:val="18"/>
          <w:color w:val="auto"/>
        </w:rPr>
        <w:t>Upon a participant’s termination, the unvested portion of the participant’s employer account is forfeited. Forfeitures remain in the Plan and are used to pay administrative expenses. Any remaining amounts are used to reduce future employer contributions payable under the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Notes Receivable from Participants</w:t>
      </w:r>
    </w:p>
    <w:p>
      <w:pPr>
        <w:spacing w:after="0" w:line="81"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7"/>
          <w:szCs w:val="17"/>
          <w:color w:val="auto"/>
        </w:rPr>
        <w:t>Participants may borrow from their accounts a minimum of $1,000 and a maximum equal to the lesser of $50,000 or 50% of their vested account balance. Note terms range from one to five years and are secured by the balance in the participant’s account. A participant may have longer payment terms</w:t>
      </w:r>
    </w:p>
    <w:p>
      <w:pPr>
        <w:ind w:right="80"/>
        <w:spacing w:after="0" w:line="218" w:lineRule="auto"/>
        <w:rPr>
          <w:sz w:val="20"/>
          <w:szCs w:val="20"/>
          <w:color w:val="auto"/>
        </w:rPr>
      </w:pPr>
      <w:r>
        <w:rPr>
          <w:rFonts w:ascii="Times New Roman" w:cs="Times New Roman" w:eastAsia="Times New Roman" w:hAnsi="Times New Roman"/>
          <w:sz w:val="18"/>
          <w:szCs w:val="18"/>
          <w:color w:val="auto"/>
        </w:rPr>
        <w:t>as determined by the Plan Administrator if the note is for the purchase of a principal residence. Participant notes receivable bear fixed interest based on the prevailing interest rates charged by other lending institutions for loans which would be made under similar circumstances. Principal and interest are paid ratably through payroll deductions for active participants. A participant may only have one outstanding loan at one time.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Plan Termination</w:t>
      </w:r>
    </w:p>
    <w:p>
      <w:pPr>
        <w:spacing w:after="0" w:line="81" w:lineRule="exact"/>
        <w:rPr>
          <w:sz w:val="20"/>
          <w:szCs w:val="20"/>
          <w:color w:val="auto"/>
        </w:rPr>
      </w:pPr>
    </w:p>
    <w:p>
      <w:pPr>
        <w:ind w:right="580" w:firstLine="648"/>
        <w:spacing w:after="0" w:line="237"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terminate the Plan subject to the provisions of ERISA. In the event of Plan termination, participants shall be 100% vested in their accounts.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Benefits Paid to Participants</w:t>
      </w:r>
    </w:p>
    <w:p>
      <w:pPr>
        <w:spacing w:after="0" w:line="94"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Upon termination of service due to death, disability, retirement, termination of employment, or other reasons as defined in the Plan, the participant may elect to receive an amount equal to the value of the participant’s vested interest in his or her account in the form of a lump-sum amount, in approximately equal installment payments, or rollover the entire vested portion to a qualified plan, depending on the participant’s account balance.</w:t>
      </w:r>
    </w:p>
    <w:p>
      <w:pPr>
        <w:spacing w:after="0" w:line="63" w:lineRule="exact"/>
        <w:rPr>
          <w:sz w:val="20"/>
          <w:szCs w:val="20"/>
          <w:color w:val="auto"/>
        </w:rPr>
      </w:pPr>
    </w:p>
    <w:p>
      <w:pPr>
        <w:ind w:right="380" w:firstLine="648"/>
        <w:spacing w:after="0" w:line="229" w:lineRule="auto"/>
        <w:rPr>
          <w:sz w:val="20"/>
          <w:szCs w:val="20"/>
          <w:color w:val="auto"/>
        </w:rPr>
      </w:pPr>
      <w:r>
        <w:rPr>
          <w:rFonts w:ascii="Times New Roman" w:cs="Times New Roman" w:eastAsia="Times New Roman" w:hAnsi="Times New Roman"/>
          <w:sz w:val="17"/>
          <w:szCs w:val="17"/>
          <w:color w:val="auto"/>
        </w:rPr>
        <w:t>If the vested account balance does not exceed $1,000, a lump-sum distribution will be made. If the value of a separated participant’s vested balance is between $1,000 and $5,000, the Plan requires the vested balance to be transferred to an individual qualified retirement account. If the vested balance exceeds $5,000, a participant may elect to keep the vested account balance in the Plan, receive a lump-sum distribution, or rollover the entire</w:t>
      </w:r>
    </w:p>
    <w:p>
      <w:pPr>
        <w:spacing w:after="0"/>
        <w:rPr>
          <w:sz w:val="20"/>
          <w:szCs w:val="20"/>
          <w:color w:val="auto"/>
        </w:rPr>
      </w:pPr>
      <w:r>
        <w:rPr>
          <w:rFonts w:ascii="Times New Roman" w:cs="Times New Roman" w:eastAsia="Times New Roman" w:hAnsi="Times New Roman"/>
          <w:sz w:val="18"/>
          <w:szCs w:val="18"/>
          <w:color w:val="auto"/>
        </w:rPr>
        <w:t>vested portion to a qualified plan.</w:t>
      </w:r>
    </w:p>
    <w:p>
      <w:pPr>
        <w:spacing w:after="0" w:line="57"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18"/>
          <w:szCs w:val="18"/>
          <w:color w:val="auto"/>
        </w:rPr>
        <w:t>Participants are permitted withdrawals from their Plan accounts for financial hardships or upon attainment of age 59 1/2. Hardship withdrawals must be approved by the Plan Administrator.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Investment Options</w:t>
      </w:r>
    </w:p>
    <w:p>
      <w:pPr>
        <w:spacing w:after="0" w:line="81" w:lineRule="exact"/>
        <w:rPr>
          <w:sz w:val="20"/>
          <w:szCs w:val="20"/>
          <w:color w:val="auto"/>
        </w:rPr>
      </w:pPr>
    </w:p>
    <w:p>
      <w:pPr>
        <w:ind w:right="380" w:firstLine="648"/>
        <w:spacing w:after="0" w:line="236" w:lineRule="auto"/>
        <w:rPr>
          <w:sz w:val="20"/>
          <w:szCs w:val="20"/>
          <w:color w:val="auto"/>
        </w:rPr>
      </w:pPr>
      <w:r>
        <w:rPr>
          <w:rFonts w:ascii="Times New Roman" w:cs="Times New Roman" w:eastAsia="Times New Roman" w:hAnsi="Times New Roman"/>
          <w:sz w:val="17"/>
          <w:szCs w:val="17"/>
          <w:color w:val="auto"/>
        </w:rPr>
        <w:t>Except for the Company stock portion of the Company matching contribution, all Plan investments are participant directed. Participants may direct the investment of their account balance into various funds and may transfer assets in their accounts between funds on a daily basis, including the</w:t>
      </w:r>
    </w:p>
    <w:p>
      <w:pPr>
        <w:spacing w:after="0"/>
        <w:rPr>
          <w:sz w:val="20"/>
          <w:szCs w:val="20"/>
          <w:color w:val="auto"/>
        </w:rPr>
      </w:pPr>
      <w:r>
        <w:rPr>
          <w:rFonts w:ascii="Times New Roman" w:cs="Times New Roman" w:eastAsia="Times New Roman" w:hAnsi="Times New Roman"/>
          <w:sz w:val="18"/>
          <w:szCs w:val="18"/>
          <w:color w:val="auto"/>
        </w:rPr>
        <w:t>Company stock portion of the Company matching contribution.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B – Summary of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Basis of Accounting</w:t>
      </w:r>
    </w:p>
    <w:p>
      <w:pPr>
        <w:spacing w:after="0" w:line="94" w:lineRule="exact"/>
        <w:rPr>
          <w:sz w:val="20"/>
          <w:szCs w:val="20"/>
          <w:color w:val="auto"/>
        </w:rPr>
      </w:pPr>
    </w:p>
    <w:p>
      <w:pPr>
        <w:ind w:right="420" w:firstLine="648"/>
        <w:spacing w:after="0" w:line="237" w:lineRule="auto"/>
        <w:rPr>
          <w:sz w:val="20"/>
          <w:szCs w:val="20"/>
          <w:color w:val="auto"/>
        </w:rPr>
      </w:pPr>
      <w:r>
        <w:rPr>
          <w:rFonts w:ascii="Times New Roman" w:cs="Times New Roman" w:eastAsia="Times New Roman" w:hAnsi="Times New Roman"/>
          <w:sz w:val="18"/>
          <w:szCs w:val="18"/>
          <w:color w:val="auto"/>
        </w:rPr>
        <w:t>The accompanying financial statements have been prepared using the accrual method of accounting in accordance with accounting principles generally accepted in the United States of America (“GAAP”).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Investment Valuation and Income (Loss) Recognition</w:t>
      </w:r>
    </w:p>
    <w:p>
      <w:pPr>
        <w:spacing w:after="0" w:line="94"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The Plan’s investments are reported at fair value. Fair value is the price that would be received to sell an asset or paid to transfer a liability in an orderly transaction between market participants at the measurement date. See Note C for discussion of fair value measurements.</w:t>
      </w:r>
    </w:p>
    <w:p>
      <w:pPr>
        <w:spacing w:after="0" w:line="50"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on the accrual basis of accounting. Dividends are recorded on the ex-dividend date.</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appreciation (depreciation) includes the Plan’s gains and losses on investments bought and sold, as well as held during the year.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Administrative Expenses</w:t>
      </w:r>
    </w:p>
    <w:p>
      <w:pPr>
        <w:spacing w:after="0" w:line="94" w:lineRule="exact"/>
        <w:rPr>
          <w:sz w:val="20"/>
          <w:szCs w:val="20"/>
          <w:color w:val="auto"/>
        </w:rPr>
      </w:pPr>
    </w:p>
    <w:p>
      <w:pPr>
        <w:ind w:right="640" w:firstLine="648"/>
        <w:spacing w:after="0" w:line="237" w:lineRule="auto"/>
        <w:rPr>
          <w:sz w:val="20"/>
          <w:szCs w:val="20"/>
          <w:color w:val="auto"/>
        </w:rPr>
      </w:pPr>
      <w:r>
        <w:rPr>
          <w:rFonts w:ascii="Times New Roman" w:cs="Times New Roman" w:eastAsia="Times New Roman" w:hAnsi="Times New Roman"/>
          <w:sz w:val="18"/>
          <w:szCs w:val="18"/>
          <w:color w:val="auto"/>
        </w:rPr>
        <w:t>Plan administrative expenses, including investment fees, transaction fees, and investment management services, are charged to participant accounts as a percentage of assets invested. Plan administration fees, including audit and legal fees, are paid by the Plan Sponsor.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Benefits Paid to Participants &amp; Contributions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Benefits paid to participants are recorded by the Plan when paid. Contributions are recorded by the Plan when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137160</wp:posOffset>
            </wp:positionV>
            <wp:extent cx="16256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342" w:lineRule="exact"/>
        <w:rPr>
          <w:sz w:val="20"/>
          <w:szCs w:val="20"/>
          <w:color w:val="auto"/>
        </w:rPr>
      </w:pPr>
    </w:p>
    <w:p>
      <w:pPr>
        <w:ind w:left="340"/>
        <w:spacing w:after="0"/>
        <w:tabs>
          <w:tab w:leader="none" w:pos="5940" w:val="left"/>
          <w:tab w:leader="none" w:pos="8300" w:val="left"/>
        </w:tabs>
        <w:rPr>
          <w:sz w:val="20"/>
          <w:szCs w:val="20"/>
          <w:color w:val="auto"/>
        </w:rPr>
      </w:pPr>
      <w:r>
        <w:rPr>
          <w:rFonts w:ascii="Times New Roman" w:cs="Times New Roman" w:eastAsia="Times New Roman" w:hAnsi="Times New Roman"/>
          <w:sz w:val="26"/>
          <w:szCs w:val="26"/>
          <w:b w:val="1"/>
          <w:bCs w:val="1"/>
          <w:color w:val="auto"/>
          <w:vertAlign w:val="superscript"/>
        </w:rPr>
        <w:t>SPS COMMERCE, INC. 401(K) RETIREMENT SAVINGS PLAN</w:t>
      </w:r>
      <w:r>
        <w:rPr>
          <w:sz w:val="20"/>
          <w:szCs w:val="20"/>
          <w:color w:val="auto"/>
        </w:rPr>
        <w:tab/>
      </w:r>
      <w:r>
        <w:rPr>
          <w:rFonts w:ascii="Times New Roman" w:cs="Times New Roman" w:eastAsia="Times New Roman" w:hAnsi="Times New Roman"/>
          <w:sz w:val="14"/>
          <w:szCs w:val="14"/>
          <w:color w:val="auto"/>
        </w:rPr>
        <w:t>7</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Risks and Uncertainties</w:t>
      </w:r>
    </w:p>
    <w:p>
      <w:pPr>
        <w:spacing w:after="0" w:line="8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The Plan invests in various investment securities that are exposed to various risks, such as interest rate, market, and credit risks. Due to the level of risk associated with certain investment securities, it is reasonably possible that changes in the values of investment securities will occur in the near term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such changes could materially affect participants’ balances and the amounts reported in the Statements of Net Assets Available for Benefits.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Concentration of Market Risk</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2025 and 2024, 4% and 9% of the Plan’s net assets, respectively, were invested in the common stock of the Company. The</w:t>
      </w:r>
    </w:p>
    <w:p>
      <w:pPr>
        <w:spacing w:after="0" w:line="2" w:lineRule="exact"/>
        <w:rPr>
          <w:sz w:val="20"/>
          <w:szCs w:val="20"/>
          <w:color w:val="auto"/>
        </w:rPr>
      </w:pPr>
    </w:p>
    <w:p>
      <w:pPr>
        <w:ind w:right="380"/>
        <w:spacing w:after="0" w:line="220" w:lineRule="auto"/>
        <w:rPr>
          <w:sz w:val="20"/>
          <w:szCs w:val="20"/>
          <w:color w:val="auto"/>
        </w:rPr>
      </w:pPr>
      <w:r>
        <w:rPr>
          <w:rFonts w:ascii="Times New Roman" w:cs="Times New Roman" w:eastAsia="Times New Roman" w:hAnsi="Times New Roman"/>
          <w:sz w:val="17"/>
          <w:szCs w:val="17"/>
          <w:color w:val="auto"/>
        </w:rPr>
        <w:t>underlying value of the Company’s common stock is entirely dependent upon the performance of the Company and the market’s evaluation of such performance. It is possible that changes in the fair value of the Company’s common stock in the near term could materially affect participants’ account balances and the amounts reported in the Statements of Net Assets Available for Benefits and the Statement of Changes in Net Assets Available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Use of Estimates</w:t>
      </w:r>
    </w:p>
    <w:p>
      <w:pPr>
        <w:spacing w:after="0" w:line="81"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Plan management to make estimates and assumptions that affect the reported amounts of assets and liabilities, and changes therein, and disclosure of contingent assets and liabilities. Actual results may differ from those</w:t>
      </w:r>
    </w:p>
    <w:p>
      <w:pPr>
        <w:spacing w:after="0"/>
        <w:rPr>
          <w:sz w:val="20"/>
          <w:szCs w:val="20"/>
          <w:color w:val="auto"/>
        </w:rPr>
      </w:pPr>
      <w:r>
        <w:rPr>
          <w:rFonts w:ascii="Times New Roman" w:cs="Times New Roman" w:eastAsia="Times New Roman" w:hAnsi="Times New Roman"/>
          <w:sz w:val="18"/>
          <w:szCs w:val="18"/>
          <w:color w:val="auto"/>
        </w:rPr>
        <w:t>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Notes Receivable from Participants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receivable from participants are measured at their unpaid balance plus any accrued but unpaid interest. Delinquent notes are reclassified as</w:t>
      </w:r>
    </w:p>
    <w:p>
      <w:pPr>
        <w:spacing w:after="0" w:line="2" w:lineRule="exact"/>
        <w:rPr>
          <w:sz w:val="20"/>
          <w:szCs w:val="20"/>
          <w:color w:val="auto"/>
        </w:rPr>
      </w:pPr>
    </w:p>
    <w:p>
      <w:pPr>
        <w:ind w:right="700"/>
        <w:spacing w:after="0" w:line="226" w:lineRule="auto"/>
        <w:rPr>
          <w:sz w:val="20"/>
          <w:szCs w:val="20"/>
          <w:color w:val="auto"/>
        </w:rPr>
      </w:pPr>
      <w:r>
        <w:rPr>
          <w:rFonts w:ascii="Times New Roman" w:cs="Times New Roman" w:eastAsia="Times New Roman" w:hAnsi="Times New Roman"/>
          <w:sz w:val="18"/>
          <w:szCs w:val="18"/>
          <w:color w:val="auto"/>
        </w:rPr>
        <w:t>distributions in the quarter subsequent to when a participant misses a scheduled repayment. No allowance for credit losses has been recorded as of December 31, 2025 and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Accounting Pronouncements Recently Adopted</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1F282C"/>
        </w:rPr>
        <w:t xml:space="preserve">For the year ended December 31,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1F282C"/>
        </w:rPr>
        <w:t xml:space="preserve"> there were no new accounting pronouncements that were adopted.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C – Fair Value Measurements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Fair Value Measurements</w:t>
      </w:r>
    </w:p>
    <w:p>
      <w:pPr>
        <w:spacing w:after="0" w:line="94" w:lineRule="exact"/>
        <w:rPr>
          <w:sz w:val="20"/>
          <w:szCs w:val="20"/>
          <w:color w:val="auto"/>
        </w:rPr>
      </w:pPr>
    </w:p>
    <w:p>
      <w:pPr>
        <w:ind w:right="160" w:firstLine="648"/>
        <w:spacing w:after="0" w:line="216" w:lineRule="auto"/>
        <w:rPr>
          <w:sz w:val="20"/>
          <w:szCs w:val="20"/>
          <w:color w:val="auto"/>
        </w:rPr>
      </w:pPr>
      <w:r>
        <w:rPr>
          <w:rFonts w:ascii="Times New Roman" w:cs="Times New Roman" w:eastAsia="Times New Roman" w:hAnsi="Times New Roman"/>
          <w:sz w:val="18"/>
          <w:szCs w:val="18"/>
          <w:color w:val="auto"/>
        </w:rPr>
        <w:t>The Plan measures certain financial assets at fair value on a recurring basis based on a fair value hierarchy that requires the Plan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 fair value are:</w:t>
      </w:r>
    </w:p>
    <w:p>
      <w:pPr>
        <w:spacing w:after="0" w:line="70" w:lineRule="exact"/>
        <w:rPr>
          <w:sz w:val="20"/>
          <w:szCs w:val="20"/>
          <w:color w:val="auto"/>
        </w:rPr>
      </w:pPr>
    </w:p>
    <w:p>
      <w:pPr>
        <w:ind w:left="1720" w:hanging="740"/>
        <w:spacing w:after="0"/>
        <w:tabs>
          <w:tab w:leader="none" w:pos="1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80" w:lineRule="exact"/>
        <w:rPr>
          <w:rFonts w:ascii="Arial" w:cs="Arial" w:eastAsia="Arial" w:hAnsi="Arial"/>
          <w:sz w:val="20"/>
          <w:szCs w:val="20"/>
          <w:color w:val="auto"/>
        </w:rPr>
      </w:pPr>
    </w:p>
    <w:p>
      <w:pPr>
        <w:ind w:left="1740" w:right="80" w:hanging="760"/>
        <w:spacing w:after="0" w:line="218" w:lineRule="auto"/>
        <w:tabs>
          <w:tab w:leader="none" w:pos="1706"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64" w:lineRule="exact"/>
        <w:rPr>
          <w:rFonts w:ascii="Arial" w:cs="Arial" w:eastAsia="Arial" w:hAnsi="Arial"/>
          <w:sz w:val="20"/>
          <w:szCs w:val="20"/>
          <w:color w:val="auto"/>
        </w:rPr>
      </w:pPr>
    </w:p>
    <w:p>
      <w:pPr>
        <w:ind w:left="1740" w:right="580" w:hanging="760"/>
        <w:spacing w:after="0" w:line="232" w:lineRule="auto"/>
        <w:tabs>
          <w:tab w:leader="none" w:pos="1706"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color w:val="auto"/>
        </w:rPr>
        <w:t>Level 3 – unobservable inputs to the valuation methodology that are significant to the measurement of fair value of assets or liabilities.</w:t>
      </w:r>
    </w:p>
    <w:p>
      <w:pPr>
        <w:spacing w:after="0" w:line="5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Following is a description of the valuation methodologies used for assets measured at fair value. There have been no changes in the methodologies used at December 31, 2025 and 2024.</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Valued at quoted market prices, as they are actively traded.</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Mutual funds</w:t>
      </w:r>
      <w:r>
        <w:rPr>
          <w:rFonts w:ascii="Times New Roman" w:cs="Times New Roman" w:eastAsia="Times New Roman" w:hAnsi="Times New Roman"/>
          <w:sz w:val="18"/>
          <w:szCs w:val="18"/>
          <w:color w:val="auto"/>
        </w:rPr>
        <w:t>: Valued at the daily closing price as reported by the fund. Mutual funds held by the Plan are open-end mutual funds that are</w:t>
      </w:r>
    </w:p>
    <w:p>
      <w:pPr>
        <w:spacing w:after="0" w:line="4" w:lineRule="exact"/>
        <w:rPr>
          <w:sz w:val="20"/>
          <w:szCs w:val="20"/>
          <w:color w:val="auto"/>
        </w:rPr>
      </w:pPr>
    </w:p>
    <w:p>
      <w:pPr>
        <w:ind w:left="660"/>
        <w:spacing w:after="0" w:line="226" w:lineRule="auto"/>
        <w:rPr>
          <w:sz w:val="20"/>
          <w:szCs w:val="20"/>
          <w:color w:val="auto"/>
        </w:rPr>
      </w:pPr>
      <w:r>
        <w:rPr>
          <w:rFonts w:ascii="Times New Roman" w:cs="Times New Roman" w:eastAsia="Times New Roman" w:hAnsi="Times New Roman"/>
          <w:sz w:val="18"/>
          <w:szCs w:val="18"/>
          <w:color w:val="auto"/>
        </w:rPr>
        <w:t>registered with the Securities and Exchange Commission. These funds are required to publish their daily net asset value (“NAV”) and to transact at that price. The mutual funds held by the Plan are deemed to be actively traded.</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collective trust funds</w:t>
      </w:r>
      <w:r>
        <w:rPr>
          <w:rFonts w:ascii="Times New Roman" w:cs="Times New Roman" w:eastAsia="Times New Roman" w:hAnsi="Times New Roman"/>
          <w:sz w:val="18"/>
          <w:szCs w:val="18"/>
          <w:color w:val="auto"/>
        </w:rPr>
        <w:t>: Valued at the NAV of shares held by the Plan based on the fair value of its underlying assets reported in the fund’s</w:t>
      </w:r>
    </w:p>
    <w:p>
      <w:pPr>
        <w:spacing w:after="0" w:line="4" w:lineRule="exact"/>
        <w:rPr>
          <w:sz w:val="20"/>
          <w:szCs w:val="20"/>
          <w:color w:val="auto"/>
        </w:rPr>
      </w:pPr>
    </w:p>
    <w:p>
      <w:pPr>
        <w:ind w:left="660" w:right="160"/>
        <w:spacing w:after="0" w:line="208" w:lineRule="auto"/>
        <w:rPr>
          <w:sz w:val="20"/>
          <w:szCs w:val="20"/>
          <w:color w:val="auto"/>
        </w:rPr>
      </w:pPr>
      <w:r>
        <w:rPr>
          <w:rFonts w:ascii="Times New Roman" w:cs="Times New Roman" w:eastAsia="Times New Roman" w:hAnsi="Times New Roman"/>
          <w:sz w:val="18"/>
          <w:szCs w:val="18"/>
          <w:color w:val="auto"/>
        </w:rPr>
        <w:t>audited financial statements. The NAV is used as a practical expedient to estimate fair value. This practical expedient would not be used if it was determined to be probable that the funds will sell the underlying investments for an amount different from the reported NAV. Participant transactions (purchases and sales) may occur daily. If the Plan initiates a full redemption of the collective trust, the issuer reserves the right to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require 12 months’ notification in order to ensure that securities liquidations will be carried out in an orderly business manner.</w:t>
      </w:r>
    </w:p>
    <w:p>
      <w:pPr>
        <w:spacing w:after="0" w:line="57" w:lineRule="exact"/>
        <w:rPr>
          <w:sz w:val="20"/>
          <w:szCs w:val="20"/>
          <w:color w:val="auto"/>
        </w:rPr>
      </w:pPr>
    </w:p>
    <w:p>
      <w:pPr>
        <w:ind w:right="360" w:firstLine="648"/>
        <w:spacing w:after="0" w:line="236" w:lineRule="auto"/>
        <w:rPr>
          <w:sz w:val="20"/>
          <w:szCs w:val="20"/>
          <w:color w:val="auto"/>
        </w:rPr>
      </w:pPr>
      <w:r>
        <w:rPr>
          <w:rFonts w:ascii="Times New Roman" w:cs="Times New Roman" w:eastAsia="Times New Roman" w:hAnsi="Times New Roman"/>
          <w:sz w:val="17"/>
          <w:szCs w:val="17"/>
          <w:color w:val="auto"/>
        </w:rPr>
        <w:t>The preceding methods described above may produce a fair value calculation that may not be indicative of net realizable value or reflective of future fair values. Furthermore, while the Plan believes its valuation methods are appropriate and consistent with other market participants, the use of</w:t>
      </w:r>
    </w:p>
    <w:p>
      <w:pPr>
        <w:ind w:right="120"/>
        <w:spacing w:after="0" w:line="226" w:lineRule="auto"/>
        <w:rPr>
          <w:sz w:val="20"/>
          <w:szCs w:val="20"/>
          <w:color w:val="auto"/>
        </w:rPr>
      </w:pPr>
      <w:r>
        <w:rPr>
          <w:rFonts w:ascii="Times New Roman" w:cs="Times New Roman" w:eastAsia="Times New Roman" w:hAnsi="Times New Roman"/>
          <w:sz w:val="18"/>
          <w:szCs w:val="18"/>
          <w:color w:val="auto"/>
        </w:rPr>
        <w:t>different methodologies or assumptions to determine the fair value of certain financial instruments could result in a different fair value measurement at the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16256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328" w:lineRule="exact"/>
        <w:rPr>
          <w:sz w:val="20"/>
          <w:szCs w:val="20"/>
          <w:color w:val="auto"/>
        </w:rPr>
      </w:pPr>
    </w:p>
    <w:p>
      <w:pPr>
        <w:ind w:left="340"/>
        <w:spacing w:after="0"/>
        <w:tabs>
          <w:tab w:leader="none" w:pos="5940" w:val="left"/>
          <w:tab w:leader="none" w:pos="8300" w:val="left"/>
        </w:tabs>
        <w:rPr>
          <w:sz w:val="20"/>
          <w:szCs w:val="20"/>
          <w:color w:val="auto"/>
        </w:rPr>
      </w:pPr>
      <w:r>
        <w:rPr>
          <w:rFonts w:ascii="Times New Roman" w:cs="Times New Roman" w:eastAsia="Times New Roman" w:hAnsi="Times New Roman"/>
          <w:sz w:val="13"/>
          <w:szCs w:val="13"/>
          <w:b w:val="1"/>
          <w:bCs w:val="1"/>
          <w:color w:val="auto"/>
        </w:rPr>
        <w:t>SPS COMMERCE, INC. 401(K) RETIREMENT SAVINGS PLAN</w:t>
      </w:r>
      <w:r>
        <w:rPr>
          <w:sz w:val="20"/>
          <w:szCs w:val="20"/>
          <w:color w:val="auto"/>
        </w:rPr>
        <w:tab/>
      </w:r>
      <w:r>
        <w:rPr>
          <w:rFonts w:ascii="Times New Roman" w:cs="Times New Roman" w:eastAsia="Times New Roman" w:hAnsi="Times New Roman"/>
          <w:sz w:val="14"/>
          <w:szCs w:val="14"/>
          <w:color w:val="auto"/>
        </w:rPr>
        <w:t>8</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Plan’s investments at fair value: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8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CFF0FC"/>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10,714,050</w:t>
            </w:r>
          </w:p>
        </w:tc>
        <w:tc>
          <w:tcPr>
            <w:tcW w:w="1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10,714,050</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74,651,689</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74,651,689</w:t>
            </w: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48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85,365,739</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85,365,739</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Common collective trust funds, measured at NAV</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170,546,549</w:t>
            </w:r>
          </w:p>
        </w:tc>
        <w:tc>
          <w:tcPr>
            <w:tcW w:w="0" w:type="dxa"/>
            <w:vAlign w:val="bottom"/>
          </w:tcPr>
          <w:p>
            <w:pPr>
              <w:spacing w:after="0"/>
              <w:rPr>
                <w:sz w:val="1"/>
                <w:szCs w:val="1"/>
                <w:color w:val="auto"/>
              </w:rPr>
            </w:pPr>
          </w:p>
        </w:tc>
      </w:tr>
      <w:tr>
        <w:trPr>
          <w:trHeight w:val="40"/>
        </w:trPr>
        <w:tc>
          <w:tcPr>
            <w:tcW w:w="4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84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255,912,288</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4"/>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8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19,378,857</w:t>
            </w:r>
          </w:p>
        </w:tc>
        <w:tc>
          <w:tcPr>
            <w:tcW w:w="140" w:type="dxa"/>
            <w:vAlign w:val="bottom"/>
            <w:tcBorders>
              <w:top w:val="single" w:sz="8" w:color="CFF0FC"/>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FF0FC"/>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FF0FC"/>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FF0FC"/>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FF0FC"/>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19,378,857</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62,109,137</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62,109,137</w:t>
            </w:r>
          </w:p>
        </w:tc>
        <w:tc>
          <w:tcPr>
            <w:tcW w:w="0" w:type="dxa"/>
            <w:vAlign w:val="bottom"/>
          </w:tcPr>
          <w:p>
            <w:pPr>
              <w:spacing w:after="0"/>
              <w:rPr>
                <w:sz w:val="1"/>
                <w:szCs w:val="1"/>
                <w:color w:val="auto"/>
              </w:rPr>
            </w:pPr>
          </w:p>
        </w:tc>
      </w:tr>
      <w:tr>
        <w:trPr>
          <w:trHeight w:val="40"/>
        </w:trPr>
        <w:tc>
          <w:tcPr>
            <w:tcW w:w="4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48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81,487,994</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81,487,994</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Common collective trust funds, measured at NAV</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129,601,053</w:t>
            </w: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840" w:type="dxa"/>
            <w:vAlign w:val="bottom"/>
            <w:tcBorders>
              <w:top w:val="single" w:sz="8" w:color="CFF0FC"/>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211,089,047</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D – Income Tax Status</w:t>
      </w:r>
    </w:p>
    <w:p>
      <w:pPr>
        <w:spacing w:after="0" w:line="81"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7"/>
          <w:szCs w:val="17"/>
          <w:color w:val="auto"/>
        </w:rPr>
        <w:t>The Plan uses a volume submitter plan document created by Fidelity Management &amp; Research Co. (“FMR”), an affiliate of the Plan’s recordkeeper, Fidelity. The Internal Revenue Service (“IRS”) has determined and informed FMR by a letter dated June 30, 2020, that the volume submitter</w:t>
      </w:r>
    </w:p>
    <w:p>
      <w:pPr>
        <w:ind w:right="400"/>
        <w:spacing w:after="0" w:line="218" w:lineRule="auto"/>
        <w:rPr>
          <w:sz w:val="20"/>
          <w:szCs w:val="20"/>
          <w:color w:val="auto"/>
        </w:rPr>
      </w:pPr>
      <w:r>
        <w:rPr>
          <w:rFonts w:ascii="Times New Roman" w:cs="Times New Roman" w:eastAsia="Times New Roman" w:hAnsi="Times New Roman"/>
          <w:sz w:val="18"/>
          <w:szCs w:val="18"/>
          <w:color w:val="auto"/>
        </w:rPr>
        <w:t>plan is designed in accordance with applicable sections of the Internal Revenue Code (“IRC”). Although the Plan has been restated since receiving the FMR opinion letter, the Plan’s management believes that the Plan is designed and is currently being operated in compliance with the applicable requirements of the IRC.</w:t>
      </w:r>
    </w:p>
    <w:p>
      <w:pPr>
        <w:spacing w:after="0" w:line="64"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(or asset) if the organization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jurisdictions; however,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audits for any tax periods in progress.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E – Party-in-Interest Transactions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Plan held 120,207 shares and 105,326 shares of common stock of the Company, the sponsoring employer, valued at $10.7 million and $19.4</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million at December 31, 2025 and 2024, respectively. The investment and transactions in this investment qualify as party-in-interest transactions which are exempt from the prohibited transaction rules of ERISA.</w:t>
      </w:r>
    </w:p>
    <w:p>
      <w:pPr>
        <w:spacing w:after="0" w:line="49" w:lineRule="exact"/>
        <w:rPr>
          <w:sz w:val="20"/>
          <w:szCs w:val="20"/>
          <w:color w:val="auto"/>
        </w:rPr>
      </w:pPr>
    </w:p>
    <w:p>
      <w:pPr>
        <w:ind w:right="620" w:firstLine="648"/>
        <w:spacing w:after="0" w:line="250" w:lineRule="auto"/>
        <w:rPr>
          <w:sz w:val="20"/>
          <w:szCs w:val="20"/>
          <w:color w:val="auto"/>
        </w:rPr>
      </w:pPr>
      <w:r>
        <w:rPr>
          <w:rFonts w:ascii="Times New Roman" w:cs="Times New Roman" w:eastAsia="Times New Roman" w:hAnsi="Times New Roman"/>
          <w:sz w:val="18"/>
          <w:szCs w:val="18"/>
          <w:color w:val="auto"/>
        </w:rPr>
        <w:t>Plan investments include shares of mutual funds managed by Fidelity, the custodian as defined by the Plan; therefore, transactions in these investments qualify as exempt party-in-interest transactions.</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employees of the Plan Sponsor provide administrative services to the Plan. These services are provided at no cost to the Plan.</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Party-in-interest transactions also include loans made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291465</wp:posOffset>
            </wp:positionV>
            <wp:extent cx="1625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340"/>
        <w:spacing w:after="0"/>
        <w:tabs>
          <w:tab w:leader="none" w:pos="5940" w:val="left"/>
          <w:tab w:leader="none" w:pos="8300" w:val="left"/>
        </w:tabs>
        <w:rPr>
          <w:sz w:val="20"/>
          <w:szCs w:val="20"/>
          <w:color w:val="auto"/>
        </w:rPr>
      </w:pPr>
      <w:r>
        <w:rPr>
          <w:rFonts w:ascii="Times New Roman" w:cs="Times New Roman" w:eastAsia="Times New Roman" w:hAnsi="Times New Roman"/>
          <w:sz w:val="13"/>
          <w:szCs w:val="13"/>
          <w:b w:val="1"/>
          <w:bCs w:val="1"/>
          <w:color w:val="auto"/>
        </w:rPr>
        <w:t>SPS COMMERCE, INC. 401(K) RETIREMENT SAVINGS PLAN</w:t>
      </w:r>
      <w:r>
        <w:rPr>
          <w:sz w:val="20"/>
          <w:szCs w:val="20"/>
          <w:color w:val="auto"/>
        </w:rPr>
        <w:tab/>
      </w:r>
      <w:r>
        <w:rPr>
          <w:rFonts w:ascii="Times New Roman" w:cs="Times New Roman" w:eastAsia="Times New Roman" w:hAnsi="Times New Roman"/>
          <w:sz w:val="14"/>
          <w:szCs w:val="14"/>
          <w:color w:val="auto"/>
        </w:rPr>
        <w:t>9</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SPS COMMERCE,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00AAE5"/>
        </w:rPr>
        <w:t>401(K) RETIREMENT SAVINGS PLAN</w:t>
      </w:r>
    </w:p>
    <w:p>
      <w:pPr>
        <w:jc w:val="center"/>
        <w:spacing w:after="0"/>
        <w:rPr>
          <w:sz w:val="20"/>
          <w:szCs w:val="20"/>
          <w:color w:val="auto"/>
        </w:rPr>
      </w:pPr>
      <w:r>
        <w:rPr>
          <w:rFonts w:ascii="Times New Roman" w:cs="Times New Roman" w:eastAsia="Times New Roman" w:hAnsi="Times New Roman"/>
          <w:sz w:val="18"/>
          <w:szCs w:val="18"/>
          <w:color w:val="auto"/>
        </w:rPr>
        <w:t>EIN: 41-2015217, Plan: 001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5500, Schedule H, Part IV, Line 4(i)</w:t>
      </w:r>
    </w:p>
    <w:p>
      <w:pPr>
        <w:jc w:val="center"/>
        <w:spacing w:after="0" w:line="203" w:lineRule="auto"/>
        <w:rPr>
          <w:sz w:val="20"/>
          <w:szCs w:val="20"/>
          <w:color w:val="auto"/>
        </w:rPr>
      </w:pPr>
      <w:r>
        <w:rPr>
          <w:rFonts w:ascii="Times New Roman" w:cs="Times New Roman" w:eastAsia="Times New Roman" w:hAnsi="Times New Roman"/>
          <w:sz w:val="18"/>
          <w:szCs w:val="18"/>
          <w:color w:val="auto"/>
        </w:rPr>
        <w:t>Schedule of Assets (Held at End of Year)</w:t>
      </w:r>
    </w:p>
    <w:p>
      <w:pPr>
        <w:jc w:val="center"/>
        <w:spacing w:after="0"/>
        <w:rPr>
          <w:sz w:val="20"/>
          <w:szCs w:val="20"/>
          <w:color w:val="auto"/>
        </w:rPr>
      </w:pPr>
      <w:r>
        <w:rPr>
          <w:rFonts w:ascii="Times New Roman" w:cs="Times New Roman" w:eastAsia="Times New Roman" w:hAnsi="Times New Roman"/>
          <w:sz w:val="18"/>
          <w:szCs w:val="18"/>
          <w:color w:val="auto"/>
        </w:rPr>
        <w:t>As of December 31,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 w:type="dxa"/>
            <w:vAlign w:val="bottom"/>
          </w:tcPr>
          <w:p>
            <w:pPr>
              <w:spacing w:after="0"/>
              <w:rPr>
                <w:sz w:val="16"/>
                <w:szCs w:val="16"/>
                <w:color w:val="auto"/>
              </w:rPr>
            </w:pPr>
          </w:p>
        </w:tc>
        <w:tc>
          <w:tcPr>
            <w:tcW w:w="3225"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Identity of issuer, borrower, lessor, or</w:t>
            </w:r>
          </w:p>
        </w:tc>
        <w:tc>
          <w:tcPr>
            <w:tcW w:w="55" w:type="dxa"/>
            <w:vAlign w:val="bottom"/>
          </w:tcPr>
          <w:p>
            <w:pPr>
              <w:spacing w:after="0"/>
              <w:rPr>
                <w:sz w:val="16"/>
                <w:szCs w:val="16"/>
                <w:color w:val="auto"/>
              </w:rPr>
            </w:pPr>
          </w:p>
        </w:tc>
        <w:tc>
          <w:tcPr>
            <w:tcW w:w="45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Description of investment including maturity date, rate of interest,</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225"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similar party</w:t>
            </w:r>
          </w:p>
        </w:tc>
        <w:tc>
          <w:tcPr>
            <w:tcW w:w="55"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collateral, par, or maturity value</w:t>
            </w:r>
          </w:p>
        </w:tc>
        <w:tc>
          <w:tcPr>
            <w:tcW w:w="200" w:type="dxa"/>
            <w:vAlign w:val="bottom"/>
          </w:tcPr>
          <w:p>
            <w:pPr>
              <w:spacing w:after="0"/>
              <w:rPr>
                <w:sz w:val="16"/>
                <w:szCs w:val="16"/>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Current value</w:t>
            </w:r>
          </w:p>
        </w:tc>
      </w:tr>
      <w:tr>
        <w:trPr>
          <w:trHeight w:val="37"/>
        </w:trPr>
        <w:tc>
          <w:tcPr>
            <w:tcW w:w="500" w:type="dxa"/>
            <w:vAlign w:val="bottom"/>
            <w:tcBorders>
              <w:bottom w:val="single" w:sz="8" w:color="auto"/>
            </w:tcBorders>
          </w:tcPr>
          <w:p>
            <w:pPr>
              <w:spacing w:after="0"/>
              <w:rPr>
                <w:sz w:val="3"/>
                <w:szCs w:val="3"/>
                <w:color w:val="auto"/>
              </w:rPr>
            </w:pPr>
          </w:p>
        </w:tc>
        <w:tc>
          <w:tcPr>
            <w:tcW w:w="3225" w:type="dxa"/>
            <w:vAlign w:val="bottom"/>
            <w:tcBorders>
              <w:bottom w:val="single" w:sz="8" w:color="auto"/>
            </w:tcBorders>
          </w:tcPr>
          <w:p>
            <w:pPr>
              <w:spacing w:after="0"/>
              <w:rPr>
                <w:sz w:val="3"/>
                <w:szCs w:val="3"/>
                <w:color w:val="auto"/>
              </w:rPr>
            </w:pPr>
          </w:p>
        </w:tc>
        <w:tc>
          <w:tcPr>
            <w:tcW w:w="55"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0"/>
        </w:trPr>
        <w:tc>
          <w:tcPr>
            <w:tcW w:w="500" w:type="dxa"/>
            <w:vAlign w:val="bottom"/>
            <w:shd w:val="clear" w:color="auto" w:fill="CCEEFF"/>
          </w:tcPr>
          <w:p>
            <w:pPr>
              <w:spacing w:after="0"/>
              <w:rPr>
                <w:sz w:val="18"/>
                <w:szCs w:val="18"/>
                <w:color w:val="auto"/>
              </w:rPr>
            </w:pPr>
          </w:p>
        </w:tc>
        <w:tc>
          <w:tcPr>
            <w:tcW w:w="3225" w:type="dxa"/>
            <w:vAlign w:val="bottom"/>
            <w:shd w:val="clear" w:color="auto" w:fill="CCEEFF"/>
          </w:tcPr>
          <w:p>
            <w:pPr>
              <w:spacing w:after="0"/>
              <w:rPr>
                <w:sz w:val="18"/>
                <w:szCs w:val="18"/>
                <w:color w:val="auto"/>
              </w:rPr>
            </w:pPr>
          </w:p>
        </w:tc>
        <w:tc>
          <w:tcPr>
            <w:tcW w:w="4555" w:type="dxa"/>
            <w:vAlign w:val="bottom"/>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Collective trust funds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61"/>
        </w:trPr>
        <w:tc>
          <w:tcPr>
            <w:tcW w:w="500" w:type="dxa"/>
            <w:vAlign w:val="bottom"/>
            <w:tcBorders>
              <w:top w:val="single" w:sz="8" w:color="CCEEFF"/>
            </w:tcBorders>
            <w:shd w:val="clear" w:color="auto" w:fill="CCEEFF"/>
          </w:tcPr>
          <w:p>
            <w:pPr>
              <w:spacing w:after="0"/>
              <w:rPr>
                <w:sz w:val="5"/>
                <w:szCs w:val="5"/>
                <w:color w:val="auto"/>
              </w:rPr>
            </w:pPr>
          </w:p>
        </w:tc>
        <w:tc>
          <w:tcPr>
            <w:tcW w:w="3225" w:type="dxa"/>
            <w:vAlign w:val="bottom"/>
            <w:tcBorders>
              <w:top w:val="single" w:sz="8" w:color="CCEEFF"/>
            </w:tcBorders>
            <w:shd w:val="clear" w:color="auto" w:fill="CCEEFF"/>
          </w:tcPr>
          <w:p>
            <w:pPr>
              <w:spacing w:after="0"/>
              <w:rPr>
                <w:sz w:val="5"/>
                <w:szCs w:val="5"/>
                <w:color w:val="auto"/>
              </w:rPr>
            </w:pPr>
          </w:p>
        </w:tc>
        <w:tc>
          <w:tcPr>
            <w:tcW w:w="55"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r>
      <w:tr>
        <w:trPr>
          <w:trHeight w:val="257"/>
        </w:trPr>
        <w:tc>
          <w:tcPr>
            <w:tcW w:w="500" w:type="dxa"/>
            <w:vAlign w:val="bottom"/>
          </w:tcPr>
          <w:p>
            <w:pPr>
              <w:spacing w:after="0"/>
              <w:rPr>
                <w:sz w:val="22"/>
                <w:szCs w:val="22"/>
                <w:color w:val="auto"/>
              </w:rPr>
            </w:pP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Target Retirement 2055 Fund</w:t>
            </w:r>
          </w:p>
        </w:tc>
        <w:tc>
          <w:tcPr>
            <w:tcW w:w="1400" w:type="dxa"/>
            <w:vAlign w:val="bottom"/>
            <w:gridSpan w:val="2"/>
          </w:tcPr>
          <w:p>
            <w:pPr>
              <w:jc w:val="center"/>
              <w:ind w:left="137"/>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37,114,282</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spacing w:after="0"/>
              <w:rPr>
                <w:sz w:val="24"/>
                <w:szCs w:val="24"/>
                <w:color w:val="auto"/>
              </w:rPr>
            </w:pP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tcBorders>
              <w:bottom w:val="single" w:sz="8" w:color="CCEEFF"/>
            </w:tcBorders>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Target Retirement 2050 Fund</w:t>
            </w:r>
          </w:p>
        </w:tc>
        <w:tc>
          <w:tcPr>
            <w:tcW w:w="1400" w:type="dxa"/>
            <w:vAlign w:val="bottom"/>
            <w:tcBorders>
              <w:bottom w:val="single" w:sz="8" w:color="CCEEFF"/>
            </w:tcBorders>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33,428,634</w:t>
            </w:r>
          </w:p>
        </w:tc>
      </w:tr>
      <w:tr>
        <w:trPr>
          <w:trHeight w:val="257"/>
        </w:trPr>
        <w:tc>
          <w:tcPr>
            <w:tcW w:w="500" w:type="dxa"/>
            <w:vAlign w:val="bottom"/>
          </w:tcPr>
          <w:p>
            <w:pPr>
              <w:spacing w:after="0"/>
              <w:rPr>
                <w:sz w:val="22"/>
                <w:szCs w:val="22"/>
                <w:color w:val="auto"/>
              </w:rPr>
            </w:pP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Target Retirement 2045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30,463,895</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spacing w:after="0"/>
              <w:rPr>
                <w:sz w:val="24"/>
                <w:szCs w:val="24"/>
                <w:color w:val="auto"/>
              </w:rPr>
            </w:pP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tcBorders>
              <w:bottom w:val="single" w:sz="8" w:color="CCEEFF"/>
            </w:tcBorders>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Target Retirement 2060 Fund</w:t>
            </w: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18,064,883</w:t>
            </w:r>
          </w:p>
        </w:tc>
      </w:tr>
      <w:tr>
        <w:trPr>
          <w:trHeight w:val="257"/>
        </w:trPr>
        <w:tc>
          <w:tcPr>
            <w:tcW w:w="500" w:type="dxa"/>
            <w:vAlign w:val="bottom"/>
          </w:tcPr>
          <w:p>
            <w:pPr>
              <w:spacing w:after="0"/>
              <w:rPr>
                <w:sz w:val="22"/>
                <w:szCs w:val="22"/>
                <w:color w:val="auto"/>
              </w:rPr>
            </w:pP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Target Retirement 2040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13,314,586</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spacing w:after="0"/>
              <w:rPr>
                <w:sz w:val="24"/>
                <w:szCs w:val="24"/>
                <w:color w:val="auto"/>
              </w:rPr>
            </w:pP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tcBorders>
              <w:bottom w:val="single" w:sz="8" w:color="CCEEFF"/>
            </w:tcBorders>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Target Retirement 2035 Fund</w:t>
            </w: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12,269,543</w:t>
            </w:r>
          </w:p>
        </w:tc>
      </w:tr>
      <w:tr>
        <w:trPr>
          <w:trHeight w:val="257"/>
        </w:trPr>
        <w:tc>
          <w:tcPr>
            <w:tcW w:w="500" w:type="dxa"/>
            <w:vAlign w:val="bottom"/>
          </w:tcPr>
          <w:p>
            <w:pPr>
              <w:spacing w:after="0"/>
              <w:rPr>
                <w:sz w:val="22"/>
                <w:szCs w:val="22"/>
                <w:color w:val="auto"/>
              </w:rPr>
            </w:pP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Target Retirement 2030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10,395,498</w:t>
            </w:r>
          </w:p>
        </w:tc>
      </w:tr>
      <w:tr>
        <w:trPr>
          <w:trHeight w:val="41"/>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spacing w:after="0"/>
              <w:rPr>
                <w:sz w:val="24"/>
                <w:szCs w:val="24"/>
                <w:color w:val="auto"/>
              </w:rPr>
            </w:pP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tcBorders>
              <w:bottom w:val="single" w:sz="8" w:color="CCEEFF"/>
            </w:tcBorders>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Target Retirement 2065 Fund</w:t>
            </w: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6,469,746</w:t>
            </w:r>
          </w:p>
        </w:tc>
      </w:tr>
      <w:tr>
        <w:trPr>
          <w:trHeight w:val="257"/>
        </w:trPr>
        <w:tc>
          <w:tcPr>
            <w:tcW w:w="500" w:type="dxa"/>
            <w:vAlign w:val="bottom"/>
          </w:tcPr>
          <w:p>
            <w:pPr>
              <w:spacing w:after="0"/>
              <w:rPr>
                <w:sz w:val="22"/>
                <w:szCs w:val="22"/>
                <w:color w:val="auto"/>
              </w:rPr>
            </w:pP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Target Retirement 2025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2,953,520</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spacing w:after="0"/>
              <w:rPr>
                <w:sz w:val="24"/>
                <w:szCs w:val="24"/>
                <w:color w:val="auto"/>
              </w:rPr>
            </w:pP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Prudential</w:t>
            </w:r>
          </w:p>
        </w:tc>
        <w:tc>
          <w:tcPr>
            <w:tcW w:w="4555" w:type="dxa"/>
            <w:vAlign w:val="bottom"/>
            <w:tcBorders>
              <w:bottom w:val="single" w:sz="8" w:color="CCEEFF"/>
            </w:tcBorders>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Total Return Bond Fund</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2,059,033</w:t>
            </w:r>
          </w:p>
        </w:tc>
      </w:tr>
      <w:tr>
        <w:trPr>
          <w:trHeight w:val="257"/>
        </w:trPr>
        <w:tc>
          <w:tcPr>
            <w:tcW w:w="500" w:type="dxa"/>
            <w:vAlign w:val="bottom"/>
          </w:tcPr>
          <w:p>
            <w:pPr>
              <w:spacing w:after="0"/>
              <w:rPr>
                <w:sz w:val="22"/>
                <w:szCs w:val="22"/>
                <w:color w:val="auto"/>
              </w:rPr>
            </w:pP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Union Bank and Trust Company</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Morley Stable Value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1,978,692</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spacing w:after="0"/>
              <w:rPr>
                <w:sz w:val="24"/>
                <w:szCs w:val="24"/>
                <w:color w:val="auto"/>
              </w:rPr>
            </w:pP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tcBorders>
              <w:bottom w:val="single" w:sz="8" w:color="CCEEFF"/>
            </w:tcBorders>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Target Retirement Income Fund</w:t>
            </w: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1,275,476</w:t>
            </w:r>
          </w:p>
        </w:tc>
      </w:tr>
      <w:tr>
        <w:trPr>
          <w:trHeight w:val="257"/>
        </w:trPr>
        <w:tc>
          <w:tcPr>
            <w:tcW w:w="500" w:type="dxa"/>
            <w:vAlign w:val="bottom"/>
          </w:tcPr>
          <w:p>
            <w:pPr>
              <w:spacing w:after="0"/>
              <w:rPr>
                <w:sz w:val="22"/>
                <w:szCs w:val="22"/>
                <w:color w:val="auto"/>
              </w:rPr>
            </w:pP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Target Retirement 2020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568,917</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7"/>
        </w:trPr>
        <w:tc>
          <w:tcPr>
            <w:tcW w:w="500" w:type="dxa"/>
            <w:vAlign w:val="bottom"/>
            <w:tcBorders>
              <w:bottom w:val="single" w:sz="8" w:color="CCEEFF"/>
            </w:tcBorders>
            <w:shd w:val="clear" w:color="auto" w:fill="CCEEFF"/>
          </w:tcPr>
          <w:p>
            <w:pPr>
              <w:spacing w:after="0"/>
              <w:rPr>
                <w:sz w:val="24"/>
                <w:szCs w:val="24"/>
                <w:color w:val="auto"/>
              </w:rPr>
            </w:pP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Vanguard</w:t>
            </w:r>
          </w:p>
        </w:tc>
        <w:tc>
          <w:tcPr>
            <w:tcW w:w="4555" w:type="dxa"/>
            <w:vAlign w:val="bottom"/>
            <w:tcBorders>
              <w:bottom w:val="single" w:sz="8" w:color="CCEEFF"/>
            </w:tcBorders>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Target Retirement 2070 Fund</w:t>
            </w: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189,844</w:t>
            </w:r>
          </w:p>
        </w:tc>
      </w:tr>
      <w:tr>
        <w:trPr>
          <w:trHeight w:val="250"/>
        </w:trPr>
        <w:tc>
          <w:tcPr>
            <w:tcW w:w="500" w:type="dxa"/>
            <w:vAlign w:val="bottom"/>
          </w:tcPr>
          <w:p>
            <w:pPr>
              <w:spacing w:after="0"/>
              <w:rPr>
                <w:sz w:val="21"/>
                <w:szCs w:val="21"/>
                <w:color w:val="auto"/>
              </w:rPr>
            </w:pPr>
          </w:p>
        </w:tc>
        <w:tc>
          <w:tcPr>
            <w:tcW w:w="3225" w:type="dxa"/>
            <w:vAlign w:val="bottom"/>
          </w:tcPr>
          <w:p>
            <w:pPr>
              <w:spacing w:after="0"/>
              <w:rPr>
                <w:sz w:val="21"/>
                <w:szCs w:val="21"/>
                <w:color w:val="auto"/>
              </w:rPr>
            </w:pPr>
          </w:p>
        </w:tc>
        <w:tc>
          <w:tcPr>
            <w:tcW w:w="55"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170,546,549</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3"/>
        </w:trPr>
        <w:tc>
          <w:tcPr>
            <w:tcW w:w="500" w:type="dxa"/>
            <w:vAlign w:val="bottom"/>
            <w:shd w:val="clear" w:color="auto" w:fill="CCEEFF"/>
          </w:tcPr>
          <w:p>
            <w:pPr>
              <w:spacing w:after="0"/>
              <w:rPr>
                <w:sz w:val="22"/>
                <w:szCs w:val="22"/>
                <w:color w:val="auto"/>
              </w:rPr>
            </w:pPr>
          </w:p>
        </w:tc>
        <w:tc>
          <w:tcPr>
            <w:tcW w:w="3225" w:type="dxa"/>
            <w:vAlign w:val="bottom"/>
            <w:shd w:val="clear" w:color="auto" w:fill="CCEEFF"/>
          </w:tcPr>
          <w:p>
            <w:pPr>
              <w:spacing w:after="0"/>
              <w:rPr>
                <w:sz w:val="22"/>
                <w:szCs w:val="22"/>
                <w:color w:val="auto"/>
              </w:rPr>
            </w:pPr>
          </w:p>
        </w:tc>
        <w:tc>
          <w:tcPr>
            <w:tcW w:w="55" w:type="dxa"/>
            <w:vAlign w:val="bottom"/>
            <w:shd w:val="clear" w:color="auto" w:fill="CCEEFF"/>
          </w:tcPr>
          <w:p>
            <w:pPr>
              <w:spacing w:after="0"/>
              <w:rPr>
                <w:sz w:val="22"/>
                <w:szCs w:val="22"/>
                <w:color w:val="auto"/>
              </w:rPr>
            </w:pPr>
          </w:p>
        </w:tc>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3225" w:type="dxa"/>
            <w:vAlign w:val="bottom"/>
            <w:tcBorders>
              <w:top w:val="single" w:sz="8" w:color="CCEEFF"/>
            </w:tcBorders>
            <w:shd w:val="clear" w:color="auto" w:fill="CCEEFF"/>
          </w:tcPr>
          <w:p>
            <w:pPr>
              <w:spacing w:after="0" w:line="20" w:lineRule="exact"/>
              <w:rPr>
                <w:sz w:val="1"/>
                <w:szCs w:val="1"/>
                <w:color w:val="auto"/>
              </w:rPr>
            </w:pPr>
          </w:p>
        </w:tc>
        <w:tc>
          <w:tcPr>
            <w:tcW w:w="55"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50"/>
        </w:trPr>
        <w:tc>
          <w:tcPr>
            <w:tcW w:w="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Fidelity</w:t>
            </w:r>
          </w:p>
        </w:tc>
        <w:tc>
          <w:tcPr>
            <w:tcW w:w="55" w:type="dxa"/>
            <w:vAlign w:val="bottom"/>
          </w:tcPr>
          <w:p>
            <w:pPr>
              <w:spacing w:after="0"/>
              <w:rPr>
                <w:sz w:val="21"/>
                <w:szCs w:val="21"/>
                <w:color w:val="auto"/>
              </w:rPr>
            </w:pPr>
          </w:p>
        </w:tc>
        <w:tc>
          <w:tcPr>
            <w:tcW w:w="4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Institutional 500 Index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31,661,967</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spacing w:after="0"/>
              <w:rPr>
                <w:sz w:val="24"/>
                <w:szCs w:val="24"/>
                <w:color w:val="auto"/>
              </w:rPr>
            </w:pP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J.P. Morgan</w:t>
            </w:r>
          </w:p>
        </w:tc>
        <w:tc>
          <w:tcPr>
            <w:tcW w:w="55" w:type="dxa"/>
            <w:vAlign w:val="bottom"/>
            <w:tcBorders>
              <w:bottom w:val="single" w:sz="8" w:color="CCEEFF"/>
            </w:tcBorders>
            <w:shd w:val="clear" w:color="auto" w:fill="CCEEFF"/>
          </w:tcPr>
          <w:p>
            <w:pPr>
              <w:spacing w:after="0"/>
              <w:rPr>
                <w:sz w:val="24"/>
                <w:szCs w:val="24"/>
                <w:color w:val="auto"/>
              </w:rPr>
            </w:pPr>
          </w:p>
        </w:tc>
        <w:tc>
          <w:tcPr>
            <w:tcW w:w="45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Large Cap Growth Fund</w:t>
            </w: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12,657,101</w:t>
            </w:r>
          </w:p>
        </w:tc>
      </w:tr>
      <w:tr>
        <w:trPr>
          <w:trHeight w:val="257"/>
        </w:trPr>
        <w:tc>
          <w:tcPr>
            <w:tcW w:w="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Fidelity</w:t>
            </w:r>
          </w:p>
        </w:tc>
        <w:tc>
          <w:tcPr>
            <w:tcW w:w="55" w:type="dxa"/>
            <w:vAlign w:val="bottom"/>
          </w:tcPr>
          <w:p>
            <w:pPr>
              <w:spacing w:after="0"/>
              <w:rPr>
                <w:sz w:val="22"/>
                <w:szCs w:val="22"/>
                <w:color w:val="auto"/>
              </w:rPr>
            </w:pPr>
          </w:p>
        </w:tc>
        <w:tc>
          <w:tcPr>
            <w:tcW w:w="4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Mid-Cap Index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7,262,551</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Fidelity</w:t>
            </w:r>
          </w:p>
        </w:tc>
        <w:tc>
          <w:tcPr>
            <w:tcW w:w="55" w:type="dxa"/>
            <w:vAlign w:val="bottom"/>
            <w:tcBorders>
              <w:bottom w:val="single" w:sz="8" w:color="CCEEFF"/>
            </w:tcBorders>
            <w:shd w:val="clear" w:color="auto" w:fill="CCEEFF"/>
          </w:tcPr>
          <w:p>
            <w:pPr>
              <w:spacing w:after="0"/>
              <w:rPr>
                <w:sz w:val="24"/>
                <w:szCs w:val="24"/>
                <w:color w:val="auto"/>
              </w:rPr>
            </w:pPr>
          </w:p>
        </w:tc>
        <w:tc>
          <w:tcPr>
            <w:tcW w:w="45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MFS Research International Fund</w:t>
            </w: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6,054,830</w:t>
            </w:r>
          </w:p>
        </w:tc>
      </w:tr>
      <w:tr>
        <w:trPr>
          <w:trHeight w:val="257"/>
        </w:trPr>
        <w:tc>
          <w:tcPr>
            <w:tcW w:w="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Fidelity</w:t>
            </w:r>
          </w:p>
        </w:tc>
        <w:tc>
          <w:tcPr>
            <w:tcW w:w="55" w:type="dxa"/>
            <w:vAlign w:val="bottom"/>
          </w:tcPr>
          <w:p>
            <w:pPr>
              <w:spacing w:after="0"/>
              <w:rPr>
                <w:sz w:val="22"/>
                <w:szCs w:val="22"/>
                <w:color w:val="auto"/>
              </w:rPr>
            </w:pPr>
          </w:p>
        </w:tc>
        <w:tc>
          <w:tcPr>
            <w:tcW w:w="4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MFS Value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4,633,621</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Fidelity</w:t>
            </w:r>
          </w:p>
        </w:tc>
        <w:tc>
          <w:tcPr>
            <w:tcW w:w="55" w:type="dxa"/>
            <w:vAlign w:val="bottom"/>
            <w:tcBorders>
              <w:bottom w:val="single" w:sz="8" w:color="CCEEFF"/>
            </w:tcBorders>
            <w:shd w:val="clear" w:color="auto" w:fill="CCEEFF"/>
          </w:tcPr>
          <w:p>
            <w:pPr>
              <w:spacing w:after="0"/>
              <w:rPr>
                <w:sz w:val="24"/>
                <w:szCs w:val="24"/>
                <w:color w:val="auto"/>
              </w:rPr>
            </w:pPr>
          </w:p>
        </w:tc>
        <w:tc>
          <w:tcPr>
            <w:tcW w:w="45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Small Cap Growth Index Fund</w:t>
            </w: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3,534,899</w:t>
            </w:r>
          </w:p>
        </w:tc>
      </w:tr>
      <w:tr>
        <w:trPr>
          <w:trHeight w:val="257"/>
        </w:trPr>
        <w:tc>
          <w:tcPr>
            <w:tcW w:w="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Fidelity</w:t>
            </w:r>
          </w:p>
        </w:tc>
        <w:tc>
          <w:tcPr>
            <w:tcW w:w="55" w:type="dxa"/>
            <w:vAlign w:val="bottom"/>
          </w:tcPr>
          <w:p>
            <w:pPr>
              <w:spacing w:after="0"/>
              <w:rPr>
                <w:sz w:val="22"/>
                <w:szCs w:val="22"/>
                <w:color w:val="auto"/>
              </w:rPr>
            </w:pPr>
          </w:p>
        </w:tc>
        <w:tc>
          <w:tcPr>
            <w:tcW w:w="4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Small Cap Value Index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3,140,478</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6"/>
                <w:szCs w:val="16"/>
                <w:color w:val="auto"/>
                <w:shd w:val="clear" w:color="auto" w:fill="CCEEFF"/>
              </w:rPr>
              <w:t>*</w:t>
            </w:r>
          </w:p>
        </w:tc>
        <w:tc>
          <w:tcPr>
            <w:tcW w:w="3225"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highlight w:val="white"/>
              </w:rPr>
              <w:t>Fidelity</w:t>
            </w:r>
          </w:p>
        </w:tc>
        <w:tc>
          <w:tcPr>
            <w:tcW w:w="1615" w:type="dxa"/>
            <w:vAlign w:val="bottom"/>
            <w:tcBorders>
              <w:bottom w:val="single" w:sz="8" w:color="CCEEFF"/>
            </w:tcBorders>
            <w:gridSpan w:val="4"/>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shd w:val="clear" w:color="auto" w:fill="CCEEFF"/>
              </w:rPr>
              <w:t>US Bond Index Fund</w:t>
            </w:r>
          </w:p>
        </w:tc>
        <w:tc>
          <w:tcPr>
            <w:tcW w:w="40" w:type="dxa"/>
            <w:vAlign w:val="bottom"/>
            <w:tcBorders>
              <w:bottom w:val="single" w:sz="8" w:color="CCEEFF"/>
            </w:tcBorders>
            <w:shd w:val="clear" w:color="auto" w:fill="CCEEFF"/>
          </w:tcPr>
          <w:p>
            <w:pPr>
              <w:spacing w:after="0"/>
              <w:rPr>
                <w:sz w:val="24"/>
                <w:szCs w:val="24"/>
                <w:color w:val="auto"/>
              </w:rPr>
            </w:pPr>
          </w:p>
        </w:tc>
        <w:tc>
          <w:tcPr>
            <w:tcW w:w="29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2,444,609</w:t>
            </w:r>
          </w:p>
        </w:tc>
      </w:tr>
      <w:tr>
        <w:trPr>
          <w:trHeight w:val="257"/>
        </w:trPr>
        <w:tc>
          <w:tcPr>
            <w:tcW w:w="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225"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Fidelity</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Total International Index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2,289,161</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3225"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Fidelity</w:t>
            </w:r>
          </w:p>
        </w:tc>
        <w:tc>
          <w:tcPr>
            <w:tcW w:w="4555" w:type="dxa"/>
            <w:vAlign w:val="bottom"/>
            <w:tcBorders>
              <w:bottom w:val="single" w:sz="8" w:color="CCEEFF"/>
            </w:tcBorders>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Small Cap Index Fund</w:t>
            </w:r>
          </w:p>
        </w:tc>
        <w:tc>
          <w:tcPr>
            <w:tcW w:w="1400" w:type="dxa"/>
            <w:vAlign w:val="bottom"/>
            <w:tcBorders>
              <w:bottom w:val="single" w:sz="8" w:color="CCEEFF"/>
            </w:tcBorders>
            <w:gridSpan w:val="2"/>
            <w:shd w:val="clear" w:color="auto" w:fill="CCEEFF"/>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405,166</w:t>
            </w:r>
          </w:p>
        </w:tc>
      </w:tr>
      <w:tr>
        <w:trPr>
          <w:trHeight w:val="257"/>
        </w:trPr>
        <w:tc>
          <w:tcPr>
            <w:tcW w:w="500" w:type="dxa"/>
            <w:vAlign w:val="bottom"/>
          </w:tcPr>
          <w:p>
            <w:pPr>
              <w:spacing w:after="0"/>
              <w:rPr>
                <w:sz w:val="22"/>
                <w:szCs w:val="22"/>
                <w:color w:val="auto"/>
              </w:rPr>
            </w:pPr>
          </w:p>
        </w:tc>
        <w:tc>
          <w:tcPr>
            <w:tcW w:w="3225"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PIMCO</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Income Institutional Fund</w:t>
            </w:r>
          </w:p>
        </w:tc>
        <w:tc>
          <w:tcPr>
            <w:tcW w:w="1400" w:type="dxa"/>
            <w:vAlign w:val="bottom"/>
            <w:gridSpan w:val="2"/>
          </w:tcPr>
          <w:p>
            <w:pPr>
              <w:jc w:val="center"/>
              <w:ind w:left="117"/>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359,156</w:t>
            </w:r>
          </w:p>
        </w:tc>
      </w:tr>
      <w:tr>
        <w:trPr>
          <w:trHeight w:val="40"/>
        </w:trPr>
        <w:tc>
          <w:tcPr>
            <w:tcW w:w="500" w:type="dxa"/>
            <w:vAlign w:val="bottom"/>
          </w:tcPr>
          <w:p>
            <w:pPr>
              <w:spacing w:after="0"/>
              <w:rPr>
                <w:sz w:val="3"/>
                <w:szCs w:val="3"/>
                <w:color w:val="auto"/>
              </w:rPr>
            </w:pPr>
          </w:p>
        </w:tc>
        <w:tc>
          <w:tcPr>
            <w:tcW w:w="3225" w:type="dxa"/>
            <w:vAlign w:val="bottom"/>
          </w:tcPr>
          <w:p>
            <w:pPr>
              <w:spacing w:after="0"/>
              <w:rPr>
                <w:sz w:val="3"/>
                <w:szCs w:val="3"/>
                <w:color w:val="auto"/>
              </w:rPr>
            </w:pPr>
          </w:p>
        </w:tc>
        <w:tc>
          <w:tcPr>
            <w:tcW w:w="55"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77"/>
        </w:trPr>
        <w:tc>
          <w:tcPr>
            <w:tcW w:w="500" w:type="dxa"/>
            <w:vAlign w:val="bottom"/>
            <w:tcBorders>
              <w:bottom w:val="single" w:sz="8" w:color="CCEEFF"/>
            </w:tcBorders>
            <w:shd w:val="clear" w:color="auto" w:fill="CCEEFF"/>
          </w:tcPr>
          <w:p>
            <w:pPr>
              <w:spacing w:after="0"/>
              <w:rPr>
                <w:sz w:val="24"/>
                <w:szCs w:val="24"/>
                <w:color w:val="auto"/>
              </w:rPr>
            </w:pPr>
          </w:p>
        </w:tc>
        <w:tc>
          <w:tcPr>
            <w:tcW w:w="3225"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w:t>
            </w:r>
          </w:p>
        </w:tc>
        <w:tc>
          <w:tcPr>
            <w:tcW w:w="4555" w:type="dxa"/>
            <w:vAlign w:val="bottom"/>
            <w:tcBorders>
              <w:bottom w:val="single" w:sz="8" w:color="CCEEFF"/>
            </w:tcBorders>
            <w:gridSpan w:val="6"/>
            <w:shd w:val="clear" w:color="auto" w:fill="CCEEFF"/>
          </w:tcPr>
          <w:p>
            <w:pPr>
              <w:ind w:left="55"/>
              <w:spacing w:after="0"/>
              <w:rPr>
                <w:sz w:val="20"/>
                <w:szCs w:val="20"/>
                <w:color w:val="auto"/>
              </w:rPr>
            </w:pPr>
            <w:r>
              <w:rPr>
                <w:rFonts w:ascii="Times New Roman" w:cs="Times New Roman" w:eastAsia="Times New Roman" w:hAnsi="Times New Roman"/>
                <w:sz w:val="18"/>
                <w:szCs w:val="18"/>
                <w:color w:val="auto"/>
              </w:rPr>
              <w:t>Mid-Cap Fund</w:t>
            </w:r>
          </w:p>
        </w:tc>
        <w:tc>
          <w:tcPr>
            <w:tcW w:w="1400" w:type="dxa"/>
            <w:vAlign w:val="bottom"/>
            <w:tcBorders>
              <w:bottom w:val="single" w:sz="8" w:color="CCEEFF"/>
            </w:tcBorders>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154,919</w:t>
            </w:r>
          </w:p>
        </w:tc>
      </w:tr>
      <w:tr>
        <w:trPr>
          <w:trHeight w:val="256"/>
        </w:trPr>
        <w:tc>
          <w:tcPr>
            <w:tcW w:w="500" w:type="dxa"/>
            <w:vAlign w:val="bottom"/>
          </w:tcPr>
          <w:p>
            <w:pPr>
              <w:spacing w:after="0"/>
              <w:rPr>
                <w:sz w:val="22"/>
                <w:szCs w:val="22"/>
                <w:color w:val="auto"/>
              </w:rPr>
            </w:pPr>
          </w:p>
        </w:tc>
        <w:tc>
          <w:tcPr>
            <w:tcW w:w="3225"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John Hancock</w:t>
            </w: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Disciplined Value Mid-Cap Fund</w:t>
            </w:r>
          </w:p>
        </w:tc>
        <w:tc>
          <w:tcPr>
            <w:tcW w:w="1400" w:type="dxa"/>
            <w:vAlign w:val="bottom"/>
            <w:gridSpan w:val="2"/>
          </w:tcPr>
          <w:p>
            <w:pPr>
              <w:jc w:val="center"/>
              <w:ind w:left="137"/>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53,231</w:t>
            </w:r>
          </w:p>
        </w:tc>
      </w:tr>
      <w:tr>
        <w:trPr>
          <w:trHeight w:val="40"/>
        </w:trPr>
        <w:tc>
          <w:tcPr>
            <w:tcW w:w="500" w:type="dxa"/>
            <w:vAlign w:val="bottom"/>
            <w:tcBorders>
              <w:bottom w:val="single" w:sz="8" w:color="CCEEFF"/>
            </w:tcBorders>
          </w:tcPr>
          <w:p>
            <w:pPr>
              <w:spacing w:after="0"/>
              <w:rPr>
                <w:sz w:val="3"/>
                <w:szCs w:val="3"/>
                <w:color w:val="auto"/>
              </w:rPr>
            </w:pPr>
          </w:p>
        </w:tc>
        <w:tc>
          <w:tcPr>
            <w:tcW w:w="3225" w:type="dxa"/>
            <w:vAlign w:val="bottom"/>
            <w:tcBorders>
              <w:bottom w:val="single" w:sz="8" w:color="CCEEFF"/>
            </w:tcBorders>
          </w:tcPr>
          <w:p>
            <w:pPr>
              <w:spacing w:after="0"/>
              <w:rPr>
                <w:sz w:val="3"/>
                <w:szCs w:val="3"/>
                <w:color w:val="auto"/>
              </w:rPr>
            </w:pPr>
          </w:p>
        </w:tc>
        <w:tc>
          <w:tcPr>
            <w:tcW w:w="55"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70"/>
        </w:trPr>
        <w:tc>
          <w:tcPr>
            <w:tcW w:w="500" w:type="dxa"/>
            <w:vAlign w:val="bottom"/>
            <w:tcBorders>
              <w:bottom w:val="single" w:sz="8" w:color="CCEEFF"/>
            </w:tcBorders>
            <w:shd w:val="clear" w:color="auto" w:fill="CCEEFF"/>
          </w:tcPr>
          <w:p>
            <w:pPr>
              <w:spacing w:after="0"/>
              <w:rPr>
                <w:sz w:val="23"/>
                <w:szCs w:val="23"/>
                <w:color w:val="auto"/>
              </w:rPr>
            </w:pPr>
          </w:p>
        </w:tc>
        <w:tc>
          <w:tcPr>
            <w:tcW w:w="3225" w:type="dxa"/>
            <w:vAlign w:val="bottom"/>
            <w:tcBorders>
              <w:bottom w:val="single" w:sz="8" w:color="CCEEFF"/>
            </w:tcBorders>
            <w:shd w:val="clear" w:color="auto" w:fill="CCEEFF"/>
          </w:tcPr>
          <w:p>
            <w:pPr>
              <w:spacing w:after="0"/>
              <w:rPr>
                <w:sz w:val="23"/>
                <w:szCs w:val="23"/>
                <w:color w:val="auto"/>
              </w:rPr>
            </w:pPr>
          </w:p>
        </w:tc>
        <w:tc>
          <w:tcPr>
            <w:tcW w:w="55"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74,651,689</w:t>
            </w:r>
          </w:p>
        </w:tc>
      </w:tr>
      <w:tr>
        <w:trPr>
          <w:trHeight w:val="216"/>
        </w:trPr>
        <w:tc>
          <w:tcPr>
            <w:tcW w:w="500" w:type="dxa"/>
            <w:vAlign w:val="bottom"/>
          </w:tcPr>
          <w:p>
            <w:pPr>
              <w:spacing w:after="0"/>
              <w:rPr>
                <w:sz w:val="18"/>
                <w:szCs w:val="18"/>
                <w:color w:val="auto"/>
              </w:rPr>
            </w:pPr>
          </w:p>
        </w:tc>
        <w:tc>
          <w:tcPr>
            <w:tcW w:w="3225" w:type="dxa"/>
            <w:vAlign w:val="bottom"/>
          </w:tcPr>
          <w:p>
            <w:pPr>
              <w:spacing w:after="0"/>
              <w:rPr>
                <w:sz w:val="18"/>
                <w:szCs w:val="18"/>
                <w:color w:val="auto"/>
              </w:rPr>
            </w:pPr>
          </w:p>
        </w:tc>
        <w:tc>
          <w:tcPr>
            <w:tcW w:w="4555" w:type="dxa"/>
            <w:vAlign w:val="bottom"/>
            <w:gridSpan w:val="6"/>
          </w:tcPr>
          <w:p>
            <w:pPr>
              <w:ind w:left="55"/>
              <w:spacing w:after="0"/>
              <w:rPr>
                <w:sz w:val="20"/>
                <w:szCs w:val="20"/>
                <w:color w:val="auto"/>
              </w:rPr>
            </w:pPr>
            <w:r>
              <w:rPr>
                <w:rFonts w:ascii="Times New Roman" w:cs="Times New Roman" w:eastAsia="Times New Roman" w:hAnsi="Times New Roman"/>
                <w:sz w:val="18"/>
                <w:szCs w:val="18"/>
                <w:color w:val="auto"/>
              </w:rPr>
              <w:t>SPS Commerce Stock</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61"/>
        </w:trPr>
        <w:tc>
          <w:tcPr>
            <w:tcW w:w="500" w:type="dxa"/>
            <w:vAlign w:val="bottom"/>
          </w:tcPr>
          <w:p>
            <w:pPr>
              <w:spacing w:after="0"/>
              <w:rPr>
                <w:sz w:val="5"/>
                <w:szCs w:val="5"/>
                <w:color w:val="auto"/>
              </w:rPr>
            </w:pPr>
          </w:p>
        </w:tc>
        <w:tc>
          <w:tcPr>
            <w:tcW w:w="3225" w:type="dxa"/>
            <w:vAlign w:val="bottom"/>
          </w:tcPr>
          <w:p>
            <w:pPr>
              <w:spacing w:after="0"/>
              <w:rPr>
                <w:sz w:val="5"/>
                <w:szCs w:val="5"/>
                <w:color w:val="auto"/>
              </w:rPr>
            </w:pPr>
          </w:p>
        </w:tc>
        <w:tc>
          <w:tcPr>
            <w:tcW w:w="55"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77"/>
        </w:trPr>
        <w:tc>
          <w:tcPr>
            <w:tcW w:w="5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3225"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SPS Commerce, Inc.</w:t>
            </w:r>
          </w:p>
        </w:tc>
        <w:tc>
          <w:tcPr>
            <w:tcW w:w="55" w:type="dxa"/>
            <w:vAlign w:val="bottom"/>
            <w:tcBorders>
              <w:bottom w:val="single" w:sz="8" w:color="CCEEFF"/>
            </w:tcBorders>
            <w:shd w:val="clear" w:color="auto" w:fill="CCEEFF"/>
          </w:tcPr>
          <w:p>
            <w:pPr>
              <w:spacing w:after="0"/>
              <w:rPr>
                <w:sz w:val="24"/>
                <w:szCs w:val="24"/>
                <w:color w:val="auto"/>
              </w:rPr>
            </w:pPr>
          </w:p>
        </w:tc>
        <w:tc>
          <w:tcPr>
            <w:tcW w:w="450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1400" w:type="dxa"/>
            <w:vAlign w:val="bottom"/>
            <w:tcBorders>
              <w:bottom w:val="single" w:sz="8" w:color="CCEEFF"/>
            </w:tcBorders>
            <w:gridSpan w:val="2"/>
            <w:shd w:val="clear" w:color="auto" w:fill="CCEEFF"/>
          </w:tcPr>
          <w:p>
            <w:pPr>
              <w:jc w:val="center"/>
              <w:ind w:left="137"/>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10,714,050</w:t>
            </w:r>
          </w:p>
        </w:tc>
      </w:tr>
      <w:tr>
        <w:trPr>
          <w:trHeight w:val="270"/>
        </w:trPr>
        <w:tc>
          <w:tcPr>
            <w:tcW w:w="500" w:type="dxa"/>
            <w:vAlign w:val="bottom"/>
          </w:tcPr>
          <w:p>
            <w:pPr>
              <w:spacing w:after="0"/>
              <w:rPr>
                <w:sz w:val="23"/>
                <w:szCs w:val="23"/>
                <w:color w:val="auto"/>
              </w:rPr>
            </w:pPr>
          </w:p>
        </w:tc>
        <w:tc>
          <w:tcPr>
            <w:tcW w:w="3225" w:type="dxa"/>
            <w:vAlign w:val="bottom"/>
          </w:tcPr>
          <w:p>
            <w:pPr>
              <w:spacing w:after="0"/>
              <w:rPr>
                <w:sz w:val="23"/>
                <w:szCs w:val="23"/>
                <w:color w:val="auto"/>
              </w:rPr>
            </w:pPr>
          </w:p>
        </w:tc>
        <w:tc>
          <w:tcPr>
            <w:tcW w:w="55"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4"/>
        </w:trPr>
        <w:tc>
          <w:tcPr>
            <w:tcW w:w="500" w:type="dxa"/>
            <w:vAlign w:val="bottom"/>
            <w:shd w:val="clear" w:color="auto" w:fill="CCEEFF"/>
          </w:tcPr>
          <w:p>
            <w:pPr>
              <w:spacing w:after="0"/>
              <w:rPr>
                <w:sz w:val="22"/>
                <w:szCs w:val="22"/>
                <w:color w:val="auto"/>
              </w:rPr>
            </w:pPr>
          </w:p>
        </w:tc>
        <w:tc>
          <w:tcPr>
            <w:tcW w:w="3225" w:type="dxa"/>
            <w:vAlign w:val="bottom"/>
            <w:shd w:val="clear" w:color="auto" w:fill="CCEEFF"/>
          </w:tcPr>
          <w:p>
            <w:pPr>
              <w:spacing w:after="0"/>
              <w:rPr>
                <w:sz w:val="22"/>
                <w:szCs w:val="22"/>
                <w:color w:val="auto"/>
              </w:rPr>
            </w:pPr>
          </w:p>
        </w:tc>
        <w:tc>
          <w:tcPr>
            <w:tcW w:w="55" w:type="dxa"/>
            <w:vAlign w:val="bottom"/>
            <w:shd w:val="clear" w:color="auto" w:fill="CCEEFF"/>
          </w:tcPr>
          <w:p>
            <w:pPr>
              <w:spacing w:after="0"/>
              <w:rPr>
                <w:sz w:val="22"/>
                <w:szCs w:val="22"/>
                <w:color w:val="auto"/>
              </w:rPr>
            </w:pPr>
          </w:p>
        </w:tc>
        <w:tc>
          <w:tcPr>
            <w:tcW w:w="4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loans</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3225" w:type="dxa"/>
            <w:vAlign w:val="bottom"/>
            <w:tcBorders>
              <w:top w:val="single" w:sz="8" w:color="CCEEFF"/>
            </w:tcBorders>
            <w:shd w:val="clear" w:color="auto" w:fill="CCEEFF"/>
          </w:tcPr>
          <w:p>
            <w:pPr>
              <w:spacing w:after="0" w:line="20" w:lineRule="exact"/>
              <w:rPr>
                <w:sz w:val="1"/>
                <w:szCs w:val="1"/>
                <w:color w:val="auto"/>
              </w:rPr>
            </w:pPr>
          </w:p>
        </w:tc>
        <w:tc>
          <w:tcPr>
            <w:tcW w:w="55"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gridSpan w:val="2"/>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250"/>
        </w:trPr>
        <w:tc>
          <w:tcPr>
            <w:tcW w:w="5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225"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Participant loans</w:t>
            </w:r>
          </w:p>
        </w:tc>
        <w:tc>
          <w:tcPr>
            <w:tcW w:w="55" w:type="dxa"/>
            <w:vAlign w:val="bottom"/>
          </w:tcPr>
          <w:p>
            <w:pPr>
              <w:spacing w:after="0"/>
              <w:rPr>
                <w:sz w:val="21"/>
                <w:szCs w:val="21"/>
                <w:color w:val="auto"/>
              </w:rPr>
            </w:pPr>
          </w:p>
        </w:tc>
        <w:tc>
          <w:tcPr>
            <w:tcW w:w="4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Interest from 4.25% to 9.50% maturing through 2031</w:t>
            </w:r>
          </w:p>
        </w:tc>
        <w:tc>
          <w:tcPr>
            <w:tcW w:w="1400" w:type="dxa"/>
            <w:vAlign w:val="bottom"/>
            <w:gridSpan w:val="2"/>
          </w:tcPr>
          <w:p>
            <w:pPr>
              <w:jc w:val="center"/>
              <w:ind w:left="137"/>
              <w:spacing w:after="0"/>
              <w:rPr>
                <w:sz w:val="20"/>
                <w:szCs w:val="20"/>
                <w:color w:val="auto"/>
              </w:rPr>
            </w:pPr>
            <w:r>
              <w:rPr>
                <w:rFonts w:ascii="Times New Roman" w:cs="Times New Roman" w:eastAsia="Times New Roman" w:hAnsi="Times New Roman"/>
                <w:sz w:val="18"/>
                <w:szCs w:val="18"/>
                <w:color w:val="auto"/>
                <w:w w:val="99"/>
              </w:rPr>
              <w:t>$0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1,611,115</w:t>
            </w:r>
          </w:p>
        </w:tc>
      </w:tr>
      <w:tr>
        <w:trPr>
          <w:trHeight w:val="40"/>
        </w:trPr>
        <w:tc>
          <w:tcPr>
            <w:tcW w:w="500" w:type="dxa"/>
            <w:vAlign w:val="bottom"/>
            <w:tcBorders>
              <w:bottom w:val="single" w:sz="8" w:color="CCEEFF"/>
            </w:tcBorders>
          </w:tcPr>
          <w:p>
            <w:pPr>
              <w:spacing w:after="0"/>
              <w:rPr>
                <w:sz w:val="3"/>
                <w:szCs w:val="3"/>
                <w:color w:val="auto"/>
              </w:rPr>
            </w:pPr>
          </w:p>
        </w:tc>
        <w:tc>
          <w:tcPr>
            <w:tcW w:w="3225" w:type="dxa"/>
            <w:vAlign w:val="bottom"/>
            <w:tcBorders>
              <w:bottom w:val="single" w:sz="8" w:color="CCEEFF"/>
            </w:tcBorders>
          </w:tcPr>
          <w:p>
            <w:pPr>
              <w:spacing w:after="0"/>
              <w:rPr>
                <w:sz w:val="3"/>
                <w:szCs w:val="3"/>
                <w:color w:val="auto"/>
              </w:rPr>
            </w:pPr>
          </w:p>
        </w:tc>
        <w:tc>
          <w:tcPr>
            <w:tcW w:w="55"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500" w:type="dxa"/>
            <w:vAlign w:val="bottom"/>
            <w:shd w:val="clear" w:color="auto" w:fill="CCEEFF"/>
          </w:tcPr>
          <w:p>
            <w:pPr>
              <w:spacing w:after="0"/>
              <w:rPr>
                <w:sz w:val="21"/>
                <w:szCs w:val="21"/>
                <w:color w:val="auto"/>
              </w:rPr>
            </w:pPr>
          </w:p>
        </w:tc>
        <w:tc>
          <w:tcPr>
            <w:tcW w:w="3225" w:type="dxa"/>
            <w:vAlign w:val="bottom"/>
            <w:shd w:val="clear" w:color="auto" w:fill="CCEEFF"/>
          </w:tcPr>
          <w:p>
            <w:pPr>
              <w:spacing w:after="0"/>
              <w:rPr>
                <w:sz w:val="21"/>
                <w:szCs w:val="21"/>
                <w:color w:val="auto"/>
              </w:rPr>
            </w:pPr>
          </w:p>
        </w:tc>
        <w:tc>
          <w:tcPr>
            <w:tcW w:w="55"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257,523,403</w:t>
            </w:r>
          </w:p>
        </w:tc>
      </w:tr>
      <w:tr>
        <w:trPr>
          <w:trHeight w:val="41"/>
        </w:trPr>
        <w:tc>
          <w:tcPr>
            <w:tcW w:w="500" w:type="dxa"/>
            <w:vAlign w:val="bottom"/>
            <w:shd w:val="clear" w:color="auto" w:fill="CCEEFF"/>
          </w:tcPr>
          <w:p>
            <w:pPr>
              <w:spacing w:after="0"/>
              <w:rPr>
                <w:sz w:val="3"/>
                <w:szCs w:val="3"/>
                <w:color w:val="auto"/>
              </w:rPr>
            </w:pPr>
          </w:p>
        </w:tc>
        <w:tc>
          <w:tcPr>
            <w:tcW w:w="3225" w:type="dxa"/>
            <w:vAlign w:val="bottom"/>
            <w:shd w:val="clear" w:color="auto" w:fill="CCEEFF"/>
          </w:tcPr>
          <w:p>
            <w:pPr>
              <w:spacing w:after="0"/>
              <w:rPr>
                <w:sz w:val="3"/>
                <w:szCs w:val="3"/>
                <w:color w:val="auto"/>
              </w:rPr>
            </w:pPr>
          </w:p>
        </w:tc>
        <w:tc>
          <w:tcPr>
            <w:tcW w:w="55"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49"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party-in-interest</w:t>
      </w:r>
    </w:p>
    <w:p>
      <w:pPr>
        <w:spacing w:after="0" w:line="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Historical cost information not required for participant-directed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137160</wp:posOffset>
            </wp:positionV>
            <wp:extent cx="1625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ectPr>
          <w:pgSz w:w="11900" w:h="16838" w:orient="portrait"/>
          <w:cols w:equalWidth="0" w:num="1">
            <w:col w:w="11240"/>
          </w:cols>
          <w:pgMar w:left="320" w:top="114" w:right="339" w:bottom="840" w:gutter="0" w:footer="0" w:header="0"/>
        </w:sectPr>
      </w:pPr>
    </w:p>
    <w:p>
      <w:pPr>
        <w:spacing w:after="0" w:line="362" w:lineRule="exact"/>
        <w:rPr>
          <w:sz w:val="20"/>
          <w:szCs w:val="20"/>
          <w:color w:val="auto"/>
        </w:rPr>
      </w:pPr>
    </w:p>
    <w:p>
      <w:pPr>
        <w:ind w:left="340"/>
        <w:spacing w:after="0"/>
        <w:tabs>
          <w:tab w:leader="none" w:pos="5900" w:val="left"/>
          <w:tab w:leader="none" w:pos="8300" w:val="left"/>
        </w:tabs>
        <w:rPr>
          <w:sz w:val="20"/>
          <w:szCs w:val="20"/>
          <w:color w:val="auto"/>
        </w:rPr>
      </w:pPr>
      <w:r>
        <w:rPr>
          <w:rFonts w:ascii="Times New Roman" w:cs="Times New Roman" w:eastAsia="Times New Roman" w:hAnsi="Times New Roman"/>
          <w:sz w:val="26"/>
          <w:szCs w:val="26"/>
          <w:b w:val="1"/>
          <w:bCs w:val="1"/>
          <w:color w:val="auto"/>
          <w:vertAlign w:val="superscript"/>
        </w:rPr>
        <w:t>SPS COMMERCE, INC. 401(K) RETIREMENT SAVINGS PLAN</w:t>
      </w:r>
      <w:r>
        <w:rPr>
          <w:sz w:val="20"/>
          <w:szCs w:val="20"/>
          <w:color w:val="auto"/>
        </w:rPr>
        <w:tab/>
      </w:r>
      <w:r>
        <w:rPr>
          <w:rFonts w:ascii="Times New Roman" w:cs="Times New Roman" w:eastAsia="Times New Roman" w:hAnsi="Times New Roman"/>
          <w:sz w:val="14"/>
          <w:szCs w:val="14"/>
          <w:color w:val="auto"/>
        </w:rPr>
        <w:t>10</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8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3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00AAE5"/>
              </w:rPr>
              <w:t>Exhibit Index</w:t>
            </w:r>
          </w:p>
        </w:tc>
      </w:tr>
      <w:tr>
        <w:trPr>
          <w:trHeight w:val="449"/>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0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Manner of Filing</w:t>
            </w:r>
          </w:p>
        </w:tc>
      </w:tr>
      <w:tr>
        <w:trPr>
          <w:trHeight w:val="37"/>
        </w:trPr>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r>
      <w:tr>
        <w:trPr>
          <w:trHeight w:val="277"/>
        </w:trPr>
        <w:tc>
          <w:tcPr>
            <w:tcW w:w="100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Consent of Wipfli LLP</w:t>
            </w:r>
          </w:p>
        </w:tc>
        <w:tc>
          <w:tcPr>
            <w:tcW w:w="2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electronically herewith</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Signatures</w:t>
      </w:r>
    </w:p>
    <w:p>
      <w:pPr>
        <w:spacing w:after="0" w:line="81" w:lineRule="exact"/>
        <w:rPr>
          <w:sz w:val="20"/>
          <w:szCs w:val="20"/>
          <w:color w:val="auto"/>
        </w:rPr>
      </w:pPr>
    </w:p>
    <w:p>
      <w:pPr>
        <w:ind w:right="36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29, 2026</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933450</wp:posOffset>
            </wp:positionV>
            <wp:extent cx="1625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SPS COMMERCE, INC. 401(K) RETIREMENT SAVINGS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SPS COMMERCE, INC., the Plan Sponsor and Plan Administrator</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JOSEPH DEL PRETO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43180</wp:posOffset>
            </wp:positionV>
            <wp:extent cx="38658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Joseph Del Preto</w:t>
      </w:r>
    </w:p>
    <w:p>
      <w:pPr>
        <w:ind w:left="540" w:right="740"/>
        <w:spacing w:after="0" w:line="226" w:lineRule="auto"/>
        <w:rPr>
          <w:sz w:val="20"/>
          <w:szCs w:val="20"/>
          <w:color w:val="auto"/>
        </w:rPr>
      </w:pPr>
      <w:r>
        <w:rPr>
          <w:rFonts w:ascii="Times New Roman" w:cs="Times New Roman" w:eastAsia="Times New Roman" w:hAnsi="Times New Roman"/>
          <w:sz w:val="18"/>
          <w:szCs w:val="18"/>
          <w:i w:val="1"/>
          <w:iCs w:val="1"/>
          <w:color w:val="auto"/>
        </w:rPr>
        <w:t>SPS Commerce, Inc. Executive Vice President and Chief Financial Officer (principal financial and accounting officer)</w:t>
      </w:r>
    </w:p>
    <w:p>
      <w:pPr>
        <w:spacing w:after="0" w:line="200" w:lineRule="exact"/>
        <w:rPr>
          <w:sz w:val="20"/>
          <w:szCs w:val="20"/>
          <w:color w:val="auto"/>
        </w:rPr>
      </w:pPr>
    </w:p>
    <w:p>
      <w:pPr>
        <w:sectPr>
          <w:pgSz w:w="11900" w:h="16838" w:orient="portrait"/>
          <w:cols w:equalWidth="0" w:num="2">
            <w:col w:w="3900" w:space="720"/>
            <w:col w:w="662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
        <w:spacing w:after="0"/>
        <w:tabs>
          <w:tab w:leader="none" w:pos="5900" w:val="left"/>
          <w:tab w:leader="none" w:pos="8300" w:val="left"/>
        </w:tabs>
        <w:rPr>
          <w:sz w:val="20"/>
          <w:szCs w:val="20"/>
          <w:color w:val="auto"/>
        </w:rPr>
      </w:pPr>
      <w:r>
        <w:rPr>
          <w:rFonts w:ascii="Times New Roman" w:cs="Times New Roman" w:eastAsia="Times New Roman" w:hAnsi="Times New Roman"/>
          <w:sz w:val="13"/>
          <w:szCs w:val="13"/>
          <w:b w:val="1"/>
          <w:bCs w:val="1"/>
          <w:color w:val="auto"/>
        </w:rPr>
        <w:t>SPS COMMERCE, INC. 401(K) RETIREMENT SAVINGS PLAN</w:t>
      </w:r>
      <w:r>
        <w:rPr>
          <w:sz w:val="20"/>
          <w:szCs w:val="20"/>
          <w:color w:val="auto"/>
        </w:rPr>
        <w:tab/>
      </w: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3"/>
          <w:szCs w:val="13"/>
          <w:b w:val="1"/>
          <w:bCs w:val="1"/>
          <w:color w:val="auto"/>
        </w:rPr>
        <w:t>Form 11-K for the Year Ended December 31, 2025</w:t>
      </w:r>
    </w:p>
    <w:p>
      <w:pPr>
        <w:sectPr>
          <w:pgSz w:w="11900" w:h="16838" w:orient="portrait"/>
          <w:cols w:equalWidth="0" w:num="1">
            <w:col w:w="11240"/>
          </w:cols>
          <w:pgMar w:left="320" w:top="114"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 401(k) Retirement Savings Plan:</w:t>
      </w:r>
    </w:p>
    <w:p>
      <w:pPr>
        <w:spacing w:after="0" w:line="207" w:lineRule="exact"/>
        <w:rPr>
          <w:sz w:val="20"/>
          <w:szCs w:val="20"/>
          <w:color w:val="auto"/>
        </w:rPr>
      </w:pPr>
    </w:p>
    <w:p>
      <w:pPr>
        <w:ind w:right="320"/>
        <w:spacing w:after="0" w:line="21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333-222438) on Form S-8 of SPS Commerce, Inc. of our report dated June 29, 2026, with respect to the statement of net assets available for benefits of the SPS Commerce, Inc. 401(k) Retirement Savings Plan as of December 31, 2025 and 2024, the related statement of changes in net assets available for benefits for the year ended December 31, 2025 and the related</w:t>
      </w:r>
    </w:p>
    <w:p>
      <w:pPr>
        <w:spacing w:after="0" w:line="1"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notes, and the supplemental schedule, Schedule H, Part IV, Line 4(i) – Schedule of Assets (Held at End of Year) as of December 31, 2025, which report appears in the December 31, 2025 annual report for Form 11-K of the SPS Commerce, Inc. 401(k) Retirement Savings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WIPFLI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2026-06-29T17:04:32Z</dcterms:created>
  <dcterms:modified xsi:type="dcterms:W3CDTF">2026-06-29T17:04:32Z</dcterms:modified>
</cp:coreProperties>
</file>