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McConnell Michael J</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SPS COMMERCE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SPSC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333 SOUTH SEVENTH STREET</w:t>
            </w:r>
          </w:p>
        </w:tc>
        <w:tc>
          <w:tcPr>
            <w:tcW w:w="1220" w:type="dxa"/>
            <w:vAlign w:val="bottom"/>
          </w:tcPr>
          <w:p>
            <w:pPr>
              <w:spacing w:after="0"/>
              <w:rPr>
                <w:sz w:val="11"/>
                <w:szCs w:val="11"/>
                <w:color w:val="auto"/>
              </w:rPr>
            </w:pPr>
          </w:p>
        </w:tc>
        <w:tc>
          <w:tcPr>
            <w:tcW w:w="220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1000</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3,736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7,187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reflects a restricted stock unit award. The shares subject to this award will vest in four equal installments on the last day of each fiscal quarter with the first vesting occurring on June 30, 2026, provided the recipient remains a member of the board as of the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R.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9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92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9245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90764" TargetMode="External"/><Relationship Id="rId14" Type="http://schemas.openxmlformats.org/officeDocument/2006/relationships/hyperlink" Target="http://www.sec.gov/cgi-bin/browse-edgar?action=getcompany&amp;CIK=00010926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2026-06-01T17:14:03Z</dcterms:created>
  <dcterms:modified xsi:type="dcterms:W3CDTF">2026-06-01T17:14:03Z</dcterms:modified>
</cp:coreProperties>
</file>