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000" w:space="720"/>
            <w:col w:w="17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760" w:space="720"/>
            <w:col w:w="2060" w:space="440"/>
            <w:col w:w="16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180" w:space="160"/>
            <w:col w:w="280" w:space="80"/>
            <w:col w:w="160" w:space="180"/>
            <w:col w:w="238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July 24, 2014 was 16,234,758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6380" w:type="dxa"/>
            <w:vAlign w:val="bottom"/>
            <w:gridSpan w:val="8"/>
            <w:vMerge w:val="restart"/>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1"/>
            <w:vMerge w:val="continue"/>
          </w:tcPr>
          <w:p>
            <w:pPr>
              <w:spacing w:after="0"/>
              <w:rPr>
                <w:sz w:val="13"/>
                <w:szCs w:val="13"/>
                <w:color w:val="auto"/>
              </w:rPr>
            </w:pPr>
          </w:p>
        </w:tc>
        <w:tc>
          <w:tcPr>
            <w:tcW w:w="6380" w:type="dxa"/>
            <w:vAlign w:val="bottom"/>
            <w:gridSpan w:val="8"/>
            <w:vMerge w:val="continue"/>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060" w:type="dxa"/>
            <w:vAlign w:val="bottom"/>
            <w:gridSpan w:val="12"/>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2014 (unaudited) and December 31, 2013</w:t>
              </w:r>
            </w:hyperlink>
          </w:p>
        </w:tc>
        <w:tc>
          <w:tcPr>
            <w:tcW w:w="1560" w:type="dxa"/>
            <w:vAlign w:val="bottom"/>
            <w:gridSpan w:val="2"/>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5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for the three and six months ended June 30, 2014 and 2013 (unaudited)</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1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2014 and 2013 (unaudited)</w:t>
              </w:r>
            </w:hyperlink>
          </w:p>
        </w:tc>
        <w:tc>
          <w:tcPr>
            <w:tcW w:w="4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700" w:type="dxa"/>
            <w:vAlign w:val="bottom"/>
            <w:gridSpan w:val="4"/>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58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120" w:type="dxa"/>
            <w:vAlign w:val="bottom"/>
            <w:gridSpan w:val="3"/>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Controls and Procedures</w:t>
              </w:r>
            </w:hyperlink>
          </w:p>
        </w:tc>
        <w:tc>
          <w:tcPr>
            <w:tcW w:w="6780" w:type="dxa"/>
            <w:vAlign w:val="bottom"/>
            <w:gridSpan w:val="10"/>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OTHER INFORMATION</w:t>
              </w:r>
            </w:hyperlink>
          </w:p>
        </w:tc>
        <w:tc>
          <w:tcPr>
            <w:tcW w:w="6680" w:type="dxa"/>
            <w:vAlign w:val="bottom"/>
            <w:gridSpan w:val="9"/>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58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7240" w:type="dxa"/>
            <w:vAlign w:val="bottom"/>
            <w:gridSpan w:val="13"/>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4220" w:type="dxa"/>
            <w:vAlign w:val="bottom"/>
            <w:gridSpan w:val="6"/>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Defaults Upon Senior Securities</w:t>
              </w:r>
            </w:hyperlink>
          </w:p>
        </w:tc>
        <w:tc>
          <w:tcPr>
            <w:tcW w:w="6240" w:type="dxa"/>
            <w:vAlign w:val="bottom"/>
            <w:gridSpan w:val="7"/>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Mine Safety Disclosures</w:t>
              </w:r>
            </w:hyperlink>
          </w:p>
        </w:tc>
        <w:tc>
          <w:tcPr>
            <w:tcW w:w="6800" w:type="dxa"/>
            <w:vAlign w:val="bottom"/>
            <w:gridSpan w:val="11"/>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58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7260" w:type="dxa"/>
            <w:vAlign w:val="bottom"/>
            <w:gridSpan w:val="14"/>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b w:val="1"/>
                <w:bCs w:val="1"/>
                <w:color w:val="0000EE"/>
                <w:w w:val="92"/>
              </w:rPr>
            </w:pPr>
            <w:hyperlink w:anchor="page21">
              <w:r>
                <w:rPr>
                  <w:rFonts w:ascii="Arial" w:cs="Arial" w:eastAsia="Arial" w:hAnsi="Arial"/>
                  <w:sz w:val="18"/>
                  <w:szCs w:val="18"/>
                  <w:b w:val="1"/>
                  <w:bCs w:val="1"/>
                  <w:color w:val="0000EE"/>
                  <w:w w:val="92"/>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2013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5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80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SPS COMMERCE, INC.</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color w:val="auto"/>
                <w:w w:val="89"/>
              </w:rPr>
              <w:t>(Unaudited; in thousands, except share amounts)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980" w:type="dxa"/>
            <w:vAlign w:val="bottom"/>
            <w:shd w:val="clear" w:color="auto" w:fill="CCEEFF"/>
          </w:tcPr>
          <w:p>
            <w:pPr>
              <w:jc w:val="center"/>
              <w:ind w:right="1590"/>
              <w:spacing w:after="0" w:line="196" w:lineRule="exact"/>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136,508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131,294</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Accounts receivable, less allowance for doubtful accounts of $242 and $237, respectively</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13,348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11,611</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costs, current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Deferred income taxes, current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r>
      <w:tr>
        <w:trPr>
          <w:trHeight w:val="223"/>
        </w:trPr>
        <w:tc>
          <w:tcPr>
            <w:tcW w:w="540" w:type="dxa"/>
            <w:vAlign w:val="bottom"/>
          </w:tcPr>
          <w:p>
            <w:pPr>
              <w:spacing w:after="0"/>
              <w:rPr>
                <w:sz w:val="19"/>
                <w:szCs w:val="19"/>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6"/>
              </w:rPr>
              <w:t>164,889</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156,075</w:t>
            </w:r>
          </w:p>
        </w:tc>
        <w:tc>
          <w:tcPr>
            <w:tcW w:w="100" w:type="dxa"/>
            <w:vAlign w:val="bottom"/>
          </w:tcPr>
          <w:p>
            <w:pPr>
              <w:spacing w:after="0"/>
              <w:rPr>
                <w:sz w:val="19"/>
                <w:szCs w:val="19"/>
                <w:color w:val="auto"/>
              </w:rPr>
            </w:pP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9,922</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25,487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25,487</w:t>
            </w: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costs, net of current portion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Deferred income taxes, net of current portion</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10,294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10,870</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3"/>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230,172</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223,330</w:t>
            </w:r>
          </w:p>
        </w:tc>
        <w:tc>
          <w:tcPr>
            <w:tcW w:w="10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right="161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7,639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7,981</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Deferred revenue, current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6,912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6,335</w:t>
            </w:r>
          </w:p>
        </w:tc>
      </w:tr>
      <w:tr>
        <w:trPr>
          <w:trHeight w:val="27"/>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18,915</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revenue, less current portion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8,785</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2,663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r>
      <w:tr>
        <w:trPr>
          <w:trHeight w:val="27"/>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32,035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30,557</w:t>
            </w:r>
          </w:p>
        </w:tc>
      </w:tr>
      <w:tr>
        <w:trPr>
          <w:trHeight w:val="223"/>
        </w:trPr>
        <w:tc>
          <w:tcPr>
            <w:tcW w:w="934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8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3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55,000,000 shares authorized; 16,230,057 and 16,092,121 shares issued and</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0" w:type="dxa"/>
            <w:vAlign w:val="bottom"/>
            <w:shd w:val="clear" w:color="auto" w:fill="CCEEFF"/>
          </w:tcPr>
          <w:p>
            <w:pPr>
              <w:spacing w:after="0"/>
              <w:rPr>
                <w:sz w:val="20"/>
                <w:szCs w:val="20"/>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respectively</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243,901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239,549</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(45,780)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(46,792)</w:t>
            </w:r>
          </w:p>
        </w:tc>
      </w:tr>
      <w:tr>
        <w:trPr>
          <w:trHeight w:val="230"/>
        </w:trPr>
        <w:tc>
          <w:tcPr>
            <w:tcW w:w="540" w:type="dxa"/>
            <w:vAlign w:val="bottom"/>
          </w:tcPr>
          <w:p>
            <w:pPr>
              <w:spacing w:after="0"/>
              <w:rPr>
                <w:sz w:val="20"/>
                <w:szCs w:val="20"/>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198,137</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192,773</w:t>
            </w:r>
          </w:p>
        </w:tc>
        <w:tc>
          <w:tcPr>
            <w:tcW w:w="100" w:type="dxa"/>
            <w:vAlign w:val="bottom"/>
          </w:tcPr>
          <w:p>
            <w:pPr>
              <w:spacing w:after="0"/>
              <w:rPr>
                <w:sz w:val="20"/>
                <w:szCs w:val="20"/>
                <w:color w:val="auto"/>
              </w:rPr>
            </w:pPr>
          </w:p>
        </w:tc>
      </w:tr>
      <w:tr>
        <w:trPr>
          <w:trHeight w:val="216"/>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230,172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223,330</w:t>
            </w: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Cost of revenues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18,882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21,473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17,715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41,157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34,401</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22,454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6,339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20,459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17,232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39,545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33,724</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16,210</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15,076</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16,768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15,785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16,799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15,677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(951)</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(1,265)</w:t>
            </w: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r>
      <w:tr>
        <w:trPr>
          <w:trHeight w:val="216"/>
        </w:trPr>
        <w:tc>
          <w:tcPr>
            <w:tcW w:w="20" w:type="dxa"/>
            <w:vAlign w:val="bottom"/>
          </w:tcPr>
          <w:p>
            <w:pPr>
              <w:spacing w:after="0"/>
              <w:rPr>
                <w:sz w:val="18"/>
                <w:szCs w:val="18"/>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r>
      <w:tr>
        <w:trPr>
          <w:trHeight w:val="230"/>
        </w:trPr>
        <w:tc>
          <w:tcPr>
            <w:tcW w:w="20" w:type="dxa"/>
            <w:vAlign w:val="bottom"/>
          </w:tcPr>
          <w:p>
            <w:pPr>
              <w:spacing w:after="0"/>
              <w:rPr>
                <w:sz w:val="20"/>
                <w:szCs w:val="20"/>
                <w:color w:val="auto"/>
              </w:rPr>
            </w:pPr>
          </w:p>
        </w:tc>
        <w:tc>
          <w:tcPr>
            <w:tcW w:w="968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(1,737)</w:t>
            </w: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(1,737)</w:t>
            </w: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employee stock purchase plan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30"/>
        </w:trPr>
        <w:tc>
          <w:tcPr>
            <w:tcW w:w="20" w:type="dxa"/>
            <w:vAlign w:val="bottom"/>
          </w:tcPr>
          <w:p>
            <w:pPr>
              <w:spacing w:after="0"/>
              <w:rPr>
                <w:sz w:val="20"/>
                <w:szCs w:val="20"/>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9,084</w:t>
            </w: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131,294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66,050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136,508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75,134</w:t>
            </w: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2013 condensed consolidated balance sheet data was derived from our audited financial statements at that date. For further information, refer to the consolidated financial statements and accompanying notes for the year ended December 31, 2013 included in our Annual Report on Form 10-K as filed with the Securities and Exchange Commission on February 20, 2014.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During the six months ended June 30, 2014, there were no material changes in our significant accounting policies. See Note A to the consolidated financial statements included in our Annual Report on Form 10-K for the year ended December 31, 2013, as filed with the Securities and Exchange Commission on February 20, 2014, for additional information regarding our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May 2014, the Financial Accounting Standards Board issued new accounting requirements for the recognition of revenue from contracts with customers. These new requirements are effective for annual reporting periods beginning after December 15, 2016, and interim periods within those annual periods. We are currently evaluating the impact of this guidance on our results of operations and financial position.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Goodwill and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change in our goodwill for the six months ended June 30,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June 30, 2014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December 31, 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92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0"/>
                <w:szCs w:val="10"/>
                <w:color w:val="auto"/>
              </w:rPr>
            </w:pPr>
          </w:p>
        </w:tc>
        <w:tc>
          <w:tcPr>
            <w:tcW w:w="106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center"/>
              <w:ind w:right="60"/>
              <w:spacing w:after="0" w:line="123" w:lineRule="exact"/>
              <w:rPr>
                <w:sz w:val="20"/>
                <w:szCs w:val="20"/>
                <w:color w:val="auto"/>
              </w:rPr>
            </w:pPr>
            <w:r>
              <w:rPr>
                <w:rFonts w:ascii="Arial" w:cs="Arial" w:eastAsia="Arial" w:hAnsi="Arial"/>
                <w:sz w:val="14"/>
                <w:szCs w:val="14"/>
                <w:color w:val="auto"/>
                <w:w w:val="94"/>
              </w:rPr>
              <w:t>Carrying</w:t>
            </w:r>
          </w:p>
        </w:tc>
        <w:tc>
          <w:tcPr>
            <w:tcW w:w="24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9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900" w:type="dxa"/>
            <w:vAlign w:val="bottom"/>
            <w:gridSpan w:val="2"/>
          </w:tcPr>
          <w:p>
            <w:pPr>
              <w:ind w:left="200"/>
              <w:spacing w:after="0"/>
              <w:rPr>
                <w:sz w:val="20"/>
                <w:szCs w:val="20"/>
                <w:color w:val="auto"/>
              </w:rPr>
            </w:pPr>
            <w:r>
              <w:rPr>
                <w:rFonts w:ascii="Arial" w:cs="Arial" w:eastAsia="Arial" w:hAnsi="Arial"/>
                <w:sz w:val="14"/>
                <w:szCs w:val="14"/>
                <w:color w:val="auto"/>
              </w:rPr>
              <w:t>Net</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$23,160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7"/>
              </w:rPr>
              <w:t>(7,638)</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$15,522</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$23,160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0"/>
              </w:rPr>
              <w:t>(6,376)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(1,549)</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(1,412)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7"/>
        </w:trPr>
        <w:tc>
          <w:tcPr>
            <w:tcW w:w="5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24,870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(9,187)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15,683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24,870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(7,788)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17,082</w:t>
            </w:r>
          </w:p>
        </w:tc>
      </w:tr>
      <w:tr>
        <w:trPr>
          <w:trHeight w:val="20"/>
        </w:trPr>
        <w:tc>
          <w:tcPr>
            <w:tcW w:w="5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Amortization expense for intangible assets was $682,000 and $1.4 million for the three and six months ended June 30, 2014, and $717,000 and $1.4 million for the three and six months ended June 30, 2013, respectively.</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w w:val="99"/>
              </w:rPr>
              <w:t>At June 30, 2014, future amortization expense for intangible assets was as follows (in thousands):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2015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Thereafter</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Line of Credit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borrowings outstanding at June 30, 2014 and we were in compliance with all covenants under the revolving credit agreement as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Stock-Based Compensation</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2014, 965,527 additional shares were reserved for future issuance under our 2010 Equity Incentive Plan. At June 30, 2014, there were approximately 2.6 million shares available for grant under approved equity compensation plans.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We recorded non-cash stock-based compensation expense of $1.4 million and $2.7 million for the three and six months ended June 30, 2014, and $1.1 million and $2.0 million for the three and six months ended June 30, 2013, respectively. This expense was allocated as follows (in thousands):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color w:val="auto"/>
                <w:w w:val="91"/>
              </w:rPr>
              <w:t>Three Months Ended</w:t>
            </w:r>
          </w:p>
        </w:tc>
        <w:tc>
          <w:tcPr>
            <w:tcW w:w="80" w:type="dxa"/>
            <w:vAlign w:val="bottom"/>
          </w:tcPr>
          <w:p>
            <w:pPr>
              <w:spacing w:after="0"/>
              <w:rPr>
                <w:sz w:val="14"/>
                <w:szCs w:val="14"/>
                <w:color w:val="auto"/>
              </w:rPr>
            </w:pPr>
          </w:p>
        </w:tc>
        <w:tc>
          <w:tcPr>
            <w:tcW w:w="1400" w:type="dxa"/>
            <w:vAlign w:val="bottom"/>
            <w:gridSpan w:val="5"/>
          </w:tcPr>
          <w:p>
            <w:pPr>
              <w:jc w:val="right"/>
              <w:ind w:right="260"/>
              <w:spacing w:after="0"/>
              <w:rPr>
                <w:sz w:val="20"/>
                <w:szCs w:val="20"/>
                <w:color w:val="auto"/>
              </w:rPr>
            </w:pPr>
            <w:r>
              <w:rPr>
                <w:rFonts w:ascii="Arial" w:cs="Arial" w:eastAsia="Arial" w:hAnsi="Arial"/>
                <w:sz w:val="14"/>
                <w:szCs w:val="14"/>
                <w:color w:val="auto"/>
                <w:w w:val="98"/>
              </w:rPr>
              <w:t>Six Months Ended</w:t>
            </w:r>
          </w:p>
        </w:tc>
      </w:tr>
      <w:tr>
        <w:trPr>
          <w:trHeight w:val="167"/>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2014</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2013</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2014</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1,251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1,111</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2,698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2,035</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June 30, 2014, there was approximately $10.9 million of unrecognized stock-based compensation expense under our equity compensation plans, which is expected to be recognized on a straight line basis over a weighted average period of 2.8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4"/>
          </w:tcPr>
          <w:p>
            <w:pPr>
              <w:jc w:val="center"/>
              <w:ind w:left="108"/>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($/share)</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1,097,223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143,753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(93,744)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(9,883)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1,137,349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Of the total outstanding options at June 30, 2014, 717,306 were exercisable with a weighted average exercise price of $16.66 per share. The total outstanding options had a weighted average remaining contractual life of 5.7 years.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weighted average fair value per share of options granted during the first six months of 2014 was $24.69 and this was estimated on the date of grant using the Black-Scholes option pricing model with the following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3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tcPr>
          <w:p>
            <w:pPr>
              <w:jc w:val="right"/>
              <w:spacing w:after="0"/>
              <w:rPr>
                <w:sz w:val="20"/>
                <w:szCs w:val="20"/>
                <w:color w:val="auto"/>
              </w:rPr>
            </w:pPr>
            <w:r>
              <w:rPr>
                <w:rFonts w:ascii="Arial" w:cs="Arial" w:eastAsia="Arial" w:hAnsi="Arial"/>
                <w:sz w:val="18"/>
                <w:szCs w:val="18"/>
                <w:color w:val="auto"/>
              </w:rPr>
              <w:t>1.06-1.55%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00" w:type="dxa"/>
            <w:vAlign w:val="bottom"/>
            <w:gridSpan w:val="3"/>
          </w:tcPr>
          <w:p>
            <w:pPr>
              <w:jc w:val="center"/>
              <w:ind w:left="979"/>
              <w:spacing w:after="0"/>
              <w:rPr>
                <w:sz w:val="20"/>
                <w:szCs w:val="20"/>
                <w:color w:val="auto"/>
              </w:rPr>
            </w:pPr>
            <w:r>
              <w:rPr>
                <w:rFonts w:ascii="Arial" w:cs="Arial" w:eastAsia="Arial" w:hAnsi="Arial"/>
                <w:sz w:val="14"/>
                <w:szCs w:val="14"/>
                <w:color w:val="auto"/>
                <w:w w:val="94"/>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rPr>
              <w:t>Units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60" w:type="dxa"/>
            <w:vAlign w:val="bottom"/>
            <w:gridSpan w:val="2"/>
          </w:tcPr>
          <w:p>
            <w:pPr>
              <w:jc w:val="center"/>
              <w:ind w:left="1419"/>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102,644</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38,420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(26,557)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(1,145)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113,362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number of restricted stock units outstanding at June 30, 2014 included 12,063 units that have vested but for which shares of common stock have not yet been issued pursuant to the terms of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920" w:type="dxa"/>
            <w:vAlign w:val="bottom"/>
            <w:gridSpan w:val="3"/>
          </w:tcPr>
          <w:p>
            <w:pPr>
              <w:jc w:val="center"/>
              <w:ind w:left="959"/>
              <w:spacing w:after="0"/>
              <w:rPr>
                <w:sz w:val="20"/>
                <w:szCs w:val="20"/>
                <w:color w:val="auto"/>
              </w:rPr>
            </w:pPr>
            <w:r>
              <w:rPr>
                <w:rFonts w:ascii="Arial" w:cs="Arial" w:eastAsia="Arial" w:hAnsi="Arial"/>
                <w:sz w:val="14"/>
                <w:szCs w:val="14"/>
                <w:color w:val="auto"/>
                <w:w w:val="94"/>
              </w:rPr>
              <w:t>Restricted Stock</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Awards</w:t>
            </w:r>
          </w:p>
        </w:tc>
        <w:tc>
          <w:tcPr>
            <w:tcW w:w="40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60" w:type="dxa"/>
            <w:vAlign w:val="bottom"/>
            <w:gridSpan w:val="2"/>
          </w:tcPr>
          <w:p>
            <w:pPr>
              <w:jc w:val="center"/>
              <w:ind w:left="1419"/>
              <w:spacing w:after="0"/>
              <w:rPr>
                <w:sz w:val="20"/>
                <w:szCs w:val="20"/>
                <w:color w:val="auto"/>
              </w:rPr>
            </w:pPr>
            <w:r>
              <w:rPr>
                <w:rFonts w:ascii="Arial" w:cs="Arial" w:eastAsia="Arial" w:hAnsi="Arial"/>
                <w:sz w:val="14"/>
                <w:szCs w:val="14"/>
                <w:color w:val="auto"/>
                <w:w w:val="93"/>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5,352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A total of 1.2 million shares of common stock are reserved for issuance under the plan.</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For the offering period that began on January 1, 2014 and ended June 30, 2014, we withheld approximately $680,000 from employees participating in the plan. On June 30, 2014, approximately $672,000 of these funds was used to purchase 12,520 shares on behalf of the employees participating in the plan. The remaining funds are expected to be refunded to employees pursuant to the requirements of the plan.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the three and six months ended June 30, 2014, we recorded approximately $95,000 and $201,000, respectively, of stock-based compensation expense associated with the employee stock purchase plan. The fair value was estimated based on the market price of our common stock at the beginning of each offering period and using the Black-Scholes option pricing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0.50</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350"/>
        </w:trPr>
        <w:tc>
          <w:tcPr>
            <w:tcW w:w="2780" w:type="dxa"/>
            <w:vAlign w:val="bottom"/>
          </w:tcPr>
          <w:p>
            <w:pPr>
              <w:spacing w:after="0"/>
              <w:rPr>
                <w:sz w:val="24"/>
                <w:szCs w:val="24"/>
                <w:color w:val="auto"/>
              </w:rPr>
            </w:pPr>
          </w:p>
        </w:tc>
        <w:tc>
          <w:tcPr>
            <w:tcW w:w="4980" w:type="dxa"/>
            <w:vAlign w:val="bottom"/>
          </w:tcPr>
          <w:p>
            <w:pPr>
              <w:jc w:val="right"/>
              <w:ind w:right="375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meals and entertainment expense, employee stock purchase plan expense, as well as the federal R&amp;D credit.</w:t>
      </w:r>
    </w:p>
    <w:p>
      <w:pPr>
        <w:spacing w:after="0" w:line="18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We recorded income tax expense of $460,000 and $678,000 for the three and six months ended June 30, 2014. We recorded income tax expense of $169,000 and $103,000 for the three and six months ended June 30, 2013. Our provisions for income taxes included current foreign and state income tax expense, as well as deferred tax expense.</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are subject to U.S federal income tax as well as income tax in various state and international jurisdictions. We are generally subject to tax examinations for all prior years due to our net operating loss carryforwards. As of June 30, 2014, we were not under any income tax audits by tax authorities.</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As of June 30, 2014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Net Income Per Share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ind w:left="16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color w:val="auto"/>
              </w:rPr>
              <w:t>Six Months Ended</w:t>
            </w:r>
          </w:p>
        </w:tc>
      </w:tr>
      <w:tr>
        <w:trPr>
          <w:trHeight w:val="167"/>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2013</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2014</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16,210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15,076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16,183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14,983</w:t>
            </w: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purchase plan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16,768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15,785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16,799</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15,677</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effect of approximately 126,000 and 16,000 outstanding potential common shares was excluded from the calculation of diluted net income per share for each of the three and six months ended June 30, 2014 and 2013, respectively, because they were anti-dilutive.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derive the majority of our revenues from thousands of monthly recurring subscriptions from businesses that utilize our solutions.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June 30, 2014, our revenues were $31.1 million, an increase of 21% from the comparable period in 2013, and represented our 54</w:t>
      </w:r>
      <w:r>
        <w:rPr>
          <w:rFonts w:ascii="Arial" w:cs="Arial" w:eastAsia="Arial" w:hAnsi="Arial"/>
          <w:sz w:val="15"/>
          <w:szCs w:val="15"/>
          <w:color w:val="auto"/>
        </w:rPr>
        <w:t>th</w:t>
      </w:r>
      <w:r>
        <w:rPr>
          <w:rFonts w:ascii="Arial" w:cs="Arial" w:eastAsia="Arial" w:hAnsi="Arial"/>
          <w:sz w:val="18"/>
          <w:szCs w:val="18"/>
          <w:color w:val="auto"/>
        </w:rPr>
        <w:t xml:space="preserve"> consecutive quarter of increased revenues. Total operating expenses increased 19% and net income increased 122% for the same period in 2014 from 2013. Similar results were experienced for the six months ended June 30, 2014 with increased revenues of 22%, increased operating expenses of 17% and increased net income of 108% compared to the same period in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six months ended June 30, 2014,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2013 as filed with the Securities and Exchange Commission on February 20, 2014.</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prior periods for trend analyses and planning purposes. Adjusted EBITDA is also used for purposes of determining executive and senior management incentive compensation. These measures are also presented to our board of directors.</w:t>
      </w:r>
    </w:p>
    <w:p>
      <w:pPr>
        <w:spacing w:after="0" w:line="17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and stock-based compensation are the most critical to aid in fully understanding and evaluating our financial condition and results of operations.</w:t>
      </w:r>
    </w:p>
    <w:p>
      <w:pPr>
        <w:spacing w:after="0" w:line="18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During the six months ended June 30, 2014, there were no changes in our significant accounting policies or estimates. See Note A to our consolidated financial statements included in this Quarterly Report on Form 10-Q and in our Annual Report on Form 10-K for the year ended December 31, 2013, as filed with the Securities and Exchange Commission on February 20, 2014, for additional information regarding our accounting policies.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color w:val="auto"/>
              </w:rPr>
              <w:t>Three Months Ended June 30,</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3"/>
              <w:spacing w:after="0" w:line="142" w:lineRule="exact"/>
              <w:rPr>
                <w:sz w:val="20"/>
                <w:szCs w:val="20"/>
                <w:color w:val="auto"/>
              </w:rPr>
            </w:pPr>
            <w:r>
              <w:rPr>
                <w:rFonts w:ascii="Arial" w:cs="Arial" w:eastAsia="Arial" w:hAnsi="Arial"/>
                <w:sz w:val="14"/>
                <w:szCs w:val="14"/>
                <w:color w:val="auto"/>
                <w:w w:val="89"/>
              </w:rPr>
              <w:t>2014</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12"/>
              <w:spacing w:after="0" w:line="142" w:lineRule="exact"/>
              <w:rPr>
                <w:sz w:val="20"/>
                <w:szCs w:val="20"/>
                <w:color w:val="auto"/>
              </w:rPr>
            </w:pPr>
            <w:r>
              <w:rPr>
                <w:rFonts w:ascii="Arial" w:cs="Arial" w:eastAsia="Arial" w:hAnsi="Arial"/>
                <w:sz w:val="14"/>
                <w:szCs w:val="14"/>
                <w:color w:val="auto"/>
                <w:w w:val="83"/>
              </w:rPr>
              <w:t>2013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08"/>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31,100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25,658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$ 5,442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revenues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9,627</w:t>
            </w:r>
          </w:p>
        </w:tc>
        <w:tc>
          <w:tcPr>
            <w:tcW w:w="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7,943</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31.0</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1,684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21,473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17,715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3,758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11,570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1,923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3,365</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2,657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708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4,842</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631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040" w:type="dxa"/>
            <w:vAlign w:val="bottom"/>
            <w:gridSpan w:val="2"/>
          </w:tcPr>
          <w:p>
            <w:pPr>
              <w:jc w:val="right"/>
              <w:ind w:right="188"/>
              <w:spacing w:after="0"/>
              <w:rPr>
                <w:sz w:val="20"/>
                <w:szCs w:val="20"/>
                <w:color w:val="auto"/>
              </w:rPr>
            </w:pPr>
            <w:r>
              <w:rPr>
                <w:rFonts w:ascii="Arial" w:cs="Arial" w:eastAsia="Arial" w:hAnsi="Arial"/>
                <w:sz w:val="18"/>
                <w:szCs w:val="18"/>
                <w:color w:val="auto"/>
              </w:rPr>
              <w:t>(35)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20,459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17,232</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3,227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531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111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642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291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351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color w:val="auto"/>
              </w:rPr>
              <w:t>Six Months Ended June 30,</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3"/>
              <w:spacing w:after="0" w:line="142" w:lineRule="exact"/>
              <w:rPr>
                <w:sz w:val="20"/>
                <w:szCs w:val="20"/>
                <w:color w:val="auto"/>
              </w:rPr>
            </w:pPr>
            <w:r>
              <w:rPr>
                <w:rFonts w:ascii="Arial" w:cs="Arial" w:eastAsia="Arial" w:hAnsi="Arial"/>
                <w:sz w:val="14"/>
                <w:szCs w:val="14"/>
                <w:color w:val="auto"/>
                <w:w w:val="89"/>
              </w:rPr>
              <w:t>2014</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12"/>
              <w:spacing w:after="0" w:line="142" w:lineRule="exact"/>
              <w:rPr>
                <w:sz w:val="20"/>
                <w:szCs w:val="20"/>
                <w:color w:val="auto"/>
              </w:rPr>
            </w:pPr>
            <w:r>
              <w:rPr>
                <w:rFonts w:ascii="Arial" w:cs="Arial" w:eastAsia="Arial" w:hAnsi="Arial"/>
                <w:sz w:val="14"/>
                <w:szCs w:val="14"/>
                <w:color w:val="auto"/>
                <w:w w:val="83"/>
              </w:rPr>
              <w:t>2013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08"/>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60,039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49,410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$10,629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revenues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18,882</w:t>
            </w:r>
          </w:p>
        </w:tc>
        <w:tc>
          <w:tcPr>
            <w:tcW w:w="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15,009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3,873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41,157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34,401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69.6</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6,756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22,454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18,872</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3,582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6,339</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5,160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1,179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9,353</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1,095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1,399</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40" w:type="dxa"/>
            <w:vAlign w:val="bottom"/>
            <w:gridSpan w:val="2"/>
          </w:tcPr>
          <w:p>
            <w:pPr>
              <w:jc w:val="right"/>
              <w:ind w:right="188"/>
              <w:spacing w:after="0"/>
              <w:rPr>
                <w:sz w:val="20"/>
                <w:szCs w:val="20"/>
                <w:color w:val="auto"/>
              </w:rPr>
            </w:pPr>
            <w:r>
              <w:rPr>
                <w:rFonts w:ascii="Arial" w:cs="Arial" w:eastAsia="Arial" w:hAnsi="Arial"/>
                <w:sz w:val="18"/>
                <w:szCs w:val="18"/>
                <w:color w:val="auto"/>
              </w:rPr>
              <w:t>(35)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39,545</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33,724</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5,821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935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54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165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1,100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 expense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575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525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2014 compared to Three and Six Months Ended June 30, 2013</w:t>
      </w:r>
    </w:p>
    <w:p>
      <w:pPr>
        <w:spacing w:after="0" w:line="11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the three months ended June 30, 2014 increased $5.4 million, or 21%, to $31.1 million from $25.7 million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2013. Revenues for the six months ended June 30, 2014 increased $10.6 million, or 22%, to $60.0 million from $49.4 million for the same period in 2013.</w:t>
      </w:r>
    </w:p>
    <w:p>
      <w:pPr>
        <w:spacing w:after="0" w:line="124"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increase in revenues for both the three and six month periods resulted from two primary factors: the increase in recurring revenue customers and the increase in annualized average recurring revenues per recurring revenue customer, which we also refer to as wallet share.</w:t>
      </w:r>
    </w:p>
    <w:p>
      <w:pPr>
        <w:spacing w:after="0" w:line="52"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10% to 20,745 at June 30, 2014 from 18,871 at June 30, 2013.</w:t>
      </w:r>
    </w:p>
    <w:p>
      <w:pPr>
        <w:spacing w:after="0" w:line="130" w:lineRule="exact"/>
        <w:rPr>
          <w:rFonts w:ascii="Arial" w:cs="Arial" w:eastAsia="Arial" w:hAnsi="Arial"/>
          <w:sz w:val="18"/>
          <w:szCs w:val="18"/>
          <w:color w:val="auto"/>
        </w:rPr>
      </w:pPr>
    </w:p>
    <w:p>
      <w:pPr>
        <w:ind w:left="1480" w:right="160" w:hanging="446"/>
        <w:spacing w:after="0" w:line="31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Annualized average recurring revenues per recurring revenue customer, or wallet share, increased 12% to $5,467 for the three months ended June 30, 2014 from $4,869 for the same period in 2013. This increase in wallet share was primarily attributable to increased fees resulting from increased usage of our solutions by our recurring revenue customers and growth in larger customers.</w:t>
      </w:r>
    </w:p>
    <w:p>
      <w:pPr>
        <w:spacing w:after="0" w:line="14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Recurring revenues from recurring revenue customers accounted for 90% of our total revenues for each of the three and six months ended June 30, 2014, compared to 88% and 89%, respectively, for the same periods in 2013. We anticipate that the number of recurring revenue customers and wallet share will continue to increase as we increase the number of solutions we offer and increase the penetration of those solutions across our customer base.</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three months ended June 30, 2014 increased $1.7 million, or 21%, to $9.6 million from $7.9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2013. Cost of revenues for the six months ended June 30, 2014 increased $3.9 million, or 26%, to $18.9 million from $15.0 million for the same period in 2013. The increase in cost of revenues for the three and six month periods in 2014 was primarily due to increased headcount in 2014 which resulted in higher personnel costs. Also contributing to the increase for both periods were increased expenses for software subscriptions in 2014 as compared to 2013. As a percentage of revenues, cost of revenues was 31% for each of the three months ended June 30, 2014 and 2013, compared to 31% and 30%, respectively, for the same periods in 2013. Going forward, we anticipate that cost of revenues will increase in absolute dollars as we continue to expand our business.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June 30, 2014 increased $1.9 million, or 20%, to</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$11.6 million from $9.6 million for the same period in 2013. Sales and marketing expenses for the six months ended June 30, 2014 increased $3.6 million, or 19%, to $22.5 million from $18.9 million for the same period in 2013. The increase in sales and marketing expenses for the three and six month periods in 2014 was primarily due to increased headcount in 2014, which resulted in higher personnel costs, as well as increased commissions earned by sales personnel from new business. We also had increased promotional, occupancy, depreciation and stock-based compensation expenses in 2014 as compared to 2013. As a percentage of revenues, sales and marketing expenses were 37% for each of the three and six months ended June 30, 2014 compared to 38% for each of the comparable periods in 2013. As we expand our business, we will continue to add resources to our sales and marketing efforts over time, and we expect that these expenses will continue to increase in absolute dollars.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three months ended June 30, 2014 increased $708,000, or 27%, to</w:t>
      </w:r>
      <w:r>
        <w:rPr>
          <w:rFonts w:ascii="Arial" w:cs="Arial" w:eastAsia="Arial" w:hAnsi="Arial"/>
          <w:sz w:val="17"/>
          <w:szCs w:val="17"/>
          <w:i w:val="1"/>
          <w:iCs w:val="1"/>
          <w:color w:val="auto"/>
        </w:rPr>
        <w:t xml:space="preserve"> </w:t>
      </w:r>
      <w:r>
        <w:rPr>
          <w:rFonts w:ascii="Arial" w:cs="Arial" w:eastAsia="Arial" w:hAnsi="Arial"/>
          <w:sz w:val="17"/>
          <w:szCs w:val="17"/>
          <w:color w:val="auto"/>
        </w:rPr>
        <w:t>$3.4 million from $2.7 million for the same period in 2013. Research and development expenses for the six months ended June 30, 2014 increased $1.2 million, or 23%, to $6.3 million from $5.2 million for the same period in 2013. The increased research and development expenses for the three and six month periods in 2014 were primarily due to increased headcount in 2014, which resulted in higher personnel costs. We also had increased expenses for depreciation in 2014 as compared to 2013. As a percentage of revenues, research and development expenses were 11% for each of the three and six months ended June 30, 2014, compared to 10% for each of the same periods in 2013. As we enhance and expand our solutions and applications, we expect that research and development expenses will continue to increase in absolute dollars.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for the three months ended June 30, 2014 increased $631,000, or 15%, to</w:t>
      </w:r>
      <w:r>
        <w:rPr>
          <w:rFonts w:ascii="Arial" w:cs="Arial" w:eastAsia="Arial" w:hAnsi="Arial"/>
          <w:sz w:val="17"/>
          <w:szCs w:val="17"/>
          <w:i w:val="1"/>
          <w:iCs w:val="1"/>
          <w:color w:val="auto"/>
        </w:rPr>
        <w:t xml:space="preserve"> </w:t>
      </w:r>
      <w:r>
        <w:rPr>
          <w:rFonts w:ascii="Arial" w:cs="Arial" w:eastAsia="Arial" w:hAnsi="Arial"/>
          <w:sz w:val="17"/>
          <w:szCs w:val="17"/>
          <w:color w:val="auto"/>
        </w:rPr>
        <w:t>$4.8 million from $4.2 million for the same period in 2013. General and administrative expenses for the six months ended June 30, 2014 increased $1.1 million, or 13%, to $9.4 million from $8.3 million for the same period in 2013. The increase in general and administrative expenses for the three and six month periods in 2014 was primarily due to increased stock-based compensation, legal costs and maintenance expenses for computer software and hardware in 2014 as compared to 2013. As a percentage of revenues, general and administrative expenses were 16% for each of the three months ended June 30, 2014 and 2013, compared to 16% and 17%, respectively, for the same periods in 2013. Going forward, we expect that general and administrative expenses will continue to increase in absolute dollars as we expand our business.</w:t>
      </w:r>
    </w:p>
    <w:p>
      <w:pPr>
        <w:spacing w:after="0" w:line="17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$460,000 and $678,000 for the three and six months ended June 30, 2014. We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expense of $169,000 and $103,000 for the three and six months ended June 30, 2013. Our provisions for income taxes included current foreign and state income tax expense, as well as deferred tax expense. We expect that our annual effective income tax rate will be approximately 40%.</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increase in income tax expense for the three and six months ended June 30, 2014, compared to the same periods in 2013, was primarily due to the increase in pretax book income in 2014. In addition, there was a discrete tax benefit of $117,000 in 2013 for the retroactive benefit of the 2012 federal R&amp;D credit. The American Taxpayer Relief Act of 2012 was enacted on January 2, 2013 and extended the federal R&amp;D credit from January 1, 2012 through December 31, 2013.</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non-cash, stock-based compensation expense and other adjustments as necessary for a fair presentation. For second quarter 2014, other adjustments included the impact of a use tax refund related to items previously expensed. The following table provides a reconciliation of net income to Adjusted EBITDA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80" w:type="dxa"/>
            <w:vAlign w:val="bottom"/>
            <w:gridSpan w:val="7"/>
          </w:tcPr>
          <w:p>
            <w:pPr>
              <w:jc w:val="right"/>
              <w:ind w:right="480"/>
              <w:spacing w:after="0"/>
              <w:rPr>
                <w:sz w:val="20"/>
                <w:szCs w:val="20"/>
                <w:color w:val="auto"/>
              </w:rPr>
            </w:pPr>
            <w:r>
              <w:rPr>
                <w:rFonts w:ascii="Arial" w:cs="Arial" w:eastAsia="Arial" w:hAnsi="Arial"/>
                <w:sz w:val="14"/>
                <w:szCs w:val="14"/>
                <w:color w:val="auto"/>
                <w:w w:val="97"/>
              </w:rPr>
              <w:t>Three Months Ended</w:t>
            </w:r>
          </w:p>
        </w:tc>
        <w:tc>
          <w:tcPr>
            <w:tcW w:w="1520" w:type="dxa"/>
            <w:vAlign w:val="bottom"/>
            <w:gridSpan w:val="6"/>
          </w:tcPr>
          <w:p>
            <w:pPr>
              <w:jc w:val="right"/>
              <w:ind w:right="2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96"/>
              </w:rPr>
              <w:t>2013</w:t>
            </w: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w w:val="98"/>
              </w:rPr>
              <w:t>Depreciation and amortization of property and equipment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1,519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1,182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2,823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3,181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2,334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1,359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1,111</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4,540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3,445</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60" w:type="dxa"/>
            <w:vAlign w:val="bottom"/>
            <w:vMerge w:val="restart"/>
          </w:tcPr>
          <w:p>
            <w:pPr>
              <w:jc w:val="right"/>
              <w:ind w:right="177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ind w:left="1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color w:val="auto"/>
              </w:rPr>
              <w:t>Six Months Ended</w:t>
            </w:r>
          </w:p>
        </w:tc>
      </w:tr>
      <w:tr>
        <w:trPr>
          <w:trHeight w:val="167"/>
        </w:trPr>
        <w:tc>
          <w:tcPr>
            <w:tcW w:w="5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2,698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Non-GAAP income</w:t>
            </w:r>
          </w:p>
        </w:tc>
        <w:tc>
          <w:tcPr>
            <w:tcW w:w="1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Basic</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16,210</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15,076</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16,183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14,983</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16,768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15,785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16,799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15,677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At June 30, 2014, our principal sources of liquidity were cash and cash equivalents of $136.5 million and accounts receivable, net of allowance for doubtful accounts, of $13.3 million. Our working capital at June 30, 2014 was $145.5 million compared to $137.2 million at December 31, 2013. The increase in working capital from December 31, 2013 to June 30, 2014 resulted from the following:</w:t>
      </w:r>
    </w:p>
    <w:p>
      <w:pPr>
        <w:spacing w:after="0" w:line="87" w:lineRule="exact"/>
        <w:rPr>
          <w:sz w:val="20"/>
          <w:szCs w:val="20"/>
          <w:color w:val="auto"/>
        </w:rPr>
      </w:pPr>
    </w:p>
    <w:p>
      <w:pPr>
        <w:ind w:left="900" w:right="12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$5.2 million increase in cash and cash equivalents, due primarily to the $6.9 million of cash provided by operations and the $1.6 million of cash received from the exercise of stock options and proceeds from our employee stock purchase plan, reduced by the $3.4 million of cash used for capital expenditures;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 million increase in net accounts receivable, as new accounts exceeded collections of outstanding balances for the six months ended June 30, 2014;</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 million increase in deferred costs, current, for expenses related to increased implementation resources and commission payments for new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$496,000 increase in prepaid expenses and other current assets due primarily to prepaid service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 million increase in accounts payable, primarily due to timing of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$342,000 decrease in accrued compensation and benefits, due primarily to payroll timing;</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$996,000 decrease in accrued expenses and other current liabilities due primarily to payments completed under a software licensing agreement;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$577,000 increase in deferred revenue, current, due to new business for the six months ended June 30, 2014.</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Net cash provided by operating activities was $6.9 million for the six months ended June 30, 2014 compared to $8.6 million for the same period in 2013. The increase in net income, the changes in non-cash expenses, including increased depreciation and stock-based compensation, and the changes in our working capital accounts, including those discussed above, resulted in the overall decrease in net cash provided by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Net cash used in investing activities was $3.4 million and $1.7 million for the six months ended June 30, 2014 and 2013, respectively, all for capital expenditures. Our capital expenditures are for supporting our business growth and existing customer base, as well as for our internal use such as equipment for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Net cash provided by financing activities was $1.7 million and $2.2 million for the six months ended June 30, 2014 and 2013, respectively, all related to the exercise of stock options and our employee stock purchase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We have a revolving credit agreement with JPMorgan Chase Bank, N.A. that will mature on September 30, 2016. The revolving credit agreement provides for a $20 million revolving credit facility that we may draw upon from time to time, subject to certain terms and conditions. There were no borrowings outstanding at June 30, 2014 and we were in compliance with all covenants under the revolving credit agreement as of that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continue to increase as we grow our business.</w:t>
      </w:r>
    </w:p>
    <w:p>
      <w:pPr>
        <w:spacing w:after="0" w:line="17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believe our cash and cash equivalents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2014. We do not expect that inflation or changing prices will materially affect our business in the foreseeable future.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fixed rate debt, interest rate changes affect the fair value of financial instruments but do not impact earnings or cash 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June 30, 2014. We therefore do not have any material risk to interest rate fluctuations unless we borrow under our credit facility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2014 that have materially affected, or are reasonably likely to materially affect, our internal control over financial reporting.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2013 as filed with the Securities and Exchange Commission on February 20, 2014.</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Dated: July 31, 2014</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38074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6040" w:type="dxa"/>
            <w:vAlign w:val="bottom"/>
            <w:gridSpan w:val="2"/>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ind w:left="40"/>
              <w:spacing w:after="0"/>
              <w:rPr>
                <w:sz w:val="20"/>
                <w:szCs w:val="20"/>
                <w:color w:val="auto"/>
              </w:rPr>
            </w:pPr>
            <w:r>
              <w:rPr>
                <w:rFonts w:ascii="Arial" w:cs="Arial" w:eastAsia="Arial" w:hAnsi="Arial"/>
                <w:sz w:val="14"/>
                <w:szCs w:val="14"/>
                <w:i w:val="1"/>
                <w:iCs w:val="1"/>
                <w:color w:val="auto"/>
                <w:w w:val="99"/>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1"/>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88"/>
              </w:rPr>
              <w:t>Number</w:t>
            </w:r>
          </w:p>
        </w:tc>
        <w:tc>
          <w:tcPr>
            <w:tcW w:w="53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i w:val="1"/>
                <w:iCs w:val="1"/>
                <w:color w:val="auto"/>
                <w:w w:val="94"/>
              </w:rPr>
              <w:t>Description</w:t>
            </w:r>
          </w:p>
        </w:tc>
      </w:tr>
      <w:tr>
        <w:trPr>
          <w:trHeight w:val="20"/>
        </w:trPr>
        <w:tc>
          <w:tcPr>
            <w:tcW w:w="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 (incorporated by reference to Exhibit 4.1 to our Registration Statement on Form S-3 (File No. 333-182097) filed with the Commission on June 13, 2012).</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(incorporated by reference to Exhibit 3.2 to our Registration Statement on Form S-1/A (File No. 333-163476) filed with the Commission on March 5, 2010).</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117"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62" w:lineRule="exact"/>
        <w:rPr>
          <w:sz w:val="20"/>
          <w:szCs w:val="20"/>
          <w:color w:val="auto"/>
        </w:rPr>
      </w:pPr>
    </w:p>
    <w:p>
      <w:pPr>
        <w:ind w:left="5620" w:right="4820" w:hanging="5612"/>
        <w:spacing w:after="0" w:line="536" w:lineRule="auto"/>
        <w:tabs>
          <w:tab w:leader="none" w:pos="923"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(filed herewith). 21</w:t>
      </w:r>
    </w:p>
    <w:p>
      <w:pPr>
        <w:sectPr>
          <w:pgSz w:w="11900" w:h="16838" w:orient="portrait"/>
          <w:cols w:equalWidth="0" w:num="1">
            <w:col w:w="11420"/>
          </w:cols>
          <w:pgMar w:left="240" w:top="45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2014,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0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2019-12-06T21:21:53Z</dcterms:created>
  <dcterms:modified xsi:type="dcterms:W3CDTF">2019-12-06T21:21:53Z</dcterms:modified>
</cp:coreProperties>
</file>