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149" w:lineRule="exact"/>
        <w:rPr>
          <w:sz w:val="24"/>
          <w:szCs w:val="24"/>
          <w:color w:val="auto"/>
        </w:rPr>
      </w:pPr>
    </w:p>
    <w:p>
      <w:pPr>
        <w:ind w:left="460" w:right="44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8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3980180</wp:posOffset>
            </wp:positionH>
            <wp:positionV relativeFrom="paragraph">
              <wp:posOffset>-7620</wp:posOffset>
            </wp:positionV>
            <wp:extent cx="838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001-34702</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31115</wp:posOffset>
            </wp:positionV>
            <wp:extent cx="565785" cy="5657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ectPr>
          <w:pgSz w:w="11900" w:h="16838" w:orient="portrait"/>
          <w:cols w:equalWidth="0" w:num="1">
            <w:col w:w="11420"/>
          </w:cols>
          <w:pgMar w:left="240" w:top="206" w:right="239" w:bottom="1440" w:gutter="0" w:footer="0" w:header="0"/>
        </w:sectPr>
      </w:pPr>
    </w:p>
    <w:p>
      <w:pPr>
        <w:spacing w:after="0" w:line="127"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41-2015127</w:t>
      </w:r>
    </w:p>
    <w:p>
      <w:pPr>
        <w:spacing w:after="0" w:line="31" w:lineRule="exact"/>
        <w:rPr>
          <w:sz w:val="24"/>
          <w:szCs w:val="24"/>
          <w:color w:val="auto"/>
        </w:rPr>
      </w:pPr>
    </w:p>
    <w:p>
      <w:pPr>
        <w:sectPr>
          <w:pgSz w:w="11900" w:h="16838" w:orient="portrait"/>
          <w:cols w:equalWidth="0" w:num="2">
            <w:col w:w="7420" w:space="720"/>
            <w:col w:w="3280"/>
          </w:cols>
          <w:pgMar w:left="240" w:top="206" w:right="239" w:bottom="1440" w:gutter="0" w:footer="0" w:header="0"/>
          <w:type w:val="continuous"/>
        </w:sectPr>
      </w:pPr>
    </w:p>
    <w:p>
      <w:pPr>
        <w:spacing w:after="0" w:line="19" w:lineRule="exact"/>
        <w:rPr>
          <w:sz w:val="24"/>
          <w:szCs w:val="24"/>
          <w:color w:val="auto"/>
        </w:rPr>
      </w:pPr>
    </w:p>
    <w:p>
      <w:pPr>
        <w:ind w:left="1960"/>
        <w:spacing w:after="0"/>
        <w:rPr>
          <w:sz w:val="20"/>
          <w:szCs w:val="20"/>
          <w:color w:val="auto"/>
        </w:rPr>
      </w:pPr>
      <w:r>
        <w:rPr>
          <w:rFonts w:ascii="Arial" w:cs="Arial" w:eastAsia="Arial" w:hAnsi="Arial"/>
          <w:sz w:val="12"/>
          <w:szCs w:val="12"/>
          <w:b w:val="1"/>
          <w:bCs w:val="1"/>
          <w:i w:val="1"/>
          <w:iCs w:val="1"/>
          <w:color w:val="auto"/>
        </w:rPr>
        <w:t>(State or Other Jurisdiction of</w:t>
      </w:r>
    </w:p>
    <w:p>
      <w:pPr>
        <w:spacing w:after="0" w:line="4" w:lineRule="exact"/>
        <w:rPr>
          <w:sz w:val="24"/>
          <w:szCs w:val="24"/>
          <w:color w:val="auto"/>
        </w:rPr>
      </w:pPr>
    </w:p>
    <w:p>
      <w:pPr>
        <w:ind w:left="1940"/>
        <w:spacing w:after="0"/>
        <w:rPr>
          <w:sz w:val="20"/>
          <w:szCs w:val="20"/>
          <w:color w:val="auto"/>
        </w:rPr>
      </w:pPr>
      <w:r>
        <w:rPr>
          <w:rFonts w:ascii="Arial" w:cs="Arial" w:eastAsia="Arial" w:hAnsi="Arial"/>
          <w:sz w:val="12"/>
          <w:szCs w:val="12"/>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Arial" w:cs="Arial" w:eastAsia="Arial" w:hAnsi="Arial"/>
          <w:sz w:val="14"/>
          <w:szCs w:val="14"/>
          <w:b w:val="1"/>
          <w:bCs w:val="1"/>
          <w:i w:val="1"/>
          <w:iCs w:val="1"/>
          <w:color w:val="auto"/>
        </w:rPr>
        <w:t>(I.R.S. Employer</w:t>
      </w:r>
    </w:p>
    <w:p>
      <w:pPr>
        <w:jc w:val="center"/>
        <w:ind w:right="2300"/>
        <w:spacing w:after="0"/>
        <w:rPr>
          <w:sz w:val="20"/>
          <w:szCs w:val="20"/>
          <w:color w:val="auto"/>
        </w:rPr>
      </w:pPr>
      <w:r>
        <w:rPr>
          <w:rFonts w:ascii="Arial" w:cs="Arial" w:eastAsia="Arial" w:hAnsi="Arial"/>
          <w:sz w:val="13"/>
          <w:szCs w:val="13"/>
          <w:b w:val="1"/>
          <w:bCs w:val="1"/>
          <w:i w:val="1"/>
          <w:iCs w:val="1"/>
          <w:color w:val="auto"/>
        </w:rPr>
        <w:t>Identification No.)</w:t>
      </w:r>
    </w:p>
    <w:p>
      <w:pPr>
        <w:spacing w:after="0" w:line="109" w:lineRule="exact"/>
        <w:rPr>
          <w:sz w:val="24"/>
          <w:szCs w:val="24"/>
          <w:color w:val="auto"/>
        </w:rPr>
      </w:pPr>
    </w:p>
    <w:p>
      <w:pPr>
        <w:sectPr>
          <w:pgSz w:w="11900" w:h="16838" w:orient="portrait"/>
          <w:cols w:equalWidth="0" w:num="2">
            <w:col w:w="7300" w:space="720"/>
            <w:col w:w="3400"/>
          </w:cols>
          <w:pgMar w:left="240" w:top="206"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333 South Seventh Street, Suite 1000, Minneapolis, MN 55402</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(Address of Principal Executive Offices, Including Zip Code)</w:t>
      </w:r>
    </w:p>
    <w:p>
      <w:pPr>
        <w:sectPr>
          <w:pgSz w:w="11900" w:h="16838" w:orient="portrait"/>
          <w:cols w:equalWidth="0" w:num="1">
            <w:col w:w="11420"/>
          </w:cols>
          <w:pgMar w:left="240" w:top="206" w:right="239" w:bottom="1440" w:gutter="0" w:footer="0" w:header="0"/>
          <w:type w:val="continuous"/>
        </w:sectPr>
      </w:pP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8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Trading Symbol</w:t>
            </w:r>
          </w:p>
        </w:tc>
        <w:tc>
          <w:tcPr>
            <w:tcW w:w="4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400" w:type="dxa"/>
            <w:vAlign w:val="bottom"/>
            <w:gridSpan w:val="2"/>
            <w:vMerge w:val="continue"/>
          </w:tcPr>
          <w:p>
            <w:pPr>
              <w:spacing w:after="0"/>
              <w:rPr>
                <w:sz w:val="14"/>
                <w:szCs w:val="14"/>
                <w:color w:val="auto"/>
              </w:rPr>
            </w:pPr>
          </w:p>
        </w:tc>
        <w:tc>
          <w:tcPr>
            <w:tcW w:w="4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$0.001 per share</w:t>
            </w:r>
          </w:p>
        </w:tc>
        <w:tc>
          <w:tcPr>
            <w:tcW w:w="100" w:type="dxa"/>
            <w:vAlign w:val="bottom"/>
          </w:tcPr>
          <w:p>
            <w:pPr>
              <w:spacing w:after="0"/>
              <w:rPr>
                <w:sz w:val="15"/>
                <w:szCs w:val="15"/>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SPSC</w:t>
            </w:r>
          </w:p>
        </w:tc>
        <w:tc>
          <w:tcPr>
            <w:tcW w:w="120" w:type="dxa"/>
            <w:vAlign w:val="bottom"/>
          </w:tcPr>
          <w:p>
            <w:pPr>
              <w:spacing w:after="0"/>
              <w:rPr>
                <w:sz w:val="15"/>
                <w:szCs w:val="15"/>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 (Nasdaq Global Market)</w:t>
            </w:r>
          </w:p>
        </w:tc>
        <w:tc>
          <w:tcPr>
            <w:tcW w:w="0" w:type="dxa"/>
            <w:vAlign w:val="bottom"/>
          </w:tcPr>
          <w:p>
            <w:pPr>
              <w:spacing w:after="0"/>
              <w:rPr>
                <w:sz w:val="1"/>
                <w:szCs w:val="1"/>
                <w:color w:val="auto"/>
              </w:rPr>
            </w:pPr>
          </w:p>
        </w:tc>
      </w:tr>
    </w:tbl>
    <w:p>
      <w:pPr>
        <w:spacing w:after="0" w:line="254" w:lineRule="exact"/>
        <w:rPr>
          <w:sz w:val="24"/>
          <w:szCs w:val="24"/>
          <w:color w:val="auto"/>
        </w:rPr>
      </w:pPr>
    </w:p>
    <w:p>
      <w:pPr>
        <w:ind w:right="180"/>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580"/>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ind w:right="3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298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298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5120" w:type="dxa"/>
            <w:vAlign w:val="bottom"/>
          </w:tcPr>
          <w:p>
            <w:pPr>
              <w:ind w:left="298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1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2580"/>
        <w:spacing w:after="0" w:line="27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of the registrant’s common stock, par value $0.001 per share, outstanding at October 18, 2019 was 34,839,275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1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680" w:type="dxa"/>
            <w:vAlign w:val="bottom"/>
            <w:gridSpan w:val="10"/>
            <w:vMerge w:val="restart"/>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1"/>
        </w:trPr>
        <w:tc>
          <w:tcPr>
            <w:tcW w:w="3080" w:type="dxa"/>
            <w:vAlign w:val="bottom"/>
            <w:tcBorders>
              <w:bottom w:val="single" w:sz="8" w:color="0000EE"/>
            </w:tcBorders>
            <w:gridSpan w:val="12"/>
            <w:vMerge w:val="continue"/>
          </w:tcPr>
          <w:p>
            <w:pPr>
              <w:spacing w:after="0"/>
              <w:rPr>
                <w:sz w:val="15"/>
                <w:szCs w:val="15"/>
                <w:color w:val="auto"/>
              </w:rPr>
            </w:pPr>
          </w:p>
        </w:tc>
        <w:tc>
          <w:tcPr>
            <w:tcW w:w="7680" w:type="dxa"/>
            <w:vAlign w:val="bottom"/>
            <w:gridSpan w:val="10"/>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820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2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 xml:space="preserve">Condensed Consolidated Balance Sheets as of September 30, 2019 and December 31, 2018 </w:t>
              </w:r>
            </w:hyperlink>
            <w:r>
              <w:rPr>
                <w:rFonts w:ascii="Arial" w:cs="Arial" w:eastAsia="Arial" w:hAnsi="Arial"/>
                <w:sz w:val="18"/>
                <w:szCs w:val="18"/>
                <w:color w:val="000000"/>
              </w:rPr>
              <w:t>(Unaudited)</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20" w:type="dxa"/>
            <w:vAlign w:val="bottom"/>
            <w:gridSpan w:val="20"/>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for the three and nine months ended September 30, 2019 and 2018</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w:t>
              </w:r>
            </w:hyperlink>
          </w:p>
        </w:tc>
        <w:tc>
          <w:tcPr>
            <w:tcW w:w="8540" w:type="dxa"/>
            <w:vAlign w:val="bottom"/>
            <w:tcBorders>
              <w:top w:val="single" w:sz="8" w:color="0000EE"/>
            </w:tcBorders>
            <w:gridSpan w:val="16"/>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2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Stockholders’ Equity for the three and nine months ended September 30, 2019 and 2018</w:t>
              </w:r>
            </w:hyperlink>
          </w:p>
        </w:tc>
        <w:tc>
          <w:tcPr>
            <w:tcW w:w="70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w:t>
              </w:r>
            </w:hyperlink>
          </w:p>
        </w:tc>
        <w:tc>
          <w:tcPr>
            <w:tcW w:w="886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56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Cash Flows for the nine months ended September 30, 2019 and 2018 (Unaudited)</w:t>
              </w:r>
            </w:hyperlink>
          </w:p>
        </w:tc>
        <w:tc>
          <w:tcPr>
            <w:tcW w:w="116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480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2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6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Controls and Procedures</w:t>
              </w:r>
            </w:hyperlink>
          </w:p>
        </w:tc>
        <w:tc>
          <w:tcPr>
            <w:tcW w:w="7940" w:type="dxa"/>
            <w:vAlign w:val="bottom"/>
            <w:gridSpan w:val="11"/>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27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7980" w:type="dxa"/>
            <w:vAlign w:val="bottom"/>
            <w:gridSpan w:val="12"/>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2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380" w:type="dxa"/>
            <w:vAlign w:val="bottom"/>
            <w:gridSpan w:val="1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Unregistered Sales of Equity Securities and Use of Proceeds</w:t>
              </w:r>
            </w:hyperlink>
          </w:p>
        </w:tc>
        <w:tc>
          <w:tcPr>
            <w:tcW w:w="536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Defaults Upon Senior Securities</w:t>
              </w:r>
            </w:hyperlink>
          </w:p>
        </w:tc>
        <w:tc>
          <w:tcPr>
            <w:tcW w:w="7380" w:type="dxa"/>
            <w:vAlign w:val="bottom"/>
            <w:gridSpan w:val="9"/>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Mine Safety Disclosures</w:t>
              </w:r>
            </w:hyperlink>
          </w:p>
        </w:tc>
        <w:tc>
          <w:tcPr>
            <w:tcW w:w="7940" w:type="dxa"/>
            <w:vAlign w:val="bottom"/>
            <w:gridSpan w:val="11"/>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72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400" w:type="dxa"/>
            <w:vAlign w:val="bottom"/>
            <w:gridSpan w:val="1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Quarterly Report on Form 10-Q, the words “we,” “us,” “our,” the “Company” and “SPS” refer to SPS Commerce, Inc.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This Quarterly Report on Form 10-Q contains forward-looking statements within the meaning of the U.S. Private Securities Litigation Reform Act of</w:t>
      </w:r>
    </w:p>
    <w:p>
      <w:pPr>
        <w:spacing w:after="0" w:line="4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1995. Forward-looking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7"/>
          <w:szCs w:val="17"/>
          <w:i w:val="1"/>
          <w:iCs w:val="1"/>
          <w:color w:val="auto"/>
        </w:rPr>
        <w:t xml:space="preserve">“Risk Factors” </w:t>
      </w:r>
      <w:r>
        <w:rPr>
          <w:rFonts w:ascii="Arial" w:cs="Arial" w:eastAsia="Arial" w:hAnsi="Arial"/>
          <w:sz w:val="17"/>
          <w:szCs w:val="17"/>
          <w:color w:val="auto"/>
        </w:rPr>
        <w:t>included in our Annual Report on Form 10-K/A for the year ended December 31, 2018 as filed with the Securities and Exchange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(“SEC”), as may be updated in our subsequent Quarterly Reports on Form 10-Q from time to time. Readers are cautioned not to place undue reliance on these forward-looking statements, which speak only as of the date of this report. In some cases, you can identify forward-looking statements by the following words: “anticipate,” “assumes,” “believe,” “continue,” “could,” “estimate,” “expect,” “intend,” “may,” “ongoing,” “plan,” “potential,” “predict,” “project,” “should,” “will,” “would,” or the negative of these terms or other comparable terminology, although not all forward-looking statements contain these words.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 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79"/>
        </w:trPr>
        <w:tc>
          <w:tcPr>
            <w:tcW w:w="7440" w:type="dxa"/>
            <w:vAlign w:val="bottom"/>
            <w:tcBorders>
              <w:bottom w:val="single" w:sz="8" w:color="CFF0FC"/>
            </w:tcBorders>
          </w:tcPr>
          <w:p>
            <w:pPr>
              <w:spacing w:after="0"/>
              <w:rPr>
                <w:sz w:val="15"/>
                <w:szCs w:val="15"/>
                <w:color w:val="auto"/>
              </w:rPr>
            </w:pPr>
          </w:p>
        </w:tc>
        <w:tc>
          <w:tcPr>
            <w:tcW w:w="3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2019</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40" w:type="dxa"/>
            <w:vAlign w:val="bottom"/>
            <w:shd w:val="clear" w:color="auto" w:fill="CFF0FC"/>
          </w:tcPr>
          <w:p>
            <w:pPr>
              <w:ind w:left="3540"/>
              <w:spacing w:after="0" w:line="169" w:lineRule="exact"/>
              <w:rPr>
                <w:sz w:val="20"/>
                <w:szCs w:val="20"/>
                <w:color w:val="auto"/>
              </w:rPr>
            </w:pPr>
            <w:r>
              <w:rPr>
                <w:rFonts w:ascii="Arial" w:cs="Arial" w:eastAsia="Arial" w:hAnsi="Arial"/>
                <w:sz w:val="15"/>
                <w:szCs w:val="15"/>
                <w:b w:val="1"/>
                <w:bCs w:val="1"/>
                <w:color w:val="auto"/>
              </w:rPr>
              <w:t>ASSETS</w:t>
            </w:r>
          </w:p>
        </w:tc>
        <w:tc>
          <w:tcPr>
            <w:tcW w:w="3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5"/>
                <w:szCs w:val="15"/>
                <w:color w:val="auto"/>
              </w:rPr>
              <w:t>CURRENT ASSETS</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149,727</w:t>
            </w:r>
          </w:p>
        </w:tc>
        <w:tc>
          <w:tcPr>
            <w:tcW w:w="16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133,859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Short-term investments</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51,446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44,537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receivable, less allowance for doubtful accounts of $1,500 and $1,392, respectively</w:t>
            </w: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29,383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27,488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Deferred costs</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34,583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34,502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current assets</w:t>
            </w:r>
          </w:p>
        </w:tc>
        <w:tc>
          <w:tcPr>
            <w:tcW w:w="38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8,385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9,229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40" w:type="dxa"/>
            <w:vAlign w:val="bottom"/>
          </w:tcPr>
          <w:p>
            <w:pPr>
              <w:ind w:left="500"/>
              <w:spacing w:after="0" w:line="169" w:lineRule="exact"/>
              <w:rPr>
                <w:sz w:val="20"/>
                <w:szCs w:val="20"/>
                <w:color w:val="auto"/>
              </w:rPr>
            </w:pPr>
            <w:r>
              <w:rPr>
                <w:rFonts w:ascii="Arial" w:cs="Arial" w:eastAsia="Arial" w:hAnsi="Arial"/>
                <w:sz w:val="15"/>
                <w:szCs w:val="15"/>
                <w:color w:val="auto"/>
              </w:rPr>
              <w:t>Total current assets</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line="169" w:lineRule="exact"/>
              <w:rPr>
                <w:sz w:val="20"/>
                <w:szCs w:val="20"/>
                <w:color w:val="auto"/>
              </w:rPr>
            </w:pPr>
            <w:r>
              <w:rPr>
                <w:rFonts w:ascii="Arial" w:cs="Arial" w:eastAsia="Arial" w:hAnsi="Arial"/>
                <w:sz w:val="15"/>
                <w:szCs w:val="15"/>
                <w:color w:val="auto"/>
              </w:rPr>
              <w:t>273,524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line="169" w:lineRule="exact"/>
              <w:rPr>
                <w:sz w:val="20"/>
                <w:szCs w:val="20"/>
                <w:color w:val="auto"/>
              </w:rPr>
            </w:pPr>
            <w:r>
              <w:rPr>
                <w:rFonts w:ascii="Arial" w:cs="Arial" w:eastAsia="Arial" w:hAnsi="Arial"/>
                <w:sz w:val="15"/>
                <w:szCs w:val="15"/>
                <w:color w:val="auto"/>
              </w:rPr>
              <w:t>249,615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 less accumulated depreciation of $49,168 and $41,175, respectively</w:t>
            </w: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20,757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5"/>
                <w:szCs w:val="15"/>
                <w:color w:val="auto"/>
              </w:rPr>
              <w:t>OPERATING LEASE RIGHT-OF-USE ASSETS</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13,648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440" w:type="dxa"/>
            <w:vAlign w:val="bottom"/>
            <w:shd w:val="clear" w:color="auto" w:fill="CFF0FC"/>
          </w:tcPr>
          <w:p>
            <w:pPr>
              <w:spacing w:after="0"/>
              <w:rPr>
                <w:sz w:val="20"/>
                <w:szCs w:val="20"/>
                <w:color w:val="auto"/>
              </w:rPr>
            </w:pPr>
            <w:r>
              <w:rPr>
                <w:rFonts w:ascii="Arial" w:cs="Arial" w:eastAsia="Arial" w:hAnsi="Arial"/>
                <w:sz w:val="15"/>
                <w:szCs w:val="15"/>
                <w:color w:val="auto"/>
              </w:rPr>
              <w:t>GOODWILL</w:t>
            </w: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76,366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69,658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5"/>
                <w:szCs w:val="15"/>
                <w:color w:val="auto"/>
              </w:rPr>
              <w:t>INTANGIBLE ASSETS, net</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23,844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22,741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FF0FC"/>
          </w:tcPr>
          <w:p>
            <w:pPr>
              <w:spacing w:after="0"/>
              <w:rPr>
                <w:sz w:val="20"/>
                <w:szCs w:val="20"/>
                <w:color w:val="auto"/>
              </w:rPr>
            </w:pPr>
            <w:r>
              <w:rPr>
                <w:rFonts w:ascii="Arial" w:cs="Arial" w:eastAsia="Arial" w:hAnsi="Arial"/>
                <w:sz w:val="15"/>
                <w:szCs w:val="15"/>
                <w:color w:val="auto"/>
              </w:rPr>
              <w:t>OTHER ASSETS</w:t>
            </w: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Deferred costs</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10,998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10,973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income tax asset</w:t>
            </w: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4,839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Other assets</w:t>
            </w:r>
          </w:p>
        </w:tc>
        <w:tc>
          <w:tcPr>
            <w:tcW w:w="3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2,621</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1,723</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4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assets</w:t>
            </w:r>
          </w:p>
        </w:tc>
        <w:tc>
          <w:tcPr>
            <w:tcW w:w="56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426,597</w:t>
            </w:r>
          </w:p>
        </w:tc>
        <w:tc>
          <w:tcPr>
            <w:tcW w:w="1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386,123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bottom w:val="single" w:sz="8" w:color="CFF0FC"/>
            </w:tcBorders>
            <w:vMerge w:val="restart"/>
          </w:tcPr>
          <w:p>
            <w:pPr>
              <w:ind w:left="2160"/>
              <w:spacing w:after="0"/>
              <w:rPr>
                <w:sz w:val="20"/>
                <w:szCs w:val="20"/>
                <w:color w:val="auto"/>
              </w:rPr>
            </w:pPr>
            <w:r>
              <w:rPr>
                <w:rFonts w:ascii="Arial" w:cs="Arial" w:eastAsia="Arial" w:hAnsi="Arial"/>
                <w:sz w:val="15"/>
                <w:szCs w:val="15"/>
                <w:b w:val="1"/>
                <w:bCs w:val="1"/>
                <w:color w:val="auto"/>
              </w:rPr>
              <w:t>LIABILITIES AND STOCKHOLDERS’ EQUITY</w:t>
            </w:r>
          </w:p>
        </w:tc>
        <w:tc>
          <w:tcPr>
            <w:tcW w:w="3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FF0FC"/>
          </w:tcPr>
          <w:p>
            <w:pPr>
              <w:spacing w:after="0"/>
              <w:rPr>
                <w:sz w:val="20"/>
                <w:szCs w:val="20"/>
                <w:color w:val="auto"/>
              </w:rPr>
            </w:pPr>
            <w:r>
              <w:rPr>
                <w:rFonts w:ascii="Arial" w:cs="Arial" w:eastAsia="Arial" w:hAnsi="Arial"/>
                <w:sz w:val="15"/>
                <w:szCs w:val="15"/>
                <w:color w:val="auto"/>
              </w:rPr>
              <w:t>CURRENT LIABILITIES</w:t>
            </w: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Accounts payable</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4,367</w:t>
            </w:r>
          </w:p>
        </w:tc>
        <w:tc>
          <w:tcPr>
            <w:tcW w:w="16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4,440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Accrued compensation</w:t>
            </w: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17,660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20,415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Accrued expenses</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4,874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4,558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revenue</w:t>
            </w: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30,351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25,328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Deferred rent</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1,781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Operating lease liabilities</w:t>
            </w: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3,281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7440" w:type="dxa"/>
            <w:vAlign w:val="bottom"/>
          </w:tcPr>
          <w:p>
            <w:pPr>
              <w:ind w:left="500"/>
              <w:spacing w:after="0" w:line="169" w:lineRule="exact"/>
              <w:rPr>
                <w:sz w:val="20"/>
                <w:szCs w:val="20"/>
                <w:color w:val="auto"/>
              </w:rPr>
            </w:pPr>
            <w:r>
              <w:rPr>
                <w:rFonts w:ascii="Arial" w:cs="Arial" w:eastAsia="Arial" w:hAnsi="Arial"/>
                <w:sz w:val="15"/>
                <w:szCs w:val="15"/>
                <w:color w:val="auto"/>
              </w:rPr>
              <w:t>Total current liabilities</w:t>
            </w: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60,533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56,522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FF0FC"/>
          </w:tcPr>
          <w:p>
            <w:pPr>
              <w:spacing w:after="0"/>
              <w:rPr>
                <w:sz w:val="20"/>
                <w:szCs w:val="20"/>
                <w:color w:val="auto"/>
              </w:rPr>
            </w:pPr>
            <w:r>
              <w:rPr>
                <w:rFonts w:ascii="Arial" w:cs="Arial" w:eastAsia="Arial" w:hAnsi="Arial"/>
                <w:sz w:val="15"/>
                <w:szCs w:val="15"/>
                <w:color w:val="auto"/>
              </w:rPr>
              <w:t>OTHER LIABILITIES</w:t>
            </w: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Deferred revenue</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2,601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2,512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rent</w:t>
            </w: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Operating lease liabilities</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16,224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income tax liability</w:t>
            </w: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Other non-current liabilities</w:t>
            </w:r>
          </w:p>
        </w:tc>
        <w:tc>
          <w:tcPr>
            <w:tcW w:w="3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1,002</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4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liabilities</w:t>
            </w:r>
          </w:p>
        </w:tc>
        <w:tc>
          <w:tcPr>
            <w:tcW w:w="3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81,529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67,149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40" w:type="dxa"/>
            <w:vAlign w:val="bottom"/>
          </w:tcPr>
          <w:p>
            <w:pPr>
              <w:spacing w:after="0" w:line="169" w:lineRule="exact"/>
              <w:rPr>
                <w:sz w:val="20"/>
                <w:szCs w:val="20"/>
                <w:color w:val="auto"/>
              </w:rPr>
            </w:pPr>
            <w:r>
              <w:rPr>
                <w:rFonts w:ascii="Arial" w:cs="Arial" w:eastAsia="Arial" w:hAnsi="Arial"/>
                <w:sz w:val="15"/>
                <w:szCs w:val="15"/>
                <w:color w:val="auto"/>
              </w:rPr>
              <w:t>COMMITMENTS and CONTINGENCIES</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FF0FC"/>
          </w:tcPr>
          <w:p>
            <w:pPr>
              <w:spacing w:after="0"/>
              <w:rPr>
                <w:sz w:val="20"/>
                <w:szCs w:val="20"/>
                <w:color w:val="auto"/>
              </w:rPr>
            </w:pPr>
            <w:r>
              <w:rPr>
                <w:rFonts w:ascii="Arial" w:cs="Arial" w:eastAsia="Arial" w:hAnsi="Arial"/>
                <w:sz w:val="15"/>
                <w:szCs w:val="15"/>
                <w:color w:val="auto"/>
              </w:rPr>
              <w:t>STOCKHOLDERS’ EQUITY</w:t>
            </w: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Preferred stock, $0.001 par value; 5,000,000 shares authorized; 0 shares issued and outstanding</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w w:val="95"/>
              </w:rPr>
              <w:t>Common stock, $0.001 par value; 55,000,000 shares authorized; 36,026,218 and 35,515,256 shares issued; and</w:t>
            </w:r>
          </w:p>
        </w:tc>
        <w:tc>
          <w:tcPr>
            <w:tcW w:w="3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34,901,884 and 34,691,472 outstanding, respectively</w:t>
            </w: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Treasury stock, at cost; 1,124,334 and 823,784 shares, respectively</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5"/>
                <w:szCs w:val="15"/>
                <w:color w:val="auto"/>
              </w:rPr>
              <w:t>(40,645)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5"/>
                <w:szCs w:val="15"/>
                <w:color w:val="auto"/>
              </w:rPr>
              <w:t>(25,679)</w:t>
            </w:r>
          </w:p>
        </w:tc>
        <w:tc>
          <w:tcPr>
            <w:tcW w:w="0" w:type="dxa"/>
            <w:vAlign w:val="bottom"/>
          </w:tcPr>
          <w:p>
            <w:pPr>
              <w:spacing w:after="0"/>
              <w:rPr>
                <w:sz w:val="1"/>
                <w:szCs w:val="1"/>
                <w:color w:val="auto"/>
              </w:rPr>
            </w:pP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Additional paid-in capital</w:t>
            </w: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349,014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332,574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tcPr>
          <w:p>
            <w:pPr>
              <w:ind w:left="260"/>
              <w:spacing w:after="0"/>
              <w:rPr>
                <w:sz w:val="20"/>
                <w:szCs w:val="20"/>
                <w:color w:val="auto"/>
              </w:rPr>
            </w:pPr>
            <w:r>
              <w:rPr>
                <w:rFonts w:ascii="Arial" w:cs="Arial" w:eastAsia="Arial" w:hAnsi="Arial"/>
                <w:sz w:val="15"/>
                <w:szCs w:val="15"/>
                <w:color w:val="auto"/>
              </w:rPr>
              <w:t>Retained earnings</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39,811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15,261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Accumulated other comprehensive loss</w:t>
            </w: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(3,148)</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(3,218)</w:t>
            </w:r>
          </w:p>
        </w:tc>
        <w:tc>
          <w:tcPr>
            <w:tcW w:w="0" w:type="dxa"/>
            <w:vAlign w:val="bottom"/>
          </w:tcPr>
          <w:p>
            <w:pPr>
              <w:spacing w:after="0"/>
              <w:rPr>
                <w:sz w:val="1"/>
                <w:szCs w:val="1"/>
                <w:color w:val="auto"/>
              </w:rPr>
            </w:pPr>
          </w:p>
        </w:tc>
      </w:tr>
      <w:tr>
        <w:trPr>
          <w:trHeight w:val="169"/>
        </w:trPr>
        <w:tc>
          <w:tcPr>
            <w:tcW w:w="744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stockholders’ equity</w:t>
            </w:r>
          </w:p>
        </w:tc>
        <w:tc>
          <w:tcPr>
            <w:tcW w:w="38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345,068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318,974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40" w:type="dxa"/>
            <w:vAlign w:val="bottom"/>
            <w:shd w:val="clear" w:color="auto" w:fill="CFF0FC"/>
          </w:tcPr>
          <w:p>
            <w:pPr>
              <w:ind w:left="740"/>
              <w:spacing w:after="0" w:line="169" w:lineRule="exact"/>
              <w:rPr>
                <w:sz w:val="20"/>
                <w:szCs w:val="20"/>
                <w:color w:val="auto"/>
              </w:rPr>
            </w:pPr>
            <w:r>
              <w:rPr>
                <w:rFonts w:ascii="Arial" w:cs="Arial" w:eastAsia="Arial" w:hAnsi="Arial"/>
                <w:sz w:val="15"/>
                <w:szCs w:val="15"/>
                <w:color w:val="auto"/>
              </w:rPr>
              <w:t>Total liabilities and stockholders’ equity</w:t>
            </w:r>
          </w:p>
        </w:tc>
        <w:tc>
          <w:tcPr>
            <w:tcW w:w="56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426,597</w:t>
            </w:r>
          </w:p>
        </w:tc>
        <w:tc>
          <w:tcPr>
            <w:tcW w:w="1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386,123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Shares and per share data have been adjusted for all periods presented to reflect a two-for-one stock split effective August 22, 2019.</w:t>
      </w: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351" w:right="319" w:bottom="1440" w:gutter="0" w:footer="0" w:header="0"/>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 xml:space="preserve">SPS COMMERCE, INC. AND SUBSIDIARIES CONDENSED CONSOLIDATED STATEMENTS OF COMPREHENSIVE INCOME </w:t>
      </w:r>
      <w:r>
        <w:rPr>
          <w:rFonts w:ascii="Arial" w:cs="Arial" w:eastAsia="Arial" w:hAnsi="Arial"/>
          <w:sz w:val="18"/>
          <w:szCs w:val="18"/>
          <w:color w:val="auto"/>
        </w:rPr>
        <w:t>(Unaudited; in thousands, except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70,928</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62,868</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206,391</w:t>
            </w: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23,263</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47,665</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42,457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7,743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5,146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36,732</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34,200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10,933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8,257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(165)</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Change in earn-out liability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net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11,633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8,666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2,692</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8,941</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8,061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24,550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income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(958)</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 on investments, net of tax of $38, $41, $105, and $88,</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w w:val="98"/>
              </w:rPr>
              <w:t>Reclassification of gain on investments into earnings, net of tax of ($48),</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($11), ($109) and ($64), respectively</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3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other comprehensive income (expense)</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7,953</w:t>
            </w:r>
          </w:p>
        </w:tc>
        <w:tc>
          <w:tcPr>
            <w:tcW w:w="24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8,227</w:t>
            </w:r>
          </w:p>
        </w:tc>
        <w:tc>
          <w:tcPr>
            <w:tcW w:w="24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0.68</w:t>
            </w:r>
          </w:p>
        </w:tc>
        <w:tc>
          <w:tcPr>
            <w:tcW w:w="160" w:type="dxa"/>
            <w:vAlign w:val="bottom"/>
          </w:tcPr>
          <w:p>
            <w:pPr>
              <w:spacing w:after="0"/>
              <w:rPr>
                <w:sz w:val="19"/>
                <w:szCs w:val="19"/>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35,015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35,932</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35,482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35,952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Shares and per share data have been adjusted for all periods presented to reflect a two-for-one stock split effective August 22, 2019.</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 xml:space="preserve">SPS COMMERCE, INC. AND SUBSIDIARIES CONDENSED CONSOLIDATED STATEMENTS OF STOCKHOLDERS’ EQUITY </w:t>
      </w:r>
      <w:r>
        <w:rPr>
          <w:rFonts w:ascii="Arial" w:cs="Arial" w:eastAsia="Arial" w:hAnsi="Arial"/>
          <w:sz w:val="18"/>
          <w:szCs w:val="18"/>
          <w:color w:val="auto"/>
        </w:rPr>
        <w:t>(Unaudited; in thousands, except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1620" w:type="dxa"/>
            <w:vAlign w:val="bottom"/>
            <w:tcBorders>
              <w:bottom w:val="single" w:sz="8" w:color="auto"/>
            </w:tcBorders>
            <w:gridSpan w:val="5"/>
          </w:tcPr>
          <w:p>
            <w:pPr>
              <w:jc w:val="right"/>
              <w:ind w:right="235"/>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140" w:type="dxa"/>
            <w:vAlign w:val="bottom"/>
            <w:gridSpan w:val="4"/>
          </w:tcPr>
          <w:p>
            <w:pPr>
              <w:ind w:left="100"/>
              <w:spacing w:after="0"/>
              <w:rPr>
                <w:sz w:val="20"/>
                <w:szCs w:val="20"/>
                <w:color w:val="auto"/>
              </w:rPr>
            </w:pPr>
            <w:r>
              <w:rPr>
                <w:rFonts w:ascii="Arial" w:cs="Arial" w:eastAsia="Arial" w:hAnsi="Arial"/>
                <w:sz w:val="14"/>
                <w:szCs w:val="14"/>
                <w:b w:val="1"/>
                <w:bCs w:val="1"/>
                <w:color w:val="auto"/>
                <w:w w:val="97"/>
              </w:rPr>
              <w:t>Comprehensive</w:t>
            </w: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740" w:type="dxa"/>
            <w:vAlign w:val="bottom"/>
            <w:tcBorders>
              <w:bottom w:val="single" w:sz="8" w:color="CCF0FC"/>
            </w:tcBorders>
          </w:tcPr>
          <w:p>
            <w:pPr>
              <w:spacing w:after="0"/>
              <w:rPr>
                <w:sz w:val="13"/>
                <w:szCs w:val="13"/>
                <w:color w:val="auto"/>
              </w:rPr>
            </w:pPr>
          </w:p>
        </w:tc>
        <w:tc>
          <w:tcPr>
            <w:tcW w:w="82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F0FC"/>
            </w:tcBorders>
          </w:tcPr>
          <w:p>
            <w:pPr>
              <w:spacing w:after="0"/>
              <w:rPr>
                <w:sz w:val="13"/>
                <w:szCs w:val="13"/>
                <w:color w:val="auto"/>
              </w:rPr>
            </w:pPr>
          </w:p>
        </w:tc>
        <w:tc>
          <w:tcPr>
            <w:tcW w:w="140" w:type="dxa"/>
            <w:vAlign w:val="bottom"/>
            <w:tcBorders>
              <w:bottom w:val="single" w:sz="8" w:color="CCF0FC"/>
            </w:tcBorders>
          </w:tcPr>
          <w:p>
            <w:pPr>
              <w:spacing w:after="0"/>
              <w:rPr>
                <w:sz w:val="13"/>
                <w:szCs w:val="13"/>
                <w:color w:val="auto"/>
              </w:rPr>
            </w:pPr>
          </w:p>
        </w:tc>
        <w:tc>
          <w:tcPr>
            <w:tcW w:w="720" w:type="dxa"/>
            <w:vAlign w:val="bottom"/>
            <w:tcBorders>
              <w:bottom w:val="single" w:sz="8" w:color="auto"/>
            </w:tcBorders>
            <w:gridSpan w:val="2"/>
          </w:tcPr>
          <w:p>
            <w:pPr>
              <w:jc w:val="right"/>
              <w:ind w:right="74"/>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CF0FC"/>
            </w:tcBorders>
            <w:gridSpan w:val="2"/>
          </w:tcPr>
          <w:p>
            <w:pPr>
              <w:spacing w:after="0"/>
              <w:rPr>
                <w:sz w:val="13"/>
                <w:szCs w:val="13"/>
                <w:color w:val="auto"/>
              </w:rPr>
            </w:pPr>
          </w:p>
        </w:tc>
        <w:tc>
          <w:tcPr>
            <w:tcW w:w="72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F0FC"/>
            </w:tcBorders>
          </w:tcPr>
          <w:p>
            <w:pPr>
              <w:spacing w:after="0"/>
              <w:rPr>
                <w:sz w:val="13"/>
                <w:szCs w:val="13"/>
                <w:color w:val="auto"/>
              </w:rPr>
            </w:pPr>
          </w:p>
        </w:tc>
        <w:tc>
          <w:tcPr>
            <w:tcW w:w="12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Borders>
              <w:bottom w:val="single" w:sz="8" w:color="CCF0FC"/>
            </w:tcBorders>
          </w:tcPr>
          <w:p>
            <w:pPr>
              <w:spacing w:after="0"/>
              <w:rPr>
                <w:sz w:val="13"/>
                <w:szCs w:val="13"/>
                <w:color w:val="auto"/>
              </w:rPr>
            </w:pPr>
          </w:p>
        </w:tc>
        <w:tc>
          <w:tcPr>
            <w:tcW w:w="12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Borders>
              <w:bottom w:val="single" w:sz="8" w:color="CCF0FC"/>
            </w:tcBorders>
          </w:tcPr>
          <w:p>
            <w:pPr>
              <w:spacing w:after="0"/>
              <w:rPr>
                <w:sz w:val="13"/>
                <w:szCs w:val="13"/>
                <w:color w:val="auto"/>
              </w:rPr>
            </w:pPr>
          </w:p>
        </w:tc>
        <w:tc>
          <w:tcPr>
            <w:tcW w:w="100" w:type="dxa"/>
            <w:vAlign w:val="bottom"/>
            <w:tcBorders>
              <w:bottom w:val="single" w:sz="8" w:color="CC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F0FC"/>
            </w:tcBorders>
          </w:tcPr>
          <w:p>
            <w:pPr>
              <w:spacing w:after="0"/>
              <w:rPr>
                <w:sz w:val="13"/>
                <w:szCs w:val="13"/>
                <w:color w:val="auto"/>
              </w:rPr>
            </w:pPr>
          </w:p>
        </w:tc>
        <w:tc>
          <w:tcPr>
            <w:tcW w:w="100" w:type="dxa"/>
            <w:vAlign w:val="bottom"/>
            <w:tcBorders>
              <w:bottom w:val="single" w:sz="8" w:color="CCF0FC"/>
            </w:tcBorders>
          </w:tcPr>
          <w:p>
            <w:pPr>
              <w:spacing w:after="0"/>
              <w:rPr>
                <w:sz w:val="13"/>
                <w:szCs w:val="13"/>
                <w:color w:val="auto"/>
              </w:rPr>
            </w:pPr>
          </w:p>
        </w:tc>
        <w:tc>
          <w:tcPr>
            <w:tcW w:w="90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84"/>
              </w:rPr>
              <w:t>Income (Loss)</w:t>
            </w:r>
          </w:p>
        </w:tc>
        <w:tc>
          <w:tcPr>
            <w:tcW w:w="14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Borders>
              <w:bottom w:val="single" w:sz="8" w:color="CC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tcBorders>
              <w:right w:val="single" w:sz="8" w:color="CCF0FC"/>
            </w:tcBorders>
            <w:shd w:val="clear" w:color="auto" w:fill="CCF0FC"/>
          </w:tcPr>
          <w:p>
            <w:pPr>
              <w:spacing w:after="0" w:line="155" w:lineRule="exact"/>
              <w:rPr>
                <w:sz w:val="20"/>
                <w:szCs w:val="20"/>
                <w:color w:val="auto"/>
              </w:rPr>
            </w:pPr>
            <w:r>
              <w:rPr>
                <w:rFonts w:ascii="Arial" w:cs="Arial" w:eastAsia="Arial" w:hAnsi="Arial"/>
                <w:sz w:val="14"/>
                <w:szCs w:val="14"/>
                <w:color w:val="auto"/>
              </w:rPr>
              <w:t>Balances, June 30, 2018</w:t>
            </w:r>
          </w:p>
        </w:tc>
        <w:tc>
          <w:tcPr>
            <w:tcW w:w="820" w:type="dxa"/>
            <w:vAlign w:val="bottom"/>
            <w:gridSpan w:val="2"/>
            <w:shd w:val="clear" w:color="auto" w:fill="CCF0FC"/>
          </w:tcPr>
          <w:p>
            <w:pPr>
              <w:jc w:val="right"/>
              <w:ind w:right="20"/>
              <w:spacing w:after="0" w:line="155" w:lineRule="exact"/>
              <w:rPr>
                <w:sz w:val="20"/>
                <w:szCs w:val="20"/>
                <w:color w:val="auto"/>
              </w:rPr>
            </w:pPr>
            <w:r>
              <w:rPr>
                <w:rFonts w:ascii="Arial" w:cs="Arial" w:eastAsia="Arial" w:hAnsi="Arial"/>
                <w:sz w:val="14"/>
                <w:szCs w:val="14"/>
                <w:color w:val="auto"/>
              </w:rPr>
              <w:t>34,319,638</w:t>
            </w:r>
          </w:p>
        </w:tc>
        <w:tc>
          <w:tcPr>
            <w:tcW w:w="80" w:type="dxa"/>
            <w:vAlign w:val="bottom"/>
            <w:shd w:val="clear" w:color="auto" w:fill="CCF0FC"/>
          </w:tcPr>
          <w:p>
            <w:pPr>
              <w:spacing w:after="0"/>
              <w:rPr>
                <w:sz w:val="13"/>
                <w:szCs w:val="13"/>
                <w:color w:val="auto"/>
              </w:rPr>
            </w:pPr>
          </w:p>
        </w:tc>
        <w:tc>
          <w:tcPr>
            <w:tcW w:w="140" w:type="dxa"/>
            <w:vAlign w:val="bottom"/>
            <w:tcBorders>
              <w:right w:val="single" w:sz="8" w:color="CCF0FC"/>
            </w:tcBorders>
            <w:shd w:val="clear" w:color="auto" w:fill="CCF0FC"/>
          </w:tcPr>
          <w:p>
            <w:pPr>
              <w:spacing w:after="0"/>
              <w:rPr>
                <w:sz w:val="13"/>
                <w:szCs w:val="13"/>
                <w:color w:val="auto"/>
              </w:rPr>
            </w:pPr>
          </w:p>
        </w:tc>
        <w:tc>
          <w:tcPr>
            <w:tcW w:w="580" w:type="dxa"/>
            <w:vAlign w:val="bottom"/>
            <w:tcBorders>
              <w:right w:val="single" w:sz="8" w:color="CCF0FC"/>
            </w:tcBorders>
            <w:shd w:val="clear" w:color="auto" w:fill="CCF0FC"/>
          </w:tcPr>
          <w:p>
            <w:pPr>
              <w:jc w:val="right"/>
              <w:ind w:right="455"/>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F0FC"/>
          </w:tcPr>
          <w:p>
            <w:pPr>
              <w:jc w:val="right"/>
              <w:spacing w:after="0"/>
              <w:rPr>
                <w:sz w:val="20"/>
                <w:szCs w:val="20"/>
                <w:color w:val="auto"/>
              </w:rPr>
            </w:pPr>
            <w:r>
              <w:rPr>
                <w:rFonts w:ascii="Arial" w:cs="Arial" w:eastAsia="Arial" w:hAnsi="Arial"/>
                <w:sz w:val="12"/>
                <w:szCs w:val="12"/>
                <w:color w:val="auto"/>
                <w:w w:val="74"/>
              </w:rPr>
              <w:t>35</w:t>
            </w:r>
          </w:p>
        </w:tc>
        <w:tc>
          <w:tcPr>
            <w:tcW w:w="80" w:type="dxa"/>
            <w:vAlign w:val="bottom"/>
            <w:shd w:val="clear" w:color="auto" w:fill="CCF0FC"/>
          </w:tcPr>
          <w:p>
            <w:pPr>
              <w:spacing w:after="0"/>
              <w:rPr>
                <w:sz w:val="13"/>
                <w:szCs w:val="13"/>
                <w:color w:val="auto"/>
              </w:rPr>
            </w:pPr>
          </w:p>
        </w:tc>
        <w:tc>
          <w:tcPr>
            <w:tcW w:w="120" w:type="dxa"/>
            <w:vAlign w:val="bottom"/>
            <w:shd w:val="clear" w:color="auto" w:fill="CCF0FC"/>
          </w:tcPr>
          <w:p>
            <w:pPr>
              <w:spacing w:after="0"/>
              <w:rPr>
                <w:sz w:val="13"/>
                <w:szCs w:val="13"/>
                <w:color w:val="auto"/>
              </w:rPr>
            </w:pPr>
          </w:p>
        </w:tc>
        <w:tc>
          <w:tcPr>
            <w:tcW w:w="720" w:type="dxa"/>
            <w:vAlign w:val="bottom"/>
            <w:gridSpan w:val="2"/>
            <w:shd w:val="clear" w:color="auto" w:fill="CCF0FC"/>
          </w:tcPr>
          <w:p>
            <w:pPr>
              <w:jc w:val="right"/>
              <w:ind w:right="20"/>
              <w:spacing w:after="0" w:line="155" w:lineRule="exact"/>
              <w:rPr>
                <w:sz w:val="20"/>
                <w:szCs w:val="20"/>
                <w:color w:val="auto"/>
              </w:rPr>
            </w:pPr>
            <w:r>
              <w:rPr>
                <w:rFonts w:ascii="Arial" w:cs="Arial" w:eastAsia="Arial" w:hAnsi="Arial"/>
                <w:sz w:val="14"/>
                <w:szCs w:val="14"/>
                <w:color w:val="auto"/>
              </w:rPr>
              <w:t>631,082</w:t>
            </w:r>
          </w:p>
        </w:tc>
        <w:tc>
          <w:tcPr>
            <w:tcW w:w="100" w:type="dxa"/>
            <w:vAlign w:val="bottom"/>
            <w:shd w:val="clear" w:color="auto" w:fill="CCF0FC"/>
          </w:tcPr>
          <w:p>
            <w:pPr>
              <w:spacing w:after="0"/>
              <w:rPr>
                <w:sz w:val="13"/>
                <w:szCs w:val="13"/>
                <w:color w:val="auto"/>
              </w:rPr>
            </w:pPr>
          </w:p>
        </w:tc>
        <w:tc>
          <w:tcPr>
            <w:tcW w:w="120" w:type="dxa"/>
            <w:vAlign w:val="bottom"/>
            <w:shd w:val="clear" w:color="auto" w:fill="CCF0FC"/>
          </w:tcPr>
          <w:p>
            <w:pPr>
              <w:spacing w:after="0"/>
              <w:rPr>
                <w:sz w:val="13"/>
                <w:szCs w:val="13"/>
                <w:color w:val="auto"/>
              </w:rPr>
            </w:pPr>
          </w:p>
        </w:tc>
        <w:tc>
          <w:tcPr>
            <w:tcW w:w="100" w:type="dxa"/>
            <w:vAlign w:val="bottom"/>
            <w:shd w:val="clear" w:color="auto" w:fill="CCF0FC"/>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F0FC"/>
          </w:tcPr>
          <w:p>
            <w:pPr>
              <w:jc w:val="right"/>
              <w:ind w:right="60"/>
              <w:spacing w:after="0" w:line="155" w:lineRule="exact"/>
              <w:rPr>
                <w:sz w:val="20"/>
                <w:szCs w:val="20"/>
                <w:color w:val="auto"/>
              </w:rPr>
            </w:pPr>
            <w:r>
              <w:rPr>
                <w:rFonts w:ascii="Arial" w:cs="Arial" w:eastAsia="Arial" w:hAnsi="Arial"/>
                <w:sz w:val="14"/>
                <w:szCs w:val="14"/>
                <w:color w:val="auto"/>
              </w:rPr>
              <w:t>(17,684)</w:t>
            </w:r>
          </w:p>
        </w:tc>
        <w:tc>
          <w:tcPr>
            <w:tcW w:w="220" w:type="dxa"/>
            <w:vAlign w:val="bottom"/>
            <w:gridSpan w:val="2"/>
            <w:shd w:val="clear" w:color="auto" w:fill="CCF0FC"/>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F0FC"/>
          </w:tcPr>
          <w:p>
            <w:pPr>
              <w:jc w:val="right"/>
              <w:spacing w:after="0" w:line="155" w:lineRule="exact"/>
              <w:rPr>
                <w:sz w:val="20"/>
                <w:szCs w:val="20"/>
                <w:color w:val="auto"/>
              </w:rPr>
            </w:pPr>
            <w:r>
              <w:rPr>
                <w:rFonts w:ascii="Arial" w:cs="Arial" w:eastAsia="Arial" w:hAnsi="Arial"/>
                <w:sz w:val="14"/>
                <w:szCs w:val="14"/>
                <w:color w:val="auto"/>
              </w:rPr>
              <w:t>313,869</w:t>
            </w:r>
          </w:p>
        </w:tc>
        <w:tc>
          <w:tcPr>
            <w:tcW w:w="300" w:type="dxa"/>
            <w:vAlign w:val="bottom"/>
            <w:gridSpan w:val="3"/>
            <w:shd w:val="clear" w:color="auto" w:fill="CCF0FC"/>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shd w:val="clear" w:color="auto" w:fill="CCF0FC"/>
          </w:tcPr>
          <w:p>
            <w:pPr>
              <w:jc w:val="right"/>
              <w:spacing w:after="0" w:line="155" w:lineRule="exact"/>
              <w:rPr>
                <w:sz w:val="20"/>
                <w:szCs w:val="20"/>
                <w:color w:val="auto"/>
              </w:rPr>
            </w:pPr>
            <w:r>
              <w:rPr>
                <w:rFonts w:ascii="Arial" w:cs="Arial" w:eastAsia="Arial" w:hAnsi="Arial"/>
                <w:sz w:val="14"/>
                <w:szCs w:val="14"/>
                <w:color w:val="auto"/>
              </w:rPr>
              <w:t>59</w:t>
            </w:r>
          </w:p>
        </w:tc>
        <w:tc>
          <w:tcPr>
            <w:tcW w:w="120" w:type="dxa"/>
            <w:vAlign w:val="bottom"/>
            <w:shd w:val="clear" w:color="auto" w:fill="CCF0FC"/>
          </w:tcPr>
          <w:p>
            <w:pPr>
              <w:spacing w:after="0"/>
              <w:rPr>
                <w:sz w:val="13"/>
                <w:szCs w:val="13"/>
                <w:color w:val="auto"/>
              </w:rPr>
            </w:pPr>
          </w:p>
        </w:tc>
        <w:tc>
          <w:tcPr>
            <w:tcW w:w="260" w:type="dxa"/>
            <w:vAlign w:val="bottom"/>
            <w:gridSpan w:val="2"/>
            <w:shd w:val="clear" w:color="auto" w:fill="CCF0FC"/>
          </w:tcPr>
          <w:p>
            <w:pPr>
              <w:ind w:left="10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F0FC"/>
          </w:tcPr>
          <w:p>
            <w:pPr>
              <w:jc w:val="right"/>
              <w:ind w:right="100"/>
              <w:spacing w:after="0" w:line="155" w:lineRule="exact"/>
              <w:rPr>
                <w:sz w:val="20"/>
                <w:szCs w:val="20"/>
                <w:color w:val="auto"/>
              </w:rPr>
            </w:pPr>
            <w:r>
              <w:rPr>
                <w:rFonts w:ascii="Arial" w:cs="Arial" w:eastAsia="Arial" w:hAnsi="Arial"/>
                <w:sz w:val="14"/>
                <w:szCs w:val="14"/>
                <w:color w:val="auto"/>
              </w:rPr>
              <w:t>(1,590)</w:t>
            </w:r>
          </w:p>
        </w:tc>
        <w:tc>
          <w:tcPr>
            <w:tcW w:w="200" w:type="dxa"/>
            <w:vAlign w:val="bottom"/>
            <w:gridSpan w:val="2"/>
            <w:shd w:val="clear" w:color="auto" w:fill="CCF0FC"/>
          </w:tcPr>
          <w:p>
            <w:pPr>
              <w:ind w:lef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F0FC"/>
          </w:tcPr>
          <w:p>
            <w:pPr>
              <w:jc w:val="right"/>
              <w:spacing w:after="0" w:line="155" w:lineRule="exact"/>
              <w:rPr>
                <w:sz w:val="20"/>
                <w:szCs w:val="20"/>
                <w:color w:val="auto"/>
              </w:rPr>
            </w:pPr>
            <w:r>
              <w:rPr>
                <w:rFonts w:ascii="Arial" w:cs="Arial" w:eastAsia="Arial" w:hAnsi="Arial"/>
                <w:sz w:val="14"/>
                <w:szCs w:val="14"/>
                <w:color w:val="auto"/>
              </w:rPr>
              <w:t>294,689</w:t>
            </w:r>
          </w:p>
        </w:tc>
        <w:tc>
          <w:tcPr>
            <w:tcW w:w="60" w:type="dxa"/>
            <w:vAlign w:val="bottom"/>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F0FC"/>
              <w:bottom w:val="single" w:sz="8" w:color="CCF0FC"/>
            </w:tcBorders>
            <w:vMerge w:val="restart"/>
          </w:tcPr>
          <w:p>
            <w:pPr>
              <w:ind w:left="140"/>
              <w:spacing w:after="0"/>
              <w:rPr>
                <w:sz w:val="20"/>
                <w:szCs w:val="20"/>
                <w:color w:val="auto"/>
              </w:rPr>
            </w:pPr>
            <w:r>
              <w:rPr>
                <w:rFonts w:ascii="Arial" w:cs="Arial" w:eastAsia="Arial" w:hAnsi="Arial"/>
                <w:sz w:val="14"/>
                <w:szCs w:val="14"/>
                <w:color w:val="auto"/>
              </w:rPr>
              <w:t>Stock-based compensation</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vMerge w:val="continue"/>
          </w:tcPr>
          <w:p>
            <w:pPr>
              <w:spacing w:after="0"/>
              <w:rPr>
                <w:sz w:val="12"/>
                <w:szCs w:val="12"/>
                <w:color w:val="auto"/>
              </w:rPr>
            </w:pPr>
          </w:p>
        </w:tc>
        <w:tc>
          <w:tcPr>
            <w:tcW w:w="900" w:type="dxa"/>
            <w:vAlign w:val="bottom"/>
            <w:gridSpan w:val="3"/>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gridSpan w:val="3"/>
          </w:tcPr>
          <w:p>
            <w:pPr>
              <w:jc w:val="right"/>
              <w:ind w:right="220"/>
              <w:spacing w:after="0" w:line="143" w:lineRule="exact"/>
              <w:rPr>
                <w:sz w:val="20"/>
                <w:szCs w:val="20"/>
                <w:color w:val="auto"/>
              </w:rPr>
            </w:pPr>
            <w:r>
              <w:rPr>
                <w:rFonts w:ascii="Arial" w:cs="Arial" w:eastAsia="Arial" w:hAnsi="Arial"/>
                <w:sz w:val="14"/>
                <w:szCs w:val="14"/>
                <w:color w:val="auto"/>
                <w:w w:val="71"/>
              </w:rPr>
              <w:t>—</w:t>
            </w:r>
          </w:p>
        </w:tc>
        <w:tc>
          <w:tcPr>
            <w:tcW w:w="7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2,973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2,973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tcBorders>
              <w:right w:val="single" w:sz="8" w:color="CCF0FC"/>
            </w:tcBorders>
            <w:shd w:val="clear" w:color="auto" w:fill="CCF0FC"/>
          </w:tcPr>
          <w:p>
            <w:pPr>
              <w:ind w:left="140"/>
              <w:spacing w:after="0"/>
              <w:rPr>
                <w:sz w:val="20"/>
                <w:szCs w:val="20"/>
                <w:color w:val="auto"/>
              </w:rPr>
            </w:pPr>
            <w:r>
              <w:rPr>
                <w:rFonts w:ascii="Arial" w:cs="Arial" w:eastAsia="Arial" w:hAnsi="Arial"/>
                <w:sz w:val="14"/>
                <w:szCs w:val="14"/>
                <w:color w:val="auto"/>
              </w:rPr>
              <w:t>Exercise of stock options and issuance of restricted stock</w:t>
            </w:r>
          </w:p>
        </w:tc>
        <w:tc>
          <w:tcPr>
            <w:tcW w:w="82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338,008</w:t>
            </w:r>
          </w:p>
        </w:tc>
        <w:tc>
          <w:tcPr>
            <w:tcW w:w="80" w:type="dxa"/>
            <w:vAlign w:val="bottom"/>
            <w:shd w:val="clear" w:color="auto" w:fill="CCF0FC"/>
          </w:tcPr>
          <w:p>
            <w:pPr>
              <w:spacing w:after="0"/>
              <w:rPr>
                <w:sz w:val="14"/>
                <w:szCs w:val="14"/>
                <w:color w:val="auto"/>
              </w:rPr>
            </w:pPr>
          </w:p>
        </w:tc>
        <w:tc>
          <w:tcPr>
            <w:tcW w:w="140" w:type="dxa"/>
            <w:vAlign w:val="bottom"/>
            <w:tcBorders>
              <w:right w:val="single" w:sz="8" w:color="CCF0FC"/>
            </w:tcBorders>
            <w:shd w:val="clear" w:color="auto" w:fill="CCF0FC"/>
          </w:tcPr>
          <w:p>
            <w:pPr>
              <w:spacing w:after="0"/>
              <w:rPr>
                <w:sz w:val="14"/>
                <w:szCs w:val="14"/>
                <w:color w:val="auto"/>
              </w:rPr>
            </w:pPr>
          </w:p>
        </w:tc>
        <w:tc>
          <w:tcPr>
            <w:tcW w:w="580" w:type="dxa"/>
            <w:vAlign w:val="bottom"/>
            <w:tcBorders>
              <w:right w:val="single" w:sz="8" w:color="CCF0FC"/>
            </w:tcBorders>
            <w:shd w:val="clear" w:color="auto" w:fill="CCF0FC"/>
          </w:tcPr>
          <w:p>
            <w:pPr>
              <w:spacing w:after="0"/>
              <w:rPr>
                <w:sz w:val="14"/>
                <w:szCs w:val="14"/>
                <w:color w:val="auto"/>
              </w:rPr>
            </w:pPr>
          </w:p>
        </w:tc>
        <w:tc>
          <w:tcPr>
            <w:tcW w:w="340" w:type="dxa"/>
            <w:vAlign w:val="bottom"/>
            <w:gridSpan w:val="3"/>
            <w:shd w:val="clear" w:color="auto" w:fill="CCF0FC"/>
          </w:tcPr>
          <w:p>
            <w:pPr>
              <w:jc w:val="right"/>
              <w:ind w:right="220"/>
              <w:spacing w:after="0"/>
              <w:rPr>
                <w:sz w:val="20"/>
                <w:szCs w:val="20"/>
                <w:color w:val="auto"/>
              </w:rPr>
            </w:pPr>
            <w:r>
              <w:rPr>
                <w:rFonts w:ascii="Arial" w:cs="Arial" w:eastAsia="Arial" w:hAnsi="Arial"/>
                <w:sz w:val="14"/>
                <w:szCs w:val="14"/>
                <w:color w:val="auto"/>
                <w:w w:val="71"/>
              </w:rPr>
              <w:t>—</w:t>
            </w:r>
          </w:p>
        </w:tc>
        <w:tc>
          <w:tcPr>
            <w:tcW w:w="72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20" w:type="dxa"/>
            <w:vAlign w:val="bottom"/>
            <w:gridSpan w:val="3"/>
            <w:shd w:val="clear" w:color="auto" w:fill="CC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gridSpan w:val="2"/>
            <w:shd w:val="clear" w:color="auto" w:fill="CCF0FC"/>
          </w:tcPr>
          <w:p>
            <w:pPr>
              <w:jc w:val="right"/>
              <w:spacing w:after="0"/>
              <w:rPr>
                <w:sz w:val="20"/>
                <w:szCs w:val="20"/>
                <w:color w:val="auto"/>
              </w:rPr>
            </w:pPr>
            <w:r>
              <w:rPr>
                <w:rFonts w:ascii="Arial" w:cs="Arial" w:eastAsia="Arial" w:hAnsi="Arial"/>
                <w:sz w:val="14"/>
                <w:szCs w:val="14"/>
                <w:color w:val="auto"/>
              </w:rPr>
              <w:t>6,680</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80" w:type="dxa"/>
            <w:vAlign w:val="bottom"/>
            <w:gridSpan w:val="2"/>
            <w:shd w:val="clear" w:color="auto" w:fill="CC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4"/>
                <w:szCs w:val="14"/>
                <w:color w:val="auto"/>
              </w:rPr>
              <w:t>6,680</w:t>
            </w:r>
          </w:p>
        </w:tc>
        <w:tc>
          <w:tcPr>
            <w:tcW w:w="6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900" w:type="dxa"/>
            <w:vAlign w:val="bottom"/>
            <w:gridSpan w:val="3"/>
          </w:tcPr>
          <w:p>
            <w:pPr>
              <w:jc w:val="right"/>
              <w:ind w:right="40"/>
              <w:spacing w:after="0"/>
              <w:rPr>
                <w:sz w:val="20"/>
                <w:szCs w:val="20"/>
                <w:color w:val="auto"/>
              </w:rPr>
            </w:pPr>
            <w:r>
              <w:rPr>
                <w:rFonts w:ascii="Arial" w:cs="Arial" w:eastAsia="Arial" w:hAnsi="Arial"/>
                <w:sz w:val="14"/>
                <w:szCs w:val="14"/>
                <w:color w:val="auto"/>
              </w:rPr>
              <w:t>(52,502)</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4"/>
                <w:szCs w:val="14"/>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52,502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(1,998)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(1,998)</w:t>
            </w:r>
          </w:p>
        </w:tc>
        <w:tc>
          <w:tcPr>
            <w:tcW w:w="0" w:type="dxa"/>
            <w:vAlign w:val="bottom"/>
          </w:tcPr>
          <w:p>
            <w:pPr>
              <w:spacing w:after="0"/>
              <w:rPr>
                <w:sz w:val="1"/>
                <w:szCs w:val="1"/>
                <w:color w:val="auto"/>
              </w:rPr>
            </w:pPr>
          </w:p>
        </w:tc>
      </w:tr>
      <w:tr>
        <w:trPr>
          <w:trHeight w:val="162"/>
        </w:trPr>
        <w:tc>
          <w:tcPr>
            <w:tcW w:w="3740" w:type="dxa"/>
            <w:vAlign w:val="bottom"/>
            <w:tcBorders>
              <w:right w:val="single" w:sz="8" w:color="CCF0FC"/>
            </w:tcBorders>
            <w:shd w:val="clear" w:color="auto" w:fill="CCF0FC"/>
          </w:tcPr>
          <w:p>
            <w:pPr>
              <w:ind w:left="140"/>
              <w:spacing w:after="0"/>
              <w:rPr>
                <w:sz w:val="20"/>
                <w:szCs w:val="20"/>
                <w:color w:val="auto"/>
              </w:rPr>
            </w:pPr>
            <w:r>
              <w:rPr>
                <w:rFonts w:ascii="Arial" w:cs="Arial" w:eastAsia="Arial" w:hAnsi="Arial"/>
                <w:sz w:val="14"/>
                <w:szCs w:val="14"/>
                <w:color w:val="auto"/>
              </w:rPr>
              <w:t>Net income</w:t>
            </w:r>
          </w:p>
        </w:tc>
        <w:tc>
          <w:tcPr>
            <w:tcW w:w="900" w:type="dxa"/>
            <w:vAlign w:val="bottom"/>
            <w:gridSpan w:val="3"/>
            <w:shd w:val="clear" w:color="auto" w:fill="CC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F0FC"/>
            </w:tcBorders>
            <w:shd w:val="clear" w:color="auto" w:fill="CCF0FC"/>
          </w:tcPr>
          <w:p>
            <w:pPr>
              <w:spacing w:after="0"/>
              <w:rPr>
                <w:sz w:val="14"/>
                <w:szCs w:val="14"/>
                <w:color w:val="auto"/>
              </w:rPr>
            </w:pPr>
          </w:p>
        </w:tc>
        <w:tc>
          <w:tcPr>
            <w:tcW w:w="580" w:type="dxa"/>
            <w:vAlign w:val="bottom"/>
            <w:tcBorders>
              <w:right w:val="single" w:sz="8" w:color="CCF0FC"/>
            </w:tcBorders>
            <w:shd w:val="clear" w:color="auto" w:fill="CCF0FC"/>
          </w:tcPr>
          <w:p>
            <w:pPr>
              <w:spacing w:after="0"/>
              <w:rPr>
                <w:sz w:val="14"/>
                <w:szCs w:val="14"/>
                <w:color w:val="auto"/>
              </w:rPr>
            </w:pPr>
          </w:p>
        </w:tc>
        <w:tc>
          <w:tcPr>
            <w:tcW w:w="340" w:type="dxa"/>
            <w:vAlign w:val="bottom"/>
            <w:gridSpan w:val="3"/>
            <w:shd w:val="clear" w:color="auto" w:fill="CCF0FC"/>
          </w:tcPr>
          <w:p>
            <w:pPr>
              <w:jc w:val="right"/>
              <w:ind w:right="220"/>
              <w:spacing w:after="0"/>
              <w:rPr>
                <w:sz w:val="20"/>
                <w:szCs w:val="20"/>
                <w:color w:val="auto"/>
              </w:rPr>
            </w:pPr>
            <w:r>
              <w:rPr>
                <w:rFonts w:ascii="Arial" w:cs="Arial" w:eastAsia="Arial" w:hAnsi="Arial"/>
                <w:sz w:val="14"/>
                <w:szCs w:val="14"/>
                <w:color w:val="auto"/>
                <w:w w:val="71"/>
              </w:rPr>
              <w:t>—</w:t>
            </w:r>
          </w:p>
        </w:tc>
        <w:tc>
          <w:tcPr>
            <w:tcW w:w="72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20" w:type="dxa"/>
            <w:vAlign w:val="bottom"/>
            <w:gridSpan w:val="3"/>
            <w:shd w:val="clear" w:color="auto" w:fill="CC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gridSpan w:val="2"/>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40" w:type="dxa"/>
            <w:vAlign w:val="bottom"/>
            <w:shd w:val="clear" w:color="auto" w:fill="CCF0FC"/>
          </w:tcPr>
          <w:p>
            <w:pPr>
              <w:jc w:val="right"/>
              <w:spacing w:after="0"/>
              <w:rPr>
                <w:sz w:val="20"/>
                <w:szCs w:val="20"/>
                <w:color w:val="auto"/>
              </w:rPr>
            </w:pPr>
            <w:r>
              <w:rPr>
                <w:rFonts w:ascii="Arial" w:cs="Arial" w:eastAsia="Arial" w:hAnsi="Arial"/>
                <w:sz w:val="14"/>
                <w:szCs w:val="14"/>
                <w:color w:val="auto"/>
              </w:rPr>
              <w:t>8,061</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80" w:type="dxa"/>
            <w:vAlign w:val="bottom"/>
            <w:gridSpan w:val="2"/>
            <w:shd w:val="clear" w:color="auto" w:fill="CC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4"/>
                <w:szCs w:val="14"/>
                <w:color w:val="auto"/>
              </w:rPr>
              <w:t>8,061</w:t>
            </w:r>
          </w:p>
        </w:tc>
        <w:tc>
          <w:tcPr>
            <w:tcW w:w="6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4"/>
                <w:szCs w:val="14"/>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Borders>
              <w:right w:val="single" w:sz="8" w:color="CCF0FC"/>
            </w:tcBorders>
            <w:shd w:val="clear" w:color="auto" w:fill="CCF0FC"/>
          </w:tcPr>
          <w:p>
            <w:pPr>
              <w:ind w:left="140"/>
              <w:spacing w:after="0"/>
              <w:rPr>
                <w:sz w:val="20"/>
                <w:szCs w:val="20"/>
                <w:color w:val="auto"/>
              </w:rPr>
            </w:pPr>
            <w:r>
              <w:rPr>
                <w:rFonts w:ascii="Arial" w:cs="Arial" w:eastAsia="Arial" w:hAnsi="Arial"/>
                <w:sz w:val="14"/>
                <w:szCs w:val="14"/>
                <w:color w:val="auto"/>
              </w:rPr>
              <w:t>Unrealized gain on investments, net of tax</w:t>
            </w:r>
          </w:p>
        </w:tc>
        <w:tc>
          <w:tcPr>
            <w:tcW w:w="900" w:type="dxa"/>
            <w:vAlign w:val="bottom"/>
            <w:gridSpan w:val="3"/>
            <w:shd w:val="clear" w:color="auto" w:fill="CC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F0FC"/>
            </w:tcBorders>
            <w:shd w:val="clear" w:color="auto" w:fill="CCF0FC"/>
          </w:tcPr>
          <w:p>
            <w:pPr>
              <w:spacing w:after="0"/>
              <w:rPr>
                <w:sz w:val="14"/>
                <w:szCs w:val="14"/>
                <w:color w:val="auto"/>
              </w:rPr>
            </w:pPr>
          </w:p>
        </w:tc>
        <w:tc>
          <w:tcPr>
            <w:tcW w:w="580" w:type="dxa"/>
            <w:vAlign w:val="bottom"/>
            <w:tcBorders>
              <w:right w:val="single" w:sz="8" w:color="CCF0FC"/>
            </w:tcBorders>
            <w:shd w:val="clear" w:color="auto" w:fill="CCF0FC"/>
          </w:tcPr>
          <w:p>
            <w:pPr>
              <w:spacing w:after="0"/>
              <w:rPr>
                <w:sz w:val="14"/>
                <w:szCs w:val="14"/>
                <w:color w:val="auto"/>
              </w:rPr>
            </w:pPr>
          </w:p>
        </w:tc>
        <w:tc>
          <w:tcPr>
            <w:tcW w:w="340" w:type="dxa"/>
            <w:vAlign w:val="bottom"/>
            <w:gridSpan w:val="3"/>
            <w:shd w:val="clear" w:color="auto" w:fill="CCF0FC"/>
          </w:tcPr>
          <w:p>
            <w:pPr>
              <w:jc w:val="right"/>
              <w:ind w:right="220"/>
              <w:spacing w:after="0"/>
              <w:rPr>
                <w:sz w:val="20"/>
                <w:szCs w:val="20"/>
                <w:color w:val="auto"/>
              </w:rPr>
            </w:pPr>
            <w:r>
              <w:rPr>
                <w:rFonts w:ascii="Arial" w:cs="Arial" w:eastAsia="Arial" w:hAnsi="Arial"/>
                <w:sz w:val="14"/>
                <w:szCs w:val="14"/>
                <w:color w:val="auto"/>
                <w:w w:val="71"/>
              </w:rPr>
              <w:t>—</w:t>
            </w:r>
          </w:p>
        </w:tc>
        <w:tc>
          <w:tcPr>
            <w:tcW w:w="72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20" w:type="dxa"/>
            <w:vAlign w:val="bottom"/>
            <w:gridSpan w:val="3"/>
            <w:shd w:val="clear" w:color="auto" w:fill="CC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gridSpan w:val="2"/>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740" w:type="dxa"/>
            <w:vAlign w:val="bottom"/>
            <w:shd w:val="clear" w:color="auto" w:fill="CCF0FC"/>
          </w:tcPr>
          <w:p>
            <w:pPr>
              <w:jc w:val="right"/>
              <w:spacing w:after="0"/>
              <w:rPr>
                <w:sz w:val="20"/>
                <w:szCs w:val="20"/>
                <w:color w:val="auto"/>
              </w:rPr>
            </w:pPr>
            <w:r>
              <w:rPr>
                <w:rFonts w:ascii="Arial" w:cs="Arial" w:eastAsia="Arial" w:hAnsi="Arial"/>
                <w:sz w:val="14"/>
                <w:szCs w:val="14"/>
                <w:color w:val="auto"/>
              </w:rPr>
              <w:t>123</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4"/>
                <w:szCs w:val="14"/>
                <w:color w:val="auto"/>
              </w:rPr>
              <w:t>123</w:t>
            </w:r>
          </w:p>
        </w:tc>
        <w:tc>
          <w:tcPr>
            <w:tcW w:w="6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rPr>
                <w:sz w:val="20"/>
                <w:szCs w:val="20"/>
                <w:color w:val="auto"/>
              </w:rPr>
            </w:pPr>
            <w:r>
              <w:rPr>
                <w:rFonts w:ascii="Arial" w:cs="Arial" w:eastAsia="Arial" w:hAnsi="Arial"/>
                <w:sz w:val="14"/>
                <w:szCs w:val="14"/>
                <w:color w:val="auto"/>
                <w:w w:val="91"/>
              </w:rPr>
              <w:t>Reclassification of gain on investments into earnings, net of tax</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1"/>
              </w:rPr>
              <w:t>—</w:t>
            </w:r>
          </w:p>
        </w:tc>
        <w:tc>
          <w:tcPr>
            <w:tcW w:w="200" w:type="dxa"/>
            <w:vAlign w:val="bottom"/>
            <w:gridSpan w:val="2"/>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3740" w:type="dxa"/>
            <w:vAlign w:val="bottom"/>
            <w:tcBorders>
              <w:right w:val="single" w:sz="8" w:color="CCF0FC"/>
            </w:tcBorders>
            <w:vMerge w:val="restart"/>
            <w:shd w:val="clear" w:color="auto" w:fill="CCF0FC"/>
          </w:tcPr>
          <w:p>
            <w:pPr>
              <w:spacing w:after="0"/>
              <w:rPr>
                <w:sz w:val="20"/>
                <w:szCs w:val="20"/>
                <w:color w:val="auto"/>
              </w:rPr>
            </w:pPr>
            <w:r>
              <w:rPr>
                <w:rFonts w:ascii="Arial" w:cs="Arial" w:eastAsia="Arial" w:hAnsi="Arial"/>
                <w:sz w:val="14"/>
                <w:szCs w:val="14"/>
                <w:color w:val="auto"/>
              </w:rPr>
              <w:t>Balances, September 30, 2018</w:t>
            </w: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F0FC"/>
          </w:tcPr>
          <w:p>
            <w:pPr>
              <w:spacing w:after="0" w:line="20" w:lineRule="exact"/>
              <w:rPr>
                <w:sz w:val="1"/>
                <w:szCs w:val="1"/>
                <w:color w:val="auto"/>
              </w:rPr>
            </w:pPr>
          </w:p>
        </w:tc>
        <w:tc>
          <w:tcPr>
            <w:tcW w:w="140" w:type="dxa"/>
            <w:vAlign w:val="bottom"/>
            <w:tcBorders>
              <w:right w:val="single" w:sz="8" w:color="CCF0FC"/>
            </w:tcBorders>
            <w:shd w:val="clear" w:color="auto" w:fill="CCF0FC"/>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F0FC"/>
          </w:tcPr>
          <w:p>
            <w:pPr>
              <w:spacing w:after="0" w:line="20" w:lineRule="exact"/>
              <w:rPr>
                <w:sz w:val="1"/>
                <w:szCs w:val="1"/>
                <w:color w:val="auto"/>
              </w:rPr>
            </w:pPr>
          </w:p>
        </w:tc>
        <w:tc>
          <w:tcPr>
            <w:tcW w:w="120" w:type="dxa"/>
            <w:vAlign w:val="bottom"/>
            <w:shd w:val="clear" w:color="auto" w:fill="CC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F0FC"/>
          </w:tcPr>
          <w:p>
            <w:pPr>
              <w:spacing w:after="0" w:line="20" w:lineRule="exact"/>
              <w:rPr>
                <w:sz w:val="1"/>
                <w:szCs w:val="1"/>
                <w:color w:val="auto"/>
              </w:rPr>
            </w:pPr>
          </w:p>
        </w:tc>
        <w:tc>
          <w:tcPr>
            <w:tcW w:w="120" w:type="dxa"/>
            <w:vAlign w:val="bottom"/>
            <w:shd w:val="clear" w:color="auto" w:fill="CC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F0FC"/>
          </w:tcPr>
          <w:p>
            <w:pPr>
              <w:spacing w:after="0" w:line="20" w:lineRule="exact"/>
              <w:rPr>
                <w:sz w:val="1"/>
                <w:szCs w:val="1"/>
                <w:color w:val="auto"/>
              </w:rPr>
            </w:pPr>
          </w:p>
        </w:tc>
        <w:tc>
          <w:tcPr>
            <w:tcW w:w="120" w:type="dxa"/>
            <w:vAlign w:val="bottom"/>
            <w:shd w:val="clear" w:color="auto" w:fill="CC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F0FC"/>
          </w:tcPr>
          <w:p>
            <w:pPr>
              <w:spacing w:after="0" w:line="20" w:lineRule="exact"/>
              <w:rPr>
                <w:sz w:val="1"/>
                <w:szCs w:val="1"/>
                <w:color w:val="auto"/>
              </w:rPr>
            </w:pPr>
          </w:p>
        </w:tc>
        <w:tc>
          <w:tcPr>
            <w:tcW w:w="100" w:type="dxa"/>
            <w:vAlign w:val="bottom"/>
            <w:shd w:val="clear" w:color="auto" w:fill="CC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F0FC"/>
          </w:tcPr>
          <w:p>
            <w:pPr>
              <w:spacing w:after="0" w:line="20" w:lineRule="exact"/>
              <w:rPr>
                <w:sz w:val="1"/>
                <w:szCs w:val="1"/>
                <w:color w:val="auto"/>
              </w:rPr>
            </w:pPr>
          </w:p>
        </w:tc>
        <w:tc>
          <w:tcPr>
            <w:tcW w:w="100" w:type="dxa"/>
            <w:vAlign w:val="bottom"/>
            <w:shd w:val="clear" w:color="auto" w:fill="CC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F0FC"/>
          </w:tcPr>
          <w:p>
            <w:pPr>
              <w:spacing w:after="0" w:line="20" w:lineRule="exact"/>
              <w:rPr>
                <w:sz w:val="1"/>
                <w:szCs w:val="1"/>
                <w:color w:val="auto"/>
              </w:rPr>
            </w:pPr>
          </w:p>
        </w:tc>
        <w:tc>
          <w:tcPr>
            <w:tcW w:w="80" w:type="dxa"/>
            <w:vAlign w:val="bottom"/>
            <w:shd w:val="clear" w:color="auto" w:fill="CC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CC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tcBorders>
              <w:right w:val="single" w:sz="8" w:color="CCF0FC"/>
            </w:tcBorders>
            <w:vMerge w:val="continue"/>
            <w:shd w:val="clear" w:color="auto" w:fill="CCF0FC"/>
          </w:tcPr>
          <w:p>
            <w:pPr>
              <w:spacing w:after="0"/>
              <w:rPr>
                <w:sz w:val="13"/>
                <w:szCs w:val="13"/>
                <w:color w:val="auto"/>
              </w:rPr>
            </w:pPr>
          </w:p>
        </w:tc>
        <w:tc>
          <w:tcPr>
            <w:tcW w:w="820" w:type="dxa"/>
            <w:vAlign w:val="bottom"/>
            <w:gridSpan w:val="2"/>
            <w:shd w:val="clear" w:color="auto" w:fill="CCF0FC"/>
          </w:tcPr>
          <w:p>
            <w:pPr>
              <w:jc w:val="right"/>
              <w:ind w:right="20"/>
              <w:spacing w:after="0" w:line="155" w:lineRule="exact"/>
              <w:rPr>
                <w:sz w:val="20"/>
                <w:szCs w:val="20"/>
                <w:color w:val="auto"/>
              </w:rPr>
            </w:pPr>
            <w:r>
              <w:rPr>
                <w:rFonts w:ascii="Arial" w:cs="Arial" w:eastAsia="Arial" w:hAnsi="Arial"/>
                <w:sz w:val="14"/>
                <w:szCs w:val="14"/>
                <w:color w:val="auto"/>
              </w:rPr>
              <w:t>34,605,144</w:t>
            </w:r>
          </w:p>
        </w:tc>
        <w:tc>
          <w:tcPr>
            <w:tcW w:w="80" w:type="dxa"/>
            <w:vAlign w:val="bottom"/>
            <w:shd w:val="clear" w:color="auto" w:fill="CCF0FC"/>
          </w:tcPr>
          <w:p>
            <w:pPr>
              <w:spacing w:after="0"/>
              <w:rPr>
                <w:sz w:val="13"/>
                <w:szCs w:val="13"/>
                <w:color w:val="auto"/>
              </w:rPr>
            </w:pPr>
          </w:p>
        </w:tc>
        <w:tc>
          <w:tcPr>
            <w:tcW w:w="140" w:type="dxa"/>
            <w:vAlign w:val="bottom"/>
            <w:tcBorders>
              <w:right w:val="single" w:sz="8" w:color="CCF0FC"/>
            </w:tcBorders>
            <w:shd w:val="clear" w:color="auto" w:fill="CCF0FC"/>
          </w:tcPr>
          <w:p>
            <w:pPr>
              <w:spacing w:after="0"/>
              <w:rPr>
                <w:sz w:val="13"/>
                <w:szCs w:val="13"/>
                <w:color w:val="auto"/>
              </w:rPr>
            </w:pPr>
          </w:p>
        </w:tc>
        <w:tc>
          <w:tcPr>
            <w:tcW w:w="580" w:type="dxa"/>
            <w:vAlign w:val="bottom"/>
            <w:tcBorders>
              <w:right w:val="single" w:sz="8" w:color="CCF0FC"/>
            </w:tcBorders>
            <w:shd w:val="clear" w:color="auto" w:fill="CCF0FC"/>
          </w:tcPr>
          <w:p>
            <w:pPr>
              <w:jc w:val="right"/>
              <w:ind w:right="455"/>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F0FC"/>
          </w:tcPr>
          <w:p>
            <w:pPr>
              <w:jc w:val="right"/>
              <w:spacing w:after="0"/>
              <w:rPr>
                <w:sz w:val="20"/>
                <w:szCs w:val="20"/>
                <w:color w:val="auto"/>
              </w:rPr>
            </w:pPr>
            <w:r>
              <w:rPr>
                <w:rFonts w:ascii="Arial" w:cs="Arial" w:eastAsia="Arial" w:hAnsi="Arial"/>
                <w:sz w:val="12"/>
                <w:szCs w:val="12"/>
                <w:color w:val="auto"/>
                <w:w w:val="74"/>
              </w:rPr>
              <w:t>35</w:t>
            </w:r>
          </w:p>
        </w:tc>
        <w:tc>
          <w:tcPr>
            <w:tcW w:w="80" w:type="dxa"/>
            <w:vAlign w:val="bottom"/>
            <w:shd w:val="clear" w:color="auto" w:fill="CCF0FC"/>
          </w:tcPr>
          <w:p>
            <w:pPr>
              <w:spacing w:after="0"/>
              <w:rPr>
                <w:sz w:val="13"/>
                <w:szCs w:val="13"/>
                <w:color w:val="auto"/>
              </w:rPr>
            </w:pPr>
          </w:p>
        </w:tc>
        <w:tc>
          <w:tcPr>
            <w:tcW w:w="120" w:type="dxa"/>
            <w:vAlign w:val="bottom"/>
            <w:shd w:val="clear" w:color="auto" w:fill="CCF0FC"/>
          </w:tcPr>
          <w:p>
            <w:pPr>
              <w:spacing w:after="0"/>
              <w:rPr>
                <w:sz w:val="13"/>
                <w:szCs w:val="13"/>
                <w:color w:val="auto"/>
              </w:rPr>
            </w:pPr>
          </w:p>
        </w:tc>
        <w:tc>
          <w:tcPr>
            <w:tcW w:w="720" w:type="dxa"/>
            <w:vAlign w:val="bottom"/>
            <w:gridSpan w:val="2"/>
            <w:shd w:val="clear" w:color="auto" w:fill="CCF0FC"/>
          </w:tcPr>
          <w:p>
            <w:pPr>
              <w:jc w:val="right"/>
              <w:ind w:right="20"/>
              <w:spacing w:after="0" w:line="155" w:lineRule="exact"/>
              <w:rPr>
                <w:sz w:val="20"/>
                <w:szCs w:val="20"/>
                <w:color w:val="auto"/>
              </w:rPr>
            </w:pPr>
            <w:r>
              <w:rPr>
                <w:rFonts w:ascii="Arial" w:cs="Arial" w:eastAsia="Arial" w:hAnsi="Arial"/>
                <w:sz w:val="14"/>
                <w:szCs w:val="14"/>
                <w:color w:val="auto"/>
              </w:rPr>
              <w:t>683,584</w:t>
            </w:r>
          </w:p>
        </w:tc>
        <w:tc>
          <w:tcPr>
            <w:tcW w:w="100" w:type="dxa"/>
            <w:vAlign w:val="bottom"/>
            <w:shd w:val="clear" w:color="auto" w:fill="CCF0FC"/>
          </w:tcPr>
          <w:p>
            <w:pPr>
              <w:spacing w:after="0"/>
              <w:rPr>
                <w:sz w:val="13"/>
                <w:szCs w:val="13"/>
                <w:color w:val="auto"/>
              </w:rPr>
            </w:pPr>
          </w:p>
        </w:tc>
        <w:tc>
          <w:tcPr>
            <w:tcW w:w="120" w:type="dxa"/>
            <w:vAlign w:val="bottom"/>
            <w:shd w:val="clear" w:color="auto" w:fill="CCF0FC"/>
          </w:tcPr>
          <w:p>
            <w:pPr>
              <w:spacing w:after="0"/>
              <w:rPr>
                <w:sz w:val="13"/>
                <w:szCs w:val="13"/>
                <w:color w:val="auto"/>
              </w:rPr>
            </w:pPr>
          </w:p>
        </w:tc>
        <w:tc>
          <w:tcPr>
            <w:tcW w:w="100" w:type="dxa"/>
            <w:vAlign w:val="bottom"/>
            <w:shd w:val="clear" w:color="auto" w:fill="CCF0FC"/>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F0FC"/>
          </w:tcPr>
          <w:p>
            <w:pPr>
              <w:jc w:val="right"/>
              <w:ind w:right="60"/>
              <w:spacing w:after="0" w:line="155" w:lineRule="exact"/>
              <w:rPr>
                <w:sz w:val="20"/>
                <w:szCs w:val="20"/>
                <w:color w:val="auto"/>
              </w:rPr>
            </w:pPr>
            <w:r>
              <w:rPr>
                <w:rFonts w:ascii="Arial" w:cs="Arial" w:eastAsia="Arial" w:hAnsi="Arial"/>
                <w:sz w:val="14"/>
                <w:szCs w:val="14"/>
                <w:color w:val="auto"/>
              </w:rPr>
              <w:t>(19,682)</w:t>
            </w:r>
          </w:p>
        </w:tc>
        <w:tc>
          <w:tcPr>
            <w:tcW w:w="220" w:type="dxa"/>
            <w:vAlign w:val="bottom"/>
            <w:gridSpan w:val="2"/>
            <w:shd w:val="clear" w:color="auto" w:fill="CCF0FC"/>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F0FC"/>
          </w:tcPr>
          <w:p>
            <w:pPr>
              <w:jc w:val="right"/>
              <w:spacing w:after="0" w:line="155" w:lineRule="exact"/>
              <w:rPr>
                <w:sz w:val="20"/>
                <w:szCs w:val="20"/>
                <w:color w:val="auto"/>
              </w:rPr>
            </w:pPr>
            <w:r>
              <w:rPr>
                <w:rFonts w:ascii="Arial" w:cs="Arial" w:eastAsia="Arial" w:hAnsi="Arial"/>
                <w:sz w:val="14"/>
                <w:szCs w:val="14"/>
                <w:color w:val="auto"/>
              </w:rPr>
              <w:t>323,522</w:t>
            </w:r>
          </w:p>
        </w:tc>
        <w:tc>
          <w:tcPr>
            <w:tcW w:w="300" w:type="dxa"/>
            <w:vAlign w:val="bottom"/>
            <w:gridSpan w:val="3"/>
            <w:shd w:val="clear" w:color="auto" w:fill="CCF0FC"/>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shd w:val="clear" w:color="auto" w:fill="CCF0FC"/>
          </w:tcPr>
          <w:p>
            <w:pPr>
              <w:jc w:val="right"/>
              <w:spacing w:after="0" w:line="155" w:lineRule="exact"/>
              <w:rPr>
                <w:sz w:val="20"/>
                <w:szCs w:val="20"/>
                <w:color w:val="auto"/>
              </w:rPr>
            </w:pPr>
            <w:r>
              <w:rPr>
                <w:rFonts w:ascii="Arial" w:cs="Arial" w:eastAsia="Arial" w:hAnsi="Arial"/>
                <w:sz w:val="14"/>
                <w:szCs w:val="14"/>
                <w:color w:val="auto"/>
              </w:rPr>
              <w:t>8,120</w:t>
            </w:r>
          </w:p>
        </w:tc>
        <w:tc>
          <w:tcPr>
            <w:tcW w:w="120" w:type="dxa"/>
            <w:vAlign w:val="bottom"/>
            <w:shd w:val="clear" w:color="auto" w:fill="CCF0FC"/>
          </w:tcPr>
          <w:p>
            <w:pPr>
              <w:spacing w:after="0"/>
              <w:rPr>
                <w:sz w:val="13"/>
                <w:szCs w:val="13"/>
                <w:color w:val="auto"/>
              </w:rPr>
            </w:pPr>
          </w:p>
        </w:tc>
        <w:tc>
          <w:tcPr>
            <w:tcW w:w="260" w:type="dxa"/>
            <w:vAlign w:val="bottom"/>
            <w:gridSpan w:val="2"/>
            <w:shd w:val="clear" w:color="auto" w:fill="CCF0FC"/>
          </w:tcPr>
          <w:p>
            <w:pPr>
              <w:ind w:left="10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F0FC"/>
          </w:tcPr>
          <w:p>
            <w:pPr>
              <w:jc w:val="right"/>
              <w:ind w:right="100"/>
              <w:spacing w:after="0" w:line="155" w:lineRule="exact"/>
              <w:rPr>
                <w:sz w:val="20"/>
                <w:szCs w:val="20"/>
                <w:color w:val="auto"/>
              </w:rPr>
            </w:pPr>
            <w:r>
              <w:rPr>
                <w:rFonts w:ascii="Arial" w:cs="Arial" w:eastAsia="Arial" w:hAnsi="Arial"/>
                <w:sz w:val="14"/>
                <w:szCs w:val="14"/>
                <w:color w:val="auto"/>
              </w:rPr>
              <w:t>(1,424)</w:t>
            </w:r>
          </w:p>
        </w:tc>
        <w:tc>
          <w:tcPr>
            <w:tcW w:w="200" w:type="dxa"/>
            <w:vAlign w:val="bottom"/>
            <w:gridSpan w:val="2"/>
            <w:shd w:val="clear" w:color="auto" w:fill="CCF0FC"/>
          </w:tcPr>
          <w:p>
            <w:pPr>
              <w:ind w:lef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F0FC"/>
          </w:tcPr>
          <w:p>
            <w:pPr>
              <w:jc w:val="right"/>
              <w:spacing w:after="0" w:line="155" w:lineRule="exact"/>
              <w:rPr>
                <w:sz w:val="20"/>
                <w:szCs w:val="20"/>
                <w:color w:val="auto"/>
              </w:rPr>
            </w:pPr>
            <w:r>
              <w:rPr>
                <w:rFonts w:ascii="Arial" w:cs="Arial" w:eastAsia="Arial" w:hAnsi="Arial"/>
                <w:sz w:val="14"/>
                <w:szCs w:val="14"/>
                <w:color w:val="auto"/>
              </w:rPr>
              <w:t>310,571</w:t>
            </w:r>
          </w:p>
        </w:tc>
        <w:tc>
          <w:tcPr>
            <w:tcW w:w="60" w:type="dxa"/>
            <w:vAlign w:val="bottom"/>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tcBorders>
              <w:right w:val="single" w:sz="8" w:color="CCF0FC"/>
            </w:tcBorders>
            <w:shd w:val="clear" w:color="auto" w:fill="CCF0FC"/>
          </w:tcPr>
          <w:p>
            <w:pPr>
              <w:spacing w:after="0"/>
              <w:rPr>
                <w:sz w:val="20"/>
                <w:szCs w:val="20"/>
                <w:color w:val="auto"/>
              </w:rPr>
            </w:pPr>
            <w:r>
              <w:rPr>
                <w:rFonts w:ascii="Arial" w:cs="Arial" w:eastAsia="Arial" w:hAnsi="Arial"/>
                <w:sz w:val="14"/>
                <w:szCs w:val="14"/>
                <w:color w:val="auto"/>
              </w:rPr>
              <w:t>Balances, June 30, 2019</w:t>
            </w:r>
          </w:p>
        </w:tc>
        <w:tc>
          <w:tcPr>
            <w:tcW w:w="82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34,936,212</w:t>
            </w:r>
          </w:p>
        </w:tc>
        <w:tc>
          <w:tcPr>
            <w:tcW w:w="80" w:type="dxa"/>
            <w:vAlign w:val="bottom"/>
            <w:shd w:val="clear" w:color="auto" w:fill="CCF0FC"/>
          </w:tcPr>
          <w:p>
            <w:pPr>
              <w:spacing w:after="0"/>
              <w:rPr>
                <w:sz w:val="14"/>
                <w:szCs w:val="14"/>
                <w:color w:val="auto"/>
              </w:rPr>
            </w:pPr>
          </w:p>
        </w:tc>
        <w:tc>
          <w:tcPr>
            <w:tcW w:w="140" w:type="dxa"/>
            <w:vAlign w:val="bottom"/>
            <w:tcBorders>
              <w:right w:val="single" w:sz="8" w:color="CCF0FC"/>
            </w:tcBorders>
            <w:shd w:val="clear" w:color="auto" w:fill="CCF0FC"/>
          </w:tcPr>
          <w:p>
            <w:pPr>
              <w:spacing w:after="0"/>
              <w:rPr>
                <w:sz w:val="14"/>
                <w:szCs w:val="14"/>
                <w:color w:val="auto"/>
              </w:rPr>
            </w:pPr>
          </w:p>
        </w:tc>
        <w:tc>
          <w:tcPr>
            <w:tcW w:w="580" w:type="dxa"/>
            <w:vAlign w:val="bottom"/>
            <w:tcBorders>
              <w:right w:val="single" w:sz="8" w:color="CCF0FC"/>
            </w:tcBorders>
            <w:shd w:val="clear" w:color="auto" w:fill="CCF0FC"/>
          </w:tcPr>
          <w:p>
            <w:pPr>
              <w:jc w:val="right"/>
              <w:ind w:right="455"/>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F0FC"/>
          </w:tcPr>
          <w:p>
            <w:pPr>
              <w:jc w:val="right"/>
              <w:spacing w:after="0"/>
              <w:rPr>
                <w:sz w:val="20"/>
                <w:szCs w:val="20"/>
                <w:color w:val="auto"/>
              </w:rPr>
            </w:pPr>
            <w:r>
              <w:rPr>
                <w:rFonts w:ascii="Arial" w:cs="Arial" w:eastAsia="Arial" w:hAnsi="Arial"/>
                <w:sz w:val="12"/>
                <w:szCs w:val="12"/>
                <w:color w:val="auto"/>
                <w:w w:val="74"/>
              </w:rPr>
              <w:t>36</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2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1,007,478</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F0FC"/>
          </w:tcPr>
          <w:p>
            <w:pPr>
              <w:jc w:val="right"/>
              <w:ind w:right="60"/>
              <w:spacing w:after="0"/>
              <w:rPr>
                <w:sz w:val="20"/>
                <w:szCs w:val="20"/>
                <w:color w:val="auto"/>
              </w:rPr>
            </w:pPr>
            <w:r>
              <w:rPr>
                <w:rFonts w:ascii="Arial" w:cs="Arial" w:eastAsia="Arial" w:hAnsi="Arial"/>
                <w:sz w:val="14"/>
                <w:szCs w:val="14"/>
                <w:color w:val="auto"/>
              </w:rPr>
              <w:t>(34,645)</w:t>
            </w:r>
          </w:p>
        </w:tc>
        <w:tc>
          <w:tcPr>
            <w:tcW w:w="220" w:type="dxa"/>
            <w:vAlign w:val="bottom"/>
            <w:gridSpan w:val="2"/>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F0FC"/>
          </w:tcPr>
          <w:p>
            <w:pPr>
              <w:jc w:val="right"/>
              <w:spacing w:after="0"/>
              <w:rPr>
                <w:sz w:val="20"/>
                <w:szCs w:val="20"/>
                <w:color w:val="auto"/>
              </w:rPr>
            </w:pPr>
            <w:r>
              <w:rPr>
                <w:rFonts w:ascii="Arial" w:cs="Arial" w:eastAsia="Arial" w:hAnsi="Arial"/>
                <w:sz w:val="14"/>
                <w:szCs w:val="14"/>
                <w:color w:val="auto"/>
              </w:rPr>
              <w:t>344,232</w:t>
            </w:r>
          </w:p>
        </w:tc>
        <w:tc>
          <w:tcPr>
            <w:tcW w:w="300" w:type="dxa"/>
            <w:vAlign w:val="bottom"/>
            <w:gridSpan w:val="3"/>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F0FC"/>
          </w:tcPr>
          <w:p>
            <w:pPr>
              <w:jc w:val="right"/>
              <w:spacing w:after="0"/>
              <w:rPr>
                <w:sz w:val="20"/>
                <w:szCs w:val="20"/>
                <w:color w:val="auto"/>
              </w:rPr>
            </w:pPr>
            <w:r>
              <w:rPr>
                <w:rFonts w:ascii="Arial" w:cs="Arial" w:eastAsia="Arial" w:hAnsi="Arial"/>
                <w:sz w:val="14"/>
                <w:szCs w:val="14"/>
                <w:color w:val="auto"/>
              </w:rPr>
              <w:t>30,870</w:t>
            </w:r>
          </w:p>
        </w:tc>
        <w:tc>
          <w:tcPr>
            <w:tcW w:w="120" w:type="dxa"/>
            <w:vAlign w:val="bottom"/>
            <w:shd w:val="clear" w:color="auto" w:fill="CCF0FC"/>
          </w:tcPr>
          <w:p>
            <w:pPr>
              <w:spacing w:after="0"/>
              <w:rPr>
                <w:sz w:val="14"/>
                <w:szCs w:val="14"/>
                <w:color w:val="auto"/>
              </w:rPr>
            </w:pPr>
          </w:p>
        </w:tc>
        <w:tc>
          <w:tcPr>
            <w:tcW w:w="260" w:type="dxa"/>
            <w:vAlign w:val="bottom"/>
            <w:gridSpan w:val="2"/>
            <w:shd w:val="clear" w:color="auto" w:fill="CCF0FC"/>
          </w:tcPr>
          <w:p>
            <w:pPr>
              <w:ind w:lef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0FC"/>
          </w:tcPr>
          <w:p>
            <w:pPr>
              <w:jc w:val="right"/>
              <w:ind w:right="100"/>
              <w:spacing w:after="0"/>
              <w:rPr>
                <w:sz w:val="20"/>
                <w:szCs w:val="20"/>
                <w:color w:val="auto"/>
              </w:rPr>
            </w:pPr>
            <w:r>
              <w:rPr>
                <w:rFonts w:ascii="Arial" w:cs="Arial" w:eastAsia="Arial" w:hAnsi="Arial"/>
                <w:sz w:val="14"/>
                <w:szCs w:val="14"/>
                <w:color w:val="auto"/>
              </w:rPr>
              <w:t>(2,160)</w:t>
            </w:r>
          </w:p>
        </w:tc>
        <w:tc>
          <w:tcPr>
            <w:tcW w:w="200" w:type="dxa"/>
            <w:vAlign w:val="bottom"/>
            <w:gridSpan w:val="2"/>
            <w:shd w:val="clear" w:color="auto" w:fill="CCF0FC"/>
          </w:tcPr>
          <w:p>
            <w:pPr>
              <w:ind w:lef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F0FC"/>
          </w:tcPr>
          <w:p>
            <w:pPr>
              <w:jc w:val="right"/>
              <w:spacing w:after="0"/>
              <w:rPr>
                <w:sz w:val="20"/>
                <w:szCs w:val="20"/>
                <w:color w:val="auto"/>
              </w:rPr>
            </w:pPr>
            <w:r>
              <w:rPr>
                <w:rFonts w:ascii="Arial" w:cs="Arial" w:eastAsia="Arial" w:hAnsi="Arial"/>
                <w:sz w:val="14"/>
                <w:szCs w:val="14"/>
                <w:color w:val="auto"/>
              </w:rPr>
              <w:t>338,333</w:t>
            </w:r>
          </w:p>
        </w:tc>
        <w:tc>
          <w:tcPr>
            <w:tcW w:w="6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F0FC"/>
              <w:bottom w:val="single" w:sz="8" w:color="CCF0FC"/>
            </w:tcBorders>
            <w:vMerge w:val="restart"/>
          </w:tcPr>
          <w:p>
            <w:pPr>
              <w:ind w:left="140"/>
              <w:spacing w:after="0"/>
              <w:rPr>
                <w:sz w:val="20"/>
                <w:szCs w:val="20"/>
                <w:color w:val="auto"/>
              </w:rPr>
            </w:pPr>
            <w:r>
              <w:rPr>
                <w:rFonts w:ascii="Arial" w:cs="Arial" w:eastAsia="Arial" w:hAnsi="Arial"/>
                <w:sz w:val="14"/>
                <w:szCs w:val="14"/>
                <w:color w:val="auto"/>
              </w:rPr>
              <w:t>Stock-based compensation</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vMerge w:val="continue"/>
          </w:tcPr>
          <w:p>
            <w:pPr>
              <w:spacing w:after="0"/>
              <w:rPr>
                <w:sz w:val="12"/>
                <w:szCs w:val="12"/>
                <w:color w:val="auto"/>
              </w:rPr>
            </w:pPr>
          </w:p>
        </w:tc>
        <w:tc>
          <w:tcPr>
            <w:tcW w:w="900" w:type="dxa"/>
            <w:vAlign w:val="bottom"/>
            <w:gridSpan w:val="3"/>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gridSpan w:val="3"/>
          </w:tcPr>
          <w:p>
            <w:pPr>
              <w:jc w:val="right"/>
              <w:ind w:right="220"/>
              <w:spacing w:after="0" w:line="143" w:lineRule="exact"/>
              <w:rPr>
                <w:sz w:val="20"/>
                <w:szCs w:val="20"/>
                <w:color w:val="auto"/>
              </w:rPr>
            </w:pPr>
            <w:r>
              <w:rPr>
                <w:rFonts w:ascii="Arial" w:cs="Arial" w:eastAsia="Arial" w:hAnsi="Arial"/>
                <w:sz w:val="14"/>
                <w:szCs w:val="14"/>
                <w:color w:val="auto"/>
                <w:w w:val="71"/>
              </w:rPr>
              <w:t>—</w:t>
            </w:r>
          </w:p>
        </w:tc>
        <w:tc>
          <w:tcPr>
            <w:tcW w:w="7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2,804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2,804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tcBorders>
              <w:right w:val="single" w:sz="8" w:color="CCF0FC"/>
            </w:tcBorders>
            <w:shd w:val="clear" w:color="auto" w:fill="CCF0FC"/>
          </w:tcPr>
          <w:p>
            <w:pPr>
              <w:ind w:left="140"/>
              <w:spacing w:after="0"/>
              <w:rPr>
                <w:sz w:val="20"/>
                <w:szCs w:val="20"/>
                <w:color w:val="auto"/>
              </w:rPr>
            </w:pPr>
            <w:r>
              <w:rPr>
                <w:rFonts w:ascii="Arial" w:cs="Arial" w:eastAsia="Arial" w:hAnsi="Arial"/>
                <w:sz w:val="14"/>
                <w:szCs w:val="14"/>
                <w:color w:val="auto"/>
              </w:rPr>
              <w:t>Exercise of stock options and issuance of restricted stock</w:t>
            </w:r>
          </w:p>
        </w:tc>
        <w:tc>
          <w:tcPr>
            <w:tcW w:w="82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80,350</w:t>
            </w:r>
          </w:p>
        </w:tc>
        <w:tc>
          <w:tcPr>
            <w:tcW w:w="80" w:type="dxa"/>
            <w:vAlign w:val="bottom"/>
            <w:shd w:val="clear" w:color="auto" w:fill="CCF0FC"/>
          </w:tcPr>
          <w:p>
            <w:pPr>
              <w:spacing w:after="0"/>
              <w:rPr>
                <w:sz w:val="14"/>
                <w:szCs w:val="14"/>
                <w:color w:val="auto"/>
              </w:rPr>
            </w:pPr>
          </w:p>
        </w:tc>
        <w:tc>
          <w:tcPr>
            <w:tcW w:w="140" w:type="dxa"/>
            <w:vAlign w:val="bottom"/>
            <w:tcBorders>
              <w:right w:val="single" w:sz="8" w:color="CCF0FC"/>
            </w:tcBorders>
            <w:shd w:val="clear" w:color="auto" w:fill="CCF0FC"/>
          </w:tcPr>
          <w:p>
            <w:pPr>
              <w:spacing w:after="0"/>
              <w:rPr>
                <w:sz w:val="14"/>
                <w:szCs w:val="14"/>
                <w:color w:val="auto"/>
              </w:rPr>
            </w:pPr>
          </w:p>
        </w:tc>
        <w:tc>
          <w:tcPr>
            <w:tcW w:w="580" w:type="dxa"/>
            <w:vAlign w:val="bottom"/>
            <w:tcBorders>
              <w:right w:val="single" w:sz="8" w:color="CCF0FC"/>
            </w:tcBorders>
            <w:shd w:val="clear" w:color="auto" w:fill="CCF0FC"/>
          </w:tcPr>
          <w:p>
            <w:pPr>
              <w:spacing w:after="0"/>
              <w:rPr>
                <w:sz w:val="14"/>
                <w:szCs w:val="14"/>
                <w:color w:val="auto"/>
              </w:rPr>
            </w:pPr>
          </w:p>
        </w:tc>
        <w:tc>
          <w:tcPr>
            <w:tcW w:w="340" w:type="dxa"/>
            <w:vAlign w:val="bottom"/>
            <w:gridSpan w:val="3"/>
            <w:shd w:val="clear" w:color="auto" w:fill="CCF0FC"/>
          </w:tcPr>
          <w:p>
            <w:pPr>
              <w:jc w:val="right"/>
              <w:ind w:right="220"/>
              <w:spacing w:after="0"/>
              <w:rPr>
                <w:sz w:val="20"/>
                <w:szCs w:val="20"/>
                <w:color w:val="auto"/>
              </w:rPr>
            </w:pPr>
            <w:r>
              <w:rPr>
                <w:rFonts w:ascii="Arial" w:cs="Arial" w:eastAsia="Arial" w:hAnsi="Arial"/>
                <w:sz w:val="14"/>
                <w:szCs w:val="14"/>
                <w:color w:val="auto"/>
                <w:w w:val="71"/>
              </w:rPr>
              <w:t>—</w:t>
            </w:r>
          </w:p>
        </w:tc>
        <w:tc>
          <w:tcPr>
            <w:tcW w:w="72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20" w:type="dxa"/>
            <w:vAlign w:val="bottom"/>
            <w:gridSpan w:val="3"/>
            <w:shd w:val="clear" w:color="auto" w:fill="CC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gridSpan w:val="2"/>
            <w:shd w:val="clear" w:color="auto" w:fill="CCF0FC"/>
          </w:tcPr>
          <w:p>
            <w:pPr>
              <w:jc w:val="right"/>
              <w:spacing w:after="0"/>
              <w:rPr>
                <w:sz w:val="20"/>
                <w:szCs w:val="20"/>
                <w:color w:val="auto"/>
              </w:rPr>
            </w:pPr>
            <w:r>
              <w:rPr>
                <w:rFonts w:ascii="Arial" w:cs="Arial" w:eastAsia="Arial" w:hAnsi="Arial"/>
                <w:sz w:val="14"/>
                <w:szCs w:val="14"/>
                <w:color w:val="auto"/>
              </w:rPr>
              <w:t>1,902</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80" w:type="dxa"/>
            <w:vAlign w:val="bottom"/>
            <w:gridSpan w:val="2"/>
            <w:shd w:val="clear" w:color="auto" w:fill="CC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4"/>
                <w:szCs w:val="14"/>
                <w:color w:val="auto"/>
              </w:rPr>
              <w:t>1,902</w:t>
            </w:r>
          </w:p>
        </w:tc>
        <w:tc>
          <w:tcPr>
            <w:tcW w:w="6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rPr>
                <w:sz w:val="20"/>
                <w:szCs w:val="20"/>
                <w:color w:val="auto"/>
              </w:rPr>
            </w:pPr>
            <w:r>
              <w:rPr>
                <w:rFonts w:ascii="Arial" w:cs="Arial" w:eastAsia="Arial" w:hAnsi="Arial"/>
                <w:sz w:val="14"/>
                <w:szCs w:val="14"/>
                <w:color w:val="auto"/>
              </w:rPr>
              <w:t>Employee stock purchase plan</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2,178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4"/>
                <w:szCs w:val="14"/>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Borders>
              <w:right w:val="single" w:sz="8" w:color="CCF0FC"/>
            </w:tcBorders>
            <w:shd w:val="clear" w:color="auto" w:fill="CCF0FC"/>
          </w:tcPr>
          <w:p>
            <w:pPr>
              <w:ind w:left="140"/>
              <w:spacing w:after="0"/>
              <w:rPr>
                <w:sz w:val="20"/>
                <w:szCs w:val="20"/>
                <w:color w:val="auto"/>
              </w:rPr>
            </w:pPr>
            <w:r>
              <w:rPr>
                <w:rFonts w:ascii="Arial" w:cs="Arial" w:eastAsia="Arial" w:hAnsi="Arial"/>
                <w:sz w:val="14"/>
                <w:szCs w:val="14"/>
                <w:color w:val="auto"/>
              </w:rPr>
              <w:t>Repurchases of common stock</w:t>
            </w:r>
          </w:p>
        </w:tc>
        <w:tc>
          <w:tcPr>
            <w:tcW w:w="900" w:type="dxa"/>
            <w:vAlign w:val="bottom"/>
            <w:gridSpan w:val="3"/>
            <w:shd w:val="clear" w:color="auto" w:fill="CCF0FC"/>
          </w:tcPr>
          <w:p>
            <w:pPr>
              <w:jc w:val="right"/>
              <w:ind w:right="40"/>
              <w:spacing w:after="0"/>
              <w:rPr>
                <w:sz w:val="20"/>
                <w:szCs w:val="20"/>
                <w:color w:val="auto"/>
              </w:rPr>
            </w:pPr>
            <w:r>
              <w:rPr>
                <w:rFonts w:ascii="Arial" w:cs="Arial" w:eastAsia="Arial" w:hAnsi="Arial"/>
                <w:sz w:val="14"/>
                <w:szCs w:val="14"/>
                <w:color w:val="auto"/>
              </w:rPr>
              <w:t>(116,856)</w:t>
            </w:r>
          </w:p>
        </w:tc>
        <w:tc>
          <w:tcPr>
            <w:tcW w:w="140" w:type="dxa"/>
            <w:vAlign w:val="bottom"/>
            <w:tcBorders>
              <w:right w:val="single" w:sz="8" w:color="CCF0FC"/>
            </w:tcBorders>
            <w:shd w:val="clear" w:color="auto" w:fill="CCF0FC"/>
          </w:tcPr>
          <w:p>
            <w:pPr>
              <w:spacing w:after="0"/>
              <w:rPr>
                <w:sz w:val="14"/>
                <w:szCs w:val="14"/>
                <w:color w:val="auto"/>
              </w:rPr>
            </w:pPr>
          </w:p>
        </w:tc>
        <w:tc>
          <w:tcPr>
            <w:tcW w:w="580" w:type="dxa"/>
            <w:vAlign w:val="bottom"/>
            <w:tcBorders>
              <w:right w:val="single" w:sz="8" w:color="CCF0FC"/>
            </w:tcBorders>
            <w:shd w:val="clear" w:color="auto" w:fill="CCF0FC"/>
          </w:tcPr>
          <w:p>
            <w:pPr>
              <w:spacing w:after="0"/>
              <w:rPr>
                <w:sz w:val="14"/>
                <w:szCs w:val="14"/>
                <w:color w:val="auto"/>
              </w:rPr>
            </w:pPr>
          </w:p>
        </w:tc>
        <w:tc>
          <w:tcPr>
            <w:tcW w:w="340" w:type="dxa"/>
            <w:vAlign w:val="bottom"/>
            <w:gridSpan w:val="3"/>
            <w:shd w:val="clear" w:color="auto" w:fill="CCF0FC"/>
          </w:tcPr>
          <w:p>
            <w:pPr>
              <w:jc w:val="right"/>
              <w:ind w:right="220"/>
              <w:spacing w:after="0"/>
              <w:rPr>
                <w:sz w:val="20"/>
                <w:szCs w:val="20"/>
                <w:color w:val="auto"/>
              </w:rPr>
            </w:pPr>
            <w:r>
              <w:rPr>
                <w:rFonts w:ascii="Arial" w:cs="Arial" w:eastAsia="Arial" w:hAnsi="Arial"/>
                <w:sz w:val="14"/>
                <w:szCs w:val="14"/>
                <w:color w:val="auto"/>
                <w:w w:val="71"/>
              </w:rPr>
              <w:t>—</w:t>
            </w:r>
          </w:p>
        </w:tc>
        <w:tc>
          <w:tcPr>
            <w:tcW w:w="72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116,856</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20" w:type="dxa"/>
            <w:vAlign w:val="bottom"/>
            <w:gridSpan w:val="3"/>
            <w:shd w:val="clear" w:color="auto" w:fill="CCF0FC"/>
          </w:tcPr>
          <w:p>
            <w:pPr>
              <w:jc w:val="right"/>
              <w:ind w:right="60"/>
              <w:spacing w:after="0"/>
              <w:rPr>
                <w:sz w:val="20"/>
                <w:szCs w:val="20"/>
                <w:color w:val="auto"/>
              </w:rPr>
            </w:pPr>
            <w:r>
              <w:rPr>
                <w:rFonts w:ascii="Arial" w:cs="Arial" w:eastAsia="Arial" w:hAnsi="Arial"/>
                <w:sz w:val="14"/>
                <w:szCs w:val="14"/>
                <w:color w:val="auto"/>
              </w:rPr>
              <w:t>(6,000)</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gridSpan w:val="2"/>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80" w:type="dxa"/>
            <w:vAlign w:val="bottom"/>
            <w:gridSpan w:val="2"/>
            <w:shd w:val="clear" w:color="auto" w:fill="CC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4"/>
                <w:szCs w:val="14"/>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8,941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8,941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Borders>
              <w:right w:val="single" w:sz="8" w:color="CCF0FC"/>
            </w:tcBorders>
            <w:shd w:val="clear" w:color="auto" w:fill="CCF0FC"/>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3"/>
            <w:shd w:val="clear" w:color="auto" w:fill="CC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F0FC"/>
            </w:tcBorders>
            <w:shd w:val="clear" w:color="auto" w:fill="CCF0FC"/>
          </w:tcPr>
          <w:p>
            <w:pPr>
              <w:spacing w:after="0"/>
              <w:rPr>
                <w:sz w:val="14"/>
                <w:szCs w:val="14"/>
                <w:color w:val="auto"/>
              </w:rPr>
            </w:pPr>
          </w:p>
        </w:tc>
        <w:tc>
          <w:tcPr>
            <w:tcW w:w="580" w:type="dxa"/>
            <w:vAlign w:val="bottom"/>
            <w:tcBorders>
              <w:right w:val="single" w:sz="8" w:color="CCF0FC"/>
            </w:tcBorders>
            <w:shd w:val="clear" w:color="auto" w:fill="CCF0FC"/>
          </w:tcPr>
          <w:p>
            <w:pPr>
              <w:spacing w:after="0"/>
              <w:rPr>
                <w:sz w:val="14"/>
                <w:szCs w:val="14"/>
                <w:color w:val="auto"/>
              </w:rPr>
            </w:pPr>
          </w:p>
        </w:tc>
        <w:tc>
          <w:tcPr>
            <w:tcW w:w="340" w:type="dxa"/>
            <w:vAlign w:val="bottom"/>
            <w:gridSpan w:val="3"/>
            <w:shd w:val="clear" w:color="auto" w:fill="CCF0FC"/>
          </w:tcPr>
          <w:p>
            <w:pPr>
              <w:jc w:val="right"/>
              <w:ind w:right="220"/>
              <w:spacing w:after="0"/>
              <w:rPr>
                <w:sz w:val="20"/>
                <w:szCs w:val="20"/>
                <w:color w:val="auto"/>
              </w:rPr>
            </w:pPr>
            <w:r>
              <w:rPr>
                <w:rFonts w:ascii="Arial" w:cs="Arial" w:eastAsia="Arial" w:hAnsi="Arial"/>
                <w:sz w:val="14"/>
                <w:szCs w:val="14"/>
                <w:color w:val="auto"/>
                <w:w w:val="71"/>
              </w:rPr>
              <w:t>—</w:t>
            </w:r>
          </w:p>
        </w:tc>
        <w:tc>
          <w:tcPr>
            <w:tcW w:w="72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20" w:type="dxa"/>
            <w:vAlign w:val="bottom"/>
            <w:gridSpan w:val="3"/>
            <w:shd w:val="clear" w:color="auto" w:fill="CC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gridSpan w:val="2"/>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80" w:type="dxa"/>
            <w:vAlign w:val="bottom"/>
            <w:gridSpan w:val="2"/>
            <w:shd w:val="clear" w:color="auto" w:fill="CCF0FC"/>
          </w:tcPr>
          <w:p>
            <w:pPr>
              <w:jc w:val="right"/>
              <w:ind w:right="100"/>
              <w:spacing w:after="0"/>
              <w:rPr>
                <w:sz w:val="20"/>
                <w:szCs w:val="20"/>
                <w:color w:val="auto"/>
              </w:rPr>
            </w:pPr>
            <w:r>
              <w:rPr>
                <w:rFonts w:ascii="Arial" w:cs="Arial" w:eastAsia="Arial" w:hAnsi="Arial"/>
                <w:sz w:val="14"/>
                <w:szCs w:val="14"/>
                <w:color w:val="auto"/>
              </w:rPr>
              <w:t>(958)</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rPr>
                <w:sz w:val="20"/>
                <w:szCs w:val="20"/>
                <w:color w:val="auto"/>
              </w:rPr>
            </w:pPr>
            <w:r>
              <w:rPr>
                <w:rFonts w:ascii="Arial" w:cs="Arial" w:eastAsia="Arial" w:hAnsi="Arial"/>
                <w:sz w:val="14"/>
                <w:szCs w:val="14"/>
                <w:color w:val="auto"/>
              </w:rPr>
              <w:t>Unrealized gain on investments, net of tax</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4"/>
                <w:szCs w:val="14"/>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Borders>
              <w:right w:val="single" w:sz="8" w:color="CCF0FC"/>
            </w:tcBorders>
            <w:shd w:val="clear" w:color="auto" w:fill="CCF0FC"/>
          </w:tcPr>
          <w:p>
            <w:pPr>
              <w:ind w:left="140"/>
              <w:spacing w:after="0"/>
              <w:rPr>
                <w:sz w:val="20"/>
                <w:szCs w:val="20"/>
                <w:color w:val="auto"/>
              </w:rPr>
            </w:pPr>
            <w:r>
              <w:rPr>
                <w:rFonts w:ascii="Arial" w:cs="Arial" w:eastAsia="Arial" w:hAnsi="Arial"/>
                <w:sz w:val="14"/>
                <w:szCs w:val="14"/>
                <w:color w:val="auto"/>
                <w:w w:val="91"/>
              </w:rPr>
              <w:t>Reclassification of gain on investments into earnings, net of tax</w:t>
            </w:r>
          </w:p>
        </w:tc>
        <w:tc>
          <w:tcPr>
            <w:tcW w:w="82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0FC"/>
          </w:tcPr>
          <w:p>
            <w:pPr>
              <w:spacing w:after="0"/>
              <w:rPr>
                <w:sz w:val="14"/>
                <w:szCs w:val="14"/>
                <w:color w:val="auto"/>
              </w:rPr>
            </w:pPr>
          </w:p>
        </w:tc>
        <w:tc>
          <w:tcPr>
            <w:tcW w:w="140" w:type="dxa"/>
            <w:vAlign w:val="bottom"/>
            <w:tcBorders>
              <w:right w:val="single" w:sz="8" w:color="CCF0FC"/>
            </w:tcBorders>
            <w:shd w:val="clear" w:color="auto" w:fill="CCF0FC"/>
          </w:tcPr>
          <w:p>
            <w:pPr>
              <w:spacing w:after="0"/>
              <w:rPr>
                <w:sz w:val="14"/>
                <w:szCs w:val="14"/>
                <w:color w:val="auto"/>
              </w:rPr>
            </w:pPr>
          </w:p>
        </w:tc>
        <w:tc>
          <w:tcPr>
            <w:tcW w:w="580" w:type="dxa"/>
            <w:vAlign w:val="bottom"/>
            <w:tcBorders>
              <w:right w:val="single" w:sz="8" w:color="CCF0FC"/>
            </w:tcBorders>
            <w:shd w:val="clear" w:color="auto" w:fill="CCF0FC"/>
          </w:tcPr>
          <w:p>
            <w:pPr>
              <w:spacing w:after="0"/>
              <w:rPr>
                <w:sz w:val="14"/>
                <w:szCs w:val="14"/>
                <w:color w:val="auto"/>
              </w:rPr>
            </w:pPr>
          </w:p>
        </w:tc>
        <w:tc>
          <w:tcPr>
            <w:tcW w:w="140" w:type="dxa"/>
            <w:vAlign w:val="bottom"/>
            <w:shd w:val="clear" w:color="auto" w:fill="CCF0FC"/>
          </w:tcPr>
          <w:p>
            <w:pPr>
              <w:jc w:val="right"/>
              <w:spacing w:after="0"/>
              <w:rPr>
                <w:sz w:val="20"/>
                <w:szCs w:val="20"/>
                <w:color w:val="auto"/>
              </w:rPr>
            </w:pPr>
            <w:r>
              <w:rPr>
                <w:rFonts w:ascii="Arial" w:cs="Arial" w:eastAsia="Arial" w:hAnsi="Arial"/>
                <w:sz w:val="14"/>
                <w:szCs w:val="14"/>
                <w:color w:val="auto"/>
                <w:w w:val="71"/>
              </w:rPr>
              <w:t>—</w:t>
            </w:r>
          </w:p>
        </w:tc>
        <w:tc>
          <w:tcPr>
            <w:tcW w:w="200" w:type="dxa"/>
            <w:vAlign w:val="bottom"/>
            <w:gridSpan w:val="2"/>
            <w:shd w:val="clear" w:color="auto" w:fill="CCF0FC"/>
          </w:tcPr>
          <w:p>
            <w:pPr>
              <w:spacing w:after="0"/>
              <w:rPr>
                <w:sz w:val="14"/>
                <w:szCs w:val="14"/>
                <w:color w:val="auto"/>
              </w:rPr>
            </w:pPr>
          </w:p>
        </w:tc>
        <w:tc>
          <w:tcPr>
            <w:tcW w:w="72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2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gridSpan w:val="2"/>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40" w:type="dxa"/>
            <w:vAlign w:val="bottom"/>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80" w:type="dxa"/>
            <w:vAlign w:val="bottom"/>
            <w:gridSpan w:val="2"/>
            <w:shd w:val="clear" w:color="auto" w:fill="CCF0FC"/>
          </w:tcPr>
          <w:p>
            <w:pPr>
              <w:jc w:val="right"/>
              <w:ind w:right="100"/>
              <w:spacing w:after="0"/>
              <w:rPr>
                <w:sz w:val="20"/>
                <w:szCs w:val="20"/>
                <w:color w:val="auto"/>
              </w:rPr>
            </w:pPr>
            <w:r>
              <w:rPr>
                <w:rFonts w:ascii="Arial" w:cs="Arial" w:eastAsia="Arial" w:hAnsi="Arial"/>
                <w:sz w:val="14"/>
                <w:szCs w:val="14"/>
                <w:color w:val="auto"/>
              </w:rPr>
              <w:t>(145)</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4"/>
                <w:szCs w:val="14"/>
                <w:color w:val="auto"/>
              </w:rPr>
              <w:t>Balances, September 30, 2019</w:t>
            </w: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vMerge w:val="continue"/>
          </w:tcPr>
          <w:p>
            <w:pPr>
              <w:spacing w:after="0"/>
              <w:rPr>
                <w:sz w:val="13"/>
                <w:szCs w:val="13"/>
                <w:color w:val="auto"/>
              </w:rPr>
            </w:pPr>
          </w:p>
        </w:tc>
        <w:tc>
          <w:tcPr>
            <w:tcW w:w="8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34,901,884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455"/>
              <w:spacing w:after="0"/>
              <w:rPr>
                <w:sz w:val="20"/>
                <w:szCs w:val="20"/>
                <w:color w:val="auto"/>
              </w:rPr>
            </w:pPr>
            <w:r>
              <w:rPr>
                <w:rFonts w:ascii="Arial" w:cs="Arial" w:eastAsia="Arial" w:hAnsi="Arial"/>
                <w:sz w:val="10"/>
                <w:szCs w:val="10"/>
                <w:color w:val="auto"/>
                <w:w w:val="71"/>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74"/>
              </w:rPr>
              <w:t>36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1,124,334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(40,645)</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349,014</w:t>
            </w:r>
          </w:p>
        </w:tc>
        <w:tc>
          <w:tcPr>
            <w:tcW w:w="3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39,811</w:t>
            </w:r>
          </w:p>
        </w:tc>
        <w:tc>
          <w:tcPr>
            <w:tcW w:w="120" w:type="dxa"/>
            <w:vAlign w:val="bottom"/>
          </w:tcPr>
          <w:p>
            <w:pPr>
              <w:spacing w:after="0"/>
              <w:rPr>
                <w:sz w:val="13"/>
                <w:szCs w:val="13"/>
                <w:color w:val="auto"/>
              </w:rPr>
            </w:pPr>
          </w:p>
        </w:tc>
        <w:tc>
          <w:tcPr>
            <w:tcW w:w="26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(3,148)</w:t>
            </w:r>
          </w:p>
        </w:tc>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345,068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24"/>
                <w:szCs w:val="2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1620" w:type="dxa"/>
            <w:vAlign w:val="bottom"/>
            <w:tcBorders>
              <w:bottom w:val="single" w:sz="8" w:color="auto"/>
            </w:tcBorders>
            <w:gridSpan w:val="5"/>
          </w:tcPr>
          <w:p>
            <w:pPr>
              <w:jc w:val="right"/>
              <w:ind w:right="335"/>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right"/>
              <w:ind w:right="332"/>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Paid-in</w:t>
            </w:r>
          </w:p>
        </w:tc>
        <w:tc>
          <w:tcPr>
            <w:tcW w:w="1060" w:type="dxa"/>
            <w:vAlign w:val="bottom"/>
            <w:gridSpan w:val="5"/>
          </w:tcPr>
          <w:p>
            <w:pPr>
              <w:ind w:left="120"/>
              <w:spacing w:after="0"/>
              <w:rPr>
                <w:sz w:val="20"/>
                <w:szCs w:val="20"/>
                <w:color w:val="auto"/>
              </w:rPr>
            </w:pPr>
            <w:r>
              <w:rPr>
                <w:rFonts w:ascii="Arial" w:cs="Arial" w:eastAsia="Arial" w:hAnsi="Arial"/>
                <w:sz w:val="14"/>
                <w:szCs w:val="14"/>
                <w:b w:val="1"/>
                <w:bCs w:val="1"/>
                <w:color w:val="auto"/>
                <w:w w:val="99"/>
              </w:rPr>
              <w:t>(Accumulated</w:t>
            </w:r>
          </w:p>
        </w:tc>
        <w:tc>
          <w:tcPr>
            <w:tcW w:w="1140" w:type="dxa"/>
            <w:vAlign w:val="bottom"/>
            <w:gridSpan w:val="4"/>
          </w:tcPr>
          <w:p>
            <w:pPr>
              <w:ind w:left="100"/>
              <w:spacing w:after="0"/>
              <w:rPr>
                <w:sz w:val="20"/>
                <w:szCs w:val="20"/>
                <w:color w:val="auto"/>
              </w:rPr>
            </w:pPr>
            <w:r>
              <w:rPr>
                <w:rFonts w:ascii="Arial" w:cs="Arial" w:eastAsia="Arial" w:hAnsi="Arial"/>
                <w:sz w:val="14"/>
                <w:szCs w:val="14"/>
                <w:b w:val="1"/>
                <w:bCs w:val="1"/>
                <w:color w:val="auto"/>
                <w:w w:val="97"/>
              </w:rPr>
              <w:t>Comprehensive</w:t>
            </w: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740" w:type="dxa"/>
            <w:vAlign w:val="bottom"/>
            <w:tcBorders>
              <w:bottom w:val="single" w:sz="8" w:color="CCF0FC"/>
            </w:tcBorders>
          </w:tcPr>
          <w:p>
            <w:pPr>
              <w:spacing w:after="0"/>
              <w:rPr>
                <w:sz w:val="13"/>
                <w:szCs w:val="13"/>
                <w:color w:val="auto"/>
              </w:rPr>
            </w:pPr>
          </w:p>
        </w:tc>
        <w:tc>
          <w:tcPr>
            <w:tcW w:w="68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CF0FC"/>
            </w:tcBorders>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w w:val="79"/>
              </w:rPr>
              <w:t>Amount</w:t>
            </w:r>
          </w:p>
        </w:tc>
        <w:tc>
          <w:tcPr>
            <w:tcW w:w="14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Borders>
              <w:bottom w:val="single" w:sz="8" w:color="CCF0FC"/>
            </w:tcBorders>
          </w:tcPr>
          <w:p>
            <w:pPr>
              <w:spacing w:after="0"/>
              <w:rPr>
                <w:sz w:val="13"/>
                <w:szCs w:val="13"/>
                <w:color w:val="auto"/>
              </w:rPr>
            </w:pPr>
          </w:p>
        </w:tc>
        <w:tc>
          <w:tcPr>
            <w:tcW w:w="100" w:type="dxa"/>
            <w:vAlign w:val="bottom"/>
            <w:tcBorders>
              <w:bottom w:val="single" w:sz="8" w:color="CC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F0FC"/>
            </w:tcBorders>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92"/>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F0FC"/>
            </w:tcBorders>
          </w:tcPr>
          <w:p>
            <w:pPr>
              <w:spacing w:after="0"/>
              <w:rPr>
                <w:sz w:val="13"/>
                <w:szCs w:val="13"/>
                <w:color w:val="auto"/>
              </w:rPr>
            </w:pPr>
          </w:p>
        </w:tc>
        <w:tc>
          <w:tcPr>
            <w:tcW w:w="12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F0FC"/>
            </w:tcBorders>
          </w:tcPr>
          <w:p>
            <w:pPr>
              <w:spacing w:after="0"/>
              <w:rPr>
                <w:sz w:val="13"/>
                <w:szCs w:val="13"/>
                <w:color w:val="auto"/>
              </w:rPr>
            </w:pPr>
          </w:p>
        </w:tc>
        <w:tc>
          <w:tcPr>
            <w:tcW w:w="100" w:type="dxa"/>
            <w:vAlign w:val="bottom"/>
            <w:tcBorders>
              <w:bottom w:val="single" w:sz="8" w:color="CCF0FC"/>
            </w:tcBorders>
          </w:tcPr>
          <w:p>
            <w:pPr>
              <w:spacing w:after="0"/>
              <w:rPr>
                <w:sz w:val="13"/>
                <w:szCs w:val="13"/>
                <w:color w:val="auto"/>
              </w:rPr>
            </w:pPr>
          </w:p>
        </w:tc>
        <w:tc>
          <w:tcPr>
            <w:tcW w:w="90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84"/>
              </w:rPr>
              <w:t>Income (Loss)</w:t>
            </w:r>
          </w:p>
        </w:tc>
        <w:tc>
          <w:tcPr>
            <w:tcW w:w="14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Borders>
              <w:bottom w:val="single" w:sz="8" w:color="CC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tcBorders>
              <w:right w:val="single" w:sz="8" w:color="CCF0FC"/>
            </w:tcBorders>
            <w:shd w:val="clear" w:color="auto" w:fill="CCF0FC"/>
          </w:tcPr>
          <w:p>
            <w:pPr>
              <w:spacing w:after="0" w:line="155" w:lineRule="exact"/>
              <w:rPr>
                <w:sz w:val="20"/>
                <w:szCs w:val="20"/>
                <w:color w:val="auto"/>
              </w:rPr>
            </w:pPr>
            <w:r>
              <w:rPr>
                <w:rFonts w:ascii="Arial" w:cs="Arial" w:eastAsia="Arial" w:hAnsi="Arial"/>
                <w:sz w:val="14"/>
                <w:szCs w:val="14"/>
                <w:color w:val="auto"/>
              </w:rPr>
              <w:t>Balances, December 31, 2017</w:t>
            </w:r>
          </w:p>
        </w:tc>
        <w:tc>
          <w:tcPr>
            <w:tcW w:w="680" w:type="dxa"/>
            <w:vAlign w:val="bottom"/>
            <w:shd w:val="clear" w:color="auto" w:fill="CCF0FC"/>
          </w:tcPr>
          <w:p>
            <w:pPr>
              <w:jc w:val="right"/>
              <w:spacing w:after="0" w:line="155" w:lineRule="exact"/>
              <w:rPr>
                <w:sz w:val="20"/>
                <w:szCs w:val="20"/>
                <w:color w:val="auto"/>
              </w:rPr>
            </w:pPr>
            <w:r>
              <w:rPr>
                <w:rFonts w:ascii="Arial" w:cs="Arial" w:eastAsia="Arial" w:hAnsi="Arial"/>
                <w:sz w:val="14"/>
                <w:szCs w:val="14"/>
                <w:color w:val="auto"/>
                <w:w w:val="94"/>
              </w:rPr>
              <w:t>34,254,012</w:t>
            </w:r>
          </w:p>
        </w:tc>
        <w:tc>
          <w:tcPr>
            <w:tcW w:w="14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140" w:type="dxa"/>
            <w:vAlign w:val="bottom"/>
            <w:tcBorders>
              <w:right w:val="single" w:sz="8" w:color="CCF0FC"/>
            </w:tcBorders>
            <w:shd w:val="clear" w:color="auto" w:fill="CCF0FC"/>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F0FC"/>
            </w:tcBorders>
            <w:shd w:val="clear" w:color="auto" w:fill="CCF0FC"/>
          </w:tcPr>
          <w:p>
            <w:pPr>
              <w:jc w:val="right"/>
              <w:spacing w:after="0" w:line="155" w:lineRule="exact"/>
              <w:rPr>
                <w:sz w:val="20"/>
                <w:szCs w:val="20"/>
                <w:color w:val="auto"/>
              </w:rPr>
            </w:pPr>
            <w:r>
              <w:rPr>
                <w:rFonts w:ascii="Arial" w:cs="Arial" w:eastAsia="Arial" w:hAnsi="Arial"/>
                <w:sz w:val="14"/>
                <w:szCs w:val="14"/>
                <w:color w:val="auto"/>
              </w:rPr>
              <w:t>34</w:t>
            </w:r>
          </w:p>
        </w:tc>
        <w:tc>
          <w:tcPr>
            <w:tcW w:w="14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120" w:type="dxa"/>
            <w:vAlign w:val="bottom"/>
            <w:shd w:val="clear" w:color="auto" w:fill="CCF0FC"/>
          </w:tcPr>
          <w:p>
            <w:pPr>
              <w:spacing w:after="0"/>
              <w:rPr>
                <w:sz w:val="13"/>
                <w:szCs w:val="13"/>
                <w:color w:val="auto"/>
              </w:rPr>
            </w:pPr>
          </w:p>
        </w:tc>
        <w:tc>
          <w:tcPr>
            <w:tcW w:w="600" w:type="dxa"/>
            <w:vAlign w:val="bottom"/>
            <w:shd w:val="clear" w:color="auto" w:fill="CCF0FC"/>
          </w:tcPr>
          <w:p>
            <w:pPr>
              <w:jc w:val="right"/>
              <w:spacing w:after="0" w:line="155" w:lineRule="exact"/>
              <w:rPr>
                <w:sz w:val="20"/>
                <w:szCs w:val="20"/>
                <w:color w:val="auto"/>
              </w:rPr>
            </w:pPr>
            <w:r>
              <w:rPr>
                <w:rFonts w:ascii="Arial" w:cs="Arial" w:eastAsia="Arial" w:hAnsi="Arial"/>
                <w:sz w:val="14"/>
                <w:szCs w:val="14"/>
                <w:color w:val="auto"/>
              </w:rPr>
              <w:t>244,294</w:t>
            </w:r>
          </w:p>
        </w:tc>
        <w:tc>
          <w:tcPr>
            <w:tcW w:w="120" w:type="dxa"/>
            <w:vAlign w:val="bottom"/>
            <w:shd w:val="clear" w:color="auto" w:fill="CCF0FC"/>
          </w:tcPr>
          <w:p>
            <w:pPr>
              <w:spacing w:after="0"/>
              <w:rPr>
                <w:sz w:val="13"/>
                <w:szCs w:val="13"/>
                <w:color w:val="auto"/>
              </w:rPr>
            </w:pPr>
          </w:p>
        </w:tc>
        <w:tc>
          <w:tcPr>
            <w:tcW w:w="220" w:type="dxa"/>
            <w:vAlign w:val="bottom"/>
            <w:gridSpan w:val="2"/>
            <w:shd w:val="clear" w:color="auto" w:fill="CCF0FC"/>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3"/>
                <w:szCs w:val="13"/>
                <w:color w:val="auto"/>
              </w:rPr>
            </w:pPr>
          </w:p>
        </w:tc>
        <w:tc>
          <w:tcPr>
            <w:tcW w:w="620" w:type="dxa"/>
            <w:vAlign w:val="bottom"/>
            <w:gridSpan w:val="2"/>
            <w:shd w:val="clear" w:color="auto" w:fill="CCF0FC"/>
          </w:tcPr>
          <w:p>
            <w:pPr>
              <w:jc w:val="right"/>
              <w:ind w:right="60"/>
              <w:spacing w:after="0" w:line="155" w:lineRule="exact"/>
              <w:rPr>
                <w:sz w:val="20"/>
                <w:szCs w:val="20"/>
                <w:color w:val="auto"/>
              </w:rPr>
            </w:pPr>
            <w:r>
              <w:rPr>
                <w:rFonts w:ascii="Arial" w:cs="Arial" w:eastAsia="Arial" w:hAnsi="Arial"/>
                <w:sz w:val="14"/>
                <w:szCs w:val="14"/>
                <w:color w:val="auto"/>
              </w:rPr>
              <w:t>(5,815)</w:t>
            </w:r>
          </w:p>
        </w:tc>
        <w:tc>
          <w:tcPr>
            <w:tcW w:w="100" w:type="dxa"/>
            <w:vAlign w:val="bottom"/>
            <w:shd w:val="clear" w:color="auto" w:fill="CCF0FC"/>
          </w:tcPr>
          <w:p>
            <w:pPr>
              <w:spacing w:after="0"/>
              <w:rPr>
                <w:sz w:val="13"/>
                <w:szCs w:val="13"/>
                <w:color w:val="auto"/>
              </w:rPr>
            </w:pPr>
          </w:p>
        </w:tc>
        <w:tc>
          <w:tcPr>
            <w:tcW w:w="120" w:type="dxa"/>
            <w:vAlign w:val="bottom"/>
            <w:shd w:val="clear" w:color="auto" w:fill="CC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F0FC"/>
          </w:tcPr>
          <w:p>
            <w:pPr>
              <w:spacing w:after="0"/>
              <w:rPr>
                <w:sz w:val="13"/>
                <w:szCs w:val="13"/>
                <w:color w:val="auto"/>
              </w:rPr>
            </w:pPr>
          </w:p>
        </w:tc>
        <w:tc>
          <w:tcPr>
            <w:tcW w:w="520" w:type="dxa"/>
            <w:vAlign w:val="bottom"/>
            <w:shd w:val="clear" w:color="auto" w:fill="CCF0FC"/>
          </w:tcPr>
          <w:p>
            <w:pPr>
              <w:jc w:val="right"/>
              <w:spacing w:after="0" w:line="155" w:lineRule="exact"/>
              <w:rPr>
                <w:sz w:val="20"/>
                <w:szCs w:val="20"/>
                <w:color w:val="auto"/>
              </w:rPr>
            </w:pPr>
            <w:r>
              <w:rPr>
                <w:rFonts w:ascii="Arial" w:cs="Arial" w:eastAsia="Arial" w:hAnsi="Arial"/>
                <w:sz w:val="14"/>
                <w:szCs w:val="14"/>
                <w:color w:val="auto"/>
                <w:w w:val="94"/>
              </w:rPr>
              <w:t>301,846</w:t>
            </w:r>
          </w:p>
        </w:tc>
        <w:tc>
          <w:tcPr>
            <w:tcW w:w="80" w:type="dxa"/>
            <w:vAlign w:val="bottom"/>
            <w:shd w:val="clear" w:color="auto" w:fill="CCF0FC"/>
          </w:tcPr>
          <w:p>
            <w:pPr>
              <w:spacing w:after="0"/>
              <w:rPr>
                <w:sz w:val="13"/>
                <w:szCs w:val="13"/>
                <w:color w:val="auto"/>
              </w:rPr>
            </w:pPr>
          </w:p>
        </w:tc>
        <w:tc>
          <w:tcPr>
            <w:tcW w:w="220" w:type="dxa"/>
            <w:vAlign w:val="bottom"/>
            <w:gridSpan w:val="2"/>
            <w:shd w:val="clear" w:color="auto" w:fill="CCF0FC"/>
          </w:tcPr>
          <w:p>
            <w:pPr>
              <w:ind w:left="120"/>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CF0FC"/>
          </w:tcPr>
          <w:p>
            <w:pPr>
              <w:spacing w:after="0"/>
              <w:rPr>
                <w:sz w:val="13"/>
                <w:szCs w:val="13"/>
                <w:color w:val="auto"/>
              </w:rPr>
            </w:pPr>
          </w:p>
        </w:tc>
        <w:tc>
          <w:tcPr>
            <w:tcW w:w="760" w:type="dxa"/>
            <w:vAlign w:val="bottom"/>
            <w:gridSpan w:val="2"/>
            <w:shd w:val="clear" w:color="auto" w:fill="CCF0FC"/>
          </w:tcPr>
          <w:p>
            <w:pPr>
              <w:jc w:val="right"/>
              <w:ind w:right="80"/>
              <w:spacing w:after="0" w:line="155" w:lineRule="exact"/>
              <w:rPr>
                <w:sz w:val="20"/>
                <w:szCs w:val="20"/>
                <w:color w:val="auto"/>
              </w:rPr>
            </w:pPr>
            <w:r>
              <w:rPr>
                <w:rFonts w:ascii="Arial" w:cs="Arial" w:eastAsia="Arial" w:hAnsi="Arial"/>
                <w:sz w:val="14"/>
                <w:szCs w:val="14"/>
                <w:color w:val="auto"/>
              </w:rPr>
              <w:t>(8,611)</w:t>
            </w:r>
          </w:p>
        </w:tc>
        <w:tc>
          <w:tcPr>
            <w:tcW w:w="260" w:type="dxa"/>
            <w:vAlign w:val="bottom"/>
            <w:gridSpan w:val="2"/>
            <w:shd w:val="clear" w:color="auto" w:fill="CCF0FC"/>
          </w:tcPr>
          <w:p>
            <w:pPr>
              <w:ind w:left="100"/>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CF0FC"/>
          </w:tcPr>
          <w:p>
            <w:pPr>
              <w:jc w:val="right"/>
              <w:spacing w:after="0" w:line="155" w:lineRule="exact"/>
              <w:rPr>
                <w:sz w:val="20"/>
                <w:szCs w:val="20"/>
                <w:color w:val="auto"/>
              </w:rPr>
            </w:pPr>
            <w:r>
              <w:rPr>
                <w:rFonts w:ascii="Arial" w:cs="Arial" w:eastAsia="Arial" w:hAnsi="Arial"/>
                <w:sz w:val="14"/>
                <w:szCs w:val="14"/>
                <w:color w:val="auto"/>
              </w:rPr>
              <w:t>657</w:t>
            </w:r>
          </w:p>
        </w:tc>
        <w:tc>
          <w:tcPr>
            <w:tcW w:w="140" w:type="dxa"/>
            <w:vAlign w:val="bottom"/>
            <w:shd w:val="clear" w:color="auto" w:fill="CCF0FC"/>
          </w:tcPr>
          <w:p>
            <w:pPr>
              <w:spacing w:after="0"/>
              <w:rPr>
                <w:sz w:val="13"/>
                <w:szCs w:val="13"/>
                <w:color w:val="auto"/>
              </w:rPr>
            </w:pPr>
          </w:p>
        </w:tc>
        <w:tc>
          <w:tcPr>
            <w:tcW w:w="200" w:type="dxa"/>
            <w:vAlign w:val="bottom"/>
            <w:gridSpan w:val="2"/>
            <w:shd w:val="clear" w:color="auto" w:fill="CCF0FC"/>
          </w:tcPr>
          <w:p>
            <w:pPr>
              <w:ind w:lef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F0FC"/>
          </w:tcPr>
          <w:p>
            <w:pPr>
              <w:jc w:val="right"/>
              <w:spacing w:after="0" w:line="155" w:lineRule="exact"/>
              <w:rPr>
                <w:sz w:val="20"/>
                <w:szCs w:val="20"/>
                <w:color w:val="auto"/>
              </w:rPr>
            </w:pPr>
            <w:r>
              <w:rPr>
                <w:rFonts w:ascii="Arial" w:cs="Arial" w:eastAsia="Arial" w:hAnsi="Arial"/>
                <w:sz w:val="14"/>
                <w:szCs w:val="14"/>
                <w:color w:val="auto"/>
              </w:rPr>
              <w:t>288,111</w:t>
            </w:r>
          </w:p>
        </w:tc>
        <w:tc>
          <w:tcPr>
            <w:tcW w:w="60" w:type="dxa"/>
            <w:vAlign w:val="bottom"/>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tcPr>
          <w:p>
            <w:pPr>
              <w:ind w:left="140"/>
              <w:spacing w:after="0" w:line="143"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3"/>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4"/>
                <w:szCs w:val="14"/>
                <w:color w:val="auto"/>
              </w:rPr>
              <w:t>9,040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9,040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tcBorders>
              <w:right w:val="single" w:sz="8" w:color="CCF0FC"/>
            </w:tcBorders>
            <w:shd w:val="clear" w:color="auto" w:fill="CCF0FC"/>
          </w:tcPr>
          <w:p>
            <w:pPr>
              <w:ind w:left="140"/>
              <w:spacing w:after="0"/>
              <w:rPr>
                <w:sz w:val="20"/>
                <w:szCs w:val="20"/>
                <w:color w:val="auto"/>
              </w:rPr>
            </w:pPr>
            <w:r>
              <w:rPr>
                <w:rFonts w:ascii="Arial" w:cs="Arial" w:eastAsia="Arial" w:hAnsi="Arial"/>
                <w:sz w:val="14"/>
                <w:szCs w:val="14"/>
                <w:color w:val="auto"/>
              </w:rPr>
              <w:t>Exercise of stock options and issuance of restricted stock</w:t>
            </w:r>
          </w:p>
        </w:tc>
        <w:tc>
          <w:tcPr>
            <w:tcW w:w="680" w:type="dxa"/>
            <w:vAlign w:val="bottom"/>
            <w:shd w:val="clear" w:color="auto" w:fill="CCF0FC"/>
          </w:tcPr>
          <w:p>
            <w:pPr>
              <w:jc w:val="right"/>
              <w:spacing w:after="0"/>
              <w:rPr>
                <w:sz w:val="20"/>
                <w:szCs w:val="20"/>
                <w:color w:val="auto"/>
              </w:rPr>
            </w:pPr>
            <w:r>
              <w:rPr>
                <w:rFonts w:ascii="Arial" w:cs="Arial" w:eastAsia="Arial" w:hAnsi="Arial"/>
                <w:sz w:val="14"/>
                <w:szCs w:val="14"/>
                <w:color w:val="auto"/>
              </w:rPr>
              <w:t>749,936</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40" w:type="dxa"/>
            <w:vAlign w:val="bottom"/>
            <w:tcBorders>
              <w:right w:val="single" w:sz="8" w:color="CCF0FC"/>
            </w:tcBorders>
            <w:shd w:val="clear" w:color="auto" w:fill="CCF0FC"/>
          </w:tcPr>
          <w:p>
            <w:pPr>
              <w:spacing w:after="0"/>
              <w:rPr>
                <w:sz w:val="14"/>
                <w:szCs w:val="14"/>
                <w:color w:val="auto"/>
              </w:rPr>
            </w:pPr>
          </w:p>
        </w:tc>
        <w:tc>
          <w:tcPr>
            <w:tcW w:w="580" w:type="dxa"/>
            <w:vAlign w:val="bottom"/>
            <w:tcBorders>
              <w:right w:val="single" w:sz="8" w:color="CCF0FC"/>
            </w:tcBorders>
            <w:shd w:val="clear" w:color="auto" w:fill="CCF0FC"/>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20" w:type="dxa"/>
            <w:vAlign w:val="bottom"/>
            <w:gridSpan w:val="2"/>
            <w:shd w:val="clear" w:color="auto" w:fill="CC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20" w:type="dxa"/>
            <w:vAlign w:val="bottom"/>
            <w:gridSpan w:val="3"/>
            <w:shd w:val="clear" w:color="auto" w:fill="CC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520" w:type="dxa"/>
            <w:vAlign w:val="bottom"/>
            <w:shd w:val="clear" w:color="auto" w:fill="CCF0FC"/>
          </w:tcPr>
          <w:p>
            <w:pPr>
              <w:jc w:val="right"/>
              <w:spacing w:after="0"/>
              <w:rPr>
                <w:sz w:val="20"/>
                <w:szCs w:val="20"/>
                <w:color w:val="auto"/>
              </w:rPr>
            </w:pPr>
            <w:r>
              <w:rPr>
                <w:rFonts w:ascii="Arial" w:cs="Arial" w:eastAsia="Arial" w:hAnsi="Arial"/>
                <w:sz w:val="14"/>
                <w:szCs w:val="14"/>
                <w:color w:val="auto"/>
              </w:rPr>
              <w:t>11,800</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80" w:type="dxa"/>
            <w:vAlign w:val="bottom"/>
            <w:gridSpan w:val="2"/>
            <w:shd w:val="clear" w:color="auto" w:fill="CC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4"/>
                <w:szCs w:val="14"/>
                <w:color w:val="auto"/>
              </w:rPr>
              <w:t>11,801</w:t>
            </w:r>
          </w:p>
        </w:tc>
        <w:tc>
          <w:tcPr>
            <w:tcW w:w="6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rPr>
                <w:sz w:val="20"/>
                <w:szCs w:val="20"/>
                <w:color w:val="auto"/>
              </w:rPr>
            </w:pPr>
            <w:r>
              <w:rPr>
                <w:rFonts w:ascii="Arial" w:cs="Arial" w:eastAsia="Arial" w:hAnsi="Arial"/>
                <w:sz w:val="14"/>
                <w:szCs w:val="14"/>
                <w:color w:val="auto"/>
              </w:rPr>
              <w:t>Employee stock purchase plan</w:t>
            </w:r>
          </w:p>
        </w:tc>
        <w:tc>
          <w:tcPr>
            <w:tcW w:w="680" w:type="dxa"/>
            <w:vAlign w:val="bottom"/>
          </w:tcPr>
          <w:p>
            <w:pPr>
              <w:jc w:val="right"/>
              <w:spacing w:after="0"/>
              <w:rPr>
                <w:sz w:val="20"/>
                <w:szCs w:val="20"/>
                <w:color w:val="auto"/>
              </w:rPr>
            </w:pPr>
            <w:r>
              <w:rPr>
                <w:rFonts w:ascii="Arial" w:cs="Arial" w:eastAsia="Arial" w:hAnsi="Arial"/>
                <w:sz w:val="14"/>
                <w:szCs w:val="14"/>
                <w:color w:val="auto"/>
              </w:rPr>
              <w:t>40,486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Borders>
              <w:right w:val="single" w:sz="8" w:color="CCF0FC"/>
            </w:tcBorders>
            <w:shd w:val="clear" w:color="auto" w:fill="CCF0FC"/>
          </w:tcPr>
          <w:p>
            <w:pPr>
              <w:ind w:left="140"/>
              <w:spacing w:after="0"/>
              <w:rPr>
                <w:sz w:val="20"/>
                <w:szCs w:val="20"/>
                <w:color w:val="auto"/>
              </w:rPr>
            </w:pPr>
            <w:r>
              <w:rPr>
                <w:rFonts w:ascii="Arial" w:cs="Arial" w:eastAsia="Arial" w:hAnsi="Arial"/>
                <w:sz w:val="14"/>
                <w:szCs w:val="14"/>
                <w:color w:val="auto"/>
              </w:rPr>
              <w:t>Repurchases of common stock</w:t>
            </w:r>
          </w:p>
        </w:tc>
        <w:tc>
          <w:tcPr>
            <w:tcW w:w="820" w:type="dxa"/>
            <w:vAlign w:val="bottom"/>
            <w:gridSpan w:val="2"/>
            <w:shd w:val="clear" w:color="auto" w:fill="CCF0FC"/>
          </w:tcPr>
          <w:p>
            <w:pPr>
              <w:jc w:val="right"/>
              <w:ind w:right="100"/>
              <w:spacing w:after="0"/>
              <w:rPr>
                <w:sz w:val="20"/>
                <w:szCs w:val="20"/>
                <w:color w:val="auto"/>
              </w:rPr>
            </w:pPr>
            <w:r>
              <w:rPr>
                <w:rFonts w:ascii="Arial" w:cs="Arial" w:eastAsia="Arial" w:hAnsi="Arial"/>
                <w:sz w:val="14"/>
                <w:szCs w:val="14"/>
                <w:color w:val="auto"/>
              </w:rPr>
              <w:t>(439,290)</w:t>
            </w:r>
          </w:p>
        </w:tc>
        <w:tc>
          <w:tcPr>
            <w:tcW w:w="80" w:type="dxa"/>
            <w:vAlign w:val="bottom"/>
            <w:shd w:val="clear" w:color="auto" w:fill="CCF0FC"/>
          </w:tcPr>
          <w:p>
            <w:pPr>
              <w:spacing w:after="0"/>
              <w:rPr>
                <w:sz w:val="14"/>
                <w:szCs w:val="14"/>
                <w:color w:val="auto"/>
              </w:rPr>
            </w:pPr>
          </w:p>
        </w:tc>
        <w:tc>
          <w:tcPr>
            <w:tcW w:w="140" w:type="dxa"/>
            <w:vAlign w:val="bottom"/>
            <w:tcBorders>
              <w:right w:val="single" w:sz="8" w:color="CCF0FC"/>
            </w:tcBorders>
            <w:shd w:val="clear" w:color="auto" w:fill="CCF0FC"/>
          </w:tcPr>
          <w:p>
            <w:pPr>
              <w:spacing w:after="0"/>
              <w:rPr>
                <w:sz w:val="14"/>
                <w:szCs w:val="14"/>
                <w:color w:val="auto"/>
              </w:rPr>
            </w:pPr>
          </w:p>
        </w:tc>
        <w:tc>
          <w:tcPr>
            <w:tcW w:w="580" w:type="dxa"/>
            <w:vAlign w:val="bottom"/>
            <w:tcBorders>
              <w:right w:val="single" w:sz="8" w:color="CCF0FC"/>
            </w:tcBorders>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4"/>
                <w:szCs w:val="14"/>
                <w:color w:val="auto"/>
              </w:rPr>
              <w:t>439,290</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20" w:type="dxa"/>
            <w:vAlign w:val="bottom"/>
            <w:gridSpan w:val="2"/>
            <w:shd w:val="clear" w:color="auto" w:fill="CCF0FC"/>
          </w:tcPr>
          <w:p>
            <w:pPr>
              <w:jc w:val="right"/>
              <w:ind w:right="60"/>
              <w:spacing w:after="0"/>
              <w:rPr>
                <w:sz w:val="20"/>
                <w:szCs w:val="20"/>
                <w:color w:val="auto"/>
              </w:rPr>
            </w:pPr>
            <w:r>
              <w:rPr>
                <w:rFonts w:ascii="Arial" w:cs="Arial" w:eastAsia="Arial" w:hAnsi="Arial"/>
                <w:sz w:val="14"/>
                <w:szCs w:val="14"/>
                <w:color w:val="auto"/>
              </w:rPr>
              <w:t>(13,867)</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gridSpan w:val="2"/>
            <w:shd w:val="clear" w:color="auto" w:fill="CCF0F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80" w:type="dxa"/>
            <w:vAlign w:val="bottom"/>
            <w:gridSpan w:val="2"/>
            <w:shd w:val="clear" w:color="auto" w:fill="CC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(13,867)</w:t>
            </w: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16,731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16,731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Borders>
              <w:right w:val="single" w:sz="8" w:color="CCF0FC"/>
            </w:tcBorders>
            <w:shd w:val="clear" w:color="auto" w:fill="CCF0FC"/>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3"/>
            <w:shd w:val="clear" w:color="auto" w:fill="CC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F0FC"/>
            </w:tcBorders>
            <w:shd w:val="clear" w:color="auto" w:fill="CCF0FC"/>
          </w:tcPr>
          <w:p>
            <w:pPr>
              <w:spacing w:after="0"/>
              <w:rPr>
                <w:sz w:val="14"/>
                <w:szCs w:val="14"/>
                <w:color w:val="auto"/>
              </w:rPr>
            </w:pPr>
          </w:p>
        </w:tc>
        <w:tc>
          <w:tcPr>
            <w:tcW w:w="580" w:type="dxa"/>
            <w:vAlign w:val="bottom"/>
            <w:tcBorders>
              <w:right w:val="single" w:sz="8" w:color="CCF0FC"/>
            </w:tcBorders>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20" w:type="dxa"/>
            <w:vAlign w:val="bottom"/>
            <w:gridSpan w:val="2"/>
            <w:shd w:val="clear" w:color="auto" w:fill="CC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20" w:type="dxa"/>
            <w:vAlign w:val="bottom"/>
            <w:gridSpan w:val="3"/>
            <w:shd w:val="clear" w:color="auto" w:fill="CC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gridSpan w:val="2"/>
            <w:shd w:val="clear" w:color="auto" w:fill="CCF0F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80" w:type="dxa"/>
            <w:vAlign w:val="bottom"/>
            <w:gridSpan w:val="2"/>
            <w:shd w:val="clear" w:color="auto" w:fill="CCF0FC"/>
          </w:tcPr>
          <w:p>
            <w:pPr>
              <w:jc w:val="right"/>
              <w:ind w:right="100"/>
              <w:spacing w:after="0"/>
              <w:rPr>
                <w:sz w:val="20"/>
                <w:szCs w:val="20"/>
                <w:color w:val="auto"/>
              </w:rPr>
            </w:pPr>
            <w:r>
              <w:rPr>
                <w:rFonts w:ascii="Arial" w:cs="Arial" w:eastAsia="Arial" w:hAnsi="Arial"/>
                <w:sz w:val="14"/>
                <w:szCs w:val="14"/>
                <w:color w:val="auto"/>
              </w:rPr>
              <w:t>(2,155)</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(2,155)</w:t>
            </w: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rPr>
                <w:sz w:val="20"/>
                <w:szCs w:val="20"/>
                <w:color w:val="auto"/>
              </w:rPr>
            </w:pPr>
            <w:r>
              <w:rPr>
                <w:rFonts w:ascii="Arial" w:cs="Arial" w:eastAsia="Arial" w:hAnsi="Arial"/>
                <w:sz w:val="14"/>
                <w:szCs w:val="14"/>
                <w:color w:val="auto"/>
              </w:rPr>
              <w:t>Unrealized gain on investments, net of tax</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Borders>
              <w:right w:val="single" w:sz="8" w:color="CCF0FC"/>
            </w:tcBorders>
            <w:shd w:val="clear" w:color="auto" w:fill="CCF0FC"/>
          </w:tcPr>
          <w:p>
            <w:pPr>
              <w:ind w:left="140"/>
              <w:spacing w:after="0"/>
              <w:rPr>
                <w:sz w:val="20"/>
                <w:szCs w:val="20"/>
                <w:color w:val="auto"/>
              </w:rPr>
            </w:pPr>
            <w:r>
              <w:rPr>
                <w:rFonts w:ascii="Arial" w:cs="Arial" w:eastAsia="Arial" w:hAnsi="Arial"/>
                <w:sz w:val="14"/>
                <w:szCs w:val="14"/>
                <w:color w:val="auto"/>
                <w:w w:val="91"/>
              </w:rPr>
              <w:t>Reclassification of gain on investments into earnings, net of tax</w:t>
            </w:r>
          </w:p>
        </w:tc>
        <w:tc>
          <w:tcPr>
            <w:tcW w:w="680" w:type="dxa"/>
            <w:vAlign w:val="bottom"/>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F0FC"/>
          </w:tcPr>
          <w:p>
            <w:pPr>
              <w:spacing w:after="0"/>
              <w:rPr>
                <w:sz w:val="14"/>
                <w:szCs w:val="14"/>
                <w:color w:val="auto"/>
              </w:rPr>
            </w:pPr>
          </w:p>
        </w:tc>
        <w:tc>
          <w:tcPr>
            <w:tcW w:w="140" w:type="dxa"/>
            <w:vAlign w:val="bottom"/>
            <w:tcBorders>
              <w:right w:val="single" w:sz="8" w:color="CCF0FC"/>
            </w:tcBorders>
            <w:shd w:val="clear" w:color="auto" w:fill="CCF0FC"/>
          </w:tcPr>
          <w:p>
            <w:pPr>
              <w:spacing w:after="0"/>
              <w:rPr>
                <w:sz w:val="14"/>
                <w:szCs w:val="14"/>
                <w:color w:val="auto"/>
              </w:rPr>
            </w:pPr>
          </w:p>
        </w:tc>
        <w:tc>
          <w:tcPr>
            <w:tcW w:w="580" w:type="dxa"/>
            <w:vAlign w:val="bottom"/>
            <w:tcBorders>
              <w:right w:val="single" w:sz="8" w:color="CCF0FC"/>
            </w:tcBorders>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500" w:type="dxa"/>
            <w:vAlign w:val="bottom"/>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520" w:type="dxa"/>
            <w:vAlign w:val="bottom"/>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40" w:type="dxa"/>
            <w:vAlign w:val="bottom"/>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80" w:type="dxa"/>
            <w:vAlign w:val="bottom"/>
            <w:gridSpan w:val="2"/>
            <w:shd w:val="clear" w:color="auto" w:fill="CCF0FC"/>
          </w:tcPr>
          <w:p>
            <w:pPr>
              <w:jc w:val="right"/>
              <w:ind w:right="100"/>
              <w:spacing w:after="0"/>
              <w:rPr>
                <w:sz w:val="20"/>
                <w:szCs w:val="20"/>
                <w:color w:val="auto"/>
              </w:rPr>
            </w:pPr>
            <w:r>
              <w:rPr>
                <w:rFonts w:ascii="Arial" w:cs="Arial" w:eastAsia="Arial" w:hAnsi="Arial"/>
                <w:sz w:val="14"/>
                <w:szCs w:val="14"/>
                <w:color w:val="auto"/>
              </w:rPr>
              <w:t>(190)</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0"/>
        </w:trPr>
        <w:tc>
          <w:tcPr>
            <w:tcW w:w="37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line="155" w:lineRule="exact"/>
              <w:rPr>
                <w:sz w:val="20"/>
                <w:szCs w:val="20"/>
                <w:color w:val="auto"/>
              </w:rPr>
            </w:pPr>
            <w:r>
              <w:rPr>
                <w:rFonts w:ascii="Arial" w:cs="Arial" w:eastAsia="Arial" w:hAnsi="Arial"/>
                <w:sz w:val="14"/>
                <w:szCs w:val="14"/>
                <w:color w:val="auto"/>
              </w:rPr>
              <w:t>Balances, September 30, 2018</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34,605,144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683,584</w:t>
            </w:r>
          </w:p>
        </w:tc>
        <w:tc>
          <w:tcPr>
            <w:tcW w:w="120" w:type="dxa"/>
            <w:vAlign w:val="bottom"/>
          </w:tcPr>
          <w:p>
            <w:pPr>
              <w:spacing w:after="0"/>
              <w:rPr>
                <w:sz w:val="17"/>
                <w:szCs w:val="17"/>
                <w:color w:val="auto"/>
              </w:rPr>
            </w:pPr>
          </w:p>
        </w:tc>
        <w:tc>
          <w:tcPr>
            <w:tcW w:w="2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(19,682)</w:t>
            </w:r>
          </w:p>
        </w:tc>
        <w:tc>
          <w:tcPr>
            <w:tcW w:w="100" w:type="dxa"/>
            <w:vAlign w:val="bottom"/>
          </w:tcPr>
          <w:p>
            <w:pPr>
              <w:spacing w:after="0"/>
              <w:rPr>
                <w:sz w:val="17"/>
                <w:szCs w:val="17"/>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7"/>
                <w:szCs w:val="17"/>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4"/>
              </w:rPr>
              <w:t>323,522</w:t>
            </w:r>
          </w:p>
        </w:tc>
        <w:tc>
          <w:tcPr>
            <w:tcW w:w="80" w:type="dxa"/>
            <w:vAlign w:val="bottom"/>
          </w:tcPr>
          <w:p>
            <w:pPr>
              <w:spacing w:after="0"/>
              <w:rPr>
                <w:sz w:val="17"/>
                <w:szCs w:val="17"/>
                <w:color w:val="auto"/>
              </w:rPr>
            </w:pPr>
          </w:p>
        </w:tc>
        <w:tc>
          <w:tcPr>
            <w:tcW w:w="22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8,120</w:t>
            </w:r>
          </w:p>
        </w:tc>
        <w:tc>
          <w:tcPr>
            <w:tcW w:w="120" w:type="dxa"/>
            <w:vAlign w:val="bottom"/>
          </w:tcPr>
          <w:p>
            <w:pPr>
              <w:spacing w:after="0"/>
              <w:rPr>
                <w:sz w:val="17"/>
                <w:szCs w:val="17"/>
                <w:color w:val="auto"/>
              </w:rPr>
            </w:pPr>
          </w:p>
        </w:tc>
        <w:tc>
          <w:tcPr>
            <w:tcW w:w="26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(1,424)</w:t>
            </w:r>
          </w:p>
        </w:tc>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310,571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740" w:type="dxa"/>
            <w:vAlign w:val="bottom"/>
            <w:tcBorders>
              <w:top w:val="single" w:sz="8" w:color="CCF0FC"/>
              <w:right w:val="single" w:sz="8" w:color="CCF0FC"/>
            </w:tcBorders>
            <w:shd w:val="clear" w:color="auto" w:fill="CCF0FC"/>
          </w:tcPr>
          <w:p>
            <w:pPr>
              <w:spacing w:after="0"/>
              <w:rPr>
                <w:sz w:val="12"/>
                <w:szCs w:val="12"/>
                <w:color w:val="auto"/>
              </w:rPr>
            </w:pPr>
          </w:p>
        </w:tc>
        <w:tc>
          <w:tcPr>
            <w:tcW w:w="680" w:type="dxa"/>
            <w:vAlign w:val="bottom"/>
            <w:tcBorders>
              <w:top w:val="single" w:sz="8" w:color="auto"/>
            </w:tcBorders>
            <w:shd w:val="clear" w:color="auto" w:fill="CCF0FC"/>
          </w:tcPr>
          <w:p>
            <w:pPr>
              <w:spacing w:after="0"/>
              <w:rPr>
                <w:sz w:val="12"/>
                <w:szCs w:val="12"/>
                <w:color w:val="auto"/>
              </w:rPr>
            </w:pP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140" w:type="dxa"/>
            <w:vAlign w:val="bottom"/>
            <w:tcBorders>
              <w:top w:val="single" w:sz="8" w:color="auto"/>
              <w:right w:val="single" w:sz="8" w:color="CCF0FC"/>
            </w:tcBorders>
            <w:shd w:val="clear" w:color="auto" w:fill="CCF0FC"/>
          </w:tcPr>
          <w:p>
            <w:pPr>
              <w:spacing w:after="0"/>
              <w:rPr>
                <w:sz w:val="12"/>
                <w:szCs w:val="12"/>
                <w:color w:val="auto"/>
              </w:rPr>
            </w:pPr>
          </w:p>
        </w:tc>
        <w:tc>
          <w:tcPr>
            <w:tcW w:w="580" w:type="dxa"/>
            <w:vAlign w:val="bottom"/>
            <w:tcBorders>
              <w:top w:val="single" w:sz="8" w:color="auto"/>
              <w:right w:val="single" w:sz="8" w:color="CCF0FC"/>
            </w:tcBorders>
            <w:shd w:val="clear" w:color="auto" w:fill="CCF0FC"/>
          </w:tcPr>
          <w:p>
            <w:pPr>
              <w:spacing w:after="0"/>
              <w:rPr>
                <w:sz w:val="12"/>
                <w:szCs w:val="12"/>
                <w:color w:val="auto"/>
              </w:rPr>
            </w:pP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spacing w:after="0"/>
              <w:rPr>
                <w:sz w:val="12"/>
                <w:szCs w:val="12"/>
                <w:color w:val="auto"/>
              </w:rPr>
            </w:pPr>
          </w:p>
        </w:tc>
        <w:tc>
          <w:tcPr>
            <w:tcW w:w="12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auto"/>
            </w:tcBorders>
            <w:shd w:val="clear" w:color="auto" w:fill="CCF0FC"/>
          </w:tcPr>
          <w:p>
            <w:pPr>
              <w:spacing w:after="0"/>
              <w:rPr>
                <w:sz w:val="12"/>
                <w:szCs w:val="12"/>
                <w:color w:val="auto"/>
              </w:rPr>
            </w:pPr>
          </w:p>
        </w:tc>
        <w:tc>
          <w:tcPr>
            <w:tcW w:w="100" w:type="dxa"/>
            <w:vAlign w:val="bottom"/>
            <w:tcBorders>
              <w:top w:val="single" w:sz="8" w:color="auto"/>
            </w:tcBorders>
            <w:shd w:val="clear" w:color="auto" w:fill="CCF0FC"/>
          </w:tcPr>
          <w:p>
            <w:pPr>
              <w:spacing w:after="0"/>
              <w:rPr>
                <w:sz w:val="12"/>
                <w:szCs w:val="12"/>
                <w:color w:val="auto"/>
              </w:rPr>
            </w:pPr>
          </w:p>
        </w:tc>
        <w:tc>
          <w:tcPr>
            <w:tcW w:w="500" w:type="dxa"/>
            <w:vAlign w:val="bottom"/>
            <w:tcBorders>
              <w:top w:val="single" w:sz="8" w:color="auto"/>
            </w:tcBorders>
            <w:shd w:val="clear" w:color="auto" w:fill="CCF0FC"/>
          </w:tcPr>
          <w:p>
            <w:pPr>
              <w:spacing w:after="0"/>
              <w:rPr>
                <w:sz w:val="12"/>
                <w:szCs w:val="12"/>
                <w:color w:val="auto"/>
              </w:rPr>
            </w:pPr>
          </w:p>
        </w:tc>
        <w:tc>
          <w:tcPr>
            <w:tcW w:w="12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auto"/>
            </w:tcBorders>
            <w:shd w:val="clear" w:color="auto" w:fill="CCF0FC"/>
          </w:tcPr>
          <w:p>
            <w:pPr>
              <w:spacing w:after="0"/>
              <w:rPr>
                <w:sz w:val="12"/>
                <w:szCs w:val="12"/>
                <w:color w:val="auto"/>
              </w:rPr>
            </w:pPr>
          </w:p>
        </w:tc>
        <w:tc>
          <w:tcPr>
            <w:tcW w:w="100" w:type="dxa"/>
            <w:vAlign w:val="bottom"/>
            <w:tcBorders>
              <w:top w:val="single" w:sz="8" w:color="auto"/>
            </w:tcBorders>
            <w:shd w:val="clear" w:color="auto" w:fill="CCF0FC"/>
          </w:tcPr>
          <w:p>
            <w:pPr>
              <w:spacing w:after="0"/>
              <w:rPr>
                <w:sz w:val="12"/>
                <w:szCs w:val="12"/>
                <w:color w:val="auto"/>
              </w:rPr>
            </w:pPr>
          </w:p>
        </w:tc>
        <w:tc>
          <w:tcPr>
            <w:tcW w:w="520" w:type="dxa"/>
            <w:vAlign w:val="bottom"/>
            <w:tcBorders>
              <w:top w:val="single" w:sz="8" w:color="auto"/>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auto"/>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40" w:type="dxa"/>
            <w:vAlign w:val="bottom"/>
            <w:tcBorders>
              <w:top w:val="single" w:sz="8" w:color="auto"/>
            </w:tcBorders>
            <w:shd w:val="clear" w:color="auto" w:fill="CCF0FC"/>
          </w:tcPr>
          <w:p>
            <w:pPr>
              <w:spacing w:after="0"/>
              <w:rPr>
                <w:sz w:val="12"/>
                <w:szCs w:val="12"/>
                <w:color w:val="auto"/>
              </w:rPr>
            </w:pPr>
          </w:p>
        </w:tc>
        <w:tc>
          <w:tcPr>
            <w:tcW w:w="12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160" w:type="dxa"/>
            <w:vAlign w:val="bottom"/>
            <w:tcBorders>
              <w:top w:val="single" w:sz="8" w:color="auto"/>
            </w:tcBorders>
            <w:shd w:val="clear" w:color="auto" w:fill="CCF0FC"/>
          </w:tcPr>
          <w:p>
            <w:pPr>
              <w:spacing w:after="0"/>
              <w:rPr>
                <w:sz w:val="12"/>
                <w:szCs w:val="12"/>
                <w:color w:val="auto"/>
              </w:rPr>
            </w:pPr>
          </w:p>
        </w:tc>
        <w:tc>
          <w:tcPr>
            <w:tcW w:w="740" w:type="dxa"/>
            <w:vAlign w:val="bottom"/>
            <w:tcBorders>
              <w:top w:val="single" w:sz="8" w:color="auto"/>
            </w:tcBorders>
            <w:shd w:val="clear" w:color="auto" w:fill="CCF0FC"/>
          </w:tcPr>
          <w:p>
            <w:pPr>
              <w:spacing w:after="0"/>
              <w:rPr>
                <w:sz w:val="12"/>
                <w:szCs w:val="12"/>
                <w:color w:val="auto"/>
              </w:rPr>
            </w:pP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auto"/>
            </w:tcBorders>
            <w:shd w:val="clear" w:color="auto" w:fill="CCF0FC"/>
          </w:tcPr>
          <w:p>
            <w:pPr>
              <w:spacing w:after="0"/>
              <w:rPr>
                <w:sz w:val="12"/>
                <w:szCs w:val="12"/>
                <w:color w:val="auto"/>
              </w:rPr>
            </w:pPr>
          </w:p>
        </w:tc>
        <w:tc>
          <w:tcPr>
            <w:tcW w:w="680" w:type="dxa"/>
            <w:vAlign w:val="bottom"/>
            <w:tcBorders>
              <w:top w:val="single" w:sz="8" w:color="auto"/>
            </w:tcBorders>
            <w:shd w:val="clear" w:color="auto" w:fill="CCF0FC"/>
          </w:tcPr>
          <w:p>
            <w:pPr>
              <w:spacing w:after="0"/>
              <w:rPr>
                <w:sz w:val="12"/>
                <w:szCs w:val="12"/>
                <w:color w:val="auto"/>
              </w:rPr>
            </w:pPr>
          </w:p>
        </w:tc>
        <w:tc>
          <w:tcPr>
            <w:tcW w:w="60" w:type="dxa"/>
            <w:vAlign w:val="bottom"/>
            <w:tcBorders>
              <w:top w:val="single" w:sz="8" w:color="CCF0FC"/>
            </w:tcBorders>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740" w:type="dxa"/>
            <w:vAlign w:val="bottom"/>
          </w:tcPr>
          <w:p>
            <w:pPr>
              <w:spacing w:after="0"/>
              <w:rPr>
                <w:sz w:val="20"/>
                <w:szCs w:val="20"/>
                <w:color w:val="auto"/>
              </w:rPr>
            </w:pPr>
            <w:r>
              <w:rPr>
                <w:rFonts w:ascii="Arial" w:cs="Arial" w:eastAsia="Arial" w:hAnsi="Arial"/>
                <w:sz w:val="14"/>
                <w:szCs w:val="14"/>
                <w:color w:val="auto"/>
              </w:rPr>
              <w:t>Balances, December 31, 2018</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34,691,472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823,784</w:t>
            </w:r>
          </w:p>
        </w:tc>
        <w:tc>
          <w:tcPr>
            <w:tcW w:w="1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(25,679)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332,574</w:t>
            </w:r>
          </w:p>
        </w:tc>
        <w:tc>
          <w:tcPr>
            <w:tcW w:w="80" w:type="dxa"/>
            <w:vAlign w:val="bottom"/>
          </w:tcPr>
          <w:p>
            <w:pPr>
              <w:spacing w:after="0"/>
              <w:rPr>
                <w:sz w:val="17"/>
                <w:szCs w:val="17"/>
                <w:color w:val="auto"/>
              </w:rPr>
            </w:pP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15,261</w:t>
            </w:r>
          </w:p>
        </w:tc>
        <w:tc>
          <w:tcPr>
            <w:tcW w:w="120" w:type="dxa"/>
            <w:vAlign w:val="bottom"/>
          </w:tcPr>
          <w:p>
            <w:pPr>
              <w:spacing w:after="0"/>
              <w:rPr>
                <w:sz w:val="17"/>
                <w:szCs w:val="17"/>
                <w:color w:val="auto"/>
              </w:rPr>
            </w:pP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(3,218)</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318,974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740" w:type="dxa"/>
            <w:vAlign w:val="bottom"/>
            <w:tcBorders>
              <w:top w:val="single" w:sz="8" w:color="CCF0FC"/>
              <w:right w:val="single" w:sz="8" w:color="CCF0FC"/>
            </w:tcBorders>
            <w:shd w:val="clear" w:color="auto" w:fill="CCF0FC"/>
          </w:tcPr>
          <w:p>
            <w:pPr>
              <w:ind w:left="140"/>
              <w:spacing w:after="0" w:line="143" w:lineRule="exact"/>
              <w:rPr>
                <w:sz w:val="20"/>
                <w:szCs w:val="20"/>
                <w:color w:val="auto"/>
              </w:rPr>
            </w:pPr>
            <w:r>
              <w:rPr>
                <w:rFonts w:ascii="Arial" w:cs="Arial" w:eastAsia="Arial" w:hAnsi="Arial"/>
                <w:sz w:val="14"/>
                <w:szCs w:val="14"/>
                <w:color w:val="auto"/>
              </w:rPr>
              <w:t>Stock-based compensation</w:t>
            </w:r>
          </w:p>
        </w:tc>
        <w:tc>
          <w:tcPr>
            <w:tcW w:w="68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F0FC"/>
            </w:tcBorders>
            <w:gridSpan w:val="2"/>
            <w:shd w:val="clear" w:color="auto" w:fill="CCF0FC"/>
          </w:tcPr>
          <w:p>
            <w:pPr>
              <w:spacing w:after="0"/>
              <w:rPr>
                <w:sz w:val="12"/>
                <w:szCs w:val="12"/>
                <w:color w:val="auto"/>
              </w:rPr>
            </w:pPr>
          </w:p>
        </w:tc>
        <w:tc>
          <w:tcPr>
            <w:tcW w:w="140" w:type="dxa"/>
            <w:vAlign w:val="bottom"/>
            <w:tcBorders>
              <w:top w:val="single" w:sz="8" w:color="auto"/>
              <w:right w:val="single" w:sz="8" w:color="CCF0FC"/>
            </w:tcBorders>
            <w:shd w:val="clear" w:color="auto" w:fill="CCF0FC"/>
          </w:tcPr>
          <w:p>
            <w:pPr>
              <w:spacing w:after="0"/>
              <w:rPr>
                <w:sz w:val="12"/>
                <w:szCs w:val="12"/>
                <w:color w:val="auto"/>
              </w:rPr>
            </w:pPr>
          </w:p>
        </w:tc>
        <w:tc>
          <w:tcPr>
            <w:tcW w:w="580" w:type="dxa"/>
            <w:vAlign w:val="bottom"/>
            <w:tcBorders>
              <w:top w:val="single" w:sz="8" w:color="auto"/>
              <w:right w:val="single" w:sz="8" w:color="CCF0FC"/>
            </w:tcBorders>
            <w:shd w:val="clear" w:color="auto" w:fill="CCF0FC"/>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auto"/>
            </w:tcBorders>
            <w:shd w:val="clear" w:color="auto" w:fill="CCF0FC"/>
          </w:tcPr>
          <w:p>
            <w:pPr>
              <w:spacing w:after="0"/>
              <w:rPr>
                <w:sz w:val="12"/>
                <w:szCs w:val="12"/>
                <w:color w:val="auto"/>
              </w:rPr>
            </w:pPr>
          </w:p>
        </w:tc>
        <w:tc>
          <w:tcPr>
            <w:tcW w:w="100" w:type="dxa"/>
            <w:vAlign w:val="bottom"/>
            <w:tcBorders>
              <w:top w:val="single" w:sz="8" w:color="auto"/>
            </w:tcBorders>
            <w:shd w:val="clear" w:color="auto" w:fill="CCF0FC"/>
          </w:tcPr>
          <w:p>
            <w:pPr>
              <w:spacing w:after="0"/>
              <w:rPr>
                <w:sz w:val="12"/>
                <w:szCs w:val="12"/>
                <w:color w:val="auto"/>
              </w:rPr>
            </w:pPr>
          </w:p>
        </w:tc>
        <w:tc>
          <w:tcPr>
            <w:tcW w:w="50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F0FC"/>
            </w:tcBorders>
            <w:gridSpan w:val="2"/>
            <w:shd w:val="clear" w:color="auto" w:fill="CCF0FC"/>
          </w:tcPr>
          <w:p>
            <w:pPr>
              <w:spacing w:after="0"/>
              <w:rPr>
                <w:sz w:val="12"/>
                <w:szCs w:val="12"/>
                <w:color w:val="auto"/>
              </w:rPr>
            </w:pPr>
          </w:p>
        </w:tc>
        <w:tc>
          <w:tcPr>
            <w:tcW w:w="120" w:type="dxa"/>
            <w:vAlign w:val="bottom"/>
            <w:tcBorders>
              <w:top w:val="single" w:sz="8" w:color="auto"/>
            </w:tcBorders>
            <w:shd w:val="clear" w:color="auto" w:fill="CCF0FC"/>
          </w:tcPr>
          <w:p>
            <w:pPr>
              <w:spacing w:after="0"/>
              <w:rPr>
                <w:sz w:val="12"/>
                <w:szCs w:val="12"/>
                <w:color w:val="auto"/>
              </w:rPr>
            </w:pPr>
          </w:p>
        </w:tc>
        <w:tc>
          <w:tcPr>
            <w:tcW w:w="100" w:type="dxa"/>
            <w:vAlign w:val="bottom"/>
            <w:tcBorders>
              <w:top w:val="single" w:sz="8" w:color="auto"/>
            </w:tcBorders>
            <w:shd w:val="clear" w:color="auto" w:fill="CCF0FC"/>
          </w:tcPr>
          <w:p>
            <w:pPr>
              <w:spacing w:after="0"/>
              <w:rPr>
                <w:sz w:val="12"/>
                <w:szCs w:val="12"/>
                <w:color w:val="auto"/>
              </w:rPr>
            </w:pPr>
          </w:p>
        </w:tc>
        <w:tc>
          <w:tcPr>
            <w:tcW w:w="52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4"/>
                <w:szCs w:val="14"/>
                <w:color w:val="auto"/>
              </w:rPr>
              <w:t>10,312</w:t>
            </w:r>
          </w:p>
        </w:tc>
        <w:tc>
          <w:tcPr>
            <w:tcW w:w="8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auto"/>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4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160" w:type="dxa"/>
            <w:vAlign w:val="bottom"/>
            <w:tcBorders>
              <w:top w:val="single" w:sz="8" w:color="auto"/>
            </w:tcBorders>
            <w:shd w:val="clear" w:color="auto" w:fill="CCF0FC"/>
          </w:tcPr>
          <w:p>
            <w:pPr>
              <w:spacing w:after="0"/>
              <w:rPr>
                <w:sz w:val="12"/>
                <w:szCs w:val="12"/>
                <w:color w:val="auto"/>
              </w:rPr>
            </w:pPr>
          </w:p>
        </w:tc>
        <w:tc>
          <w:tcPr>
            <w:tcW w:w="74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120" w:type="dxa"/>
            <w:vAlign w:val="bottom"/>
            <w:tcBorders>
              <w:top w:val="single" w:sz="8" w:color="auto"/>
            </w:tcBorders>
            <w:shd w:val="clear" w:color="auto" w:fill="CCF0FC"/>
          </w:tcPr>
          <w:p>
            <w:pPr>
              <w:spacing w:after="0"/>
              <w:rPr>
                <w:sz w:val="12"/>
                <w:szCs w:val="12"/>
                <w:color w:val="auto"/>
              </w:rPr>
            </w:pPr>
          </w:p>
        </w:tc>
        <w:tc>
          <w:tcPr>
            <w:tcW w:w="680" w:type="dxa"/>
            <w:vAlign w:val="bottom"/>
            <w:tcBorders>
              <w:top w:val="single" w:sz="8" w:color="auto"/>
            </w:tcBorders>
            <w:shd w:val="clear" w:color="auto" w:fill="CCF0FC"/>
          </w:tcPr>
          <w:p>
            <w:pPr>
              <w:jc w:val="right"/>
              <w:spacing w:after="0" w:line="143" w:lineRule="exact"/>
              <w:rPr>
                <w:sz w:val="20"/>
                <w:szCs w:val="20"/>
                <w:color w:val="auto"/>
              </w:rPr>
            </w:pPr>
            <w:r>
              <w:rPr>
                <w:rFonts w:ascii="Arial" w:cs="Arial" w:eastAsia="Arial" w:hAnsi="Arial"/>
                <w:sz w:val="14"/>
                <w:szCs w:val="14"/>
                <w:color w:val="auto"/>
              </w:rPr>
              <w:t>10,312</w:t>
            </w:r>
          </w:p>
        </w:tc>
        <w:tc>
          <w:tcPr>
            <w:tcW w:w="60" w:type="dxa"/>
            <w:vAlign w:val="bottom"/>
            <w:tcBorders>
              <w:top w:val="single" w:sz="8" w:color="CCF0FC"/>
            </w:tcBorders>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rPr>
                <w:sz w:val="20"/>
                <w:szCs w:val="20"/>
                <w:color w:val="auto"/>
              </w:rPr>
            </w:pPr>
            <w:r>
              <w:rPr>
                <w:rFonts w:ascii="Arial" w:cs="Arial" w:eastAsia="Arial" w:hAnsi="Arial"/>
                <w:sz w:val="14"/>
                <w:szCs w:val="14"/>
                <w:color w:val="auto"/>
              </w:rPr>
              <w:t>Exercise of stock options and issuance of restricted stock</w:t>
            </w:r>
          </w:p>
        </w:tc>
        <w:tc>
          <w:tcPr>
            <w:tcW w:w="680" w:type="dxa"/>
            <w:vAlign w:val="bottom"/>
          </w:tcPr>
          <w:p>
            <w:pPr>
              <w:jc w:val="right"/>
              <w:spacing w:after="0"/>
              <w:rPr>
                <w:sz w:val="20"/>
                <w:szCs w:val="20"/>
                <w:color w:val="auto"/>
              </w:rPr>
            </w:pPr>
            <w:r>
              <w:rPr>
                <w:rFonts w:ascii="Arial" w:cs="Arial" w:eastAsia="Arial" w:hAnsi="Arial"/>
                <w:sz w:val="14"/>
                <w:szCs w:val="14"/>
                <w:color w:val="auto"/>
              </w:rPr>
              <w:t>483,492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5,273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5,273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Borders>
              <w:right w:val="single" w:sz="8" w:color="CCF0FC"/>
            </w:tcBorders>
            <w:shd w:val="clear" w:color="auto" w:fill="CCF0FC"/>
          </w:tcPr>
          <w:p>
            <w:pPr>
              <w:ind w:left="140"/>
              <w:spacing w:after="0"/>
              <w:rPr>
                <w:sz w:val="20"/>
                <w:szCs w:val="20"/>
                <w:color w:val="auto"/>
              </w:rPr>
            </w:pPr>
            <w:r>
              <w:rPr>
                <w:rFonts w:ascii="Arial" w:cs="Arial" w:eastAsia="Arial" w:hAnsi="Arial"/>
                <w:sz w:val="14"/>
                <w:szCs w:val="14"/>
                <w:color w:val="auto"/>
              </w:rPr>
              <w:t>Employee stock purchase plan</w:t>
            </w:r>
          </w:p>
        </w:tc>
        <w:tc>
          <w:tcPr>
            <w:tcW w:w="680" w:type="dxa"/>
            <w:vAlign w:val="bottom"/>
            <w:shd w:val="clear" w:color="auto" w:fill="CCF0FC"/>
          </w:tcPr>
          <w:p>
            <w:pPr>
              <w:jc w:val="right"/>
              <w:spacing w:after="0"/>
              <w:rPr>
                <w:sz w:val="20"/>
                <w:szCs w:val="20"/>
                <w:color w:val="auto"/>
              </w:rPr>
            </w:pPr>
            <w:r>
              <w:rPr>
                <w:rFonts w:ascii="Arial" w:cs="Arial" w:eastAsia="Arial" w:hAnsi="Arial"/>
                <w:sz w:val="14"/>
                <w:szCs w:val="14"/>
                <w:color w:val="auto"/>
              </w:rPr>
              <w:t>32,992</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40" w:type="dxa"/>
            <w:vAlign w:val="bottom"/>
            <w:tcBorders>
              <w:right w:val="single" w:sz="8" w:color="CCF0FC"/>
            </w:tcBorders>
            <w:shd w:val="clear" w:color="auto" w:fill="CCF0FC"/>
          </w:tcPr>
          <w:p>
            <w:pPr>
              <w:spacing w:after="0"/>
              <w:rPr>
                <w:sz w:val="14"/>
                <w:szCs w:val="14"/>
                <w:color w:val="auto"/>
              </w:rPr>
            </w:pPr>
          </w:p>
        </w:tc>
        <w:tc>
          <w:tcPr>
            <w:tcW w:w="580" w:type="dxa"/>
            <w:vAlign w:val="bottom"/>
            <w:tcBorders>
              <w:right w:val="single" w:sz="8" w:color="CCF0FC"/>
            </w:tcBorders>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20" w:type="dxa"/>
            <w:vAlign w:val="bottom"/>
            <w:gridSpan w:val="2"/>
            <w:shd w:val="clear" w:color="auto" w:fill="CC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20" w:type="dxa"/>
            <w:vAlign w:val="bottom"/>
            <w:gridSpan w:val="3"/>
            <w:shd w:val="clear" w:color="auto" w:fill="CC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520" w:type="dxa"/>
            <w:vAlign w:val="bottom"/>
            <w:shd w:val="clear" w:color="auto" w:fill="CCF0FC"/>
          </w:tcPr>
          <w:p>
            <w:pPr>
              <w:jc w:val="right"/>
              <w:spacing w:after="0"/>
              <w:rPr>
                <w:sz w:val="20"/>
                <w:szCs w:val="20"/>
                <w:color w:val="auto"/>
              </w:rPr>
            </w:pPr>
            <w:r>
              <w:rPr>
                <w:rFonts w:ascii="Arial" w:cs="Arial" w:eastAsia="Arial" w:hAnsi="Arial"/>
                <w:sz w:val="14"/>
                <w:szCs w:val="14"/>
                <w:color w:val="auto"/>
              </w:rPr>
              <w:t>1,155</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80" w:type="dxa"/>
            <w:vAlign w:val="bottom"/>
            <w:gridSpan w:val="2"/>
            <w:shd w:val="clear" w:color="auto" w:fill="CC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4"/>
                <w:szCs w:val="14"/>
                <w:color w:val="auto"/>
              </w:rPr>
              <w:t>1,155</w:t>
            </w:r>
          </w:p>
        </w:tc>
        <w:tc>
          <w:tcPr>
            <w:tcW w:w="6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(300,550)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300,550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(14,966)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(14,966)</w:t>
            </w:r>
          </w:p>
        </w:tc>
        <w:tc>
          <w:tcPr>
            <w:tcW w:w="0" w:type="dxa"/>
            <w:vAlign w:val="bottom"/>
          </w:tcPr>
          <w:p>
            <w:pPr>
              <w:spacing w:after="0"/>
              <w:rPr>
                <w:sz w:val="1"/>
                <w:szCs w:val="1"/>
                <w:color w:val="auto"/>
              </w:rPr>
            </w:pPr>
          </w:p>
        </w:tc>
      </w:tr>
      <w:tr>
        <w:trPr>
          <w:trHeight w:val="162"/>
        </w:trPr>
        <w:tc>
          <w:tcPr>
            <w:tcW w:w="3740" w:type="dxa"/>
            <w:vAlign w:val="bottom"/>
            <w:tcBorders>
              <w:right w:val="single" w:sz="8" w:color="CCF0FC"/>
            </w:tcBorders>
            <w:shd w:val="clear" w:color="auto" w:fill="CCF0FC"/>
          </w:tcPr>
          <w:p>
            <w:pPr>
              <w:ind w:left="140"/>
              <w:spacing w:after="0"/>
              <w:rPr>
                <w:sz w:val="20"/>
                <w:szCs w:val="20"/>
                <w:color w:val="auto"/>
              </w:rPr>
            </w:pPr>
            <w:r>
              <w:rPr>
                <w:rFonts w:ascii="Arial" w:cs="Arial" w:eastAsia="Arial" w:hAnsi="Arial"/>
                <w:sz w:val="14"/>
                <w:szCs w:val="14"/>
                <w:color w:val="auto"/>
              </w:rPr>
              <w:t>Settlement and subsequent return of shares</w:t>
            </w:r>
          </w:p>
        </w:tc>
        <w:tc>
          <w:tcPr>
            <w:tcW w:w="820" w:type="dxa"/>
            <w:vAlign w:val="bottom"/>
            <w:gridSpan w:val="2"/>
            <w:shd w:val="clear" w:color="auto" w:fill="CCF0FC"/>
          </w:tcPr>
          <w:p>
            <w:pPr>
              <w:jc w:val="right"/>
              <w:ind w:right="100"/>
              <w:spacing w:after="0"/>
              <w:rPr>
                <w:sz w:val="20"/>
                <w:szCs w:val="20"/>
                <w:color w:val="auto"/>
              </w:rPr>
            </w:pPr>
            <w:r>
              <w:rPr>
                <w:rFonts w:ascii="Arial" w:cs="Arial" w:eastAsia="Arial" w:hAnsi="Arial"/>
                <w:sz w:val="14"/>
                <w:szCs w:val="14"/>
                <w:color w:val="auto"/>
              </w:rPr>
              <w:t>(5,522)</w:t>
            </w:r>
          </w:p>
        </w:tc>
        <w:tc>
          <w:tcPr>
            <w:tcW w:w="80" w:type="dxa"/>
            <w:vAlign w:val="bottom"/>
            <w:shd w:val="clear" w:color="auto" w:fill="CCF0FC"/>
          </w:tcPr>
          <w:p>
            <w:pPr>
              <w:spacing w:after="0"/>
              <w:rPr>
                <w:sz w:val="14"/>
                <w:szCs w:val="14"/>
                <w:color w:val="auto"/>
              </w:rPr>
            </w:pPr>
          </w:p>
        </w:tc>
        <w:tc>
          <w:tcPr>
            <w:tcW w:w="140" w:type="dxa"/>
            <w:vAlign w:val="bottom"/>
            <w:tcBorders>
              <w:right w:val="single" w:sz="8" w:color="CCF0FC"/>
            </w:tcBorders>
            <w:shd w:val="clear" w:color="auto" w:fill="CCF0FC"/>
          </w:tcPr>
          <w:p>
            <w:pPr>
              <w:spacing w:after="0"/>
              <w:rPr>
                <w:sz w:val="14"/>
                <w:szCs w:val="14"/>
                <w:color w:val="auto"/>
              </w:rPr>
            </w:pPr>
          </w:p>
        </w:tc>
        <w:tc>
          <w:tcPr>
            <w:tcW w:w="580" w:type="dxa"/>
            <w:vAlign w:val="bottom"/>
            <w:tcBorders>
              <w:right w:val="single" w:sz="8" w:color="CCF0FC"/>
            </w:tcBorders>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20" w:type="dxa"/>
            <w:vAlign w:val="bottom"/>
            <w:gridSpan w:val="2"/>
            <w:shd w:val="clear" w:color="auto" w:fill="CC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20" w:type="dxa"/>
            <w:vAlign w:val="bottom"/>
            <w:gridSpan w:val="3"/>
            <w:shd w:val="clear" w:color="auto" w:fill="CC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gridSpan w:val="2"/>
            <w:shd w:val="clear" w:color="auto" w:fill="CCF0FC"/>
          </w:tcPr>
          <w:p>
            <w:pPr>
              <w:jc w:val="right"/>
              <w:ind w:right="40"/>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80" w:type="dxa"/>
            <w:vAlign w:val="bottom"/>
            <w:gridSpan w:val="2"/>
            <w:shd w:val="clear" w:color="auto" w:fill="CC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24,550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24,550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Borders>
              <w:right w:val="single" w:sz="8" w:color="CCF0FC"/>
            </w:tcBorders>
            <w:shd w:val="clear" w:color="auto" w:fill="CCF0FC"/>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3"/>
            <w:shd w:val="clear" w:color="auto" w:fill="CC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F0FC"/>
            </w:tcBorders>
            <w:shd w:val="clear" w:color="auto" w:fill="CCF0FC"/>
          </w:tcPr>
          <w:p>
            <w:pPr>
              <w:spacing w:after="0"/>
              <w:rPr>
                <w:sz w:val="14"/>
                <w:szCs w:val="14"/>
                <w:color w:val="auto"/>
              </w:rPr>
            </w:pPr>
          </w:p>
        </w:tc>
        <w:tc>
          <w:tcPr>
            <w:tcW w:w="580" w:type="dxa"/>
            <w:vAlign w:val="bottom"/>
            <w:tcBorders>
              <w:right w:val="single" w:sz="8" w:color="CCF0FC"/>
            </w:tcBorders>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20" w:type="dxa"/>
            <w:vAlign w:val="bottom"/>
            <w:gridSpan w:val="2"/>
            <w:shd w:val="clear" w:color="auto" w:fill="CC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20" w:type="dxa"/>
            <w:vAlign w:val="bottom"/>
            <w:gridSpan w:val="3"/>
            <w:shd w:val="clear" w:color="auto" w:fill="CC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gridSpan w:val="2"/>
            <w:shd w:val="clear" w:color="auto" w:fill="CCF0F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740" w:type="dxa"/>
            <w:vAlign w:val="bottom"/>
            <w:shd w:val="clear" w:color="auto" w:fill="CCF0FC"/>
          </w:tcPr>
          <w:p>
            <w:pPr>
              <w:jc w:val="right"/>
              <w:spacing w:after="0"/>
              <w:rPr>
                <w:sz w:val="20"/>
                <w:szCs w:val="20"/>
                <w:color w:val="auto"/>
              </w:rPr>
            </w:pPr>
            <w:r>
              <w:rPr>
                <w:rFonts w:ascii="Arial" w:cs="Arial" w:eastAsia="Arial" w:hAnsi="Arial"/>
                <w:sz w:val="14"/>
                <w:szCs w:val="14"/>
                <w:color w:val="auto"/>
              </w:rPr>
              <w:t>73</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Arial" w:cs="Arial" w:eastAsia="Arial" w:hAnsi="Arial"/>
                <w:sz w:val="14"/>
                <w:szCs w:val="14"/>
                <w:color w:val="auto"/>
              </w:rPr>
              <w:t>73</w:t>
            </w:r>
          </w:p>
        </w:tc>
        <w:tc>
          <w:tcPr>
            <w:tcW w:w="6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rPr>
                <w:sz w:val="20"/>
                <w:szCs w:val="20"/>
                <w:color w:val="auto"/>
              </w:rPr>
            </w:pPr>
            <w:r>
              <w:rPr>
                <w:rFonts w:ascii="Arial" w:cs="Arial" w:eastAsia="Arial" w:hAnsi="Arial"/>
                <w:sz w:val="14"/>
                <w:szCs w:val="14"/>
                <w:color w:val="auto"/>
              </w:rPr>
              <w:t>Unrealized gain on investments, net of tax</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Borders>
              <w:right w:val="single" w:sz="8" w:color="CCF0FC"/>
            </w:tcBorders>
            <w:shd w:val="clear" w:color="auto" w:fill="CCF0FC"/>
          </w:tcPr>
          <w:p>
            <w:pPr>
              <w:ind w:left="140"/>
              <w:spacing w:after="0"/>
              <w:rPr>
                <w:sz w:val="20"/>
                <w:szCs w:val="20"/>
                <w:color w:val="auto"/>
              </w:rPr>
            </w:pPr>
            <w:r>
              <w:rPr>
                <w:rFonts w:ascii="Arial" w:cs="Arial" w:eastAsia="Arial" w:hAnsi="Arial"/>
                <w:sz w:val="14"/>
                <w:szCs w:val="14"/>
                <w:color w:val="auto"/>
                <w:w w:val="91"/>
              </w:rPr>
              <w:t>Reclassification of gain on investments into earnings, net of tax</w:t>
            </w:r>
          </w:p>
        </w:tc>
        <w:tc>
          <w:tcPr>
            <w:tcW w:w="900" w:type="dxa"/>
            <w:vAlign w:val="bottom"/>
            <w:gridSpan w:val="3"/>
            <w:shd w:val="clear" w:color="auto" w:fill="CC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F0FC"/>
            </w:tcBorders>
            <w:shd w:val="clear" w:color="auto" w:fill="CCF0FC"/>
          </w:tcPr>
          <w:p>
            <w:pPr>
              <w:spacing w:after="0"/>
              <w:rPr>
                <w:sz w:val="14"/>
                <w:szCs w:val="14"/>
                <w:color w:val="auto"/>
              </w:rPr>
            </w:pPr>
          </w:p>
        </w:tc>
        <w:tc>
          <w:tcPr>
            <w:tcW w:w="580" w:type="dxa"/>
            <w:vAlign w:val="bottom"/>
            <w:tcBorders>
              <w:right w:val="single" w:sz="8" w:color="CCF0FC"/>
            </w:tcBorders>
            <w:shd w:val="clear" w:color="auto" w:fill="CC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20" w:type="dxa"/>
            <w:vAlign w:val="bottom"/>
            <w:gridSpan w:val="2"/>
            <w:shd w:val="clear" w:color="auto" w:fill="CC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20" w:type="dxa"/>
            <w:vAlign w:val="bottom"/>
            <w:gridSpan w:val="3"/>
            <w:shd w:val="clear" w:color="auto" w:fill="CC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gridSpan w:val="2"/>
            <w:shd w:val="clear" w:color="auto" w:fill="CCF0F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80" w:type="dxa"/>
            <w:vAlign w:val="bottom"/>
            <w:gridSpan w:val="2"/>
            <w:shd w:val="clear" w:color="auto" w:fill="CCF0FC"/>
          </w:tcPr>
          <w:p>
            <w:pPr>
              <w:jc w:val="right"/>
              <w:ind w:right="100"/>
              <w:spacing w:after="0"/>
              <w:rPr>
                <w:sz w:val="20"/>
                <w:szCs w:val="20"/>
                <w:color w:val="auto"/>
              </w:rPr>
            </w:pPr>
            <w:r>
              <w:rPr>
                <w:rFonts w:ascii="Arial" w:cs="Arial" w:eastAsia="Arial" w:hAnsi="Arial"/>
                <w:sz w:val="14"/>
                <w:szCs w:val="14"/>
                <w:color w:val="auto"/>
              </w:rPr>
              <w:t>(326)</w:t>
            </w:r>
          </w:p>
        </w:tc>
        <w:tc>
          <w:tcPr>
            <w:tcW w:w="8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20"/>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62"/>
        </w:trPr>
        <w:tc>
          <w:tcPr>
            <w:tcW w:w="3740" w:type="dxa"/>
            <w:vAlign w:val="bottom"/>
            <w:tcBorders>
              <w:bottom w:val="single" w:sz="8" w:color="CCF0FC"/>
            </w:tcBorders>
          </w:tcPr>
          <w:p>
            <w:pPr>
              <w:ind w:left="140"/>
              <w:spacing w:after="0"/>
              <w:rPr>
                <w:sz w:val="20"/>
                <w:szCs w:val="20"/>
                <w:color w:val="auto"/>
              </w:rPr>
            </w:pPr>
            <w:r>
              <w:rPr>
                <w:rFonts w:ascii="Arial" w:cs="Arial" w:eastAsia="Arial" w:hAnsi="Arial"/>
                <w:sz w:val="14"/>
                <w:szCs w:val="14"/>
                <w:color w:val="auto"/>
              </w:rPr>
              <w:t>Adoption of ASU 2018-02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0FC"/>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F0FC"/>
            </w:tcBorders>
          </w:tcPr>
          <w:p>
            <w:pPr>
              <w:spacing w:after="0"/>
              <w:rPr>
                <w:sz w:val="14"/>
                <w:szCs w:val="14"/>
                <w:color w:val="auto"/>
              </w:rPr>
            </w:pPr>
          </w:p>
        </w:tc>
        <w:tc>
          <w:tcPr>
            <w:tcW w:w="80" w:type="dxa"/>
            <w:vAlign w:val="bottom"/>
            <w:tcBorders>
              <w:bottom w:val="single" w:sz="8" w:color="CC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0FC"/>
            </w:tcBorders>
          </w:tcPr>
          <w:p>
            <w:pPr>
              <w:spacing w:after="0"/>
              <w:rPr>
                <w:sz w:val="14"/>
                <w:szCs w:val="14"/>
                <w:color w:val="auto"/>
              </w:rPr>
            </w:pPr>
          </w:p>
        </w:tc>
        <w:tc>
          <w:tcPr>
            <w:tcW w:w="100" w:type="dxa"/>
            <w:vAlign w:val="bottom"/>
            <w:tcBorders>
              <w:bottom w:val="single" w:sz="8" w:color="CC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0FC"/>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F0FC"/>
            </w:tcBorders>
          </w:tcPr>
          <w:p>
            <w:pPr>
              <w:spacing w:after="0"/>
              <w:rPr>
                <w:sz w:val="14"/>
                <w:szCs w:val="14"/>
                <w:color w:val="auto"/>
              </w:rPr>
            </w:pPr>
          </w:p>
        </w:tc>
        <w:tc>
          <w:tcPr>
            <w:tcW w:w="120" w:type="dxa"/>
            <w:vAlign w:val="bottom"/>
            <w:tcBorders>
              <w:bottom w:val="single" w:sz="8" w:color="CC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0FC"/>
            </w:tcBorders>
          </w:tcPr>
          <w:p>
            <w:pPr>
              <w:spacing w:after="0"/>
              <w:rPr>
                <w:sz w:val="14"/>
                <w:szCs w:val="14"/>
                <w:color w:val="auto"/>
              </w:rPr>
            </w:pPr>
          </w:p>
        </w:tc>
        <w:tc>
          <w:tcPr>
            <w:tcW w:w="100" w:type="dxa"/>
            <w:vAlign w:val="bottom"/>
            <w:tcBorders>
              <w:bottom w:val="single" w:sz="8" w:color="CC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40" w:type="dxa"/>
            <w:vAlign w:val="bottom"/>
            <w:tcBorders>
              <w:bottom w:val="single" w:sz="8" w:color="CCF0FC"/>
            </w:tcBorders>
          </w:tcPr>
          <w:p>
            <w:pPr>
              <w:spacing w:after="0"/>
              <w:rPr>
                <w:sz w:val="14"/>
                <w:szCs w:val="14"/>
                <w:color w:val="auto"/>
              </w:rPr>
            </w:pPr>
          </w:p>
        </w:tc>
        <w:tc>
          <w:tcPr>
            <w:tcW w:w="80" w:type="dxa"/>
            <w:vAlign w:val="bottom"/>
            <w:tcBorders>
              <w:bottom w:val="single" w:sz="8" w:color="CC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60" w:type="dxa"/>
            <w:vAlign w:val="bottom"/>
            <w:tcBorders>
              <w:bottom w:val="single" w:sz="8" w:color="CC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40" w:type="dxa"/>
            <w:vAlign w:val="bottom"/>
            <w:tcBorders>
              <w:right w:val="single" w:sz="8" w:color="CCF0FC"/>
            </w:tcBorders>
            <w:shd w:val="clear" w:color="auto" w:fill="CCF0FC"/>
          </w:tcPr>
          <w:p>
            <w:pPr>
              <w:spacing w:after="0" w:line="155" w:lineRule="exact"/>
              <w:rPr>
                <w:sz w:val="20"/>
                <w:szCs w:val="20"/>
                <w:color w:val="auto"/>
              </w:rPr>
            </w:pPr>
            <w:r>
              <w:rPr>
                <w:rFonts w:ascii="Arial" w:cs="Arial" w:eastAsia="Arial" w:hAnsi="Arial"/>
                <w:sz w:val="14"/>
                <w:szCs w:val="14"/>
                <w:color w:val="auto"/>
              </w:rPr>
              <w:t>Balances, September 30, 2019</w:t>
            </w:r>
          </w:p>
        </w:tc>
        <w:tc>
          <w:tcPr>
            <w:tcW w:w="680" w:type="dxa"/>
            <w:vAlign w:val="bottom"/>
            <w:shd w:val="clear" w:color="auto" w:fill="CCF0FC"/>
          </w:tcPr>
          <w:p>
            <w:pPr>
              <w:jc w:val="right"/>
              <w:spacing w:after="0" w:line="155" w:lineRule="exact"/>
              <w:rPr>
                <w:sz w:val="20"/>
                <w:szCs w:val="20"/>
                <w:color w:val="auto"/>
              </w:rPr>
            </w:pPr>
            <w:r>
              <w:rPr>
                <w:rFonts w:ascii="Arial" w:cs="Arial" w:eastAsia="Arial" w:hAnsi="Arial"/>
                <w:sz w:val="14"/>
                <w:szCs w:val="14"/>
                <w:color w:val="auto"/>
                <w:w w:val="94"/>
              </w:rPr>
              <w:t>34,901,884</w:t>
            </w:r>
          </w:p>
        </w:tc>
        <w:tc>
          <w:tcPr>
            <w:tcW w:w="14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140" w:type="dxa"/>
            <w:vAlign w:val="bottom"/>
            <w:tcBorders>
              <w:right w:val="single" w:sz="8" w:color="CCF0FC"/>
            </w:tcBorders>
            <w:shd w:val="clear" w:color="auto" w:fill="CCF0FC"/>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F0FC"/>
            </w:tcBorders>
            <w:shd w:val="clear" w:color="auto" w:fill="CCF0FC"/>
          </w:tcPr>
          <w:p>
            <w:pPr>
              <w:jc w:val="right"/>
              <w:spacing w:after="0" w:line="155" w:lineRule="exact"/>
              <w:rPr>
                <w:sz w:val="20"/>
                <w:szCs w:val="20"/>
                <w:color w:val="auto"/>
              </w:rPr>
            </w:pPr>
            <w:r>
              <w:rPr>
                <w:rFonts w:ascii="Arial" w:cs="Arial" w:eastAsia="Arial" w:hAnsi="Arial"/>
                <w:sz w:val="14"/>
                <w:szCs w:val="14"/>
                <w:color w:val="auto"/>
              </w:rPr>
              <w:t>36</w:t>
            </w:r>
          </w:p>
        </w:tc>
        <w:tc>
          <w:tcPr>
            <w:tcW w:w="14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120" w:type="dxa"/>
            <w:vAlign w:val="bottom"/>
            <w:shd w:val="clear" w:color="auto" w:fill="CCF0FC"/>
          </w:tcPr>
          <w:p>
            <w:pPr>
              <w:spacing w:after="0"/>
              <w:rPr>
                <w:sz w:val="13"/>
                <w:szCs w:val="13"/>
                <w:color w:val="auto"/>
              </w:rPr>
            </w:pPr>
          </w:p>
        </w:tc>
        <w:tc>
          <w:tcPr>
            <w:tcW w:w="600" w:type="dxa"/>
            <w:vAlign w:val="bottom"/>
            <w:shd w:val="clear" w:color="auto" w:fill="CCF0FC"/>
          </w:tcPr>
          <w:p>
            <w:pPr>
              <w:jc w:val="right"/>
              <w:spacing w:after="0" w:line="155" w:lineRule="exact"/>
              <w:rPr>
                <w:sz w:val="20"/>
                <w:szCs w:val="20"/>
                <w:color w:val="auto"/>
              </w:rPr>
            </w:pPr>
            <w:r>
              <w:rPr>
                <w:rFonts w:ascii="Arial" w:cs="Arial" w:eastAsia="Arial" w:hAnsi="Arial"/>
                <w:sz w:val="14"/>
                <w:szCs w:val="14"/>
                <w:color w:val="auto"/>
                <w:w w:val="89"/>
              </w:rPr>
              <w:t>1,124,334</w:t>
            </w:r>
          </w:p>
        </w:tc>
        <w:tc>
          <w:tcPr>
            <w:tcW w:w="120" w:type="dxa"/>
            <w:vAlign w:val="bottom"/>
            <w:shd w:val="clear" w:color="auto" w:fill="CCF0FC"/>
          </w:tcPr>
          <w:p>
            <w:pPr>
              <w:spacing w:after="0"/>
              <w:rPr>
                <w:sz w:val="13"/>
                <w:szCs w:val="13"/>
                <w:color w:val="auto"/>
              </w:rPr>
            </w:pPr>
          </w:p>
        </w:tc>
        <w:tc>
          <w:tcPr>
            <w:tcW w:w="220" w:type="dxa"/>
            <w:vAlign w:val="bottom"/>
            <w:gridSpan w:val="2"/>
            <w:shd w:val="clear" w:color="auto" w:fill="CCF0FC"/>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F0FC"/>
          </w:tcPr>
          <w:p>
            <w:pPr>
              <w:spacing w:after="0"/>
              <w:rPr>
                <w:sz w:val="13"/>
                <w:szCs w:val="13"/>
                <w:color w:val="auto"/>
              </w:rPr>
            </w:pPr>
          </w:p>
        </w:tc>
        <w:tc>
          <w:tcPr>
            <w:tcW w:w="620" w:type="dxa"/>
            <w:vAlign w:val="bottom"/>
            <w:gridSpan w:val="2"/>
            <w:shd w:val="clear" w:color="auto" w:fill="CCF0FC"/>
          </w:tcPr>
          <w:p>
            <w:pPr>
              <w:jc w:val="right"/>
              <w:ind w:right="60"/>
              <w:spacing w:after="0" w:line="155" w:lineRule="exact"/>
              <w:rPr>
                <w:sz w:val="20"/>
                <w:szCs w:val="20"/>
                <w:color w:val="auto"/>
              </w:rPr>
            </w:pPr>
            <w:r>
              <w:rPr>
                <w:rFonts w:ascii="Arial" w:cs="Arial" w:eastAsia="Arial" w:hAnsi="Arial"/>
                <w:sz w:val="14"/>
                <w:szCs w:val="14"/>
                <w:color w:val="auto"/>
              </w:rPr>
              <w:t>(40,645)</w:t>
            </w:r>
          </w:p>
        </w:tc>
        <w:tc>
          <w:tcPr>
            <w:tcW w:w="100" w:type="dxa"/>
            <w:vAlign w:val="bottom"/>
            <w:shd w:val="clear" w:color="auto" w:fill="CCF0FC"/>
          </w:tcPr>
          <w:p>
            <w:pPr>
              <w:spacing w:after="0"/>
              <w:rPr>
                <w:sz w:val="13"/>
                <w:szCs w:val="13"/>
                <w:color w:val="auto"/>
              </w:rPr>
            </w:pPr>
          </w:p>
        </w:tc>
        <w:tc>
          <w:tcPr>
            <w:tcW w:w="120" w:type="dxa"/>
            <w:vAlign w:val="bottom"/>
            <w:shd w:val="clear" w:color="auto" w:fill="CC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F0FC"/>
          </w:tcPr>
          <w:p>
            <w:pPr>
              <w:spacing w:after="0"/>
              <w:rPr>
                <w:sz w:val="13"/>
                <w:szCs w:val="13"/>
                <w:color w:val="auto"/>
              </w:rPr>
            </w:pPr>
          </w:p>
        </w:tc>
        <w:tc>
          <w:tcPr>
            <w:tcW w:w="520" w:type="dxa"/>
            <w:vAlign w:val="bottom"/>
            <w:shd w:val="clear" w:color="auto" w:fill="CCF0FC"/>
          </w:tcPr>
          <w:p>
            <w:pPr>
              <w:jc w:val="right"/>
              <w:spacing w:after="0" w:line="155" w:lineRule="exact"/>
              <w:rPr>
                <w:sz w:val="20"/>
                <w:szCs w:val="20"/>
                <w:color w:val="auto"/>
              </w:rPr>
            </w:pPr>
            <w:r>
              <w:rPr>
                <w:rFonts w:ascii="Arial" w:cs="Arial" w:eastAsia="Arial" w:hAnsi="Arial"/>
                <w:sz w:val="14"/>
                <w:szCs w:val="14"/>
                <w:color w:val="auto"/>
                <w:w w:val="94"/>
              </w:rPr>
              <w:t>349,014</w:t>
            </w:r>
          </w:p>
        </w:tc>
        <w:tc>
          <w:tcPr>
            <w:tcW w:w="80" w:type="dxa"/>
            <w:vAlign w:val="bottom"/>
            <w:shd w:val="clear" w:color="auto" w:fill="CCF0FC"/>
          </w:tcPr>
          <w:p>
            <w:pPr>
              <w:spacing w:after="0"/>
              <w:rPr>
                <w:sz w:val="13"/>
                <w:szCs w:val="13"/>
                <w:color w:val="auto"/>
              </w:rPr>
            </w:pPr>
          </w:p>
        </w:tc>
        <w:tc>
          <w:tcPr>
            <w:tcW w:w="220" w:type="dxa"/>
            <w:vAlign w:val="bottom"/>
            <w:gridSpan w:val="2"/>
            <w:shd w:val="clear" w:color="auto" w:fill="CCF0FC"/>
          </w:tcPr>
          <w:p>
            <w:pPr>
              <w:ind w:left="120"/>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CF0FC"/>
          </w:tcPr>
          <w:p>
            <w:pPr>
              <w:spacing w:after="0"/>
              <w:rPr>
                <w:sz w:val="13"/>
                <w:szCs w:val="13"/>
                <w:color w:val="auto"/>
              </w:rPr>
            </w:pPr>
          </w:p>
        </w:tc>
        <w:tc>
          <w:tcPr>
            <w:tcW w:w="640" w:type="dxa"/>
            <w:vAlign w:val="bottom"/>
            <w:shd w:val="clear" w:color="auto" w:fill="CCF0FC"/>
          </w:tcPr>
          <w:p>
            <w:pPr>
              <w:jc w:val="right"/>
              <w:spacing w:after="0" w:line="155" w:lineRule="exact"/>
              <w:rPr>
                <w:sz w:val="20"/>
                <w:szCs w:val="20"/>
                <w:color w:val="auto"/>
              </w:rPr>
            </w:pPr>
            <w:r>
              <w:rPr>
                <w:rFonts w:ascii="Arial" w:cs="Arial" w:eastAsia="Arial" w:hAnsi="Arial"/>
                <w:sz w:val="14"/>
                <w:szCs w:val="14"/>
                <w:color w:val="auto"/>
              </w:rPr>
              <w:t>39,811</w:t>
            </w:r>
          </w:p>
        </w:tc>
        <w:tc>
          <w:tcPr>
            <w:tcW w:w="120" w:type="dxa"/>
            <w:vAlign w:val="bottom"/>
            <w:shd w:val="clear" w:color="auto" w:fill="CCF0FC"/>
          </w:tcPr>
          <w:p>
            <w:pPr>
              <w:spacing w:after="0"/>
              <w:rPr>
                <w:sz w:val="13"/>
                <w:szCs w:val="13"/>
                <w:color w:val="auto"/>
              </w:rPr>
            </w:pPr>
          </w:p>
        </w:tc>
        <w:tc>
          <w:tcPr>
            <w:tcW w:w="260" w:type="dxa"/>
            <w:vAlign w:val="bottom"/>
            <w:gridSpan w:val="2"/>
            <w:shd w:val="clear" w:color="auto" w:fill="CCF0FC"/>
          </w:tcPr>
          <w:p>
            <w:pPr>
              <w:ind w:left="10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F0FC"/>
          </w:tcPr>
          <w:p>
            <w:pPr>
              <w:jc w:val="right"/>
              <w:ind w:right="100"/>
              <w:spacing w:after="0" w:line="155" w:lineRule="exact"/>
              <w:rPr>
                <w:sz w:val="20"/>
                <w:szCs w:val="20"/>
                <w:color w:val="auto"/>
              </w:rPr>
            </w:pPr>
            <w:r>
              <w:rPr>
                <w:rFonts w:ascii="Arial" w:cs="Arial" w:eastAsia="Arial" w:hAnsi="Arial"/>
                <w:sz w:val="14"/>
                <w:szCs w:val="14"/>
                <w:color w:val="auto"/>
              </w:rPr>
              <w:t>(3,148)</w:t>
            </w:r>
          </w:p>
        </w:tc>
        <w:tc>
          <w:tcPr>
            <w:tcW w:w="200" w:type="dxa"/>
            <w:vAlign w:val="bottom"/>
            <w:gridSpan w:val="2"/>
            <w:shd w:val="clear" w:color="auto" w:fill="CCF0FC"/>
          </w:tcPr>
          <w:p>
            <w:pPr>
              <w:ind w:lef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F0FC"/>
          </w:tcPr>
          <w:p>
            <w:pPr>
              <w:jc w:val="right"/>
              <w:spacing w:after="0" w:line="155" w:lineRule="exact"/>
              <w:rPr>
                <w:sz w:val="20"/>
                <w:szCs w:val="20"/>
                <w:color w:val="auto"/>
              </w:rPr>
            </w:pPr>
            <w:r>
              <w:rPr>
                <w:rFonts w:ascii="Arial" w:cs="Arial" w:eastAsia="Arial" w:hAnsi="Arial"/>
                <w:sz w:val="14"/>
                <w:szCs w:val="14"/>
                <w:color w:val="auto"/>
              </w:rPr>
              <w:t>345,068</w:t>
            </w:r>
          </w:p>
        </w:tc>
        <w:tc>
          <w:tcPr>
            <w:tcW w:w="60" w:type="dxa"/>
            <w:vAlign w:val="bottom"/>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Shares and per share data have been adjusted for all periods presented to reflect a two-for-one stock split effective August 22, 2019.</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8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1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24,550</w:t>
            </w:r>
          </w:p>
        </w:tc>
        <w:tc>
          <w:tcPr>
            <w:tcW w:w="280" w:type="dxa"/>
            <w:vAlign w:val="bottom"/>
          </w:tcPr>
          <w:p>
            <w:pPr>
              <w:spacing w:after="0"/>
              <w:rPr>
                <w:sz w:val="19"/>
                <w:szCs w:val="19"/>
                <w:color w:val="auto"/>
              </w:rPr>
            </w:pPr>
          </w:p>
        </w:tc>
        <w:tc>
          <w:tcPr>
            <w:tcW w:w="560" w:type="dxa"/>
            <w:vAlign w:val="bottom"/>
            <w:gridSpan w:val="2"/>
          </w:tcPr>
          <w:p>
            <w:pPr>
              <w:jc w:val="right"/>
              <w:ind w:right="43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16,731</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earn-out liability</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(366)</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Depreciation and amortization of property and equipment</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6,308</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9,978</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(551)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assets and liabilities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(3,670)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(4,279)</w:t>
            </w: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costs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(151)</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(3,813)</w:t>
            </w: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Other current and non-current assets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(820)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Accrued compensation</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(3,716)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(592)</w:t>
            </w: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(84)</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(718)</w:t>
            </w: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7,039</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rent</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Operating leases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50,960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37,547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(8,387)</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(9,875)</w:t>
            </w: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Purchases of investments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(61,967)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(64,434)</w:t>
            </w: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investments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Acquisitions of businesses and intangible assets, net of cash acquired</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(11,500)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r>
      <w:tr>
        <w:trPr>
          <w:trHeight w:val="223"/>
        </w:trPr>
        <w:tc>
          <w:tcPr>
            <w:tcW w:w="6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(26,629)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Repurchases of common stock</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(14,966)</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(13,867)</w:t>
            </w: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Net proceeds from exercise of options to purchase common stock</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employee stock purchase plan</w:t>
            </w:r>
          </w:p>
        </w:tc>
        <w:tc>
          <w:tcPr>
            <w:tcW w:w="1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financing activities</w:t>
            </w:r>
          </w:p>
        </w:tc>
        <w:tc>
          <w:tcPr>
            <w:tcW w:w="1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currency exchange rate changes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1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21,621</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133,859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123,127</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18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149,727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144,748</w:t>
            </w:r>
          </w:p>
        </w:tc>
        <w:tc>
          <w:tcPr>
            <w:tcW w:w="12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SPS Commerce is a leading provider of cloud-based supply chain management solutions that make it easier for retailers, suppliers, grocers, distributors and logistics firms to orchestrate the management of item data, order fulfillment, inventory control and sales analytics across all channels. The solutions offered by SPS Commerce eliminate the need for on-premise software and support staff by taking on that capability on the customer’s behalf. The solutions SPS Commerce provides allow our customers to increase their supply cycle agility, optimize their inventory levels and sell-through, reduce operational costs and gain increased visibility into customer orders, ensuring that suppliers, grocers, distributors, and logistics firms can satisfy exacting retailer requirements.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accompanying unaudited condensed consolidated financial statements include the accounts of SPS Commerce, Inc. and its subsidiaries. All intercompany accounts and transactions have been eliminated in the condensed consolidated financial statements, which have been prepared in conformity with U.S. generally accepted accounting principles (“GAAP”) for interim financial information and with the instructions to Form 10-Q and Rule 10-01 of Regulation S-X. Accordingly, these condensed consolidated financial statements do not include all of the information and notes required by GAAP. We have included all normal recurring adjustments considered necessary to provide a fair presentation of our financial position, results of operations, stockholders’ equity, and cash flows for the interim periods shown. Operating results for these interim periods are not necessarily indicative of the results to be expected for the full year. For further information, refer to the consolidated financial statements and accompanying notes for the year ended December 31, 2018 included in our Annual Report on Form 10-K/A filed with the SEC.</w:t>
      </w:r>
    </w:p>
    <w:p>
      <w:pPr>
        <w:spacing w:after="0" w:line="179"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 xml:space="preserve">Effective January 1, 2019, we adopted the requirements of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and used the effective date as our date of initial application. Consequently, financial information was not updated and the disclosures required under the new standard were not provided for dates and periods before January 1, 2019. The new standard provides several optional practical expedients in transition. We elected the “package of practical expedients,” which permits us not to reassess under the new standard our prior conclusions about lease identification, lease classification and initial direct costs. We did not elect the use-of hindsight or the practical expedient pertaining to land easements, the latter not being applicable to us. The new standard also provides practical expedients for an entity’s ongoing accounting. We elected the short-term lease recognition exemption for all leases that qualify, which means we will not recognize right-of-use (“ROU”) assets or lease liabilities for these leases. This includes not recognizing ROU assets or lease liabilities for existing short-term leases of those assets in transition. We also elected the practical expedient to not separate lease and non-lease components for all leases.</w:t>
      </w:r>
    </w:p>
    <w:p>
      <w:pPr>
        <w:spacing w:after="0" w:line="182" w:lineRule="exact"/>
        <w:rPr>
          <w:sz w:val="20"/>
          <w:szCs w:val="20"/>
          <w:color w:val="auto"/>
        </w:rPr>
      </w:pPr>
    </w:p>
    <w:p>
      <w:pPr>
        <w:jc w:val="both"/>
        <w:ind w:right="180" w:firstLine="518"/>
        <w:spacing w:after="0" w:line="285" w:lineRule="auto"/>
        <w:rPr>
          <w:sz w:val="20"/>
          <w:szCs w:val="20"/>
          <w:color w:val="auto"/>
        </w:rPr>
      </w:pPr>
      <w:r>
        <w:rPr>
          <w:rFonts w:ascii="Arial" w:cs="Arial" w:eastAsia="Arial" w:hAnsi="Arial"/>
          <w:sz w:val="17"/>
          <w:szCs w:val="17"/>
          <w:color w:val="auto"/>
        </w:rPr>
        <w:t>On July 25, 2019, the Company announced that its board of directors declared a two-for-one stock split of the Company’s common stock, effected in the form of a 100 percent stock dividend as of the record date on August 8, 2019. The stock split dividend was distributed on August 22, 2019. Earnings per share and weighted average shares outstanding are presented in this Quarterly Report on Form 10-Q after the effect of 100 percent stock dividend. The two-for-one stock split is reflected in the share amounts in all periods presented in this Quarterly Report on Form 10-Q.</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Policy</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ROU assets, current lease liabilities, and long-term lease liabilities in our consolidated balance sheets.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8" w:name="page9"/>
    <w:bookmarkEnd w:id="8"/>
    <w:p>
      <w:pPr>
        <w:ind w:right="60" w:firstLine="518"/>
        <w:spacing w:after="0" w:line="284"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estimate the discount rate for a similar collateralized asset by reviewing quoted costs of borrowing. We use the implicit interest rate when readily determinable. The operating lease ROU asset also includes any lease payments made and lease incentives that have been incurred. The options to extend our leases are not recognized as part of our right-of-use assets and lease liabilities unless it is reasonably certain that we will exercise that option. Lease expense for lease payments is recognized on a straight-line basis over the lease term. For all leases we combine non-lease components with the related lease components and account for it as a single lease component. The ROU assets are subject to the same impairment process as our long-lived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assets. Additionally, we review our lease liabilities for remeasurement whenever there is a triggering event or when relevant facts and circumstances change.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Standard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Date of Issuance</w:t>
            </w: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Description</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 Adopted</w:t>
            </w:r>
          </w:p>
        </w:tc>
        <w:tc>
          <w:tcPr>
            <w:tcW w:w="35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Effect on the Financial Statements</w:t>
            </w:r>
          </w:p>
        </w:tc>
      </w:tr>
      <w:tr>
        <w:trPr>
          <w:trHeight w:val="209"/>
        </w:trPr>
        <w:tc>
          <w:tcPr>
            <w:tcW w:w="1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ASU 2016-02</w:t>
            </w:r>
            <w:r>
              <w:rPr>
                <w:rFonts w:ascii="Arial" w:cs="Arial" w:eastAsia="Arial" w:hAnsi="Arial"/>
                <w:sz w:val="18"/>
                <w:szCs w:val="18"/>
                <w:color w:val="auto"/>
              </w:rPr>
              <w:t>,</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February</w:t>
            </w:r>
          </w:p>
        </w:tc>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4"/>
              </w:rPr>
              <w:t>Requires all leases with a term greater than 12</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January</w:t>
            </w: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The adoption of this standard and related</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Leases and all</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2016</w:t>
            </w:r>
          </w:p>
        </w:tc>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months to be recognized in the statements of</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7"/>
              </w:rPr>
              <w:t>amendments resulted in the recognition of</w:t>
            </w: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w w:val="99"/>
              </w:rPr>
              <w:t>related amendments</w:t>
            </w:r>
          </w:p>
        </w:tc>
        <w:tc>
          <w:tcPr>
            <w:tcW w:w="1360" w:type="dxa"/>
            <w:vAlign w:val="bottom"/>
            <w:shd w:val="clear" w:color="auto" w:fill="CFF0FC"/>
          </w:tcPr>
          <w:p>
            <w:pPr>
              <w:spacing w:after="0"/>
              <w:rPr>
                <w:sz w:val="18"/>
                <w:szCs w:val="18"/>
                <w:color w:val="auto"/>
              </w:rPr>
            </w:pPr>
          </w:p>
        </w:tc>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financial position and eliminates current real</w:t>
            </w:r>
          </w:p>
        </w:tc>
        <w:tc>
          <w:tcPr>
            <w:tcW w:w="1220" w:type="dxa"/>
            <w:vAlign w:val="bottom"/>
            <w:shd w:val="clear" w:color="auto" w:fill="CFF0FC"/>
          </w:tcPr>
          <w:p>
            <w:pPr>
              <w:spacing w:after="0"/>
              <w:rPr>
                <w:sz w:val="18"/>
                <w:szCs w:val="18"/>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approximately $15.7 million in right-of-use</w:t>
            </w:r>
          </w:p>
        </w:tc>
      </w:tr>
      <w:tr>
        <w:trPr>
          <w:trHeight w:val="216"/>
        </w:trPr>
        <w:tc>
          <w:tcPr>
            <w:tcW w:w="1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estate-specific lease guidance, while</w:t>
            </w:r>
          </w:p>
        </w:tc>
        <w:tc>
          <w:tcPr>
            <w:tcW w:w="1220" w:type="dxa"/>
            <w:vAlign w:val="bottom"/>
            <w:shd w:val="clear" w:color="auto" w:fill="CFF0FC"/>
          </w:tcPr>
          <w:p>
            <w:pPr>
              <w:spacing w:after="0"/>
              <w:rPr>
                <w:sz w:val="18"/>
                <w:szCs w:val="18"/>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assets and lease liabilities on our balance</w:t>
            </w:r>
          </w:p>
        </w:tc>
      </w:tr>
      <w:tr>
        <w:trPr>
          <w:trHeight w:val="216"/>
        </w:trPr>
        <w:tc>
          <w:tcPr>
            <w:tcW w:w="1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maintaining substantially similar classification</w:t>
            </w:r>
          </w:p>
        </w:tc>
        <w:tc>
          <w:tcPr>
            <w:tcW w:w="1220" w:type="dxa"/>
            <w:vAlign w:val="bottom"/>
            <w:shd w:val="clear" w:color="auto" w:fill="CFF0FC"/>
          </w:tcPr>
          <w:p>
            <w:pPr>
              <w:spacing w:after="0"/>
              <w:rPr>
                <w:sz w:val="18"/>
                <w:szCs w:val="18"/>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sheet as of January 1, 2019. Comparative</w:t>
            </w:r>
          </w:p>
        </w:tc>
      </w:tr>
      <w:tr>
        <w:trPr>
          <w:trHeight w:val="216"/>
        </w:trPr>
        <w:tc>
          <w:tcPr>
            <w:tcW w:w="1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criteria for distinguishing between finance</w:t>
            </w:r>
          </w:p>
        </w:tc>
        <w:tc>
          <w:tcPr>
            <w:tcW w:w="1220" w:type="dxa"/>
            <w:vAlign w:val="bottom"/>
            <w:shd w:val="clear" w:color="auto" w:fill="CFF0FC"/>
          </w:tcPr>
          <w:p>
            <w:pPr>
              <w:spacing w:after="0"/>
              <w:rPr>
                <w:sz w:val="18"/>
                <w:szCs w:val="18"/>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periods will continue to be measured and</w:t>
            </w:r>
          </w:p>
        </w:tc>
      </w:tr>
      <w:tr>
        <w:trPr>
          <w:trHeight w:val="216"/>
        </w:trPr>
        <w:tc>
          <w:tcPr>
            <w:tcW w:w="1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leases and operating leases.</w:t>
            </w:r>
          </w:p>
        </w:tc>
        <w:tc>
          <w:tcPr>
            <w:tcW w:w="1220" w:type="dxa"/>
            <w:vAlign w:val="bottom"/>
            <w:shd w:val="clear" w:color="auto" w:fill="CFF0FC"/>
          </w:tcPr>
          <w:p>
            <w:pPr>
              <w:spacing w:after="0"/>
              <w:rPr>
                <w:sz w:val="18"/>
                <w:szCs w:val="18"/>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0"/>
              </w:rPr>
              <w:t>presented under historical guidance, and only</w:t>
            </w:r>
          </w:p>
        </w:tc>
      </w:tr>
      <w:tr>
        <w:trPr>
          <w:trHeight w:val="216"/>
        </w:trPr>
        <w:tc>
          <w:tcPr>
            <w:tcW w:w="1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2"/>
              </w:rPr>
              <w:t>the period of adoption and future periods will</w:t>
            </w:r>
          </w:p>
        </w:tc>
      </w:tr>
      <w:tr>
        <w:trPr>
          <w:trHeight w:val="216"/>
        </w:trPr>
        <w:tc>
          <w:tcPr>
            <w:tcW w:w="1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be subject to this ASU. There was no</w:t>
            </w:r>
          </w:p>
        </w:tc>
      </w:tr>
      <w:tr>
        <w:trPr>
          <w:trHeight w:val="216"/>
        </w:trPr>
        <w:tc>
          <w:tcPr>
            <w:tcW w:w="1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cumulative effect on retained earnings or</w:t>
            </w:r>
          </w:p>
        </w:tc>
      </w:tr>
      <w:tr>
        <w:trPr>
          <w:trHeight w:val="216"/>
        </w:trPr>
        <w:tc>
          <w:tcPr>
            <w:tcW w:w="1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other components of equity at the adoption</w:t>
            </w:r>
          </w:p>
        </w:tc>
      </w:tr>
      <w:tr>
        <w:trPr>
          <w:trHeight w:val="230"/>
        </w:trPr>
        <w:tc>
          <w:tcPr>
            <w:tcW w:w="16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6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date. For more information see Note H.</w:t>
            </w:r>
          </w:p>
        </w:tc>
      </w:tr>
      <w:tr>
        <w:trPr>
          <w:trHeight w:val="215"/>
        </w:trPr>
        <w:tc>
          <w:tcPr>
            <w:tcW w:w="1660" w:type="dxa"/>
            <w:vAlign w:val="bottom"/>
          </w:tcPr>
          <w:p>
            <w:pPr>
              <w:spacing w:after="0"/>
              <w:rPr>
                <w:sz w:val="20"/>
                <w:szCs w:val="20"/>
                <w:color w:val="auto"/>
              </w:rPr>
            </w:pPr>
            <w:r>
              <w:rPr>
                <w:rFonts w:ascii="Arial" w:cs="Arial" w:eastAsia="Arial" w:hAnsi="Arial"/>
                <w:sz w:val="18"/>
                <w:szCs w:val="18"/>
                <w:b w:val="1"/>
                <w:bCs w:val="1"/>
                <w:color w:val="auto"/>
              </w:rPr>
              <w:t>ASU 2018-02</w:t>
            </w: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February</w:t>
            </w:r>
          </w:p>
        </w:tc>
        <w:tc>
          <w:tcPr>
            <w:tcW w:w="3680" w:type="dxa"/>
            <w:vAlign w:val="bottom"/>
          </w:tcPr>
          <w:p>
            <w:pPr>
              <w:ind w:left="140"/>
              <w:spacing w:after="0"/>
              <w:rPr>
                <w:sz w:val="20"/>
                <w:szCs w:val="20"/>
                <w:color w:val="auto"/>
              </w:rPr>
            </w:pPr>
            <w:r>
              <w:rPr>
                <w:rFonts w:ascii="Arial" w:cs="Arial" w:eastAsia="Arial" w:hAnsi="Arial"/>
                <w:sz w:val="18"/>
                <w:szCs w:val="18"/>
                <w:color w:val="auto"/>
              </w:rPr>
              <w:t>Allows a reclassification from accumulated</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January</w:t>
            </w:r>
          </w:p>
        </w:tc>
        <w:tc>
          <w:tcPr>
            <w:tcW w:w="3500" w:type="dxa"/>
            <w:vAlign w:val="bottom"/>
          </w:tcPr>
          <w:p>
            <w:pPr>
              <w:ind w:left="200"/>
              <w:spacing w:after="0"/>
              <w:rPr>
                <w:sz w:val="20"/>
                <w:szCs w:val="20"/>
                <w:color w:val="auto"/>
              </w:rPr>
            </w:pPr>
            <w:r>
              <w:rPr>
                <w:rFonts w:ascii="Arial" w:cs="Arial" w:eastAsia="Arial" w:hAnsi="Arial"/>
                <w:sz w:val="18"/>
                <w:szCs w:val="18"/>
                <w:color w:val="auto"/>
                <w:w w:val="93"/>
              </w:rPr>
              <w:t>The adoption of this standard did not have a</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Income Statement -</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3680" w:type="dxa"/>
            <w:vAlign w:val="bottom"/>
          </w:tcPr>
          <w:p>
            <w:pPr>
              <w:ind w:left="140"/>
              <w:spacing w:after="0"/>
              <w:rPr>
                <w:sz w:val="20"/>
                <w:szCs w:val="20"/>
                <w:color w:val="auto"/>
              </w:rPr>
            </w:pPr>
            <w:r>
              <w:rPr>
                <w:rFonts w:ascii="Arial" w:cs="Arial" w:eastAsia="Arial" w:hAnsi="Arial"/>
                <w:sz w:val="18"/>
                <w:szCs w:val="18"/>
                <w:color w:val="auto"/>
              </w:rPr>
              <w:t>other comprehensive income to retained</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3500" w:type="dxa"/>
            <w:vAlign w:val="bottom"/>
          </w:tcPr>
          <w:p>
            <w:pPr>
              <w:ind w:left="200"/>
              <w:spacing w:after="0"/>
              <w:rPr>
                <w:sz w:val="20"/>
                <w:szCs w:val="20"/>
                <w:color w:val="auto"/>
              </w:rPr>
            </w:pPr>
            <w:r>
              <w:rPr>
                <w:rFonts w:ascii="Arial" w:cs="Arial" w:eastAsia="Arial" w:hAnsi="Arial"/>
                <w:sz w:val="18"/>
                <w:szCs w:val="18"/>
                <w:color w:val="auto"/>
                <w:w w:val="92"/>
              </w:rPr>
              <w:t>material impact on our consolidated financial</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Reporting</w:t>
            </w:r>
          </w:p>
        </w:tc>
        <w:tc>
          <w:tcPr>
            <w:tcW w:w="136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earnings for stranded tax effects resulting</w:t>
            </w:r>
          </w:p>
        </w:tc>
        <w:tc>
          <w:tcPr>
            <w:tcW w:w="122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Arial" w:cs="Arial" w:eastAsia="Arial" w:hAnsi="Arial"/>
                <w:sz w:val="18"/>
                <w:szCs w:val="18"/>
                <w:color w:val="auto"/>
              </w:rPr>
              <w:t>statements.</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Comprehensive</w:t>
            </w:r>
          </w:p>
        </w:tc>
        <w:tc>
          <w:tcPr>
            <w:tcW w:w="136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w w:val="99"/>
              </w:rPr>
              <w:t>from the Tax Cuts and Jobs Act of 2017 and</w:t>
            </w:r>
          </w:p>
        </w:tc>
        <w:tc>
          <w:tcPr>
            <w:tcW w:w="122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Income (Topic 220)</w:t>
            </w:r>
          </w:p>
        </w:tc>
        <w:tc>
          <w:tcPr>
            <w:tcW w:w="136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w w:val="93"/>
              </w:rPr>
              <w:t>requires certain disclosures regarding stranded</w:t>
            </w:r>
          </w:p>
        </w:tc>
        <w:tc>
          <w:tcPr>
            <w:tcW w:w="122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tax effects in accumulated other</w:t>
            </w:r>
          </w:p>
        </w:tc>
        <w:tc>
          <w:tcPr>
            <w:tcW w:w="122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30"/>
        </w:trPr>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432"/>
        </w:trPr>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80" w:type="dxa"/>
            <w:vAlign w:val="bottom"/>
          </w:tcPr>
          <w:p>
            <w:pPr>
              <w:ind w:left="2640"/>
              <w:spacing w:after="0"/>
              <w:rPr>
                <w:sz w:val="20"/>
                <w:szCs w:val="20"/>
                <w:color w:val="auto"/>
              </w:rPr>
            </w:pPr>
            <w:r>
              <w:rPr>
                <w:rFonts w:ascii="Arial" w:cs="Arial" w:eastAsia="Arial" w:hAnsi="Arial"/>
                <w:sz w:val="18"/>
                <w:szCs w:val="18"/>
                <w:color w:val="auto"/>
              </w:rPr>
              <w:t>9</w:t>
            </w:r>
          </w:p>
        </w:tc>
        <w:tc>
          <w:tcPr>
            <w:tcW w:w="122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115"/>
        </w:trPr>
        <w:tc>
          <w:tcPr>
            <w:tcW w:w="16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vMerge w:val="restart"/>
          </w:tcPr>
          <w:p>
            <w:pPr>
              <w:spacing w:after="0"/>
              <w:rPr>
                <w:sz w:val="20"/>
                <w:szCs w:val="20"/>
                <w:color w:val="auto"/>
              </w:rPr>
            </w:pPr>
            <w:r>
              <w:rPr>
                <w:rFonts w:ascii="Arial" w:cs="Arial" w:eastAsia="Arial" w:hAnsi="Arial"/>
                <w:sz w:val="14"/>
                <w:szCs w:val="14"/>
                <w:b w:val="1"/>
                <w:bCs w:val="1"/>
                <w:color w:val="auto"/>
              </w:rPr>
              <w:t>Standard</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Date of Issuance</w:t>
            </w:r>
          </w:p>
        </w:tc>
        <w:tc>
          <w:tcPr>
            <w:tcW w:w="36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Date of Required</w:t>
            </w:r>
          </w:p>
        </w:tc>
        <w:tc>
          <w:tcPr>
            <w:tcW w:w="34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Effect on the Financial Statements</w:t>
            </w:r>
          </w:p>
        </w:tc>
        <w:tc>
          <w:tcPr>
            <w:tcW w:w="0" w:type="dxa"/>
            <w:vAlign w:val="bottom"/>
          </w:tcPr>
          <w:p>
            <w:pPr>
              <w:spacing w:after="0"/>
              <w:rPr>
                <w:sz w:val="1"/>
                <w:szCs w:val="1"/>
                <w:color w:val="auto"/>
              </w:rPr>
            </w:pPr>
          </w:p>
        </w:tc>
      </w:tr>
      <w:tr>
        <w:trPr>
          <w:trHeight w:val="171"/>
        </w:trPr>
        <w:tc>
          <w:tcPr>
            <w:tcW w:w="168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362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Adoption</w:t>
            </w:r>
          </w:p>
        </w:tc>
        <w:tc>
          <w:tcPr>
            <w:tcW w:w="3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ASU 2016-13</w:t>
            </w:r>
            <w:r>
              <w:rPr>
                <w:rFonts w:ascii="Arial" w:cs="Arial" w:eastAsia="Arial" w:hAnsi="Arial"/>
                <w:sz w:val="18"/>
                <w:szCs w:val="18"/>
                <w:color w:val="auto"/>
              </w:rPr>
              <w:t>,</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1"/>
              </w:rPr>
              <w:t>June</w:t>
            </w:r>
          </w:p>
        </w:tc>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The amendment in this update replaces the</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January 2020</w:t>
            </w:r>
          </w:p>
        </w:tc>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1"/>
              </w:rPr>
              <w:t>We are currently evaluating the impact of the</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Financial</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2016</w:t>
            </w:r>
          </w:p>
        </w:tc>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incurred loss impairment methodology in</w:t>
            </w:r>
          </w:p>
        </w:tc>
        <w:tc>
          <w:tcPr>
            <w:tcW w:w="1340" w:type="dxa"/>
            <w:vAlign w:val="bottom"/>
            <w:shd w:val="clear" w:color="auto" w:fill="CFF0FC"/>
          </w:tcPr>
          <w:p>
            <w:pPr>
              <w:spacing w:after="0"/>
              <w:rPr>
                <w:sz w:val="18"/>
                <w:szCs w:val="18"/>
                <w:color w:val="auto"/>
              </w:rPr>
            </w:pPr>
          </w:p>
        </w:tc>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adoption on our condensed consolidated</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Instruments - Credit</w:t>
            </w:r>
          </w:p>
        </w:tc>
        <w:tc>
          <w:tcPr>
            <w:tcW w:w="1340" w:type="dxa"/>
            <w:vAlign w:val="bottom"/>
            <w:shd w:val="clear" w:color="auto" w:fill="CFF0FC"/>
          </w:tcPr>
          <w:p>
            <w:pPr>
              <w:spacing w:after="0"/>
              <w:rPr>
                <w:sz w:val="18"/>
                <w:szCs w:val="18"/>
                <w:color w:val="auto"/>
              </w:rPr>
            </w:pPr>
          </w:p>
        </w:tc>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current GAAP with a methodology that</w:t>
            </w:r>
          </w:p>
        </w:tc>
        <w:tc>
          <w:tcPr>
            <w:tcW w:w="1340" w:type="dxa"/>
            <w:vAlign w:val="bottom"/>
            <w:shd w:val="clear" w:color="auto" w:fill="CFF0FC"/>
          </w:tcPr>
          <w:p>
            <w:pPr>
              <w:spacing w:after="0"/>
              <w:rPr>
                <w:sz w:val="18"/>
                <w:szCs w:val="18"/>
                <w:color w:val="auto"/>
              </w:rPr>
            </w:pPr>
          </w:p>
        </w:tc>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Losses (Topic 326),</w:t>
            </w:r>
          </w:p>
        </w:tc>
        <w:tc>
          <w:tcPr>
            <w:tcW w:w="1340" w:type="dxa"/>
            <w:vAlign w:val="bottom"/>
            <w:shd w:val="clear" w:color="auto" w:fill="CFF0FC"/>
          </w:tcPr>
          <w:p>
            <w:pPr>
              <w:spacing w:after="0"/>
              <w:rPr>
                <w:sz w:val="18"/>
                <w:szCs w:val="18"/>
                <w:color w:val="auto"/>
              </w:rPr>
            </w:pPr>
          </w:p>
        </w:tc>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5"/>
              </w:rPr>
              <w:t>reflects expected credit losses on instruments</w:t>
            </w:r>
          </w:p>
        </w:tc>
        <w:tc>
          <w:tcPr>
            <w:tcW w:w="1340" w:type="dxa"/>
            <w:vAlign w:val="bottom"/>
            <w:shd w:val="clear" w:color="auto" w:fill="CFF0FC"/>
          </w:tcPr>
          <w:p>
            <w:pPr>
              <w:spacing w:after="0"/>
              <w:rPr>
                <w:sz w:val="18"/>
                <w:szCs w:val="18"/>
                <w:color w:val="auto"/>
              </w:rPr>
            </w:pPr>
          </w:p>
        </w:tc>
        <w:tc>
          <w:tcPr>
            <w:tcW w:w="3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Measurement of</w:t>
            </w:r>
          </w:p>
        </w:tc>
        <w:tc>
          <w:tcPr>
            <w:tcW w:w="1340" w:type="dxa"/>
            <w:vAlign w:val="bottom"/>
            <w:shd w:val="clear" w:color="auto" w:fill="CFF0FC"/>
          </w:tcPr>
          <w:p>
            <w:pPr>
              <w:spacing w:after="0"/>
              <w:rPr>
                <w:sz w:val="18"/>
                <w:szCs w:val="18"/>
                <w:color w:val="auto"/>
              </w:rPr>
            </w:pPr>
          </w:p>
        </w:tc>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within its scope, including trade receivables.</w:t>
            </w:r>
          </w:p>
        </w:tc>
        <w:tc>
          <w:tcPr>
            <w:tcW w:w="1340" w:type="dxa"/>
            <w:vAlign w:val="bottom"/>
            <w:shd w:val="clear" w:color="auto" w:fill="CFF0FC"/>
          </w:tcPr>
          <w:p>
            <w:pPr>
              <w:spacing w:after="0"/>
              <w:rPr>
                <w:sz w:val="18"/>
                <w:szCs w:val="18"/>
                <w:color w:val="auto"/>
              </w:rPr>
            </w:pPr>
          </w:p>
        </w:tc>
        <w:tc>
          <w:tcPr>
            <w:tcW w:w="3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Credit Losses on</w:t>
            </w:r>
          </w:p>
        </w:tc>
        <w:tc>
          <w:tcPr>
            <w:tcW w:w="1340" w:type="dxa"/>
            <w:vAlign w:val="bottom"/>
            <w:shd w:val="clear" w:color="auto" w:fill="CFF0FC"/>
          </w:tcPr>
          <w:p>
            <w:pPr>
              <w:spacing w:after="0"/>
              <w:rPr>
                <w:sz w:val="18"/>
                <w:szCs w:val="18"/>
                <w:color w:val="auto"/>
              </w:rPr>
            </w:pPr>
          </w:p>
        </w:tc>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This update is intended to provide financial</w:t>
            </w:r>
          </w:p>
        </w:tc>
        <w:tc>
          <w:tcPr>
            <w:tcW w:w="1340" w:type="dxa"/>
            <w:vAlign w:val="bottom"/>
            <w:shd w:val="clear" w:color="auto" w:fill="CFF0FC"/>
          </w:tcPr>
          <w:p>
            <w:pPr>
              <w:spacing w:after="0"/>
              <w:rPr>
                <w:sz w:val="18"/>
                <w:szCs w:val="18"/>
                <w:color w:val="auto"/>
              </w:rPr>
            </w:pPr>
          </w:p>
        </w:tc>
        <w:tc>
          <w:tcPr>
            <w:tcW w:w="3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w w:val="98"/>
              </w:rPr>
              <w:t>Financial Statements</w:t>
            </w:r>
          </w:p>
        </w:tc>
        <w:tc>
          <w:tcPr>
            <w:tcW w:w="1340" w:type="dxa"/>
            <w:vAlign w:val="bottom"/>
            <w:shd w:val="clear" w:color="auto" w:fill="CFF0FC"/>
          </w:tcPr>
          <w:p>
            <w:pPr>
              <w:spacing w:after="0"/>
              <w:rPr>
                <w:sz w:val="18"/>
                <w:szCs w:val="18"/>
                <w:color w:val="auto"/>
              </w:rPr>
            </w:pPr>
          </w:p>
        </w:tc>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statement users with more decision-useful</w:t>
            </w:r>
          </w:p>
        </w:tc>
        <w:tc>
          <w:tcPr>
            <w:tcW w:w="1340" w:type="dxa"/>
            <w:vAlign w:val="bottom"/>
            <w:shd w:val="clear" w:color="auto" w:fill="CFF0FC"/>
          </w:tcPr>
          <w:p>
            <w:pPr>
              <w:spacing w:after="0"/>
              <w:rPr>
                <w:sz w:val="18"/>
                <w:szCs w:val="18"/>
                <w:color w:val="auto"/>
              </w:rPr>
            </w:pPr>
          </w:p>
        </w:tc>
        <w:tc>
          <w:tcPr>
            <w:tcW w:w="3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6"/>
              </w:rPr>
              <w:t>information about the expected credit losses.</w:t>
            </w:r>
          </w:p>
        </w:tc>
        <w:tc>
          <w:tcPr>
            <w:tcW w:w="1340" w:type="dxa"/>
            <w:vAlign w:val="bottom"/>
            <w:shd w:val="clear" w:color="auto" w:fill="CFF0FC"/>
          </w:tcPr>
          <w:p>
            <w:pPr>
              <w:spacing w:after="0"/>
              <w:rPr>
                <w:sz w:val="20"/>
                <w:szCs w:val="20"/>
                <w:color w:val="auto"/>
              </w:rPr>
            </w:pPr>
          </w:p>
        </w:tc>
        <w:tc>
          <w:tcPr>
            <w:tcW w:w="34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80" w:type="dxa"/>
            <w:vAlign w:val="bottom"/>
          </w:tcPr>
          <w:p>
            <w:pPr>
              <w:spacing w:after="0"/>
              <w:rPr>
                <w:sz w:val="20"/>
                <w:szCs w:val="20"/>
                <w:color w:val="auto"/>
              </w:rPr>
            </w:pPr>
            <w:r>
              <w:rPr>
                <w:rFonts w:ascii="Arial" w:cs="Arial" w:eastAsia="Arial" w:hAnsi="Arial"/>
                <w:sz w:val="18"/>
                <w:szCs w:val="18"/>
                <w:b w:val="1"/>
                <w:bCs w:val="1"/>
                <w:color w:val="auto"/>
              </w:rPr>
              <w:t>ASU 2018-13</w:t>
            </w:r>
            <w:r>
              <w:rPr>
                <w:rFonts w:ascii="Arial" w:cs="Arial" w:eastAsia="Arial" w:hAnsi="Arial"/>
                <w:sz w:val="18"/>
                <w:szCs w:val="18"/>
                <w:color w:val="auto"/>
              </w:rPr>
              <w:t>, Fair</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August 2018</w:t>
            </w:r>
          </w:p>
        </w:tc>
        <w:tc>
          <w:tcPr>
            <w:tcW w:w="3620" w:type="dxa"/>
            <w:vAlign w:val="bottom"/>
          </w:tcPr>
          <w:p>
            <w:pPr>
              <w:ind w:left="140"/>
              <w:spacing w:after="0"/>
              <w:rPr>
                <w:sz w:val="20"/>
                <w:szCs w:val="20"/>
                <w:color w:val="auto"/>
              </w:rPr>
            </w:pPr>
            <w:r>
              <w:rPr>
                <w:rFonts w:ascii="Arial" w:cs="Arial" w:eastAsia="Arial" w:hAnsi="Arial"/>
                <w:sz w:val="18"/>
                <w:szCs w:val="18"/>
                <w:color w:val="auto"/>
                <w:w w:val="93"/>
              </w:rPr>
              <w:t>This ASU adds, modifies and removes several</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January 2020</w:t>
            </w:r>
          </w:p>
        </w:tc>
        <w:tc>
          <w:tcPr>
            <w:tcW w:w="3440" w:type="dxa"/>
            <w:vAlign w:val="bottom"/>
          </w:tcPr>
          <w:p>
            <w:pPr>
              <w:ind w:left="140"/>
              <w:spacing w:after="0"/>
              <w:rPr>
                <w:sz w:val="20"/>
                <w:szCs w:val="20"/>
                <w:color w:val="auto"/>
              </w:rPr>
            </w:pPr>
            <w:r>
              <w:rPr>
                <w:rFonts w:ascii="Arial" w:cs="Arial" w:eastAsia="Arial" w:hAnsi="Arial"/>
                <w:sz w:val="18"/>
                <w:szCs w:val="18"/>
                <w:color w:val="auto"/>
                <w:w w:val="91"/>
              </w:rPr>
              <w:t>We are currently evaluating the impact of the</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Value Measurement</w:t>
            </w:r>
          </w:p>
        </w:tc>
        <w:tc>
          <w:tcPr>
            <w:tcW w:w="134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w w:val="98"/>
              </w:rPr>
              <w:t>disclosure requirements relative to the three</w:t>
            </w:r>
          </w:p>
        </w:tc>
        <w:tc>
          <w:tcPr>
            <w:tcW w:w="1340" w:type="dxa"/>
            <w:vAlign w:val="bottom"/>
          </w:tcPr>
          <w:p>
            <w:pPr>
              <w:spacing w:after="0"/>
              <w:rPr>
                <w:sz w:val="18"/>
                <w:szCs w:val="18"/>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rPr>
              <w:t>adoption on our condensed consolidated</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(Topic 820),</w:t>
            </w:r>
          </w:p>
        </w:tc>
        <w:tc>
          <w:tcPr>
            <w:tcW w:w="134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w w:val="97"/>
              </w:rPr>
              <w:t>levels of inputs used to measure fair value in</w:t>
            </w:r>
          </w:p>
        </w:tc>
        <w:tc>
          <w:tcPr>
            <w:tcW w:w="1340" w:type="dxa"/>
            <w:vAlign w:val="bottom"/>
          </w:tcPr>
          <w:p>
            <w:pPr>
              <w:spacing w:after="0"/>
              <w:rPr>
                <w:sz w:val="18"/>
                <w:szCs w:val="18"/>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Disclosure</w:t>
            </w:r>
          </w:p>
        </w:tc>
        <w:tc>
          <w:tcPr>
            <w:tcW w:w="134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accordance with Topic 820, Fair Value</w:t>
            </w:r>
          </w:p>
        </w:tc>
        <w:tc>
          <w:tcPr>
            <w:tcW w:w="13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Framework -</w:t>
            </w:r>
          </w:p>
        </w:tc>
        <w:tc>
          <w:tcPr>
            <w:tcW w:w="134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Measurement.</w:t>
            </w:r>
          </w:p>
        </w:tc>
        <w:tc>
          <w:tcPr>
            <w:tcW w:w="13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Changes to the</w:t>
            </w:r>
          </w:p>
        </w:tc>
        <w:tc>
          <w:tcPr>
            <w:tcW w:w="1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Disclosure</w:t>
            </w:r>
          </w:p>
        </w:tc>
        <w:tc>
          <w:tcPr>
            <w:tcW w:w="1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Requirements for</w:t>
            </w:r>
          </w:p>
        </w:tc>
        <w:tc>
          <w:tcPr>
            <w:tcW w:w="1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Fair Value</w:t>
            </w:r>
          </w:p>
        </w:tc>
        <w:tc>
          <w:tcPr>
            <w:tcW w:w="1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Measurement</w:t>
            </w:r>
          </w:p>
        </w:tc>
        <w:tc>
          <w:tcPr>
            <w:tcW w:w="13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Except for the accounting policy for leases that was updated as a result of adopting ASU 2016-02, there were no material changes in our significant accounting policies during the nine months ended September 30, 2019. See Note A to the consolidated financial statements included in our Annual Report on Form 10-K/A for the year ended December 31, 2018, as filed with the SEC, for additional information regarding our significant accounting policies.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Business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MAPADOC</w:t>
      </w:r>
    </w:p>
    <w:p>
      <w:pPr>
        <w:spacing w:after="0" w:line="12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On August 26, 2019, we completed our asset acquisition of the MAPADOC business, an operating unit of SWK Technologies, Inc., a leading provider of EDI System Automation solutions for the Sage and Acumatica markets. Pursuant to the asset purchase agreement, the purchase price is $11.8 million, of which $11.5 million has been paid in cash and $0.3 million is due to the seller as part of the initial net working capital adjustment. The net working capital adjustment will be paid in cash upon final net working capital settlement. The purchase accounting for the MAPADOC acquisition has not been finalized as of September 30, 2019. Provisional amounts are primarily related to intangible assets and net working capital. We expect to finalize the allocation of purchase price within the one-year measurement period following the acquisition.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accounted for the acquisition as a business combination. We allocated the purchase price to the tangible and identifiable intangible assets acquired and liabilities assumed based on their estimated fair values as of the acquisition date. We engaged a third-party valuation firm to assist us in the determination of the value of the purchased intangible assets.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identifiable assets. The final purchase price is subject to a net working capital adjustment to be determined by the sellers and us, pursuant to the terms of the purchase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0" w:name="page11"/>
    <w:bookmarkEnd w:id="10"/>
    <w:p>
      <w:pPr>
        <w:ind w:left="520"/>
        <w:spacing w:after="0"/>
        <w:rPr>
          <w:sz w:val="20"/>
          <w:szCs w:val="20"/>
          <w:color w:val="auto"/>
        </w:rPr>
      </w:pPr>
      <w:r>
        <w:rPr>
          <w:rFonts w:ascii="Arial" w:cs="Arial" w:eastAsia="Arial" w:hAnsi="Arial"/>
          <w:sz w:val="17"/>
          <w:szCs w:val="17"/>
          <w:color w:val="auto"/>
        </w:rPr>
        <w:t>The following table summarizes the estimated fair values of the assets acquired and liabilities assumed at the acquisition date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482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Goodwill</w:t>
            </w:r>
          </w:p>
        </w:tc>
        <w:tc>
          <w:tcPr>
            <w:tcW w:w="4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6,570</w:t>
            </w: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40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Deferred revenue</w:t>
            </w:r>
          </w:p>
        </w:tc>
        <w:tc>
          <w:tcPr>
            <w:tcW w:w="4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r>
      <w:tr>
        <w:trPr>
          <w:trHeight w:val="223"/>
        </w:trPr>
        <w:tc>
          <w:tcPr>
            <w:tcW w:w="5340" w:type="dxa"/>
            <w:vAlign w:val="bottom"/>
            <w:tcBorders>
              <w:top w:val="single" w:sz="8" w:color="CFF0FC"/>
              <w:bottom w:val="single" w:sz="8" w:color="CFF0FC"/>
            </w:tcBorders>
            <w:shd w:val="clear" w:color="auto" w:fill="CFF0FC"/>
          </w:tcPr>
          <w:p>
            <w:pPr>
              <w:spacing w:after="0"/>
              <w:rPr>
                <w:sz w:val="19"/>
                <w:szCs w:val="19"/>
                <w:color w:val="auto"/>
              </w:rPr>
            </w:pPr>
          </w:p>
        </w:tc>
        <w:tc>
          <w:tcPr>
            <w:tcW w:w="40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Purchased 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estimated fair value of the purchased intangible assets and their estimated useful lives: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Estimated</w:t>
            </w:r>
          </w:p>
        </w:tc>
      </w:tr>
      <w:tr>
        <w:trPr>
          <w:trHeight w:val="162"/>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59"/>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w:t>
            </w:r>
          </w:p>
        </w:tc>
      </w:tr>
      <w:tr>
        <w:trPr>
          <w:trHeight w:val="171"/>
        </w:trPr>
        <w:tc>
          <w:tcPr>
            <w:tcW w:w="7700" w:type="dxa"/>
            <w:vAlign w:val="bottom"/>
          </w:tcPr>
          <w:p>
            <w:pPr>
              <w:spacing w:after="0"/>
              <w:rPr>
                <w:sz w:val="20"/>
                <w:szCs w:val="20"/>
                <w:color w:val="auto"/>
              </w:rPr>
            </w:pPr>
            <w:r>
              <w:rPr>
                <w:rFonts w:ascii="Arial" w:cs="Arial" w:eastAsia="Arial" w:hAnsi="Arial"/>
                <w:sz w:val="14"/>
                <w:szCs w:val="14"/>
                <w:b w:val="1"/>
                <w:bCs w:val="1"/>
                <w:color w:val="auto"/>
              </w:rPr>
              <w:t>Purchased Intangible Assets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r>
      <w:tr>
        <w:trPr>
          <w:trHeight w:val="223"/>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Subscriber relationships</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8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r>
      <w:tr>
        <w:trPr>
          <w:trHeight w:val="223"/>
        </w:trPr>
        <w:tc>
          <w:tcPr>
            <w:tcW w:w="77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4,900</w:t>
            </w:r>
          </w:p>
        </w:tc>
        <w:tc>
          <w:tcPr>
            <w:tcW w:w="28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purchased intangible assets are being amortized on a straight-line basis over their estimated useful lives. Amortization expense for the period from August 26, 2019 through September 30, 2019 was not material.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EDIAdmin</w:t>
      </w:r>
    </w:p>
    <w:p>
      <w:pPr>
        <w:spacing w:after="0" w:line="121"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On October 3, 2018, we completed our asset acquisition of EDIAdmin, a privately held company providing end-to-end integration solutions, featuring a dedicated Integration Platform as a Service (“iPaaS”) called Cloud Hybrid Integration Platform (“CHIP”) and collaborative managed services for leading systems and applications, both cloud-based and on-premise. Pursuant to the asset purchase agreement, we paid $7.5 million in cash to the owner of EDIAdmin. The purchase agreement also allowed the seller to receive up to $1.7 million in cash, which becomes payable in first quarter 2020 and 2021 contingent upon the completion of certain revenue milestones at December 31, 2019 and December 31, 2020. The fair value of this contingent consideration was $1.3 million at the date of acquisition and $1.0 million at September 30, 2019. Due to the remeasurement of the contingent liability, we recognized an insignificant amount of income and $0.4 million of income for the three and nine months ended September 30, 2019, respectively, in our condensed consolidated statements of comprehensive income. See Note E for further disclosures on the remeasurement of the contingent liability.</w:t>
      </w:r>
    </w:p>
    <w:p>
      <w:pPr>
        <w:spacing w:after="0" w:line="16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allocated the purchase price to the tangible and identifiable intangible assets acquired and liabilities assumed based on their estimated fair values as of the acquisition date.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identifiable assets. The purchase accounting for the EDIAdmin acquisition was complete as of December 31, 2018. The consolidated balance sheet as of December 31, 2018 reflects the final allocation of the purchase price to the assets acquired and liabilities assumed based on their estimated fair values at the date of acquisition.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CovalentWorks</w:t>
      </w:r>
    </w:p>
    <w:p>
      <w:pPr>
        <w:spacing w:after="0" w:line="12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On December 18, 2018, we completed our asset acquisition of CovalentWorks, a privately held company providing cloud-based EDI solutions to small- and medium-sized businesses. Pursuant to the asset purchase agreement, we paid $19.4 million in cash and issued $3.4 million in common stock, or 80,956 shares, as adjusted for the two-for-one stock split, to the owners of CovalentWorks.</w:t>
      </w:r>
    </w:p>
    <w:p>
      <w:pPr>
        <w:spacing w:after="0" w:line="18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allocated the purchase price to the tangible and identifiable intangible assets acquired and liabilities assumed based on their estimated fair values as of the acquisition date.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identifiable assets. The purchase accounting, purchase price allocation and net working capital adjustment for the CovalentWorks acquisition were finalized during the first quarter of 2019 and there have been no subsequent adjustments.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C – Revenue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our revenues primarily from the following revenue streams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Fulfillment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55,546</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48,482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161,685</w:t>
            </w:r>
          </w:p>
        </w:tc>
        <w:tc>
          <w:tcPr>
            <w:tcW w:w="6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140,326</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Analytics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25,639</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3,969</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66,426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58,644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193,528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169,934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One-time revenues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12,863</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13,117</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70,928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62,868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206,391</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183,051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00" w:firstLine="518"/>
        <w:spacing w:after="0" w:line="27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Revenues</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Recurring revenues consists of recurring subscriptions from customers that utilize our Fulfillment, Analytics, and Other cloud-based supply chain management solutions. Revenue for these solutions is generally recognized on a ratable basis over the contract term beginning on the date that our service is made available to the customer. Our contracts with our recurring revenue customers are recurring in nature,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188"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deferred revenue liability for recurring revenue contracts are for one year or less and recognized on a ratable basis over the contract term. We have applied the optional exemption under Accounting Standards Codification (“ASC”) 606-10-50-14(a) and will not disclose information about the remaining performance obligations for contracts which have original durations of one year or less.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One-time Revenues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One-time revenues consist of set-up fees from customers and miscellaneous one-time fees.</w:t>
      </w:r>
    </w:p>
    <w:p>
      <w:pPr>
        <w:spacing w:after="0" w:line="225"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Set-up fees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 Except for our Analytics platform, we have determined the set-up fees represent a material renewal option right to our customers as they will not be incurred again upon renewal. These set-up fees and related costs are deferred and recognized ratably over two years, which is the estimated connection life between the customer and the trading partner. For our Analytics platform, we have determined the set-up fees do not represent a material customer renewal right and, as such, are deferred and recognized ratably over the estimated initial contract term, which is one year.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Balances, at beginning of period</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Invoiced set-up fees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7,807</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set-up fees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(2,584)</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(2,596)</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(7,744)</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(7,851)</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Balances, at end of period</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10,078</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9,987</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entire balance of set-up fees will be recognized within two years and, as such, current amounts will be recognized in the next 1-12 months and long-term amounts will be recognized in the next 13-24 months.</w:t>
      </w:r>
    </w:p>
    <w:p>
      <w:pPr>
        <w:spacing w:after="0" w:line="170"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Miscellaneous one-time fees consist of professional services and testing and certification. The deferred revenue liability for these one-time fees are for one year or less and recognized at the time service is provided. We have applied the optional exemption under ASC 606-10-50-14(a) and will not disclose information about the remaining performance obligations for contracts which have original durations of one year or less.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Deferred Costs</w:t>
      </w:r>
    </w:p>
    <w:p>
      <w:pPr>
        <w:spacing w:after="0" w:line="121"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Deferred costs consist of costs to obtain customer contracts, such as commissions paid to sales personnel and to third-party partners for customer referrals, and costs to fulfill customer contracts, such as customer implementation costs.</w:t>
      </w:r>
    </w:p>
    <w:p>
      <w:pPr>
        <w:spacing w:after="0" w:line="170"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Sales commissions relating to recurring revenues are considered incremental and recoverable costs of obtaining a contract with our customer. These commissions are calculated based on estimated annual recurring revenue to be generated over the customer’s initial contract year. These costs are deferred and amortized over the expected period of benefit which we have determined to be two years. Amortization expense is included in sales and marketing expenses in the accompanying condensed consolidated statements of comprehensive income.</w:t>
      </w:r>
    </w:p>
    <w:p>
      <w:pPr>
        <w:spacing w:after="0" w:line="17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Customer implementation costs are considered incremental and recoverable costs of obtaining a contract with our customer. These costs are deferred and amortized over the expected period of benefit which we have determined to be two years. Amortization expense is included in cost of revenues in the accompanying condensed consolidated statements of comprehensive income.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presents the activity of deferred costs and amortization of deferred costs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Balances, at beginning of period</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45,528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42,544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39,933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Incurred deferred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12,676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12,391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36,888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36,807</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deferred costs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(12,623)</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(11,204)</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(36,782)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(33,009)</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Balances, at end of period</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45,581</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43,731</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43,731</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Financial Instruments</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invest primarily in money market funds, certificates of deposit, highly liquid debt instruments of the U.S. government and U.S. corporate debt securities. All investments with remaining maturities of less than one year from the balance sheet date are classified as short-term investments. Investments with remaining maturities of more than one year from the balance sheet date are classified as long-term investments. As of September 30, 2019 and December 31, 2018, all of our investments held were classified as short-term.</w:t>
      </w:r>
    </w:p>
    <w:p>
      <w:pPr>
        <w:spacing w:after="0" w:line="18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Our short-term marketable securities are classified as available-for-sale. We intend to hold marketable securities until maturity; however, we may sell these securities at any time for use in current operations or for other purposes.</w:t>
      </w:r>
    </w:p>
    <w:p>
      <w:pPr>
        <w:spacing w:after="0" w:line="17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marketable securities are carried at fair value and unrealized gains and losses on these investments, net of taxes, are included in accumulated other comprehensive loss in the condensed consolidated balance sheets. Realized gains or losses are included in other income (expense), net in the condensed consolidated statements of comprehensive income. When a determination has been made that an other-than-temporary decline in fair value has occurred, the amount of the decline that is related to a credit loss is realized and is included in other income (expense), net in the condensed consolidated statements of comprehensive income.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Cash equivalents and short-term investments consisted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September 30, 2019</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4"/>
              <w:spacing w:after="0" w:line="147"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234"/>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r>
      <w:tr>
        <w:trPr>
          <w:trHeight w:val="171"/>
        </w:trPr>
        <w:tc>
          <w:tcPr>
            <w:tcW w:w="4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Gains (Losses)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2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124,046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124,046</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Certificates of deposit</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6,747</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19,810</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9,961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10,002</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2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14,778</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14,887</w:t>
            </w:r>
          </w:p>
        </w:tc>
        <w:tc>
          <w:tcPr>
            <w:tcW w:w="100" w:type="dxa"/>
            <w:vAlign w:val="bottom"/>
            <w:shd w:val="clear" w:color="auto" w:fill="CFF0FC"/>
          </w:tcPr>
          <w:p>
            <w:pPr>
              <w:spacing w:after="0"/>
              <w:rPr>
                <w:sz w:val="19"/>
                <w:szCs w:val="19"/>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w:t>
            </w:r>
          </w:p>
        </w:tc>
        <w:tc>
          <w:tcPr>
            <w:tcW w:w="24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175,353</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175,492</w:t>
            </w:r>
          </w:p>
        </w:tc>
        <w:tc>
          <w:tcPr>
            <w:tcW w:w="10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4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4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4"/>
              <w:spacing w:after="0" w:line="147"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234"/>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r>
      <w:tr>
        <w:trPr>
          <w:trHeight w:val="171"/>
        </w:trPr>
        <w:tc>
          <w:tcPr>
            <w:tcW w:w="4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Gains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2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109,265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109,265</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Certificates of deposit</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15,234</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9,889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9,965</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2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12,300</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12,338</w:t>
            </w:r>
          </w:p>
        </w:tc>
        <w:tc>
          <w:tcPr>
            <w:tcW w:w="100" w:type="dxa"/>
            <w:vAlign w:val="bottom"/>
            <w:shd w:val="clear" w:color="auto" w:fill="CFF0FC"/>
          </w:tcPr>
          <w:p>
            <w:pPr>
              <w:spacing w:after="0"/>
              <w:rPr>
                <w:sz w:val="19"/>
                <w:szCs w:val="19"/>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w:t>
            </w:r>
          </w:p>
        </w:tc>
        <w:tc>
          <w:tcPr>
            <w:tcW w:w="24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153,648</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153,802</w:t>
            </w:r>
          </w:p>
        </w:tc>
        <w:tc>
          <w:tcPr>
            <w:tcW w:w="10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firstLine="518"/>
        <w:spacing w:after="0" w:line="342" w:lineRule="auto"/>
        <w:rPr>
          <w:sz w:val="20"/>
          <w:szCs w:val="20"/>
          <w:color w:val="auto"/>
        </w:rPr>
      </w:pPr>
      <w:r>
        <w:rPr>
          <w:rFonts w:ascii="Arial" w:cs="Arial" w:eastAsia="Arial" w:hAnsi="Arial"/>
          <w:sz w:val="16"/>
          <w:szCs w:val="16"/>
          <w:color w:val="auto"/>
        </w:rPr>
        <w:t>We do not believe any of the unrealized losses represent an other-than-temporary impairment based on our valuation of available evidence as of September 30, 2019. We expect to receive the full principal and interest on all of these cash equivalents, certificates of deposit, and marketable securities.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39"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1040" w:right="360" w:hanging="519"/>
        <w:spacing w:after="0" w:line="279"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 We obtain the fair values of our level 2 available-for-sale securities from a professional pricing service.</w:t>
      </w:r>
    </w:p>
    <w:p>
      <w:pPr>
        <w:spacing w:after="0" w:line="63" w:lineRule="exact"/>
        <w:rPr>
          <w:rFonts w:ascii="Arial" w:cs="Arial" w:eastAsia="Arial" w:hAnsi="Arial"/>
          <w:sz w:val="17"/>
          <w:szCs w:val="17"/>
          <w:color w:val="auto"/>
        </w:rPr>
      </w:pPr>
    </w:p>
    <w:p>
      <w:pPr>
        <w:ind w:left="1040" w:hanging="519"/>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3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For the earn-out liability related to the EDIAdmin acquisition, the Company utilized the Monte Carlo simulation method to estimate the fair value of this contingent liability as of the reporting date. Thousands of iterations of the simulation were performed using forecasted revenues to develop a distribution of future values of recurring revenue which, in turn, provide indicated earn-out payments. The total estimated fair value equals the sum of the average present values of the indicated earn-out payments. Changes in assumptions described above could have an impact on the payout of contingent consideration with a maximum payout being $1.7 million. The earn-out liability has been measured as Level 3 given the unobservable inputs that are significant to the measurement of the liability.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4" w:name="page15"/>
    <w:bookmarkEnd w:id="14"/>
    <w:p>
      <w:pPr>
        <w:ind w:right="420" w:firstLine="518"/>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94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124,046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14,887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130,793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Earn-out liability</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1,002</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94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109,265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15,234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Earn-out liability</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1,368</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 xml:space="preserve">The Company </w:t>
      </w:r>
      <w:r>
        <w:rPr>
          <w:rFonts w:ascii="Arial" w:cs="Arial" w:eastAsia="Arial" w:hAnsi="Arial"/>
          <w:sz w:val="18"/>
          <w:szCs w:val="18"/>
          <w:color w:val="212529"/>
        </w:rPr>
        <w:t>measures certain assets and liabilities at fair value on a nonrecurring basis. Assets and liabilities that are measured at fair value on a</w:t>
      </w:r>
      <w:r>
        <w:rPr>
          <w:rFonts w:ascii="Arial" w:cs="Arial" w:eastAsia="Arial" w:hAnsi="Arial"/>
          <w:sz w:val="18"/>
          <w:szCs w:val="18"/>
          <w:color w:val="auto"/>
        </w:rPr>
        <w:t xml:space="preserve"> </w:t>
      </w:r>
      <w:r>
        <w:rPr>
          <w:rFonts w:ascii="Arial" w:cs="Arial" w:eastAsia="Arial" w:hAnsi="Arial"/>
          <w:sz w:val="18"/>
          <w:szCs w:val="18"/>
          <w:color w:val="212529"/>
        </w:rPr>
        <w:t>nonrecurring basis include long-lived assets, goodwill and indefinite-lived intangible assets, which would generally be recorded at fair value as a result of an impairment charge. Assets acquired and liabilities assumed as part of business combinations are measured at fair value. For additional information on the Company's business combinations and the related nonrecurring fair value measurement of the assets acquired and liabilities assumed, refer to Note B, Business Acquisitions.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17"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carrying values of the Company's short-term financial instruments, including cash and cash equivalents, accounts receivable, and accounts payable, when applicable, approximate their respective fair values due to their short-term nature.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F – Goodwill and Intangible Assets,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net carrying amount of goodwill for the nine months ended September 30, 2019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69,658</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ind w:left="260"/>
              <w:spacing w:after="0"/>
              <w:rPr>
                <w:sz w:val="20"/>
                <w:szCs w:val="20"/>
                <w:color w:val="auto"/>
              </w:rPr>
            </w:pPr>
            <w:r>
              <w:rPr>
                <w:rFonts w:ascii="Arial" w:cs="Arial" w:eastAsia="Arial" w:hAnsi="Arial"/>
                <w:sz w:val="18"/>
                <w:szCs w:val="18"/>
                <w:color w:val="auto"/>
              </w:rPr>
              <w:t>Goodwill acquired during the period</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6,570</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FF0FC"/>
          </w:tcPr>
          <w:p>
            <w:pPr>
              <w:spacing w:after="0"/>
              <w:rPr>
                <w:sz w:val="19"/>
                <w:szCs w:val="19"/>
                <w:color w:val="auto"/>
              </w:rPr>
            </w:pPr>
          </w:p>
        </w:tc>
      </w:tr>
      <w:tr>
        <w:trPr>
          <w:trHeight w:val="223"/>
        </w:trPr>
        <w:tc>
          <w:tcPr>
            <w:tcW w:w="940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76,366</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Intangible assets subject to amortization primarily include subscriber relationships, non-competition agreements and acquired technology and are amortized over their respective useful lives (ranging from 1 to 10 years). Intangible assets, net included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43,640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(2,334)</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other</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(2,372)</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6,138</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54,637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(30,884)</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23,844</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43,212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(2,247)</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other</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3,151</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estimated annual amortization expense related to intangible assets subject to amortization for the next five years is as follows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476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2020</w:t>
            </w:r>
          </w:p>
        </w:tc>
        <w:tc>
          <w:tcPr>
            <w:tcW w:w="4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5,309</w:t>
            </w:r>
          </w:p>
        </w:tc>
        <w:tc>
          <w:tcPr>
            <w:tcW w:w="10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0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w:t>
            </w:r>
          </w:p>
        </w:tc>
        <w:tc>
          <w:tcPr>
            <w:tcW w:w="10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2022</w:t>
            </w:r>
          </w:p>
        </w:tc>
        <w:tc>
          <w:tcPr>
            <w:tcW w:w="4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0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w:t>
            </w:r>
          </w:p>
        </w:tc>
        <w:tc>
          <w:tcPr>
            <w:tcW w:w="100" w:type="dxa"/>
            <w:vAlign w:val="bottom"/>
            <w:shd w:val="clear" w:color="auto" w:fill="CFF0FC"/>
          </w:tcPr>
          <w:p>
            <w:pPr>
              <w:spacing w:after="0"/>
              <w:rPr>
                <w:sz w:val="19"/>
                <w:szCs w:val="19"/>
                <w:color w:val="auto"/>
              </w:rPr>
            </w:pPr>
          </w:p>
        </w:tc>
      </w:tr>
      <w:tr>
        <w:trPr>
          <w:trHeight w:val="230"/>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0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5,988</w:t>
            </w:r>
          </w:p>
        </w:tc>
        <w:tc>
          <w:tcPr>
            <w:tcW w:w="100" w:type="dxa"/>
            <w:vAlign w:val="bottom"/>
            <w:tcBorders>
              <w:bottom w:val="single" w:sz="8" w:color="CFF0FC"/>
            </w:tcBorders>
          </w:tcPr>
          <w:p>
            <w:pPr>
              <w:spacing w:after="0"/>
              <w:rPr>
                <w:sz w:val="19"/>
                <w:szCs w:val="19"/>
                <w:color w:val="auto"/>
              </w:rPr>
            </w:pPr>
          </w:p>
        </w:tc>
      </w:tr>
      <w:tr>
        <w:trPr>
          <w:trHeight w:val="223"/>
        </w:trPr>
        <w:tc>
          <w:tcPr>
            <w:tcW w:w="5400" w:type="dxa"/>
            <w:vAlign w:val="bottom"/>
            <w:tcBorders>
              <w:bottom w:val="single" w:sz="8" w:color="CFF0FC"/>
            </w:tcBorders>
            <w:shd w:val="clear" w:color="auto" w:fill="CFF0FC"/>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Other Assets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changes in the net amount of capitalized implementation costs for internal-use software from hosting arrangements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is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ind w:left="260"/>
              <w:spacing w:after="0"/>
              <w:rPr>
                <w:sz w:val="20"/>
                <w:szCs w:val="20"/>
                <w:color w:val="auto"/>
              </w:rPr>
            </w:pPr>
            <w:r>
              <w:rPr>
                <w:rFonts w:ascii="Arial" w:cs="Arial" w:eastAsia="Arial" w:hAnsi="Arial"/>
                <w:sz w:val="18"/>
                <w:szCs w:val="18"/>
                <w:color w:val="auto"/>
              </w:rPr>
              <w:t>Capitalized implementation fees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implementation fees</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r>
      <w:tr>
        <w:trPr>
          <w:trHeight w:val="223"/>
        </w:trPr>
        <w:tc>
          <w:tcPr>
            <w:tcW w:w="940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impairment losses in relation to the capitalized implementation costs for the period presented.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H – Leases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obligated under non-cancellable operating leases, primarily for office space and certain equipment,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3660" w:type="dxa"/>
            <w:vAlign w:val="bottom"/>
            <w:gridSpan w:val="5"/>
          </w:tcPr>
          <w:p>
            <w:pPr>
              <w:ind w:left="1160"/>
              <w:spacing w:after="0"/>
              <w:rPr>
                <w:sz w:val="20"/>
                <w:szCs w:val="20"/>
                <w:color w:val="auto"/>
              </w:rPr>
            </w:pPr>
            <w:r>
              <w:rPr>
                <w:rFonts w:ascii="Arial" w:cs="Arial" w:eastAsia="Arial" w:hAnsi="Arial"/>
                <w:sz w:val="14"/>
                <w:szCs w:val="14"/>
                <w:b w:val="1"/>
                <w:bCs w:val="1"/>
                <w:color w:val="auto"/>
              </w:rPr>
              <w:t>September 30, 2019</w:t>
            </w:r>
          </w:p>
        </w:tc>
      </w:tr>
      <w:tr>
        <w:trPr>
          <w:trHeight w:val="146"/>
        </w:trPr>
        <w:tc>
          <w:tcPr>
            <w:tcW w:w="7760" w:type="dxa"/>
            <w:vAlign w:val="bottom"/>
          </w:tcPr>
          <w:p>
            <w:pPr>
              <w:spacing w:after="0"/>
              <w:rPr>
                <w:sz w:val="12"/>
                <w:szCs w:val="12"/>
                <w:color w:val="auto"/>
              </w:rPr>
            </w:pPr>
          </w:p>
        </w:tc>
        <w:tc>
          <w:tcPr>
            <w:tcW w:w="1980" w:type="dxa"/>
            <w:vAlign w:val="bottom"/>
            <w:tcBorders>
              <w:top w:val="single" w:sz="8" w:color="auto"/>
            </w:tcBorders>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center"/>
              <w:ind w:right="36"/>
              <w:spacing w:after="0" w:line="147" w:lineRule="exact"/>
              <w:rPr>
                <w:sz w:val="20"/>
                <w:szCs w:val="20"/>
                <w:color w:val="auto"/>
              </w:rPr>
            </w:pPr>
            <w:r>
              <w:rPr>
                <w:rFonts w:ascii="Arial" w:cs="Arial" w:eastAsia="Arial" w:hAnsi="Arial"/>
                <w:sz w:val="14"/>
                <w:szCs w:val="14"/>
                <w:b w:val="1"/>
                <w:bCs w:val="1"/>
                <w:color w:val="auto"/>
                <w:w w:val="92"/>
              </w:rPr>
              <w:t>Right-of-Use</w:t>
            </w:r>
          </w:p>
        </w:tc>
        <w:tc>
          <w:tcPr>
            <w:tcW w:w="100" w:type="dxa"/>
            <w:vAlign w:val="bottom"/>
          </w:tcPr>
          <w:p>
            <w:pPr>
              <w:spacing w:after="0"/>
              <w:rPr>
                <w:sz w:val="12"/>
                <w:szCs w:val="12"/>
                <w:color w:val="auto"/>
              </w:rPr>
            </w:pPr>
          </w:p>
        </w:tc>
      </w:tr>
      <w:tr>
        <w:trPr>
          <w:trHeight w:val="171"/>
        </w:trPr>
        <w:tc>
          <w:tcPr>
            <w:tcW w:w="7760" w:type="dxa"/>
            <w:vAlign w:val="bottom"/>
          </w:tcPr>
          <w:p>
            <w:pPr>
              <w:spacing w:after="0"/>
              <w:rPr>
                <w:sz w:val="14"/>
                <w:szCs w:val="14"/>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Term (years)</w:t>
            </w:r>
          </w:p>
        </w:tc>
        <w:tc>
          <w:tcPr>
            <w:tcW w:w="12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Asset (in thousands)</w:t>
            </w: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Minneapolis, MN lease</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Little Falls, NJ lease</w:t>
            </w: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leases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&lt; 1 - 3</w:t>
            </w:r>
          </w:p>
        </w:tc>
        <w:tc>
          <w:tcPr>
            <w:tcW w:w="4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13,648</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Some of our leases may include options to extend the leases for up to 5 years. The options to extend our leases are not recognized as part of our ROU assets and lease liabilities as it is not reasonably certain that we will exercise those options. Additionally, our agreements do not include options to terminate the leases.</w:t>
      </w:r>
    </w:p>
    <w:p>
      <w:pPr>
        <w:spacing w:after="0" w:line="18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On December 20, 2017, we executed the fourth amendment to our lease agreement for our current headquarters located in Minneapolis, Minnesota where we lease approximately 189,000 square feet under an agreement that expires on April 30, 2025. We have agreed to expand our headquarters premises by approximately 25,000 square feet during 2020. Our lease agreement also includes a further expansion right and a right of first offer to lease certain additional space and two options to extend the term of the lease for five years at a market rate determined in accordance with the lease. Incentives of $6.4 million are included as a lease component.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February 25, 2016, we executed the first amendment to our lease agreement for our Little Falls, New Jersey location where we lease approximately</w:t>
      </w:r>
    </w:p>
    <w:p>
      <w:pPr>
        <w:spacing w:after="0" w:line="4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26,000 square feet under an agreement that expires on June 30, 2023. The agreement includes an option to extend the term of the lease for five years at a market rate determined in accordance with the lease. Incentives of $0.9 million are included as a lease component.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4660" w:type="dxa"/>
            <w:vAlign w:val="bottom"/>
            <w:tcBorders>
              <w:bottom w:val="single" w:sz="8" w:color="CFF0FC"/>
            </w:tcBorders>
          </w:tcPr>
          <w:p>
            <w:pPr>
              <w:spacing w:after="0"/>
              <w:rPr>
                <w:sz w:val="13"/>
                <w:szCs w:val="13"/>
                <w:color w:val="auto"/>
              </w:rPr>
            </w:pPr>
          </w:p>
        </w:tc>
        <w:tc>
          <w:tcPr>
            <w:tcW w:w="32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center"/>
              <w:ind w:right="59"/>
              <w:spacing w:after="0" w:line="155"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center"/>
              <w:ind w:right="59"/>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3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w:t>
            </w:r>
          </w:p>
        </w:tc>
        <w:tc>
          <w:tcPr>
            <w:tcW w:w="120" w:type="dxa"/>
            <w:vAlign w:val="bottom"/>
            <w:shd w:val="clear" w:color="auto" w:fill="CFF0FC"/>
          </w:tcPr>
          <w:p>
            <w:pPr>
              <w:spacing w:after="0"/>
              <w:rPr>
                <w:sz w:val="19"/>
                <w:szCs w:val="19"/>
                <w:color w:val="auto"/>
              </w:rPr>
            </w:pPr>
          </w:p>
        </w:tc>
      </w:tr>
      <w:tr>
        <w:trPr>
          <w:trHeight w:val="230"/>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3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120" w:type="dxa"/>
            <w:vAlign w:val="bottom"/>
            <w:tcBorders>
              <w:bottom w:val="single" w:sz="8" w:color="CFF0FC"/>
            </w:tcBorders>
          </w:tcPr>
          <w:p>
            <w:pPr>
              <w:spacing w:after="0"/>
              <w:rPr>
                <w:sz w:val="19"/>
                <w:szCs w:val="19"/>
                <w:color w:val="auto"/>
              </w:rPr>
            </w:pPr>
          </w:p>
        </w:tc>
      </w:tr>
      <w:tr>
        <w:trPr>
          <w:trHeight w:val="223"/>
        </w:trPr>
        <w:tc>
          <w:tcPr>
            <w:tcW w:w="4660" w:type="dxa"/>
            <w:vAlign w:val="bottom"/>
            <w:tcBorders>
              <w:bottom w:val="single" w:sz="8" w:color="CFF0FC"/>
            </w:tcBorders>
            <w:shd w:val="clear" w:color="auto" w:fill="CFF0FC"/>
          </w:tcPr>
          <w:p>
            <w:pPr>
              <w:spacing w:after="0"/>
              <w:rPr>
                <w:sz w:val="19"/>
                <w:szCs w:val="19"/>
                <w:color w:val="auto"/>
              </w:rPr>
            </w:pPr>
          </w:p>
        </w:tc>
        <w:tc>
          <w:tcPr>
            <w:tcW w:w="3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lease cost for short-term leases was not material for the three and nine months ended September 30, 2019.</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7860" w:type="dxa"/>
            <w:vAlign w:val="bottom"/>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7860" w:type="dxa"/>
            <w:vAlign w:val="bottom"/>
            <w:tcBorders>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580" w:type="dxa"/>
            <w:vAlign w:val="bottom"/>
          </w:tcPr>
          <w:p>
            <w:pPr>
              <w:jc w:val="right"/>
              <w:spacing w:after="0"/>
              <w:rPr>
                <w:sz w:val="20"/>
                <w:szCs w:val="20"/>
                <w:color w:val="auto"/>
              </w:rPr>
            </w:pPr>
            <w:r>
              <w:rPr>
                <w:rFonts w:ascii="Arial" w:cs="Arial" w:eastAsia="Arial" w:hAnsi="Arial"/>
                <w:sz w:val="18"/>
                <w:szCs w:val="18"/>
                <w:color w:val="auto"/>
              </w:rPr>
              <w:t>1,109</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3,246</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ROU assets obtained in exchange for operating lease liabilities</w:t>
            </w:r>
          </w:p>
        </w:tc>
        <w:tc>
          <w:tcPr>
            <w:tcW w:w="1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ROU assets obtained in exchange for operating lease liabilities excludes the transition amount of $15.7 million.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September 30, 2019</w:t>
            </w: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3840" w:type="dxa"/>
            <w:vAlign w:val="bottom"/>
            <w:tcBorders>
              <w:top w:val="single" w:sz="8" w:color="CFF0FC"/>
            </w:tcBorders>
            <w:shd w:val="clear" w:color="auto" w:fill="CFF0FC"/>
          </w:tcPr>
          <w:p>
            <w:pPr>
              <w:spacing w:after="0"/>
              <w:rPr>
                <w:sz w:val="19"/>
                <w:szCs w:val="19"/>
                <w:color w:val="auto"/>
              </w:rPr>
            </w:pPr>
          </w:p>
        </w:tc>
        <w:tc>
          <w:tcPr>
            <w:tcW w:w="2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 years</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652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r>
      <w:tr>
        <w:trPr>
          <w:trHeight w:val="647"/>
        </w:trPr>
        <w:tc>
          <w:tcPr>
            <w:tcW w:w="4900" w:type="dxa"/>
            <w:vAlign w:val="bottom"/>
          </w:tcPr>
          <w:p>
            <w:pPr>
              <w:spacing w:after="0"/>
              <w:rPr>
                <w:sz w:val="24"/>
                <w:szCs w:val="24"/>
                <w:color w:val="auto"/>
              </w:rPr>
            </w:pPr>
          </w:p>
        </w:tc>
        <w:tc>
          <w:tcPr>
            <w:tcW w:w="3840" w:type="dxa"/>
            <w:vAlign w:val="bottom"/>
          </w:tcPr>
          <w:p>
            <w:pPr>
              <w:jc w:val="right"/>
              <w:ind w:right="2850"/>
              <w:spacing w:after="0"/>
              <w:rPr>
                <w:sz w:val="20"/>
                <w:szCs w:val="20"/>
                <w:color w:val="auto"/>
              </w:rPr>
            </w:pPr>
            <w:r>
              <w:rPr>
                <w:rFonts w:ascii="Arial" w:cs="Arial" w:eastAsia="Arial" w:hAnsi="Arial"/>
                <w:sz w:val="18"/>
                <w:szCs w:val="18"/>
                <w:color w:val="auto"/>
              </w:rPr>
              <w:t>17</w:t>
            </w: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80" w:type="dxa"/>
            <w:vAlign w:val="bottom"/>
          </w:tcPr>
          <w:p>
            <w:pPr>
              <w:ind w:left="500"/>
              <w:spacing w:after="0"/>
              <w:rPr>
                <w:sz w:val="20"/>
                <w:szCs w:val="20"/>
                <w:color w:val="auto"/>
              </w:rPr>
            </w:pPr>
            <w:r>
              <w:rPr>
                <w:rFonts w:ascii="Arial" w:cs="Arial" w:eastAsia="Arial" w:hAnsi="Arial"/>
                <w:sz w:val="18"/>
                <w:szCs w:val="18"/>
                <w:color w:val="auto"/>
                <w:w w:val="94"/>
              </w:rPr>
              <w:t>At September 30, 2019, our future minimum payments under operating leases were as follows (in thousands):</w:t>
            </w:r>
          </w:p>
        </w:tc>
        <w:tc>
          <w:tcPr>
            <w:tcW w:w="1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2020</w:t>
            </w: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0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2022</w:t>
            </w: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0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0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04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500"/>
              <w:spacing w:after="0"/>
              <w:rPr>
                <w:sz w:val="20"/>
                <w:szCs w:val="20"/>
                <w:color w:val="auto"/>
              </w:rPr>
            </w:pPr>
            <w:r>
              <w:rPr>
                <w:rFonts w:ascii="Arial" w:cs="Arial" w:eastAsia="Arial" w:hAnsi="Arial"/>
                <w:sz w:val="18"/>
                <w:szCs w:val="18"/>
                <w:color w:val="auto"/>
                <w:w w:val="95"/>
              </w:rPr>
              <w:t>At December 31, 2018, our future minimum payments under operating leases were as follows (in thousands):</w:t>
            </w:r>
          </w:p>
        </w:tc>
        <w:tc>
          <w:tcPr>
            <w:tcW w:w="10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87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2020</w:t>
            </w: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0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2022</w:t>
            </w: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0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0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Stock-Based Compensation</w:t>
      </w:r>
    </w:p>
    <w:p>
      <w:pPr>
        <w:spacing w:after="0" w:line="121" w:lineRule="exact"/>
        <w:rPr>
          <w:sz w:val="20"/>
          <w:szCs w:val="20"/>
          <w:color w:val="auto"/>
        </w:rPr>
      </w:pPr>
    </w:p>
    <w:p>
      <w:pPr>
        <w:ind w:right="620" w:firstLine="518"/>
        <w:spacing w:after="0" w:line="308" w:lineRule="auto"/>
        <w:rPr>
          <w:sz w:val="20"/>
          <w:szCs w:val="20"/>
          <w:color w:val="auto"/>
        </w:rPr>
      </w:pPr>
      <w:r>
        <w:rPr>
          <w:rFonts w:ascii="Arial" w:cs="Arial" w:eastAsia="Arial" w:hAnsi="Arial"/>
          <w:sz w:val="17"/>
          <w:szCs w:val="17"/>
          <w:color w:val="auto"/>
        </w:rPr>
        <w:t>On August 22, 2019, we effected a two-for-one stock split of the Company’s common stock. There was no change in the number of authorized common shares of the Company. All share and per share data have been adjusted for all periods presented to reflect the stock split.</w:t>
      </w:r>
    </w:p>
    <w:p>
      <w:pPr>
        <w:spacing w:after="0" w:line="14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Our equity compensation plans provide for the grant of incentive and nonqualified stock options, as well as other stock-based awards including restricted stock and restricted stock units (“RSU”), to employees, non-employee directors and other consultants who provide services to us. We also provide an employee stock purchase plan and 401(k) stock match.</w:t>
      </w:r>
    </w:p>
    <w:p>
      <w:pPr>
        <w:spacing w:after="0" w:line="18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Restricted stock awards result in the issuance of new shares when granted. For other stock-based awards, new shares are issued when the award is exercised, vested or released according to the terms of the agreement. In February 2019, 2,081,488 additional shares were reserved for future issuance under our 2010 Equity Incentive Plan. At September 30, 2019, there were approximately 12,255,888 million shares available for grant under approved equity compensation plans.</w:t>
      </w:r>
    </w:p>
    <w:p>
      <w:pPr>
        <w:spacing w:after="0" w:line="18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recognize stock-based compensation expense on a straight-line basis over the vesting period, except for expense relating to retirement-eligible employees which is recognized immediately upon the employee becoming retirement-eligible.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Stock-based compensation expense was allocated in the condensed consolidated statements of comprehensive income as follows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8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6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1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6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697</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6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2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1,753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5,259</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68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3,147</w:t>
            </w: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3,266</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11,316</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80" w:type="dxa"/>
            <w:vAlign w:val="bottom"/>
            <w:vMerge w:val="restart"/>
          </w:tcPr>
          <w:p>
            <w:pPr>
              <w:jc w:val="right"/>
              <w:ind w:right="70"/>
              <w:spacing w:after="0"/>
              <w:rPr>
                <w:sz w:val="20"/>
                <w:szCs w:val="20"/>
                <w:color w:val="auto"/>
              </w:rPr>
            </w:pPr>
            <w:r>
              <w:rPr>
                <w:rFonts w:ascii="Arial" w:cs="Arial" w:eastAsia="Arial" w:hAnsi="Arial"/>
                <w:sz w:val="18"/>
                <w:szCs w:val="18"/>
                <w:color w:val="auto"/>
              </w:rPr>
              <w:t>18</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Stock-based compensation expense by plan type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options</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Performance share units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stock units</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1,719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1,976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5,581</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Restricted stock awards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stock purchase plan</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401(k) stock match</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3,147</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3,266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11,316</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As of September 30, 2019, there was approximately $21.3 million of unrecognized stock-based compensation expense under our equity compensation plans, which is expected to be recognized on a straight-line basis over a weighted average period of 2.6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6780" w:type="dxa"/>
            <w:vAlign w:val="bottom"/>
          </w:tcPr>
          <w:p>
            <w:pPr>
              <w:spacing w:after="0"/>
              <w:rPr>
                <w:sz w:val="14"/>
                <w:szCs w:val="14"/>
                <w:color w:val="auto"/>
              </w:rPr>
            </w:pPr>
          </w:p>
        </w:tc>
        <w:tc>
          <w:tcPr>
            <w:tcW w:w="1340" w:type="dxa"/>
            <w:vAlign w:val="bottom"/>
          </w:tcPr>
          <w:p>
            <w:pPr>
              <w:jc w:val="center"/>
              <w:ind w:left="708"/>
              <w:spacing w:after="0"/>
              <w:rPr>
                <w:sz w:val="20"/>
                <w:szCs w:val="20"/>
                <w:color w:val="auto"/>
              </w:rPr>
            </w:pPr>
            <w:r>
              <w:rPr>
                <w:rFonts w:ascii="Arial" w:cs="Arial" w:eastAsia="Arial" w:hAnsi="Arial"/>
                <w:sz w:val="14"/>
                <w:szCs w:val="14"/>
                <w:b w:val="1"/>
                <w:bCs w:val="1"/>
                <w:color w:val="auto"/>
                <w:w w:val="90"/>
              </w:rPr>
              <w:t>Options</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Exercise Price</w:t>
            </w:r>
          </w:p>
        </w:tc>
      </w:tr>
      <w:tr>
        <w:trPr>
          <w:trHeight w:val="156"/>
        </w:trPr>
        <w:tc>
          <w:tcPr>
            <w:tcW w:w="6780" w:type="dxa"/>
            <w:vAlign w:val="bottom"/>
          </w:tcPr>
          <w:p>
            <w:pPr>
              <w:spacing w:after="0"/>
              <w:rPr>
                <w:sz w:val="13"/>
                <w:szCs w:val="13"/>
                <w:color w:val="auto"/>
              </w:rPr>
            </w:pPr>
          </w:p>
        </w:tc>
        <w:tc>
          <w:tcPr>
            <w:tcW w:w="134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jc w:val="center"/>
              <w:ind w:right="217"/>
              <w:spacing w:after="0" w:line="155" w:lineRule="exact"/>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3"/>
                <w:szCs w:val="13"/>
                <w:color w:val="auto"/>
              </w:rPr>
            </w:pPr>
          </w:p>
        </w:tc>
      </w:tr>
      <w:tr>
        <w:trPr>
          <w:trHeight w:val="230"/>
        </w:trPr>
        <w:tc>
          <w:tcPr>
            <w:tcW w:w="8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1,746,468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FF0FC"/>
          </w:tcPr>
          <w:p>
            <w:pPr>
              <w:spacing w:after="0"/>
              <w:rPr>
                <w:sz w:val="19"/>
                <w:szCs w:val="19"/>
                <w:color w:val="auto"/>
              </w:rPr>
            </w:pPr>
          </w:p>
        </w:tc>
      </w:tr>
      <w:tr>
        <w:trPr>
          <w:trHeight w:val="230"/>
        </w:trPr>
        <w:tc>
          <w:tcPr>
            <w:tcW w:w="812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184,194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53.92</w:t>
            </w:r>
          </w:p>
        </w:tc>
        <w:tc>
          <w:tcPr>
            <w:tcW w:w="100" w:type="dxa"/>
            <w:vAlign w:val="bottom"/>
          </w:tcPr>
          <w:p>
            <w:pPr>
              <w:spacing w:after="0"/>
              <w:rPr>
                <w:sz w:val="19"/>
                <w:szCs w:val="19"/>
                <w:color w:val="auto"/>
              </w:rPr>
            </w:pPr>
          </w:p>
        </w:tc>
      </w:tr>
      <w:tr>
        <w:trPr>
          <w:trHeight w:val="230"/>
        </w:trPr>
        <w:tc>
          <w:tcPr>
            <w:tcW w:w="81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(309,310)</w:t>
            </w: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FF0FC"/>
          </w:tcPr>
          <w:p>
            <w:pPr>
              <w:spacing w:after="0"/>
              <w:rPr>
                <w:sz w:val="19"/>
                <w:szCs w:val="19"/>
                <w:color w:val="auto"/>
              </w:rPr>
            </w:pPr>
          </w:p>
        </w:tc>
      </w:tr>
      <w:tr>
        <w:trPr>
          <w:trHeight w:val="230"/>
        </w:trPr>
        <w:tc>
          <w:tcPr>
            <w:tcW w:w="812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(39,818)</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19"/>
                <w:szCs w:val="19"/>
                <w:color w:val="auto"/>
              </w:rPr>
            </w:pP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2019</w:t>
            </w:r>
          </w:p>
        </w:tc>
        <w:tc>
          <w:tcPr>
            <w:tcW w:w="13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1,581,534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Of the total outstanding options at September 30, 2019, 1,129,294 were exercisable with a weighted average exercise price of $27.03 per share. The total outstanding options had a weighted average remaining contractual life of 3.2 years.</w:t>
      </w:r>
    </w:p>
    <w:p>
      <w:pPr>
        <w:spacing w:after="0" w:line="170"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first nine months of 2019 was $16.86 per share. This was estimated on the date of grant using the Black-Scholes option pricing model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Dividend yield</w:t>
            </w:r>
          </w:p>
        </w:tc>
        <w:tc>
          <w:tcPr>
            <w:tcW w:w="51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1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4.4</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180" w:type="dxa"/>
            <w:vAlign w:val="bottom"/>
          </w:tcPr>
          <w:p>
            <w:pPr>
              <w:jc w:val="right"/>
              <w:spacing w:after="0"/>
              <w:rPr>
                <w:sz w:val="20"/>
                <w:szCs w:val="20"/>
                <w:color w:val="auto"/>
              </w:rPr>
            </w:pPr>
            <w:r>
              <w:rPr>
                <w:rFonts w:ascii="Arial" w:cs="Arial" w:eastAsia="Arial" w:hAnsi="Arial"/>
                <w:sz w:val="18"/>
                <w:szCs w:val="18"/>
                <w:color w:val="auto"/>
              </w:rPr>
              <w:t>2.41%</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Restricted Stock Units and Awards</w:t>
      </w:r>
    </w:p>
    <w:p>
      <w:pPr>
        <w:spacing w:after="0" w:line="11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February 2017, our executive officers were granted performance share unit (“PSU”) awards with vesting contingent on successful attainment of pre-determined revenue targets over the course of a three-year performance period (fiscal years 2017 – 2019). The fair value is measured as the number of performance shares expected to be earned multiplied by the grant date fair value of our shares. The number of performance shares expected to vest during the current service period is estimated and the fair value of those shares is recognized over the remaining service period less any amounts already recognized.</w:t>
      </w:r>
    </w:p>
    <w:p>
      <w:pPr>
        <w:spacing w:after="0" w:line="154"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In February 2018 and 2019, our executive officers were granted PSU awards with vesting contingent on the Company’s total shareholder return as compared to indexed total shareholder return over the course of a three-year performance period (fiscal years 2018 – 2020 and fiscal years 2019 – 2021, respectively). The grant date fair value was estimated using a Monte Carlo simulation that utilizes multiple input variables that determine the probability of satisfying the performance conditions stipulated in the award and calculates the fair market value for the PSUs granted. Expense is recognized on a straight-line basis over the vesting period, regardless of whether the market condition is satisfied.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9" w:name="page20"/>
    <w:bookmarkEnd w:id="19"/>
    <w:p>
      <w:pPr>
        <w:ind w:right="100" w:firstLine="518"/>
        <w:spacing w:after="0" w:line="277" w:lineRule="auto"/>
        <w:rPr>
          <w:sz w:val="20"/>
          <w:szCs w:val="20"/>
          <w:color w:val="auto"/>
        </w:rPr>
      </w:pPr>
      <w:r>
        <w:rPr>
          <w:rFonts w:ascii="Arial" w:cs="Arial" w:eastAsia="Arial" w:hAnsi="Arial"/>
          <w:sz w:val="18"/>
          <w:szCs w:val="18"/>
          <w:color w:val="auto"/>
        </w:rPr>
        <w:t>RSUs vest over four years and, upon vesting, the holder is entitled to receive shares of our common stock. With restricted stock awards, shares of our common stock are issued when the award is granted and the restrictions lapse over one year.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for our PSUs and RSUs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6780" w:type="dxa"/>
            <w:vAlign w:val="bottom"/>
          </w:tcPr>
          <w:p>
            <w:pPr>
              <w:spacing w:after="0"/>
              <w:rPr>
                <w:sz w:val="14"/>
                <w:szCs w:val="14"/>
                <w:color w:val="auto"/>
              </w:rPr>
            </w:pPr>
          </w:p>
        </w:tc>
        <w:tc>
          <w:tcPr>
            <w:tcW w:w="24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PSUs and RSUs</w:t>
            </w:r>
          </w:p>
        </w:tc>
        <w:tc>
          <w:tcPr>
            <w:tcW w:w="220" w:type="dxa"/>
            <w:vAlign w:val="bottom"/>
          </w:tcPr>
          <w:p>
            <w:pPr>
              <w:spacing w:after="0"/>
              <w:rPr>
                <w:sz w:val="14"/>
                <w:szCs w:val="14"/>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Grant Date Fair Value</w:t>
            </w:r>
          </w:p>
        </w:tc>
      </w:tr>
      <w:tr>
        <w:trPr>
          <w:trHeight w:val="156"/>
        </w:trPr>
        <w:tc>
          <w:tcPr>
            <w:tcW w:w="6780" w:type="dxa"/>
            <w:vAlign w:val="bottom"/>
          </w:tcPr>
          <w:p>
            <w:pPr>
              <w:spacing w:after="0"/>
              <w:rPr>
                <w:sz w:val="13"/>
                <w:szCs w:val="13"/>
                <w:color w:val="auto"/>
              </w:rPr>
            </w:pPr>
          </w:p>
        </w:tc>
        <w:tc>
          <w:tcPr>
            <w:tcW w:w="2120" w:type="dxa"/>
            <w:vAlign w:val="bottom"/>
            <w:tcBorders>
              <w:top w:val="single" w:sz="8" w:color="auto"/>
            </w:tcBorders>
          </w:tcPr>
          <w:p>
            <w:pPr>
              <w:jc w:val="right"/>
              <w:ind w:right="895"/>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center"/>
              <w:ind w:right="157"/>
              <w:spacing w:after="0" w:line="155" w:lineRule="exact"/>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3"/>
                <w:szCs w:val="13"/>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754,670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Granted</w:t>
            </w:r>
          </w:p>
        </w:tc>
        <w:tc>
          <w:tcPr>
            <w:tcW w:w="2120" w:type="dxa"/>
            <w:vAlign w:val="bottom"/>
          </w:tcPr>
          <w:p>
            <w:pPr>
              <w:jc w:val="right"/>
              <w:spacing w:after="0"/>
              <w:rPr>
                <w:sz w:val="20"/>
                <w:szCs w:val="20"/>
                <w:color w:val="auto"/>
              </w:rPr>
            </w:pPr>
            <w:r>
              <w:rPr>
                <w:rFonts w:ascii="Arial" w:cs="Arial" w:eastAsia="Arial" w:hAnsi="Arial"/>
                <w:sz w:val="18"/>
                <w:szCs w:val="18"/>
                <w:color w:val="auto"/>
              </w:rPr>
              <w:t>272,454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55.90</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2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(190,624)</w:t>
            </w:r>
          </w:p>
        </w:tc>
        <w:tc>
          <w:tcPr>
            <w:tcW w:w="22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2420" w:type="dxa"/>
            <w:vAlign w:val="bottom"/>
            <w:gridSpan w:val="2"/>
          </w:tcPr>
          <w:p>
            <w:pPr>
              <w:jc w:val="right"/>
              <w:ind w:right="240"/>
              <w:spacing w:after="0"/>
              <w:rPr>
                <w:sz w:val="20"/>
                <w:szCs w:val="20"/>
                <w:color w:val="auto"/>
              </w:rPr>
            </w:pPr>
            <w:r>
              <w:rPr>
                <w:rFonts w:ascii="Arial" w:cs="Arial" w:eastAsia="Arial" w:hAnsi="Arial"/>
                <w:sz w:val="18"/>
                <w:szCs w:val="18"/>
                <w:color w:val="auto"/>
              </w:rPr>
              <w:t>(28,144)</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19"/>
                <w:szCs w:val="19"/>
                <w:color w:val="auto"/>
              </w:rPr>
            </w:pP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2019</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808,356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number of RSUs outstanding at September 30, 2019 included 88,196 units that have vested, but for which shares of common stock have not yet been issued pursuant to the terms of the agreement.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restricted stock awards activity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600" w:type="dxa"/>
            <w:vAlign w:val="bottom"/>
          </w:tcPr>
          <w:p>
            <w:pPr>
              <w:jc w:val="center"/>
              <w:ind w:left="448"/>
              <w:spacing w:after="0"/>
              <w:rPr>
                <w:sz w:val="20"/>
                <w:szCs w:val="20"/>
                <w:color w:val="auto"/>
              </w:rPr>
            </w:pPr>
            <w:r>
              <w:rPr>
                <w:rFonts w:ascii="Arial" w:cs="Arial" w:eastAsia="Arial" w:hAnsi="Arial"/>
                <w:sz w:val="14"/>
                <w:szCs w:val="14"/>
                <w:b w:val="1"/>
                <w:bCs w:val="1"/>
                <w:color w:val="auto"/>
                <w:w w:val="90"/>
              </w:rPr>
              <w:t>Restricted Stock</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b w:val="1"/>
                <w:bCs w:val="1"/>
                <w:color w:val="auto"/>
              </w:rPr>
              <w:t>Weighted Average Grant</w:t>
            </w:r>
          </w:p>
        </w:tc>
      </w:tr>
      <w:tr>
        <w:trPr>
          <w:trHeight w:val="171"/>
        </w:trPr>
        <w:tc>
          <w:tcPr>
            <w:tcW w:w="6780" w:type="dxa"/>
            <w:vAlign w:val="bottom"/>
          </w:tcPr>
          <w:p>
            <w:pPr>
              <w:spacing w:after="0"/>
              <w:rPr>
                <w:sz w:val="14"/>
                <w:szCs w:val="14"/>
                <w:color w:val="auto"/>
              </w:rPr>
            </w:pPr>
          </w:p>
        </w:tc>
        <w:tc>
          <w:tcPr>
            <w:tcW w:w="1600" w:type="dxa"/>
            <w:vAlign w:val="bottom"/>
          </w:tcPr>
          <w:p>
            <w:pPr>
              <w:jc w:val="center"/>
              <w:ind w:left="448"/>
              <w:spacing w:after="0"/>
              <w:rPr>
                <w:sz w:val="20"/>
                <w:szCs w:val="20"/>
                <w:color w:val="auto"/>
              </w:rPr>
            </w:pPr>
            <w:r>
              <w:rPr>
                <w:rFonts w:ascii="Arial" w:cs="Arial" w:eastAsia="Arial" w:hAnsi="Arial"/>
                <w:sz w:val="14"/>
                <w:szCs w:val="14"/>
                <w:b w:val="1"/>
                <w:bCs w:val="1"/>
                <w:color w:val="auto"/>
                <w:w w:val="94"/>
              </w:rPr>
              <w:t>Awards (#)</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b w:val="1"/>
                <w:bCs w:val="1"/>
                <w:color w:val="auto"/>
              </w:rPr>
              <w:t>Date Fair Value ($/share)</w:t>
            </w: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6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380" w:type="dxa"/>
            <w:vAlign w:val="bottom"/>
            <w:gridSpan w:val="2"/>
          </w:tcPr>
          <w:p>
            <w:pPr>
              <w:ind w:left="260"/>
              <w:spacing w:after="0"/>
              <w:rPr>
                <w:sz w:val="20"/>
                <w:szCs w:val="20"/>
                <w:color w:val="auto"/>
              </w:rPr>
            </w:pPr>
            <w:r>
              <w:rPr>
                <w:rFonts w:ascii="Arial" w:cs="Arial" w:eastAsia="Arial" w:hAnsi="Arial"/>
                <w:sz w:val="18"/>
                <w:szCs w:val="18"/>
                <w:color w:val="auto"/>
              </w:rPr>
              <w:t>Restricted common stock issued</w:t>
            </w:r>
          </w:p>
        </w:tc>
        <w:tc>
          <w:tcPr>
            <w:tcW w:w="520" w:type="dxa"/>
            <w:vAlign w:val="bottom"/>
          </w:tcPr>
          <w:p>
            <w:pPr>
              <w:jc w:val="right"/>
              <w:spacing w:after="0"/>
              <w:rPr>
                <w:sz w:val="20"/>
                <w:szCs w:val="20"/>
                <w:color w:val="auto"/>
              </w:rPr>
            </w:pPr>
            <w:r>
              <w:rPr>
                <w:rFonts w:ascii="Arial" w:cs="Arial" w:eastAsia="Arial" w:hAnsi="Arial"/>
                <w:sz w:val="18"/>
                <w:szCs w:val="18"/>
                <w:color w:val="auto"/>
              </w:rPr>
              <w:t>9,840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51.80</w:t>
            </w:r>
          </w:p>
        </w:tc>
        <w:tc>
          <w:tcPr>
            <w:tcW w:w="100" w:type="dxa"/>
            <w:vAlign w:val="bottom"/>
          </w:tcPr>
          <w:p>
            <w:pPr>
              <w:spacing w:after="0"/>
              <w:rPr>
                <w:sz w:val="19"/>
                <w:szCs w:val="19"/>
                <w:color w:val="auto"/>
              </w:rPr>
            </w:pPr>
          </w:p>
        </w:tc>
      </w:tr>
      <w:tr>
        <w:trPr>
          <w:trHeight w:val="230"/>
        </w:trPr>
        <w:tc>
          <w:tcPr>
            <w:tcW w:w="8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Restrictions lapsed</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(8,584)</w:t>
            </w: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45.58</w:t>
            </w:r>
          </w:p>
        </w:tc>
        <w:tc>
          <w:tcPr>
            <w:tcW w:w="100" w:type="dxa"/>
            <w:vAlign w:val="bottom"/>
            <w:shd w:val="clear" w:color="auto" w:fill="CFF0FC"/>
          </w:tcPr>
          <w:p>
            <w:pPr>
              <w:spacing w:after="0"/>
              <w:rPr>
                <w:sz w:val="19"/>
                <w:szCs w:val="19"/>
                <w:color w:val="auto"/>
              </w:rPr>
            </w:pPr>
          </w:p>
        </w:tc>
      </w:tr>
      <w:tr>
        <w:trPr>
          <w:trHeight w:val="230"/>
        </w:trPr>
        <w:tc>
          <w:tcPr>
            <w:tcW w:w="838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2019</w:t>
            </w:r>
          </w:p>
        </w:tc>
        <w:tc>
          <w:tcPr>
            <w:tcW w:w="160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have an employee stock purchase plan which allows participating employees to purchase shares of our common stock at a discount through payroll deductions. The plan is available to all employees subject to certain eligibility requirements. Participating employees may purchase common stock, on a voluntary after-tax basis, at a price that is the lower of 85% of the fair market value of one share of common stock at the beginning or end of each stock purchase period. The plan consists of two six-month offering periods, beginning on January 1 and July 1 of each calendar year, respectively. A total of 2.0 million shares of common stock are reserved for issuance under the plan.</w:t>
      </w:r>
    </w:p>
    <w:p>
      <w:pPr>
        <w:spacing w:after="0" w:line="188"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For the offering periods that began on January 1, 2019 and January 1, 2018, we withheld approximately $1.2 million and $0.8 million from employees participating in the plan. For the offering periods that began on July 1, 2019 and July 1, 2018, we withheld approximately $0.7 million and $0.5 million from employees participating in the plan as of September 30, 2019 and 2018, respectively.</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was estimated based on the market price of our common stock at the beginning of the offering period using the Black-Scholes option pricing model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Dividend yield</w:t>
            </w:r>
          </w:p>
        </w:tc>
        <w:tc>
          <w:tcPr>
            <w:tcW w:w="51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1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180" w:type="dxa"/>
            <w:vAlign w:val="bottom"/>
          </w:tcPr>
          <w:p>
            <w:pPr>
              <w:jc w:val="right"/>
              <w:spacing w:after="0"/>
              <w:rPr>
                <w:sz w:val="20"/>
                <w:szCs w:val="20"/>
                <w:color w:val="auto"/>
              </w:rPr>
            </w:pPr>
            <w:r>
              <w:rPr>
                <w:rFonts w:ascii="Arial" w:cs="Arial" w:eastAsia="Arial" w:hAnsi="Arial"/>
                <w:sz w:val="18"/>
                <w:szCs w:val="18"/>
                <w:color w:val="auto"/>
              </w:rPr>
              <w:t>2.56%</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Stock Match</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sponsor a 401(k) retirement savings plan for our U.S. employees where employees can contribute up to 80% of their compensation, subject to the limits established by law. We match 50% of the employee’s elective deferrals, up to the first 6% of the employee’s pre-tax compensation for each pay period. A portion of our match is in company stock, which is purchased from the open market by our plan provider and immediately deposited into the employee’s 401(k) account.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J – Income Taxes</w:t>
      </w:r>
    </w:p>
    <w:p>
      <w:pPr>
        <w:spacing w:after="0" w:line="12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credits.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Our provisions for income taxes include current foreign and state income tax expense, as well as deferred tax expense.</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2019, we do not have any unrecognized tax benefits nor any material accrued interest or tax penalties.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period. Diluted net income per share also includes the impact of our outstanding potential common shares, including options, PSUs, RSUs and restricted awards. Potential common shares that are anti-dilutive are excluded from the calculation of diluted net income per share.</w:t>
      </w:r>
    </w:p>
    <w:p>
      <w:pPr>
        <w:spacing w:after="0" w:line="184"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8,941</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8,061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24,550</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35,015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34,438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34,966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Options to purchase common stock</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PSUs, RSUs and restricted stock awards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35,932</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35,482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35,952</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0.68</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Antidilutive shares (in thousands)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August 22,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Subsequent Event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Subsequent to September 30, 2019, the Company’s board of directors authorized an increase and extension of its previously announced stock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repurchase program pursuant to which the Company may, from time to time, purchase shares of its outstanding common stock. The stock repurchase program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originally authorized the Company to purchase up to $50.0 million of its outstanding common stock and that amount has been increased by the board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million. As of September 30, 2019, $9.3 million remained available under the previously unused stock repurchase program. The board also authorized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extension of the original expiration date of the stock repurchase program from November 2, 2019 to November 2, 2021. The number of shares to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purchased and the timing of purchases will be based on the price of the Company’s common stock, general business and market conditions and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investment considerations and factors.</w:t>
      </w:r>
    </w:p>
    <w:p>
      <w:pPr>
        <w:spacing w:after="0" w:line="21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program does not obligate the Company to repurchase any specific number of shares and it may be suspended or discontinued at any time without prior notice. The Company intends to finance the share repurchase program with cash on hand.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SPS Commerce is a leading provider of cloud-based solutions that make it easier for retailers, suppliers, grocers, distributors and logistics firms to orchestrate the management of item data, order fulfillment, inventory control and sales analytics across all channels. The solutions offered by SPS Commerce eliminate the need for on-premise software and support staff by taking on that capability on the customer’s behalf. We derive the majority of our revenues from numerous monthly recurring subscriptions from businesses that utilize our solutions.</w:t>
      </w:r>
    </w:p>
    <w:p>
      <w:pPr>
        <w:spacing w:after="0" w:line="17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For the three months ended September 30, 2019, our revenues were $70.9 million, an increase of 13% from the comparable period in 2018, and represented our 75th consecutive quarter of increased revenues. Total operating expenses increased 7% for the same period in 2019 from 2018. For the nine months ended September 30, 2019, revenues increased 13% and operating expenses increased 6% compared to the same period in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have several key financial terms and metrics, including annualized average recurring revenues per recurring revenue customer, which we also refer to as wallet share. During the three and nine months ended September 30, 2019, there were no changes in the definitions of our key financial terms and metrics, which are discussed in more detail under the heading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included in our Annual Report on Form 10-K/A for the year ended December 31, 2018 as filed with the SEC.</w:t>
      </w:r>
    </w:p>
    <w:p>
      <w:pPr>
        <w:spacing w:after="0" w:line="17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presented to our board of directors.</w:t>
      </w:r>
    </w:p>
    <w:p>
      <w:pPr>
        <w:spacing w:after="0" w:line="173"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These non-GAAP measures should not be considered a substitute for, or superior to, financial measures calculated in accordance with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This discussion of our financial condition and results of operations is based upon our condensed consolidated financial statements, which are prepared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GAAP and with the instructions to Form 10-Q and Rule 10-01 of Regulation S-X. The preparation of these financial statements requires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 to make estimates, judgments and assumptions that affect the reported amounts of assets, liabilities, revenues, costs and expenses and related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disclosures. On an ongoing basis, we evaluate our estimates and assumptions. We base our estimates of the carrying value of certain assets and liabilities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historical experience and on various other assumptions that we believe to be reasonable. Our actual results may differ from these estimates under different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assumptions or conditions.</w:t>
      </w:r>
    </w:p>
    <w:p>
      <w:pPr>
        <w:spacing w:after="0" w:line="21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A critical accounting policy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and business combinations are the most critical to fully understand and evaluate our financial condition and results of operations.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22" w:name="page23"/>
    <w:bookmarkEnd w:id="22"/>
    <w:p>
      <w:pPr>
        <w:ind w:right="20" w:firstLine="518"/>
        <w:spacing w:after="0" w:line="264" w:lineRule="auto"/>
        <w:rPr>
          <w:sz w:val="20"/>
          <w:szCs w:val="20"/>
          <w:color w:val="auto"/>
        </w:rPr>
      </w:pPr>
      <w:r>
        <w:rPr>
          <w:rFonts w:ascii="Arial" w:cs="Arial" w:eastAsia="Arial" w:hAnsi="Arial"/>
          <w:sz w:val="18"/>
          <w:szCs w:val="18"/>
          <w:color w:val="auto"/>
        </w:rPr>
        <w:t>During the three and nine months ended September 30, 2019, there were no changes in our critical accounting policies or estimates. See Note A to our condensed consolidated financial statements included in this Quarterly Report on Form 10-Q and in our Annual Report on Form 10-K/A for the year ended December 31, 2018, as filed with the SEC, for additional information regarding our accounting policies.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2019 compared to three months ended September 30,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 September 30,</w:t>
            </w:r>
          </w:p>
        </w:tc>
        <w:tc>
          <w:tcPr>
            <w:tcW w:w="9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70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70,928</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62,868</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8,060</w:t>
            </w: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23,263</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32.8</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20,411</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47,665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42,457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5,208</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7,743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5,146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2,597</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(449)</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36,732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34,200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500"/>
              <w:spacing w:after="0"/>
              <w:rPr>
                <w:sz w:val="20"/>
                <w:szCs w:val="20"/>
                <w:color w:val="auto"/>
              </w:rPr>
            </w:pPr>
            <w:r>
              <w:rPr>
                <w:rFonts w:ascii="Arial" w:cs="Arial" w:eastAsia="Arial" w:hAnsi="Arial"/>
                <w:sz w:val="18"/>
                <w:szCs w:val="18"/>
                <w:color w:val="auto"/>
              </w:rPr>
              <w:t>Income from operations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10,933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8,257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2,676</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net</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(165)</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(219)</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(54)</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Change in earn-out liability</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8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4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11,633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8,666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2,967</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8,941</w:t>
            </w: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8,061</w:t>
            </w: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4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revenues resulted from two primary factors: the increase in recurring revenue customers and the retainment of annualized</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recurring revenues per recurring revenue customer, which we also refer to as wallet share.</w:t>
      </w:r>
    </w:p>
    <w:p>
      <w:pPr>
        <w:spacing w:after="0" w:line="62"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14% to 30,551 at September 30, 2019 from 26,869 at September 30, 2018.</w:t>
      </w:r>
    </w:p>
    <w:p>
      <w:pPr>
        <w:spacing w:after="0" w:line="117"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Annualized average recurring revenues per recurring revenue customer, or wallet share, decreased slightly to $8,793 for the three months ended September 30, 2019 from $8,838 for the same period in 2018. The slight decrease in wallet share is due to the increase in recurring revenue customers.</w:t>
      </w:r>
    </w:p>
    <w:p>
      <w:pPr>
        <w:spacing w:after="0" w:line="18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Recurring revenues from recurring revenue customers accounted for 94% of our total revenues for the three months ended September 30, 2019, increasing from 93% for the same period in 2018. We anticipate that the number of recurring revenue customers and wallet share will increase as we increase the number of solutions we offer and increase the penetration of those solutions across our customer base.</w:t>
      </w:r>
    </w:p>
    <w:p>
      <w:pPr>
        <w:spacing w:after="0" w:line="181"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The increase in cost of revenues for the three months ended September 30, 2019 was primarily due to an increase in personnel-related costs of $1.9 million, driven by increased salaries and benefits due to business growth and by increased headcount, consulting, and contract labor. As we continued to invest in the infrastructure supporting our platform, depreciation expense increased by $0.6 million.</w:t>
      </w:r>
    </w:p>
    <w:p>
      <w:pPr>
        <w:spacing w:after="0" w:line="166"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The decrease in sales and marketing expense for the three months ended September 30, 2019 was primarily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$0.3 million in variable compensation earned by sales personnel and referred partners, offset by an increase of $0.1 million in salaries and benefits and an increase of $0.1 in stock-based compensation</w:t>
      </w:r>
    </w:p>
    <w:p>
      <w:pPr>
        <w:spacing w:after="0" w:line="18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The increase in research and development expense for the three months ended September 30,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increased headcount which resulted in an increase in personnel costs of $2.0 million and an increase in stock-based compensation expense of $0.4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3" w:name="page24"/>
    <w:bookmarkEnd w:id="23"/>
    <w:p>
      <w:pPr>
        <w:ind w:right="40" w:firstLine="518"/>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The decrease in general and administrative expense for the three months ended September 30, 2019 was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a decrease in stock-based compensation of $0.9 million primarily due to the timing of the Chief Executive Officer’s 2019 RSU grants compared to his 2018 RSU grants, offset by an increase of $0.2 million in cloud-based and software subscriptions and an increase of $0.2 million in miscellaneous service fees.</w:t>
      </w:r>
    </w:p>
    <w:p>
      <w:pPr>
        <w:spacing w:after="0" w:line="18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Interest income, net, other expense, net, and change in earn-out liability for the three months ended September 30, 2019</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primarily due to increased interest income from investments, offset by realized foreign currency exchange gains, and decrease in the fair value of the earn-out liability. The change in fair value of the earn-out liability for the three months ended September 30, 2019 was driven by an adjustment to the fair value of the EDIAdmin earnout liability due to estimated revenue at the earn-out measurement dates, December 31, 2019 and December 31, 2020.</w:t>
      </w:r>
    </w:p>
    <w:p>
      <w:pPr>
        <w:spacing w:after="0" w:line="154"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The increase in income tax expense for the three months ended September 30, 2019 was primarily due to an increase in pre-tax</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as well as a decrease of $1.5 million in third quarter discrete tax benefits, primarily driven by a decrease in stock activity. Under ASU 2016-09, excess tax benefits generated upon the settlement or exercise of stock awards are recognized as a reduction to income tax expense and, as a result, we expect that our annual effective income tax rate will be volatile.</w:t>
      </w:r>
    </w:p>
    <w:p>
      <w:pPr>
        <w:spacing w:after="0" w:line="18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adjusted for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stock-based compensation expense, and other adjustments as necessary for a fair presentation. Other adjustments included the impact of the fair value adjustment for the EDIAdmin earn-out liability. The following table provides a reconciliation of net income to Adjusted EBITDA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140" w:type="dxa"/>
            <w:vAlign w:val="bottom"/>
            <w:tcBorders>
              <w:bottom w:val="single" w:sz="8" w:color="CFF0FC"/>
            </w:tcBorders>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8,061</w:t>
            </w:r>
          </w:p>
        </w:tc>
        <w:tc>
          <w:tcPr>
            <w:tcW w:w="120" w:type="dxa"/>
            <w:vAlign w:val="bottom"/>
            <w:shd w:val="clear" w:color="auto" w:fill="CFF0FC"/>
          </w:tcPr>
          <w:p>
            <w:pPr>
              <w:spacing w:after="0"/>
              <w:rPr>
                <w:sz w:val="19"/>
                <w:szCs w:val="19"/>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Depreciation and amortization of property and equipment</w:t>
            </w:r>
          </w:p>
        </w:tc>
        <w:tc>
          <w:tcPr>
            <w:tcW w:w="1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19"/>
                <w:szCs w:val="19"/>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17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120" w:type="dxa"/>
            <w:vAlign w:val="bottom"/>
            <w:shd w:val="clear" w:color="auto" w:fill="CFF0FC"/>
          </w:tcPr>
          <w:p>
            <w:pPr>
              <w:spacing w:after="0"/>
              <w:rPr>
                <w:sz w:val="19"/>
                <w:szCs w:val="19"/>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1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(843)</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(628)</w:t>
            </w: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17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FF0FC"/>
          </w:tcPr>
          <w:p>
            <w:pPr>
              <w:spacing w:after="0"/>
              <w:rPr>
                <w:sz w:val="19"/>
                <w:szCs w:val="19"/>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19"/>
                <w:szCs w:val="19"/>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Adjusted EBITDA</w:t>
            </w:r>
          </w:p>
        </w:tc>
        <w:tc>
          <w:tcPr>
            <w:tcW w:w="17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18,061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14,364</w:t>
            </w:r>
          </w:p>
        </w:tc>
        <w:tc>
          <w:tcPr>
            <w:tcW w:w="12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plus stock-based compensation expense, amortization expense related to intangible assets, and other adjustments as necessary for a fair presentation, divided by the weighted average number of shares of common stock outstanding during each period. Other adjustments included the impact of the fair value adjustment for the EDIAdmin earn-out liability. The following table provides a reconciliation of net income to non-GAAP income per share (in thousands, except per share amounts):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7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05"/>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740" w:type="dxa"/>
            <w:vAlign w:val="bottom"/>
            <w:tcBorders>
              <w:bottom w:val="single" w:sz="8" w:color="CFF0FC"/>
            </w:tcBorders>
          </w:tcPr>
          <w:p>
            <w:pPr>
              <w:spacing w:after="0"/>
              <w:rPr>
                <w:sz w:val="13"/>
                <w:szCs w:val="13"/>
                <w:color w:val="auto"/>
              </w:rPr>
            </w:pPr>
          </w:p>
        </w:tc>
        <w:tc>
          <w:tcPr>
            <w:tcW w:w="31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8,061</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3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Other</w:t>
            </w:r>
          </w:p>
        </w:tc>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effects of adjustments</w:t>
            </w:r>
          </w:p>
        </w:tc>
        <w:tc>
          <w:tcPr>
            <w:tcW w:w="3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(1,606)</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(3,008)</w:t>
            </w:r>
          </w:p>
        </w:tc>
      </w:tr>
      <w:tr>
        <w:trPr>
          <w:trHeight w:val="263"/>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w:t>
            </w:r>
          </w:p>
        </w:tc>
        <w:tc>
          <w:tcPr>
            <w:tcW w:w="314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11,787</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9,247</w:t>
            </w:r>
          </w:p>
        </w:tc>
        <w:tc>
          <w:tcPr>
            <w:tcW w:w="100" w:type="dxa"/>
            <w:vAlign w:val="bottom"/>
            <w:tcBorders>
              <w:bottom w:val="single" w:sz="8" w:color="CFF0FC"/>
            </w:tcBorders>
          </w:tcPr>
          <w:p>
            <w:pPr>
              <w:spacing w:after="0"/>
              <w:rPr>
                <w:sz w:val="22"/>
                <w:szCs w:val="22"/>
                <w:color w:val="auto"/>
              </w:rPr>
            </w:pPr>
          </w:p>
        </w:tc>
      </w:tr>
      <w:tr>
        <w:trPr>
          <w:trHeight w:val="224"/>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non-GAAP income per share</w:t>
            </w:r>
          </w:p>
        </w:tc>
        <w:tc>
          <w:tcPr>
            <w:tcW w:w="3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Basic</w:t>
            </w:r>
          </w:p>
        </w:tc>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34,438</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35,482</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Non-GAAP income per share</w:t>
            </w:r>
          </w:p>
        </w:tc>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4120" w:type="dxa"/>
            <w:vAlign w:val="bottom"/>
            <w:gridSpan w:val="2"/>
            <w:shd w:val="clear" w:color="auto" w:fill="CFF0FC"/>
          </w:tcPr>
          <w:p>
            <w:pPr>
              <w:jc w:val="right"/>
              <w:ind w:right="7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Diluted</w:t>
            </w:r>
          </w:p>
        </w:tc>
        <w:tc>
          <w:tcPr>
            <w:tcW w:w="4120" w:type="dxa"/>
            <w:vAlign w:val="bottom"/>
            <w:gridSpan w:val="2"/>
          </w:tcPr>
          <w:p>
            <w:pPr>
              <w:jc w:val="right"/>
              <w:ind w:right="79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0.33</w:t>
            </w:r>
          </w:p>
        </w:tc>
        <w:tc>
          <w:tcPr>
            <w:tcW w:w="180" w:type="dxa"/>
            <w:vAlign w:val="bottom"/>
          </w:tcPr>
          <w:p>
            <w:pPr>
              <w:spacing w:after="0"/>
              <w:rPr>
                <w:sz w:val="20"/>
                <w:szCs w:val="20"/>
                <w:color w:val="auto"/>
              </w:rPr>
            </w:pPr>
          </w:p>
        </w:tc>
        <w:tc>
          <w:tcPr>
            <w:tcW w:w="68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r>
      <w:tr>
        <w:trPr>
          <w:trHeight w:val="647"/>
        </w:trPr>
        <w:tc>
          <w:tcPr>
            <w:tcW w:w="4740" w:type="dxa"/>
            <w:vAlign w:val="bottom"/>
          </w:tcPr>
          <w:p>
            <w:pPr>
              <w:spacing w:after="0"/>
              <w:rPr>
                <w:sz w:val="24"/>
                <w:szCs w:val="24"/>
                <w:color w:val="auto"/>
              </w:rPr>
            </w:pPr>
          </w:p>
        </w:tc>
        <w:tc>
          <w:tcPr>
            <w:tcW w:w="3140" w:type="dxa"/>
            <w:vAlign w:val="bottom"/>
          </w:tcPr>
          <w:p>
            <w:pPr>
              <w:jc w:val="right"/>
              <w:ind w:right="1990"/>
              <w:spacing w:after="0"/>
              <w:rPr>
                <w:sz w:val="20"/>
                <w:szCs w:val="20"/>
                <w:color w:val="auto"/>
              </w:rPr>
            </w:pPr>
            <w:r>
              <w:rPr>
                <w:rFonts w:ascii="Arial" w:cs="Arial" w:eastAsia="Arial" w:hAnsi="Arial"/>
                <w:sz w:val="18"/>
                <w:szCs w:val="18"/>
                <w:color w:val="auto"/>
              </w:rPr>
              <w:t>24</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Nine months ended September 30, 2019 compared to nine months ended September 30,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98"/>
              </w:rPr>
              <w:t>Nine Months Ended September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 of revenue</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 of revenue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64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206,391</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183,051</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23,340</w:t>
            </w:r>
          </w:p>
        </w:tc>
        <w:tc>
          <w:tcPr>
            <w:tcW w:w="4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8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68,330</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60,571</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7,759</w:t>
            </w:r>
          </w:p>
        </w:tc>
        <w:tc>
          <w:tcPr>
            <w:tcW w:w="46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138,061</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122,480</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15,581</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52,404</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54,023</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(1,619)</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20,444</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15,571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4,873</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33,674</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31,278</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2,396</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46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110,419</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103,958</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6,461</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500"/>
              <w:spacing w:after="0"/>
              <w:rPr>
                <w:sz w:val="20"/>
                <w:szCs w:val="20"/>
                <w:color w:val="auto"/>
              </w:rPr>
            </w:pPr>
            <w:r>
              <w:rPr>
                <w:rFonts w:ascii="Arial" w:cs="Arial" w:eastAsia="Arial" w:hAnsi="Arial"/>
                <w:sz w:val="18"/>
                <w:szCs w:val="18"/>
                <w:color w:val="auto"/>
              </w:rPr>
              <w:t>Income from operations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27,642</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18,522</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9,120</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1,589</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644</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(541)</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Change in earn-out liability</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366</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8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2,627</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1,579</w:t>
            </w:r>
          </w:p>
        </w:tc>
        <w:tc>
          <w:tcPr>
            <w:tcW w:w="4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30,269</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19,570</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10,699</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8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5,719</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2,880</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24,550</w:t>
            </w: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16,731</w:t>
            </w: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7,819</w:t>
            </w:r>
          </w:p>
        </w:tc>
        <w:tc>
          <w:tcPr>
            <w:tcW w:w="4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revenues resulted from two primary factors: the increase in recurring revenue customers and the retainment of annualized</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recurring revenues per recurring revenue customer, which we also refer to as wallet share.</w:t>
      </w:r>
    </w:p>
    <w:p>
      <w:pPr>
        <w:spacing w:after="0" w:line="62"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14% to 30,551 at September 30, 2019 from 26,869 at September 30, 2018.</w:t>
      </w:r>
    </w:p>
    <w:p>
      <w:pPr>
        <w:spacing w:after="0" w:line="117" w:lineRule="exact"/>
        <w:rPr>
          <w:rFonts w:ascii="Arial" w:cs="Arial" w:eastAsia="Arial" w:hAnsi="Arial"/>
          <w:sz w:val="18"/>
          <w:szCs w:val="18"/>
          <w:color w:val="auto"/>
        </w:rPr>
      </w:pPr>
    </w:p>
    <w:p>
      <w:pPr>
        <w:ind w:left="1040" w:right="28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Annualized average recurring revenues per recurring revenue customer, or wallet share, stayed level at $8,622 for the nine months ended September 30, 2019 compared to $8,612 for the same period in 2018. The consistent wallet share is due to the increase in recurring revenue customers.</w:t>
      </w:r>
    </w:p>
    <w:p>
      <w:pPr>
        <w:spacing w:after="0" w:line="181"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Recurring revenues from recurring revenue customers accounted for 94% of our total revenues for the nine months ended September 30, 2019, increasing from 93% for the same period in 2018. We anticipate that the number of recurring revenue customers and wallet share will continue to increase as we increase the number of solutions we offer and increase the penetration of those solutions across our customer base.</w:t>
      </w:r>
    </w:p>
    <w:p>
      <w:pPr>
        <w:spacing w:after="0" w:line="166"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The increase in cost of revenues for the nine months ended September 30, 2019 was primarily due to an increase of $5.4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personnel-related costs and $0.4 million in stock-based compensation, driven by continued business growth and by an increase in headcount and contractor labor. As we continued to invest in the infrastructure supporting our platform, depreciation expense increased by $1.6 million compared to the same period in 2018.</w:t>
      </w:r>
    </w:p>
    <w:p>
      <w:pPr>
        <w:spacing w:after="0" w:line="187"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The decrease in sales and marketing expenses for the nine months ended September 30, 2019 was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headcount which resulted in a decrease of $1.8 million of personnel-related costs, offset by a $0.2 million increase in stock-based compensation.</w:t>
      </w:r>
    </w:p>
    <w:p>
      <w:pPr>
        <w:spacing w:after="0" w:line="124"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The increase in research and development expenses for the nine months ended September 30,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increased headcount which resulted in an increase in personnel costs of $3.6 million and an increase of stock-based compensation of $0.8 million.</w:t>
      </w:r>
    </w:p>
    <w:p>
      <w:pPr>
        <w:spacing w:after="0" w:line="1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The increase in general and administrative expenses for the nine months ended September 30, 2019 was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continued business growth which resulted in an increase in personnel-related costs of $1.0 million, software subscriptions costs of $0.8 million and bad debt expense of $0.6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5" w:name="page26"/>
    <w:bookmarkEnd w:id="25"/>
    <w:p>
      <w:pPr>
        <w:ind w:right="120" w:firstLine="518"/>
        <w:spacing w:after="0" w:line="297"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Interest income, net, other expense, net, and change in earn-out liability for the nine months ended September 30, 2019</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over the same period in 2018 primarily due to increased income from investments and settlement and subsequent return of escrowed shared from the acquisition of Toolbox Solutions, Inc. (“Toolbox”) in 2016, offset by realized foreign currency exchange gains, and decrease in fair value of the earn-out liability. The change in earn-out liability for the nine months ended September 30, 2019 was $0.4 million in income driven by an adjustment to the fair value of the EDIAdmin earnout liability due to estimated revenue at the earn-out measurement dates, December 31, 2019 and December 31, 2020.</w:t>
      </w:r>
    </w:p>
    <w:p>
      <w:pPr>
        <w:spacing w:after="0" w:line="158" w:lineRule="exact"/>
        <w:rPr>
          <w:sz w:val="20"/>
          <w:szCs w:val="20"/>
          <w:color w:val="auto"/>
        </w:rPr>
      </w:pPr>
    </w:p>
    <w:p>
      <w:pPr>
        <w:ind w:right="320" w:firstLine="518"/>
        <w:spacing w:after="0" w:line="279"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The increase in income tax expense for the nine months ended September 30, 2019, as compared to the same period in 2018,</w:t>
      </w:r>
      <w:r>
        <w:rPr>
          <w:rFonts w:ascii="Arial" w:cs="Arial" w:eastAsia="Arial" w:hAnsi="Arial"/>
          <w:sz w:val="17"/>
          <w:szCs w:val="17"/>
          <w:i w:val="1"/>
          <w:iCs w:val="1"/>
          <w:color w:val="auto"/>
        </w:rPr>
        <w:t xml:space="preserve"> </w:t>
      </w:r>
      <w:r>
        <w:rPr>
          <w:rFonts w:ascii="Arial" w:cs="Arial" w:eastAsia="Arial" w:hAnsi="Arial"/>
          <w:sz w:val="17"/>
          <w:szCs w:val="17"/>
          <w:color w:val="auto"/>
        </w:rPr>
        <w:t>was primarily due to an increase in pre-tax income, as well as a decrease of $0.3 million in discrete tax benefits, primarily driven by a decrease in stock activity. Under ASU 2016-09, excess tax benefits generated upon the settlement or exercise of stock awards are recognized as a reduction to income tax expense and, as a result, we expect that our annual effective income tax rate will be volatile.</w:t>
      </w:r>
    </w:p>
    <w:p>
      <w:pPr>
        <w:spacing w:after="0" w:line="17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adjusted for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stock-based compensation expense, and other adjustments as necessary for a fair presentation. Other adjustments included the impact of the fair value adjustment for the EDIAdmin earn-out liability, returned escrow shares related to the Toolbox acquisition, and an impairment of internally developed software. The following table provides a reconciliation of net income to Adjusted EBITDA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140" w:type="dxa"/>
            <w:vAlign w:val="bottom"/>
            <w:tcBorders>
              <w:bottom w:val="single" w:sz="8" w:color="CFF0FC"/>
            </w:tcBorders>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24,550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16,731</w:t>
            </w:r>
          </w:p>
        </w:tc>
        <w:tc>
          <w:tcPr>
            <w:tcW w:w="120" w:type="dxa"/>
            <w:vAlign w:val="bottom"/>
            <w:shd w:val="clear" w:color="auto" w:fill="CFF0FC"/>
          </w:tcPr>
          <w:p>
            <w:pPr>
              <w:spacing w:after="0"/>
              <w:rPr>
                <w:sz w:val="19"/>
                <w:szCs w:val="19"/>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Depreciation and amortization of property and equipment</w:t>
            </w:r>
          </w:p>
        </w:tc>
        <w:tc>
          <w:tcPr>
            <w:tcW w:w="1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6,308</w:t>
            </w:r>
          </w:p>
        </w:tc>
        <w:tc>
          <w:tcPr>
            <w:tcW w:w="120" w:type="dxa"/>
            <w:vAlign w:val="bottom"/>
          </w:tcPr>
          <w:p>
            <w:pPr>
              <w:spacing w:after="0"/>
              <w:rPr>
                <w:sz w:val="19"/>
                <w:szCs w:val="19"/>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17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w:t>
            </w:r>
          </w:p>
        </w:tc>
        <w:tc>
          <w:tcPr>
            <w:tcW w:w="120" w:type="dxa"/>
            <w:vAlign w:val="bottom"/>
            <w:shd w:val="clear" w:color="auto" w:fill="CFF0FC"/>
          </w:tcPr>
          <w:p>
            <w:pPr>
              <w:spacing w:after="0"/>
              <w:rPr>
                <w:sz w:val="19"/>
                <w:szCs w:val="19"/>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1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(2,233)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(1,589)</w:t>
            </w: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17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FF0FC"/>
          </w:tcPr>
          <w:p>
            <w:pPr>
              <w:spacing w:after="0"/>
              <w:rPr>
                <w:sz w:val="19"/>
                <w:szCs w:val="19"/>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11,316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9,978</w:t>
            </w:r>
          </w:p>
        </w:tc>
        <w:tc>
          <w:tcPr>
            <w:tcW w:w="120" w:type="dxa"/>
            <w:vAlign w:val="bottom"/>
          </w:tcPr>
          <w:p>
            <w:pPr>
              <w:spacing w:after="0"/>
              <w:rPr>
                <w:sz w:val="19"/>
                <w:szCs w:val="19"/>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(483)</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Adjusted EBITDA</w:t>
            </w:r>
          </w:p>
        </w:tc>
        <w:tc>
          <w:tcPr>
            <w:tcW w:w="17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50,909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37,353</w:t>
            </w:r>
          </w:p>
        </w:tc>
        <w:tc>
          <w:tcPr>
            <w:tcW w:w="12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i w:val="1"/>
          <w:iCs w:val="1"/>
          <w:color w:val="auto"/>
        </w:rPr>
        <w:t xml:space="preserve">Non-GAAP Income per Share. </w:t>
      </w:r>
      <w:r>
        <w:rPr>
          <w:rFonts w:ascii="Arial" w:cs="Arial" w:eastAsia="Arial" w:hAnsi="Arial"/>
          <w:sz w:val="16"/>
          <w:szCs w:val="16"/>
          <w:color w:val="auto"/>
        </w:rPr>
        <w:t>Non-GAAP income per share, which is also a non-GAAP measure of financial performance, consists of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plus stock-based compensation expense, amortization expense related to intangible assets, and other adjustments as necessary for a fair presentation, divided by the weighted average number of shares of common stock outstanding during each period. Other adjustments included the impact of the fair value adjustment for the EDIAdmin earn-out liability, returned escrow shares related to the Toolbox acquisition, and an impairment of internally developed software. The following table provides a reconciliation of net income to Non-GAAP income per share (in thousands,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7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740" w:type="dxa"/>
            <w:vAlign w:val="bottom"/>
            <w:tcBorders>
              <w:bottom w:val="single" w:sz="8" w:color="CFF0FC"/>
            </w:tcBorders>
          </w:tcPr>
          <w:p>
            <w:pPr>
              <w:spacing w:after="0"/>
              <w:rPr>
                <w:sz w:val="13"/>
                <w:szCs w:val="13"/>
                <w:color w:val="auto"/>
              </w:rPr>
            </w:pPr>
          </w:p>
        </w:tc>
        <w:tc>
          <w:tcPr>
            <w:tcW w:w="31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24,550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16,731</w:t>
            </w: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3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11,316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9,978</w:t>
            </w: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3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w:t>
            </w: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effects of adjustments</w:t>
            </w:r>
          </w:p>
        </w:tc>
        <w:tc>
          <w:tcPr>
            <w:tcW w:w="3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(5,972)</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(5,188)</w:t>
            </w:r>
          </w:p>
        </w:tc>
      </w:tr>
      <w:tr>
        <w:trPr>
          <w:trHeight w:val="263"/>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w:t>
            </w:r>
          </w:p>
        </w:tc>
        <w:tc>
          <w:tcPr>
            <w:tcW w:w="312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33,308</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24,607</w:t>
            </w:r>
          </w:p>
        </w:tc>
        <w:tc>
          <w:tcPr>
            <w:tcW w:w="120" w:type="dxa"/>
            <w:vAlign w:val="bottom"/>
            <w:tcBorders>
              <w:bottom w:val="single" w:sz="8" w:color="CFF0FC"/>
            </w:tcBorders>
          </w:tcPr>
          <w:p>
            <w:pPr>
              <w:spacing w:after="0"/>
              <w:rPr>
                <w:sz w:val="22"/>
                <w:szCs w:val="22"/>
                <w:color w:val="auto"/>
              </w:rPr>
            </w:pP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non-GAAP income per share</w:t>
            </w:r>
          </w:p>
        </w:tc>
        <w:tc>
          <w:tcPr>
            <w:tcW w:w="3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Basic</w:t>
            </w:r>
          </w:p>
        </w:tc>
        <w:tc>
          <w:tcPr>
            <w:tcW w:w="3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34,966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34,334</w:t>
            </w: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35,952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35,114</w:t>
            </w: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Non-GAAP income per share</w:t>
            </w:r>
          </w:p>
        </w:tc>
        <w:tc>
          <w:tcPr>
            <w:tcW w:w="3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4120" w:type="dxa"/>
            <w:vAlign w:val="bottom"/>
            <w:gridSpan w:val="2"/>
            <w:shd w:val="clear" w:color="auto" w:fill="CFF0FC"/>
          </w:tcPr>
          <w:p>
            <w:pPr>
              <w:jc w:val="right"/>
              <w:ind w:right="8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0.95</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Diluted</w:t>
            </w:r>
          </w:p>
        </w:tc>
        <w:tc>
          <w:tcPr>
            <w:tcW w:w="4120" w:type="dxa"/>
            <w:vAlign w:val="bottom"/>
            <w:gridSpan w:val="2"/>
          </w:tcPr>
          <w:p>
            <w:pPr>
              <w:jc w:val="right"/>
              <w:ind w:right="8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0.93</w:t>
            </w:r>
          </w:p>
        </w:tc>
        <w:tc>
          <w:tcPr>
            <w:tcW w:w="160" w:type="dxa"/>
            <w:vAlign w:val="bottom"/>
          </w:tcPr>
          <w:p>
            <w:pPr>
              <w:spacing w:after="0"/>
              <w:rPr>
                <w:sz w:val="20"/>
                <w:szCs w:val="20"/>
                <w:color w:val="auto"/>
              </w:rPr>
            </w:pPr>
          </w:p>
        </w:tc>
        <w:tc>
          <w:tcPr>
            <w:tcW w:w="68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0"/>
                <w:szCs w:val="20"/>
                <w:color w:val="auto"/>
              </w:rPr>
            </w:pPr>
          </w:p>
        </w:tc>
      </w:tr>
      <w:tr>
        <w:trPr>
          <w:trHeight w:val="647"/>
        </w:trPr>
        <w:tc>
          <w:tcPr>
            <w:tcW w:w="4740" w:type="dxa"/>
            <w:vAlign w:val="bottom"/>
          </w:tcPr>
          <w:p>
            <w:pPr>
              <w:spacing w:after="0"/>
              <w:rPr>
                <w:sz w:val="24"/>
                <w:szCs w:val="24"/>
                <w:color w:val="auto"/>
              </w:rPr>
            </w:pPr>
          </w:p>
        </w:tc>
        <w:tc>
          <w:tcPr>
            <w:tcW w:w="3120" w:type="dxa"/>
            <w:vAlign w:val="bottom"/>
          </w:tcPr>
          <w:p>
            <w:pPr>
              <w:jc w:val="right"/>
              <w:ind w:right="1970"/>
              <w:spacing w:after="0"/>
              <w:rPr>
                <w:sz w:val="20"/>
                <w:szCs w:val="20"/>
                <w:color w:val="auto"/>
              </w:rPr>
            </w:pPr>
            <w:r>
              <w:rPr>
                <w:rFonts w:ascii="Arial" w:cs="Arial" w:eastAsia="Arial" w:hAnsi="Arial"/>
                <w:sz w:val="18"/>
                <w:szCs w:val="18"/>
                <w:color w:val="auto"/>
              </w:rPr>
              <w:t>26</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30, 2019, our principal sources of liquidity were cash, cash equivalents, certificates of deposit and marketable securities of</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$201.2 million and accounts receivable, net of allowance for doubtful accounts of $29.4 million. Certificates of deposit and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below table summarizes the activity within the statement of cash flows: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420" w:type="dxa"/>
            <w:vAlign w:val="bottom"/>
            <w:tcBorders>
              <w:bottom w:val="single" w:sz="8" w:color="CFF0FC"/>
            </w:tcBorders>
          </w:tcPr>
          <w:p>
            <w:pPr>
              <w:spacing w:after="0"/>
              <w:rPr>
                <w:sz w:val="13"/>
                <w:szCs w:val="13"/>
                <w:color w:val="auto"/>
              </w:rPr>
            </w:pPr>
          </w:p>
        </w:tc>
        <w:tc>
          <w:tcPr>
            <w:tcW w:w="24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4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37,547</w:t>
            </w:r>
          </w:p>
        </w:tc>
        <w:tc>
          <w:tcPr>
            <w:tcW w:w="120" w:type="dxa"/>
            <w:vAlign w:val="bottom"/>
            <w:shd w:val="clear" w:color="auto" w:fill="CFF0FC"/>
          </w:tcPr>
          <w:p>
            <w:pPr>
              <w:spacing w:after="0"/>
              <w:rPr>
                <w:sz w:val="19"/>
                <w:szCs w:val="19"/>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(26,629)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(14,690)</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340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(8,538)</w:t>
            </w:r>
          </w:p>
        </w:tc>
        <w:tc>
          <w:tcPr>
            <w:tcW w:w="68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(1,231)</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The increase in operating cash flows was driven by continued business growth which resulted in increased net income and decreased deferred tax assets and was driven by continued acquisitions and business expansions which resulted in increased depreciation and amortization, offset by increased compensation due to an increase in headcount.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 in net cash used in investing activities was primarily due to $11.5 million used for the MAPADOC acquisition.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change in net cash used in financing activities was primarily due to the decrease in net proceeds from stock option exercises, offset by an increase in cash used for share repurchases.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Foreign Currency Exchange Rate Changes</w:t>
      </w:r>
    </w:p>
    <w:p>
      <w:pPr>
        <w:spacing w:after="0" w:line="117"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Our results of operations and cash flows were not materially affected by fluctuations in foreign currency exchange rates. We maintain approximately 5% of our total cash and cash equivalents outside of the U.S. in foreign currencies, primarily in Australian and Canadian dollars. We believe that a significant change in foreign currency exchange rates or an inability to access these funds would not affect our ability to meet our operational needs.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solutions and applications that we may develop;</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of our operations in the United States and internationally;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25"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we anticipate that our expenditures will continue to increase as we expand our business.</w:t>
      </w:r>
    </w:p>
    <w:p>
      <w:pPr>
        <w:spacing w:after="0" w:line="170"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We believe our cash, cash equivalents, certificates of deposit, marketable securities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7" w:name="page28"/>
    <w:bookmarkEnd w:id="27"/>
    <w:p>
      <w:pPr>
        <w:ind w:right="240" w:firstLine="518"/>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nine months ended September 30, 2019 and we do not expect that inflation or changing prices will materially affect our business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and Commercial Commitment Summary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and commercial commitments as of September 30, 2019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Payments Due By Period (in thousands)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15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9"/>
              </w:rPr>
              <w:t>Less Than</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2"/>
              <w:spacing w:after="0" w:line="147"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2"/>
                <w:szCs w:val="12"/>
                <w:color w:val="auto"/>
              </w:rPr>
            </w:pPr>
          </w:p>
        </w:tc>
      </w:tr>
      <w:tr>
        <w:trPr>
          <w:trHeight w:val="178"/>
        </w:trPr>
        <w:tc>
          <w:tcPr>
            <w:tcW w:w="15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3"/>
              </w:rPr>
              <w:t>Contractual Obligations</w:t>
            </w:r>
          </w:p>
        </w:tc>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9"/>
              <w:spacing w:after="0" w:line="158"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5"/>
                <w:szCs w:val="15"/>
                <w:color w:val="auto"/>
              </w:rPr>
            </w:pPr>
          </w:p>
        </w:tc>
        <w:tc>
          <w:tcPr>
            <w:tcW w:w="11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5"/>
                <w:szCs w:val="15"/>
                <w:color w:val="auto"/>
              </w:rPr>
            </w:pPr>
          </w:p>
        </w:tc>
        <w:tc>
          <w:tcPr>
            <w:tcW w:w="11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5 Years</w:t>
            </w:r>
          </w:p>
        </w:tc>
      </w:tr>
      <w:tr>
        <w:trPr>
          <w:trHeight w:val="217"/>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 obligations, including imputed interest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21,956</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3,966</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8,286</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7,581</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Borders>
              <w:top w:val="single" w:sz="8" w:color="CFF0FC"/>
            </w:tcBorders>
            <w:shd w:val="clear" w:color="auto" w:fill="CFF0FC"/>
          </w:tcPr>
          <w:p>
            <w:pPr>
              <w:spacing w:after="0"/>
              <w:rPr>
                <w:sz w:val="18"/>
                <w:szCs w:val="18"/>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and commercial commitments as of December 31, 2018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Payments Due By Period (in thousands)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15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9"/>
              </w:rPr>
              <w:t>Less Than</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2"/>
              <w:spacing w:after="0" w:line="147"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2"/>
                <w:szCs w:val="12"/>
                <w:color w:val="auto"/>
              </w:rPr>
            </w:pPr>
          </w:p>
        </w:tc>
      </w:tr>
      <w:tr>
        <w:trPr>
          <w:trHeight w:val="178"/>
        </w:trPr>
        <w:tc>
          <w:tcPr>
            <w:tcW w:w="15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3"/>
              </w:rPr>
              <w:t>Contractual Obligations</w:t>
            </w:r>
          </w:p>
        </w:tc>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9"/>
              <w:spacing w:after="0" w:line="158"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5"/>
                <w:szCs w:val="15"/>
                <w:color w:val="auto"/>
              </w:rPr>
            </w:pPr>
          </w:p>
        </w:tc>
        <w:tc>
          <w:tcPr>
            <w:tcW w:w="11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5"/>
                <w:szCs w:val="15"/>
                <w:color w:val="auto"/>
              </w:rPr>
            </w:pPr>
          </w:p>
        </w:tc>
        <w:tc>
          <w:tcPr>
            <w:tcW w:w="11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5 Years</w:t>
            </w:r>
          </w:p>
        </w:tc>
      </w:tr>
      <w:tr>
        <w:trPr>
          <w:trHeight w:val="217"/>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 obligations, including imputed interest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24,878</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4,209</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7,956</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7,896</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4,817</w:t>
            </w:r>
          </w:p>
        </w:tc>
        <w:tc>
          <w:tcPr>
            <w:tcW w:w="100" w:type="dxa"/>
            <w:vAlign w:val="bottom"/>
            <w:tcBorders>
              <w:top w:val="single" w:sz="8" w:color="CFF0FC"/>
            </w:tcBorders>
            <w:shd w:val="clear" w:color="auto" w:fill="CFF0FC"/>
          </w:tcPr>
          <w:p>
            <w:pPr>
              <w:spacing w:after="0"/>
              <w:rPr>
                <w:sz w:val="18"/>
                <w:szCs w:val="18"/>
                <w:color w:val="auto"/>
              </w:rPr>
            </w:pPr>
          </w:p>
        </w:tc>
      </w:tr>
    </w:tbl>
    <w:p>
      <w:pPr>
        <w:spacing w:after="0" w:line="3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investments (primarily cash and cash equivalents, which approximate fair value due to their short maturities, certificates of deposit and marketable securities), we believe there is no material risk exposure. We do not enter into investments for trading or speculative purposes.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did not have any outstanding debt as of September 30, 2019. Therefore, we do not have any material risk to interest rate fluctuations.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220" w:firstLine="518"/>
        <w:spacing w:after="0" w:line="273" w:lineRule="auto"/>
        <w:rPr>
          <w:sz w:val="20"/>
          <w:szCs w:val="20"/>
          <w:color w:val="auto"/>
        </w:rPr>
      </w:pPr>
      <w:r>
        <w:rPr>
          <w:rFonts w:ascii="Arial" w:cs="Arial" w:eastAsia="Arial" w:hAnsi="Arial"/>
          <w:sz w:val="17"/>
          <w:szCs w:val="17"/>
          <w:color w:val="auto"/>
        </w:rPr>
        <w:t>We have revenue, expenses, assets and liabilities that are denominated in currencies other than the U.S. dollar, primarily the Australian dollar and Canadian dollar. As of September 30, 2019, we maintained approximately 5% of our total cash and cash equivalents outside of the U.S. in foreign currencies. We believe that a significant change in foreign currency exchange rates or an inability to access these funds would not affect our ability to meet our operational needs.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8" w:name="page29"/>
    <w:bookmarkEnd w:id="28"/>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September 30, 2019.</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For the year ended December 31, 2018, management’s assessment of internal control over financial reporting excluded the internal control of EDIAdmin and CovalentWorks, which were acquired on October 3, 2018 and December 18, 2018, respectively. Pursuant to the SEC’s general guidance that an assessment of a recently acquired business may be omitted from our scope for a period not to exceed one year from the date of acquisition, the scope of our most recent assessment did not include EDIAdmin or CovalentWorks. Our assessment of the effectiveness of internal control over financial reporting as of December 31, 2019 will include EDIAdmin and CovalentWorks. As of December 31, 2018, EDIAdmin and CovalentWorks represented approximately 2% and 6% of our total consolidated assets, respectively, and each represented less than 1% of our consolidated revenues as of and for the year ended December 31, 2018.</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2019 that have materially affected, or are reasonably likely to materially affect, our internal control over financial reporting. Disclosure regarding changes, if any, in internal control over financial reporting resulting from the acquisitions described will be included in the annual report in which the Company’s assessment that encompasses the acquired business is included.</w:t>
      </w:r>
    </w:p>
    <w:p>
      <w:pPr>
        <w:spacing w:after="0" w:line="18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For the quarter ended September 30, 2019, management’s assessment of our internal control over financial reporting excluded the internal control over financial reporting of the MAPADOC business, an operating unit of SWK Technologies, Inc., which was acquired on August 26, 2019. Pursuant to the SEC’s general guidance that an assessment of a recently acquired business may be omitted from our scope for a period not to exceed one year from the date of acquisition, the scope of our most recent assessment did not include MAPADOC. For the three and nine months ended September 30, 2019, MAPADOC represented approximately 3% of our total consolidated assets and less than 1% of our consolidated revenues.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10-K/A for the year ended December 31, 2018 as filed with the SEC.</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 Share Repurchases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following table presents the total number of shares of our common stock that we purchased during the third quarter of 2019, the average price paid per share, the number of shares that we purchased as part of our publicly announced repurchase program and the approximate dollar value of shares that still could be repurchased at the end of the applicable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May Yet be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ind w:left="2700"/>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596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Paid per Share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Program </w:t>
            </w:r>
            <w:r>
              <w:rPr>
                <w:rFonts w:ascii="Arial" w:cs="Arial" w:eastAsia="Arial" w:hAnsi="Arial"/>
                <w:sz w:val="12"/>
                <w:szCs w:val="12"/>
                <w:b w:val="1"/>
                <w:bCs w:val="1"/>
                <w:color w:val="auto"/>
                <w:w w:val="94"/>
              </w:rPr>
              <w:t>(1)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 xml:space="preserve">Program </w:t>
            </w:r>
            <w:r>
              <w:rPr>
                <w:rFonts w:ascii="Arial" w:cs="Arial" w:eastAsia="Arial" w:hAnsi="Arial"/>
                <w:sz w:val="12"/>
                <w:szCs w:val="12"/>
                <w:b w:val="1"/>
                <w:bCs w:val="1"/>
                <w:color w:val="auto"/>
                <w:w w:val="96"/>
              </w:rPr>
              <w:t>(1)(2)</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July 1 - 31, 2019</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72,384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51.28</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72,384</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11,643,000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August 1 - 31, 2019</w:t>
            </w:r>
          </w:p>
        </w:tc>
        <w:tc>
          <w:tcPr>
            <w:tcW w:w="1140" w:type="dxa"/>
            <w:vAlign w:val="bottom"/>
          </w:tcPr>
          <w:p>
            <w:pPr>
              <w:jc w:val="right"/>
              <w:spacing w:after="0"/>
              <w:rPr>
                <w:sz w:val="20"/>
                <w:szCs w:val="20"/>
                <w:color w:val="auto"/>
              </w:rPr>
            </w:pPr>
            <w:r>
              <w:rPr>
                <w:rFonts w:ascii="Arial" w:cs="Arial" w:eastAsia="Arial" w:hAnsi="Arial"/>
                <w:sz w:val="18"/>
                <w:szCs w:val="18"/>
                <w:color w:val="auto"/>
              </w:rPr>
              <w:t>44,472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51.45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9,355,000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September 1 - 30, 2019</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Total third quarter 2019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116,856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51.35</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116,856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9,355,000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80" w:hanging="372"/>
        <w:spacing w:after="0" w:line="230"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Pursuant to a $50.0 million share repurchase program that was announced by our board of directors on November 2, 2017. Under the program, purchases may be made from time to time in the open market through November 2, 2019.</w:t>
      </w:r>
    </w:p>
    <w:p>
      <w:pPr>
        <w:ind w:left="380" w:right="160" w:hanging="372"/>
        <w:spacing w:after="0" w:line="237"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Subsequent to September 30, 2019, our board of directors amended our share repurchase program to increase the amount of outstanding common stock it is authorized to purchase to $100.0 million and to extend the original expiration date of the program to November 2, 2021. For further information, see Note L.</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Shares and per share data have been adjusted for all periods presented to reflect a two-for-one stock split effective August 22, 2019.</w:t>
      </w:r>
    </w:p>
    <w:p>
      <w:pPr>
        <w:spacing w:after="0" w:line="3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gridSpan w:val="12"/>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365"/>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60" w:type="dxa"/>
            <w:vAlign w:val="bottom"/>
            <w:tcBorders>
              <w:bottom w:val="single" w:sz="8" w:color="0000EE"/>
            </w:tcBorders>
            <w:gridSpan w:val="7"/>
          </w:tcPr>
          <w:p>
            <w:pPr>
              <w:spacing w:after="0"/>
              <w:rPr>
                <w:rFonts w:ascii="Arial" w:cs="Arial" w:eastAsia="Arial" w:hAnsi="Arial"/>
                <w:sz w:val="18"/>
                <w:szCs w:val="18"/>
                <w:color w:val="0000EE"/>
                <w:w w:val="91"/>
              </w:rPr>
            </w:pPr>
            <w:hyperlink r:id="rId45">
              <w:r>
                <w:rPr>
                  <w:rFonts w:ascii="Arial" w:cs="Arial" w:eastAsia="Arial" w:hAnsi="Arial"/>
                  <w:sz w:val="18"/>
                  <w:szCs w:val="18"/>
                  <w:color w:val="0000EE"/>
                  <w:w w:val="91"/>
                </w:rPr>
                <w:t>Certificate of Incorporation (incorporated by reference to Exhibit 4.1 to our Registration Statement on Form S-3 (File No. 333-182097)</w:t>
              </w:r>
            </w:hyperlink>
          </w:p>
        </w:tc>
        <w:tc>
          <w:tcPr>
            <w:tcW w:w="32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filed with the Commission on September 13, 2012).</w:t>
              </w:r>
            </w:hyperlink>
          </w:p>
        </w:tc>
        <w:tc>
          <w:tcPr>
            <w:tcW w:w="6340" w:type="dxa"/>
            <w:vAlign w:val="bottom"/>
            <w:gridSpan w:val="6"/>
          </w:tcPr>
          <w:p>
            <w:pPr>
              <w:spacing w:after="0"/>
              <w:rPr>
                <w:sz w:val="17"/>
                <w:szCs w:val="17"/>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0"/>
          </w:tcPr>
          <w:p>
            <w:pPr>
              <w:spacing w:after="0"/>
              <w:rPr>
                <w:rFonts w:ascii="Arial" w:cs="Arial" w:eastAsia="Arial" w:hAnsi="Arial"/>
                <w:sz w:val="18"/>
                <w:szCs w:val="18"/>
                <w:color w:val="0000EE"/>
                <w:w w:val="94"/>
              </w:rPr>
            </w:pPr>
            <w:hyperlink r:id="rId46">
              <w:r>
                <w:rPr>
                  <w:rFonts w:ascii="Arial" w:cs="Arial" w:eastAsia="Arial" w:hAnsi="Arial"/>
                  <w:sz w:val="18"/>
                  <w:szCs w:val="18"/>
                  <w:color w:val="0000EE"/>
                  <w:w w:val="94"/>
                </w:rPr>
                <w:t>Amended and Restated Bylaws (incorporated by reference to Exhibit 3.1 to our Current Report on Form 8-K (File No. 001-34702) filed</w:t>
              </w:r>
            </w:hyperlink>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with the Commission on October 12, 2017).</w:t>
              </w:r>
            </w:hyperlink>
          </w:p>
        </w:tc>
        <w:tc>
          <w:tcPr>
            <w:tcW w:w="6600" w:type="dxa"/>
            <w:vAlign w:val="bottom"/>
            <w:tcBorders>
              <w:top w:val="single" w:sz="8" w:color="0000EE"/>
            </w:tcBorders>
            <w:gridSpan w:val="6"/>
          </w:tcPr>
          <w:p>
            <w:pPr>
              <w:spacing w:after="0"/>
              <w:rPr>
                <w:sz w:val="17"/>
                <w:szCs w:val="17"/>
                <w:color w:val="auto"/>
              </w:rPr>
            </w:pPr>
          </w:p>
        </w:tc>
        <w:tc>
          <w:tcPr>
            <w:tcW w:w="300" w:type="dxa"/>
            <w:vAlign w:val="bottom"/>
            <w:gridSpan w:val="2"/>
          </w:tcPr>
          <w:p>
            <w:pPr>
              <w:spacing w:after="0"/>
              <w:rPr>
                <w:sz w:val="17"/>
                <w:szCs w:val="17"/>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0"/>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Certification of Principal Executive Officer pursuant to Rules 13a-14(a) under the Securities Exchange Act of 1934, as amended (filed</w:t>
              </w:r>
            </w:hyperlink>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herewith).</w:t>
              </w:r>
            </w:hyperlink>
          </w:p>
        </w:tc>
        <w:tc>
          <w:tcPr>
            <w:tcW w:w="8940" w:type="dxa"/>
            <w:vAlign w:val="bottom"/>
            <w:tcBorders>
              <w:top w:val="single" w:sz="8" w:color="0000EE"/>
            </w:tcBorders>
            <w:gridSpan w:val="5"/>
          </w:tcPr>
          <w:p>
            <w:pPr>
              <w:spacing w:after="0"/>
              <w:rPr>
                <w:sz w:val="17"/>
                <w:szCs w:val="17"/>
                <w:color w:val="auto"/>
              </w:rPr>
            </w:pPr>
          </w:p>
        </w:tc>
        <w:tc>
          <w:tcPr>
            <w:tcW w:w="400" w:type="dxa"/>
            <w:vAlign w:val="bottom"/>
            <w:gridSpan w:val="4"/>
          </w:tcPr>
          <w:p>
            <w:pPr>
              <w:spacing w:after="0"/>
              <w:rPr>
                <w:sz w:val="17"/>
                <w:szCs w:val="17"/>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of Principal Financial Officer pursuant to Rules 13a-14(a) under the Securities Exchange Act of 1934, as amended (filed</w:t>
              </w:r>
            </w:hyperlink>
          </w:p>
        </w:tc>
        <w:tc>
          <w:tcPr>
            <w:tcW w:w="44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herewith).</w:t>
              </w:r>
            </w:hyperlink>
          </w:p>
        </w:tc>
        <w:tc>
          <w:tcPr>
            <w:tcW w:w="9340" w:type="dxa"/>
            <w:vAlign w:val="bottom"/>
            <w:gridSpan w:val="9"/>
          </w:tcPr>
          <w:p>
            <w:pPr>
              <w:spacing w:after="0"/>
              <w:rPr>
                <w:sz w:val="17"/>
                <w:szCs w:val="17"/>
                <w:color w:val="auto"/>
              </w:rPr>
            </w:pP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0"/>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Certification of Chief Executive Officer and Chief Financial Officer pursuant to 18 U.S.C. Sec. 1350, as adopted pursuant to Section 906 of</w:t>
              </w:r>
            </w:hyperlink>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the Sarbanes-Oxley Act of 2002 (filed herewith).</w:t>
              </w:r>
            </w:hyperlink>
          </w:p>
        </w:tc>
        <w:tc>
          <w:tcPr>
            <w:tcW w:w="652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bl>
    <w:p>
      <w:pPr>
        <w:spacing w:after="0" w:line="148" w:lineRule="exact"/>
        <w:rPr>
          <w:sz w:val="20"/>
          <w:szCs w:val="20"/>
          <w:color w:val="auto"/>
        </w:rPr>
      </w:pPr>
    </w:p>
    <w:p>
      <w:pPr>
        <w:ind w:left="1340" w:right="540" w:hanging="1332"/>
        <w:spacing w:after="0" w:line="277"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(filed herewith). The XBRL instance document does not appear in the Interactive Data File because its tags are embedded within the Inline XBRL document.</w:t>
      </w:r>
    </w:p>
    <w:p>
      <w:pPr>
        <w:spacing w:after="0" w:line="17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the Quarterly Report on Form 10-Q for the quarter ended September 30, 2019, formatted in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1" w:name="page32"/>
    <w:bookmarkEnd w:id="31"/>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Dated: October 25, 2019</w:t>
      </w:r>
      <w:r>
        <w:rPr>
          <w:sz w:val="20"/>
          <w:szCs w:val="20"/>
          <w:color w:val="auto"/>
        </w:rPr>
        <w:tab/>
      </w:r>
      <w:r>
        <w:rPr>
          <w:rFonts w:ascii="Arial" w:cs="Arial" w:eastAsia="Arial" w:hAnsi="Arial"/>
          <w:sz w:val="17"/>
          <w:szCs w:val="17"/>
          <w:b w:val="1"/>
          <w:bCs w:val="1"/>
          <w:color w:val="auto"/>
        </w:rPr>
        <w:t>SPS COMMERCE, INC.</w:t>
      </w:r>
    </w:p>
    <w:p>
      <w:pPr>
        <w:spacing w:after="0" w:line="25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00"/>
          </w:cols>
          <w:pgMar w:left="240" w:top="351" w:right="8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225"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40" w:right="40" w:hanging="519"/>
        <w:spacing w:after="0" w:line="291"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40" w:right="220" w:hanging="506"/>
        <w:spacing w:after="0" w:line="286" w:lineRule="auto"/>
        <w:tabs>
          <w:tab w:leader="none" w:pos="15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40" w:right="100" w:hanging="506"/>
        <w:spacing w:after="0" w:line="34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40" w:right="20" w:hanging="506"/>
        <w:spacing w:after="0" w:line="264"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20" w:hanging="506"/>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25, 2019</w:t>
      </w:r>
    </w:p>
    <w:p>
      <w:pPr>
        <w:sectPr>
          <w:pgSz w:w="11900" w:h="16838" w:orient="portrait"/>
          <w:cols w:equalWidth="0" w:num="1">
            <w:col w:w="11420"/>
          </w:cols>
          <w:pgMar w:left="240" w:top="337"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225"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40" w:right="40" w:hanging="519"/>
        <w:spacing w:after="0" w:line="291"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40" w:right="220" w:hanging="506"/>
        <w:spacing w:after="0" w:line="286" w:lineRule="auto"/>
        <w:tabs>
          <w:tab w:leader="none" w:pos="15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40" w:right="100" w:hanging="506"/>
        <w:spacing w:after="0" w:line="342" w:lineRule="auto"/>
        <w:tabs>
          <w:tab w:leader="none" w:pos="15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40" w:right="20" w:hanging="506"/>
        <w:spacing w:after="0" w:line="264"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20" w:hanging="506"/>
        <w:spacing w:after="0" w:line="277"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25, 2019</w:t>
      </w:r>
    </w:p>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September 30, 2019,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39"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October 25, 2019</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0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45" Type="http://schemas.openxmlformats.org/officeDocument/2006/relationships/hyperlink" Target="http://www.sec.gov/Archives/edgar/data/1092699/000119312512269607/d365652dex41.htm" TargetMode="External"/><Relationship Id="rId46" Type="http://schemas.openxmlformats.org/officeDocument/2006/relationships/hyperlink" Target="http://www.sec.gov/Archives/edgar/data/1092699/000119312517311896/d43031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2019-12-28T05:06:15Z</dcterms:created>
  <dcterms:modified xsi:type="dcterms:W3CDTF">2019-12-28T05:06:15Z</dcterms:modified>
</cp:coreProperties>
</file>