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5" w:lineRule="exact"/>
        <w:rPr>
          <w:sz w:val="20"/>
          <w:szCs w:val="20"/>
          <w:color w:val="auto"/>
        </w:rPr>
      </w:pPr>
    </w:p>
    <w:tbl>
      <w:tblPr>
        <w:tblLayout w:type="fixed"/>
        <w:tblInd w:w="1560" w:type="dxa"/>
        <w:tblCellMar>
          <w:top w:w="0" w:type="dxa"/>
          <w:left w:w="0" w:type="dxa"/>
          <w:bottom w:w="0" w:type="dxa"/>
          <w:right w:w="0" w:type="dxa"/>
        </w:tblCellMar>
      </w:tblPr>
      <w:tr>
        <w:trPr>
          <w:trHeight w:val="220"/>
        </w:trPr>
        <w:tc>
          <w:tcPr>
            <w:tcW w:w="4380" w:type="dxa"/>
            <w:vAlign w:val="bottom"/>
          </w:tcPr>
          <w:p>
            <w:pPr>
              <w:ind w:left="800"/>
              <w:spacing w:after="0"/>
              <w:rPr>
                <w:sz w:val="20"/>
                <w:szCs w:val="20"/>
                <w:color w:val="auto"/>
              </w:rPr>
            </w:pPr>
            <w:r>
              <w:rPr>
                <w:rFonts w:ascii="Arial" w:cs="Arial" w:eastAsia="Arial" w:hAnsi="Arial"/>
                <w:sz w:val="18"/>
                <w:szCs w:val="18"/>
                <w:b w:val="1"/>
                <w:bCs w:val="1"/>
                <w:color w:val="auto"/>
              </w:rPr>
              <w:t>Delaware</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41-2015127</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(State or Other Jurisdiction of</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i w:val="1"/>
                <w:iCs w:val="1"/>
                <w:color w:val="auto"/>
              </w:rPr>
              <w:t>Incorporation or Organization)</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(Address of Principal Executive Offices, Including Zip Code)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6" w:lineRule="exact"/>
        <w:rPr>
          <w:sz w:val="20"/>
          <w:szCs w:val="20"/>
          <w:color w:val="auto"/>
        </w:rPr>
      </w:pPr>
    </w:p>
    <w:p>
      <w:pPr>
        <w:sectPr>
          <w:pgSz w:w="11900" w:h="16838" w:orient="portrait"/>
          <w:cols w:equalWidth="0" w:num="4">
            <w:col w:w="2440" w:space="720"/>
            <w:col w:w="1420" w:space="720"/>
            <w:col w:w="3340" w:space="400"/>
            <w:col w:w="2380"/>
          </w:cols>
          <w:pgMar w:left="240" w:top="122" w:right="239" w:bottom="1440" w:gutter="0" w:footer="0" w:header="0"/>
          <w:type w:val="continuous"/>
        </w:sectPr>
      </w:pPr>
    </w:p>
    <w:p>
      <w:pPr>
        <w:ind w:right="232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11,607,533 shares</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88"/>
              </w:rPr>
              <w:t>Class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Outstanding at July 30, 2010</w:t>
            </w:r>
          </w:p>
        </w:tc>
      </w:tr>
      <w:tr>
        <w:trPr>
          <w:trHeight w:val="236"/>
        </w:trPr>
        <w:tc>
          <w:tcPr>
            <w:tcW w:w="5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r>
        <w:trPr>
          <w:trHeight w:val="631"/>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SPS COMMERCE,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6220" w:type="dxa"/>
            <w:vAlign w:val="bottom"/>
            <w:gridSpan w:val="8"/>
            <w:vMerge w:val="restart"/>
          </w:tcPr>
          <w:p>
            <w:pPr>
              <w:spacing w:after="0"/>
              <w:rPr>
                <w:sz w:val="16"/>
                <w:szCs w:val="16"/>
                <w:color w:val="auto"/>
              </w:rPr>
            </w:pPr>
          </w:p>
        </w:tc>
        <w:tc>
          <w:tcPr>
            <w:tcW w:w="188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220" w:type="dxa"/>
            <w:vAlign w:val="bottom"/>
            <w:tcBorders>
              <w:bottom w:val="single" w:sz="8" w:color="0000EE"/>
            </w:tcBorders>
            <w:gridSpan w:val="12"/>
            <w:vMerge w:val="continue"/>
          </w:tcPr>
          <w:p>
            <w:pPr>
              <w:spacing w:after="0"/>
              <w:rPr>
                <w:sz w:val="13"/>
                <w:szCs w:val="13"/>
                <w:color w:val="auto"/>
              </w:rPr>
            </w:pPr>
          </w:p>
        </w:tc>
        <w:tc>
          <w:tcPr>
            <w:tcW w:w="6220" w:type="dxa"/>
            <w:vAlign w:val="bottom"/>
            <w:gridSpan w:val="8"/>
            <w:vMerge w:val="continue"/>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94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2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Balance Sheets as of June 30, 2010 (unaudited) and December 31, 2009</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22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Operations for the three and six months ended June 30, 2010 and 2009 (unaudited)</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7820" w:type="dxa"/>
            <w:vAlign w:val="bottom"/>
            <w:tcBorders>
              <w:top w:val="single" w:sz="8" w:color="0000EE"/>
            </w:tcBorders>
            <w:gridSpan w:val="18"/>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Statements of Cash Flows for the six months ended June 30, 2010 and 2009 (unaudited)</w:t>
              </w:r>
            </w:hyperlink>
          </w:p>
        </w:tc>
        <w:tc>
          <w:tcPr>
            <w:tcW w:w="14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716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 (unaudited)</w:t>
              </w:r>
            </w:hyperlink>
          </w:p>
        </w:tc>
        <w:tc>
          <w:tcPr>
            <w:tcW w:w="2060" w:type="dxa"/>
            <w:vAlign w:val="bottom"/>
            <w:gridSpan w:val="2"/>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4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420" w:type="dxa"/>
            <w:vAlign w:val="bottom"/>
            <w:gridSpan w:val="3"/>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7100" w:type="dxa"/>
            <w:vAlign w:val="bottom"/>
            <w:gridSpan w:val="11"/>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9440" w:type="dxa"/>
            <w:vAlign w:val="bottom"/>
            <w:gridSpan w:val="20"/>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1. Legal Proceedings</w:t>
              </w:r>
            </w:hyperlink>
          </w:p>
        </w:tc>
        <w:tc>
          <w:tcPr>
            <w:tcW w:w="1000" w:type="dxa"/>
            <w:vAlign w:val="bottom"/>
            <w:tcBorders>
              <w:top w:val="single" w:sz="8" w:color="0000EE"/>
            </w:tcBorders>
            <w:gridSpan w:val="4"/>
          </w:tcPr>
          <w:p>
            <w:pPr>
              <w:spacing w:after="0"/>
              <w:rPr>
                <w:sz w:val="24"/>
                <w:szCs w:val="24"/>
                <w:color w:val="auto"/>
              </w:rPr>
            </w:pPr>
          </w:p>
        </w:tc>
        <w:tc>
          <w:tcPr>
            <w:tcW w:w="6540" w:type="dxa"/>
            <w:vAlign w:val="bottom"/>
            <w:gridSpan w:val="9"/>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1A. Risk Factors</w:t>
              </w:r>
            </w:hyperlink>
          </w:p>
        </w:tc>
        <w:tc>
          <w:tcPr>
            <w:tcW w:w="7840" w:type="dxa"/>
            <w:vAlign w:val="bottom"/>
            <w:gridSpan w:val="15"/>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2.</w:t>
              </w:r>
            </w:hyperlink>
          </w:p>
        </w:tc>
        <w:tc>
          <w:tcPr>
            <w:tcW w:w="4380" w:type="dxa"/>
            <w:vAlign w:val="bottom"/>
            <w:tcBorders>
              <w:bottom w:val="single" w:sz="8" w:color="0000EE"/>
            </w:tcBorders>
            <w:gridSpan w:val="12"/>
          </w:tcPr>
          <w:p>
            <w:pPr>
              <w:ind w:left="2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4520" w:type="dxa"/>
            <w:vAlign w:val="bottom"/>
            <w:gridSpan w:val="6"/>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8900" w:type="dxa"/>
            <w:vAlign w:val="bottom"/>
            <w:gridSpan w:val="18"/>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Other Information</w:t>
              </w:r>
            </w:hyperlink>
          </w:p>
        </w:tc>
        <w:tc>
          <w:tcPr>
            <w:tcW w:w="1000" w:type="dxa"/>
            <w:vAlign w:val="bottom"/>
            <w:tcBorders>
              <w:top w:val="single" w:sz="8" w:color="0000EE"/>
            </w:tcBorders>
            <w:gridSpan w:val="4"/>
          </w:tcPr>
          <w:p>
            <w:pPr>
              <w:spacing w:after="0"/>
              <w:rPr>
                <w:sz w:val="24"/>
                <w:szCs w:val="24"/>
                <w:color w:val="auto"/>
              </w:rPr>
            </w:pPr>
          </w:p>
        </w:tc>
        <w:tc>
          <w:tcPr>
            <w:tcW w:w="6560" w:type="dxa"/>
            <w:vAlign w:val="bottom"/>
            <w:gridSpan w:val="10"/>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6.</w:t>
              </w:r>
            </w:hyperlink>
          </w:p>
        </w:tc>
        <w:tc>
          <w:tcPr>
            <w:tcW w:w="8900" w:type="dxa"/>
            <w:vAlign w:val="bottom"/>
            <w:gridSpan w:val="18"/>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Signatures</w:t>
              </w:r>
            </w:hyperlink>
          </w:p>
        </w:tc>
        <w:tc>
          <w:tcPr>
            <w:tcW w:w="8280" w:type="dxa"/>
            <w:vAlign w:val="bottom"/>
            <w:gridSpan w:val="16"/>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included in the final prospectus for our initial public offering dated April 22, 2010 as filed with the Securities and Exchange Commission. Readers are cautioned not to place undue reliance on these forward-looking statements, which speak only as of the date of this report. We undertake no obligation to revise any forward-looking statements in order to reflect events or circumstances that may subsequently arise. Readers are urged to carefully review and consider the various disclosures made by us in this report and in our other reports filed with the Commission that advise interested parties of the risks and factors that may affect our business.</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8"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(see Note 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37,973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doubtful accounts of $206 and $226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4,987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costs, current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48,486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2,989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Deferred costs, net of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1,662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(DEFICIT)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Line of credit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3,496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Current portion of deferred revenue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Deferred revenue, less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4,333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14,057</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ind w:left="200"/>
              <w:spacing w:after="0" w:line="201" w:lineRule="exact"/>
              <w:rPr>
                <w:sz w:val="20"/>
                <w:szCs w:val="20"/>
                <w:color w:val="auto"/>
              </w:rPr>
            </w:pPr>
            <w:r>
              <w:rPr>
                <w:rFonts w:ascii="Arial" w:cs="Arial" w:eastAsia="Arial" w:hAnsi="Arial"/>
                <w:sz w:val="18"/>
                <w:szCs w:val="18"/>
                <w:color w:val="auto"/>
              </w:rPr>
              <w:t>Series A redeemable convertible preferred stock, $0.001 par value, 0 and 1,182,217 shares authorized; 0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1,154,151 shares issued and outstanding; aggregate liquidation preference of $0 and $10,000,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37,676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Series B redeemable convertible preferred stock, $0.001 par value, 0 and 6,274,329 shares authorized; 0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5,688,116 shares issued and outstanding; aggregate liquidation preference of $0 and $21,112, 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ind w:left="200"/>
              <w:spacing w:after="0" w:line="201" w:lineRule="exact"/>
              <w:rPr>
                <w:sz w:val="20"/>
                <w:szCs w:val="20"/>
                <w:color w:val="auto"/>
              </w:rPr>
            </w:pPr>
            <w:r>
              <w:rPr>
                <w:rFonts w:ascii="Arial" w:cs="Arial" w:eastAsia="Arial" w:hAnsi="Arial"/>
                <w:sz w:val="18"/>
                <w:szCs w:val="18"/>
                <w:color w:val="auto"/>
              </w:rPr>
              <w:t>Series C redeemable convertible preferred stock, $0.001 par value, 0 and 1,602,000 shares authorized; 0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1,251,559 shares issued and outstanding; aggregate liquidation preference of $0 and $7,500, respectively</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redeemable convertible preferred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65,778</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STOCKHOLDERS’ EQUITY (DEFICIT )</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$0.001 par value; 5,000,000 and 0 shares authorized; 0 shares issued and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$0.001 par value; 55,000,000 and 13,442,303 shares authorized; 11,607,534 and 327,113 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issued and outstanding,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104,677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w w:val="98"/>
              </w:rPr>
              <w:t>(64,094)</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3"/>
              </w:rPr>
              <w:t>(unaudited)</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66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10,944</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21,187</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Cost of revenues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3,101</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2,896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6,082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15,105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12,398</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3,397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1,067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1,059</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2,110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5,970</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13,379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tax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1,557</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Diluted</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shares used to compute net income per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8,301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4,358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9,046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10,699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For the 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90"/>
              </w:rPr>
              <w:t>(unaudited)</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1,557</w:t>
            </w:r>
          </w:p>
        </w:tc>
        <w:tc>
          <w:tcPr>
            <w:tcW w:w="34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carrying value of preferred stock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20"/>
                <w:szCs w:val="20"/>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(1,214)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flows used in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on line of credit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8,025</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Payments on line of credit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(5,950)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(7,975)</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equipment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Payments on term loan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capital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proceeds from initial public offering</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32,902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flows provided by (used in)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30,554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32,042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37,973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We are a leading provider of on-demand supply chain management solutions,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for interim financial information and with the instructions to Form 10-Q and Rule 10-01 of Regulation S-X. Accordingly, these condensed financial statements do not include all of the information and footnotes required by accounting principles generally accepted in the United States of America.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2009 balance sheet data was derived from our audited financial statements at that date. For further information, refer to the financial statements and accompanying notes for the year ended December 31, 2009 included in the final prospectus for our initial public offering dated April 22, 2010 as filed with the Securities and Exchange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Preparing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color w:val="auto"/>
        </w:rPr>
        <w:t>During the six months ended June 30, 2010, there were no significant changes in our significant accounting policies. See Note A to our financial statements included in the final prospectus for our initial public offering dated April 22, 2010 as filed with the Securities and Exchange Commission for additional information regarding our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 xml:space="preserve">In May 2009, the Financial Accounting Standards Board (“FASB”) issued Accounting Standards Codification (“ASC”) 855,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ASC 855 incorporates guidance into accounting literature that was previously addressed only in auditing standards. The statement refers to subsequent events that provide additional evidence about conditions that existed at the balance-sheet date as “recognized subsequent events.” Subsequent events that provide evidence about conditions that arose after the balance-sheet date but prior to the issuance of the financial statements are referred to as “non-recognized subsequent events.” The disclosure requirements of ASC 855 are effective for interim and annual periods ending after June 15, 2009. In February 2010, Accounting Standards Update (“ASU”) 2010-09, Subsequent Events (Topic 855), </w:t>
      </w:r>
      <w:r>
        <w:rPr>
          <w:rFonts w:ascii="Arial" w:cs="Arial" w:eastAsia="Arial" w:hAnsi="Arial"/>
          <w:sz w:val="16"/>
          <w:szCs w:val="16"/>
          <w:i w:val="1"/>
          <w:iCs w:val="1"/>
          <w:color w:val="auto"/>
        </w:rPr>
        <w:t>Amendments to Certain Recognition and Disclosure Requirements,</w:t>
      </w:r>
      <w:r>
        <w:rPr>
          <w:rFonts w:ascii="Arial" w:cs="Arial" w:eastAsia="Arial" w:hAnsi="Arial"/>
          <w:sz w:val="16"/>
          <w:szCs w:val="16"/>
          <w:color w:val="auto"/>
        </w:rPr>
        <w:t xml:space="preserve"> was issued to clarify disclosure requirements and align with SEC subsequent event disclosure guidelines. We have adopted this new standard.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 June 2009, the FASB issued guidance that establishes the FASB Accounting Standards Codification as the source of authoritative accounting principles recognized by the FASB to be applied by nongovernmental entities in the preparation of financial statements in conformity with U.S. generally accepted accounting principles (“GAAP”). Use of the new codification is effective for interim and annual periods ending after September 15, 2009. We have used the new codification in reference to GAAP in this report.</w:t>
      </w:r>
    </w:p>
    <w:p>
      <w:pPr>
        <w:spacing w:after="0" w:line="79"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In October 2009, the FASB issued ASU No. 2009-13, Revenue Recognition (ASC Topic 605), </w:t>
      </w:r>
      <w:r>
        <w:rPr>
          <w:rFonts w:ascii="Arial" w:cs="Arial" w:eastAsia="Arial" w:hAnsi="Arial"/>
          <w:sz w:val="16"/>
          <w:szCs w:val="16"/>
          <w:i w:val="1"/>
          <w:iCs w:val="1"/>
          <w:color w:val="auto"/>
        </w:rPr>
        <w:t>Multiple-Deliverable Revenue Arrangements, a consensus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the FASB Emerging Issues Task Force. </w:t>
      </w:r>
      <w:r>
        <w:rPr>
          <w:rFonts w:ascii="Arial" w:cs="Arial" w:eastAsia="Arial" w:hAnsi="Arial"/>
          <w:sz w:val="16"/>
          <w:szCs w:val="16"/>
          <w:color w:val="auto"/>
        </w:rPr>
        <w:t>This guidance modifies the fair value requirements of ASC subtopic 605-25,</w:t>
      </w:r>
      <w:r>
        <w:rPr>
          <w:rFonts w:ascii="Arial" w:cs="Arial" w:eastAsia="Arial" w:hAnsi="Arial"/>
          <w:sz w:val="16"/>
          <w:szCs w:val="16"/>
          <w:i w:val="1"/>
          <w:iCs w:val="1"/>
          <w:color w:val="auto"/>
        </w:rPr>
        <w:t xml:space="preserve"> Revenue Recognition-Multiple Element Arrangements, </w:t>
      </w:r>
      <w:r>
        <w:rPr>
          <w:rFonts w:ascii="Arial" w:cs="Arial" w:eastAsia="Arial" w:hAnsi="Arial"/>
          <w:sz w:val="16"/>
          <w:szCs w:val="16"/>
          <w:color w:val="auto"/>
        </w:rPr>
        <w:t>by allowing the use of the “best estimate of selling price” in addition to Vendor Objective Evidence (now referred to as third-party evidence or</w:t>
      </w:r>
      <w:r>
        <w:rPr>
          <w:rFonts w:ascii="Arial" w:cs="Arial" w:eastAsia="Arial" w:hAnsi="Arial"/>
          <w:sz w:val="16"/>
          <w:szCs w:val="16"/>
          <w:i w:val="1"/>
          <w:iCs w:val="1"/>
          <w:color w:val="auto"/>
        </w:rPr>
        <w:t xml:space="preserve"> </w:t>
      </w:r>
      <w:r>
        <w:rPr>
          <w:rFonts w:ascii="Arial" w:cs="Arial" w:eastAsia="Arial" w:hAnsi="Arial"/>
          <w:sz w:val="16"/>
          <w:szCs w:val="16"/>
          <w:color w:val="auto"/>
        </w:rPr>
        <w:t>TPE) for determining the selling price of a deliverable. A vendor is now required to use its best estimate of the selling price when Vendor Specific Objective Evidence or TPE of the selling price cannot be determined. In addition, the residual method of allocating arrangement consideration is no longer permitted.</w:t>
      </w:r>
    </w:p>
    <w:p>
      <w:pPr>
        <w:spacing w:after="0" w:line="5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In October 2009, the FASB issued ASU No. 2009-14, Software (ASC Topic 985), </w:t>
      </w:r>
      <w:r>
        <w:rPr>
          <w:rFonts w:ascii="Arial" w:cs="Arial" w:eastAsia="Arial" w:hAnsi="Arial"/>
          <w:sz w:val="18"/>
          <w:szCs w:val="18"/>
          <w:i w:val="1"/>
          <w:iCs w:val="1"/>
          <w:color w:val="auto"/>
        </w:rPr>
        <w:t>Certain Revenue Arrangements That Include Software Elements,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consensus of the FASB Emerging Issues Task Force. </w:t>
      </w:r>
      <w:r>
        <w:rPr>
          <w:rFonts w:ascii="Arial" w:cs="Arial" w:eastAsia="Arial" w:hAnsi="Arial"/>
          <w:sz w:val="18"/>
          <w:szCs w:val="18"/>
          <w:color w:val="auto"/>
        </w:rPr>
        <w:t>This guidance modifies the scope of ASC subtopic 965-605,</w:t>
      </w:r>
      <w:r>
        <w:rPr>
          <w:rFonts w:ascii="Arial" w:cs="Arial" w:eastAsia="Arial" w:hAnsi="Arial"/>
          <w:sz w:val="18"/>
          <w:szCs w:val="18"/>
          <w:i w:val="1"/>
          <w:iCs w:val="1"/>
          <w:color w:val="auto"/>
        </w:rPr>
        <w:t xml:space="preserve"> Software-Revenue Recognition, </w:t>
      </w:r>
      <w:r>
        <w:rPr>
          <w:rFonts w:ascii="Arial" w:cs="Arial" w:eastAsia="Arial" w:hAnsi="Arial"/>
          <w:sz w:val="18"/>
          <w:szCs w:val="18"/>
          <w:color w:val="auto"/>
        </w:rPr>
        <w:t>to exclude</w:t>
      </w:r>
      <w:r>
        <w:rPr>
          <w:rFonts w:ascii="Arial" w:cs="Arial" w:eastAsia="Arial" w:hAnsi="Arial"/>
          <w:sz w:val="18"/>
          <w:szCs w:val="18"/>
          <w:i w:val="1"/>
          <w:iCs w:val="1"/>
          <w:color w:val="auto"/>
        </w:rPr>
        <w:t xml:space="preserve"> </w:t>
      </w:r>
      <w:r>
        <w:rPr>
          <w:rFonts w:ascii="Arial" w:cs="Arial" w:eastAsia="Arial" w:hAnsi="Arial"/>
          <w:sz w:val="18"/>
          <w:szCs w:val="18"/>
          <w:color w:val="auto"/>
        </w:rPr>
        <w:t>from its requirements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w:t>
      </w:r>
    </w:p>
    <w:p>
      <w:pPr>
        <w:spacing w:after="0" w:line="80"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ASU No. 2009-13 and ASU No. 2009-14 both require expanded qualitative and quantitative disclosures and are effective for fiscal years beginning on or after June 15, 2010. However, companies may elect to adopt the updated requirements as early as interim periods ended September 30, 2009. These updates may be applied either prospectively from the beginning of the fiscal year for new or materially modified arrangements or retrospectively. We are currently evaluating the impact of adopting these updates.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Statement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included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w w:val="99"/>
              </w:rPr>
              <w:t>June 30, 2010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91"/>
              </w:rPr>
              <w:t>December 31, 2009</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720" w:type="dxa"/>
            <w:vAlign w:val="bottom"/>
          </w:tcPr>
          <w:p>
            <w:pPr>
              <w:spacing w:after="0"/>
              <w:rPr>
                <w:sz w:val="10"/>
                <w:szCs w:val="10"/>
                <w:color w:val="auto"/>
              </w:rPr>
            </w:pPr>
          </w:p>
        </w:tc>
        <w:tc>
          <w:tcPr>
            <w:tcW w:w="1360" w:type="dxa"/>
            <w:vAlign w:val="bottom"/>
            <w:gridSpan w:val="3"/>
          </w:tcPr>
          <w:p>
            <w:pPr>
              <w:ind w:left="80"/>
              <w:spacing w:after="0" w:line="123" w:lineRule="exact"/>
              <w:rPr>
                <w:sz w:val="20"/>
                <w:szCs w:val="20"/>
                <w:color w:val="auto"/>
              </w:rPr>
            </w:pPr>
            <w:r>
              <w:rPr>
                <w:rFonts w:ascii="Arial" w:cs="Arial" w:eastAsia="Arial" w:hAnsi="Arial"/>
                <w:sz w:val="14"/>
                <w:szCs w:val="14"/>
                <w:color w:val="auto"/>
              </w:rPr>
              <w:t>Carrying</w:t>
            </w:r>
          </w:p>
        </w:tc>
        <w:tc>
          <w:tcPr>
            <w:tcW w:w="740" w:type="dxa"/>
            <w:vAlign w:val="bottom"/>
            <w:gridSpan w:val="2"/>
          </w:tcPr>
          <w:p>
            <w:pPr>
              <w:spacing w:after="0" w:line="123" w:lineRule="exact"/>
              <w:rPr>
                <w:sz w:val="20"/>
                <w:szCs w:val="20"/>
                <w:color w:val="auto"/>
              </w:rPr>
            </w:pPr>
            <w:r>
              <w:rPr>
                <w:rFonts w:ascii="Arial" w:cs="Arial" w:eastAsia="Arial" w:hAnsi="Arial"/>
                <w:sz w:val="14"/>
                <w:szCs w:val="14"/>
                <w:color w:val="auto"/>
                <w:w w:val="88"/>
              </w:rPr>
              <w:t>Accumulated</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3"/>
          </w:tcPr>
          <w:p>
            <w:pPr>
              <w:jc w:val="right"/>
              <w:ind w:right="760"/>
              <w:spacing w:after="0" w:line="123" w:lineRule="exact"/>
              <w:rPr>
                <w:sz w:val="20"/>
                <w:szCs w:val="20"/>
                <w:color w:val="auto"/>
              </w:rPr>
            </w:pPr>
            <w:r>
              <w:rPr>
                <w:rFonts w:ascii="Arial" w:cs="Arial" w:eastAsia="Arial" w:hAnsi="Arial"/>
                <w:sz w:val="14"/>
                <w:szCs w:val="14"/>
                <w:color w:val="auto"/>
              </w:rPr>
              <w:t>Carrying</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91"/>
              </w:rPr>
              <w:t>Accumulated</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color w:val="auto"/>
                <w:w w:val="95"/>
              </w:rPr>
              <w:t>Amount</w:t>
            </w:r>
          </w:p>
        </w:tc>
        <w:tc>
          <w:tcPr>
            <w:tcW w:w="6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color w:val="auto"/>
                <w:w w:val="91"/>
              </w:rPr>
              <w:t>Amount</w:t>
            </w:r>
          </w:p>
        </w:tc>
        <w:tc>
          <w:tcPr>
            <w:tcW w:w="11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Net</w:t>
            </w:r>
          </w:p>
        </w:tc>
      </w:tr>
      <w:tr>
        <w:trPr>
          <w:trHeight w:val="20"/>
        </w:trPr>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(1,930)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Covenants not-to-compete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7"/>
        </w:trPr>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2,510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(2,220)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0"/>
        </w:trPr>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There was no amortization expense for intangible assets for the three and six months ended June 30, 2010. Amortization expense was $12,000 and $155,000 for the three and six months ended June 30, 2009,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included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June 30,</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 for initial public offering</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accounts payable</w:t>
            </w:r>
          </w:p>
        </w:tc>
        <w:tc>
          <w:tcPr>
            <w:tcW w:w="4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983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983</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880" w:type="dxa"/>
            <w:vAlign w:val="bottom"/>
            <w:vMerge w:val="restart"/>
          </w:tcPr>
          <w:p>
            <w:pPr>
              <w:jc w:val="right"/>
              <w:ind w:right="3310"/>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8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Accrued expenses and other current liabilities included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June 30,</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6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Costs accrued for initial public offering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accrued expenses and other current liabilities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897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r>
      <w:tr>
        <w:trPr>
          <w:trHeight w:val="27"/>
        </w:trPr>
        <w:tc>
          <w:tcPr>
            <w:tcW w:w="64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897</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r>
      <w:tr>
        <w:trPr>
          <w:trHeight w:val="20"/>
        </w:trPr>
        <w:tc>
          <w:tcPr>
            <w:tcW w:w="6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of Financial Instruments</w:t>
      </w:r>
    </w:p>
    <w:p>
      <w:pPr>
        <w:spacing w:after="0" w:line="121" w:lineRule="exact"/>
        <w:rPr>
          <w:sz w:val="20"/>
          <w:szCs w:val="20"/>
          <w:color w:val="auto"/>
        </w:rPr>
      </w:pPr>
    </w:p>
    <w:p>
      <w:pPr>
        <w:jc w:val="both"/>
        <w:ind w:right="420" w:firstLine="222"/>
        <w:spacing w:after="0" w:line="264" w:lineRule="auto"/>
        <w:rPr>
          <w:sz w:val="20"/>
          <w:szCs w:val="20"/>
          <w:color w:val="auto"/>
        </w:rPr>
      </w:pPr>
      <w:r>
        <w:rPr>
          <w:rFonts w:ascii="Arial" w:cs="Arial" w:eastAsia="Arial" w:hAnsi="Arial"/>
          <w:sz w:val="18"/>
          <w:szCs w:val="18"/>
          <w:color w:val="auto"/>
        </w:rPr>
        <w:t>The carrying amounts of our financial instruments, which include cash and cash equivalents, accounts receivable, accounts payable and other accrued expenses, approximate their fair values due to their short maturities. Based on borrowing rates currently available to us for loans with similar terms, the carrying value of our debt and capital lease obligations approximates fair value.</w:t>
      </w:r>
    </w:p>
    <w:p>
      <w:pPr>
        <w:spacing w:after="0" w:line="73" w:lineRule="exact"/>
        <w:rPr>
          <w:sz w:val="20"/>
          <w:szCs w:val="20"/>
          <w:color w:val="auto"/>
        </w:rPr>
      </w:pPr>
    </w:p>
    <w:p>
      <w:pPr>
        <w:jc w:val="both"/>
        <w:ind w:right="300" w:firstLine="215"/>
        <w:spacing w:after="0" w:line="264"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for an asset or paid to transfer a liability (an exit price) in the principal or most advantageous market for the asset or liability in an orderly transaction between market participants on the measurement date. ASC 820 also describes three levels of inputs that may be used to measure fair value:</w:t>
      </w:r>
    </w:p>
    <w:p>
      <w:pPr>
        <w:spacing w:after="0" w:line="73"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1 — quoted prices in active markets for identical assets and liabilities.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220" w:right="20" w:firstLine="126"/>
        <w:spacing w:after="0" w:line="440"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Level 3 — unobservable inputs in which there is little or no market data available, which require the reporting entity to develop its own assumptions. The table below presents our assets and liabilities measured at fair value on a recurring basis as of June 30, 2010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2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Total</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7"/>
              </w:rPr>
              <w:t>Level 1</w:t>
            </w:r>
          </w:p>
        </w:tc>
        <w:tc>
          <w:tcPr>
            <w:tcW w:w="12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224"/>
        </w:trPr>
        <w:tc>
          <w:tcPr>
            <w:tcW w:w="422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37,973</w:t>
            </w:r>
          </w:p>
        </w:tc>
        <w:tc>
          <w:tcPr>
            <w:tcW w:w="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$ 37,973</w:t>
            </w:r>
          </w:p>
        </w:tc>
        <w:tc>
          <w:tcPr>
            <w:tcW w:w="6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presents our assets and liabilities measured at fair value on a recurring basis as of December 31, 2009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2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95"/>
        </w:trPr>
        <w:tc>
          <w:tcPr>
            <w:tcW w:w="4220" w:type="dxa"/>
            <w:vAlign w:val="bottom"/>
            <w:vMerge w:val="continue"/>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5,931</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5,931</w:t>
            </w:r>
          </w:p>
        </w:tc>
        <w:tc>
          <w:tcPr>
            <w:tcW w:w="66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222"/>
        <w:spacing w:after="0" w:line="312" w:lineRule="auto"/>
        <w:rPr>
          <w:sz w:val="20"/>
          <w:szCs w:val="20"/>
          <w:color w:val="auto"/>
        </w:rPr>
      </w:pPr>
      <w:r>
        <w:rPr>
          <w:rFonts w:ascii="Arial" w:cs="Arial" w:eastAsia="Arial" w:hAnsi="Arial"/>
          <w:sz w:val="16"/>
          <w:szCs w:val="16"/>
          <w:color w:val="auto"/>
        </w:rPr>
        <w:t>We previously had warrants outstanding to purchase 68,201 shares of our Series B redeemable convertible preferred stock. The fair value of these warrants was $569,000 at December 31, 2009. With the completion of our initial public offering in April 2010, these warrants were converted into warrants to purchase common stock and the related liability was transferred to additional paid-in capital in our balance sheets. See Note E for additional information.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The table below presents a reconciliation of our preferred stock warrants, which were measured at fair value on a recurring basis using significant unobservable inputs (Level 3 inputs):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Total losses recognized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Converted into warrants to purchase common stock and liability transferred to additional paid-in capital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Balance at June 30, 2010</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Debt</w:t>
      </w:r>
    </w:p>
    <w:p>
      <w:pPr>
        <w:spacing w:after="0" w:line="12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We maintained a credit facility with BlueCrest Venture Finance Master Fund Limited which has provided us a series of equipment and term loans as well as a revolving line of credit. We terminated this credit facility, effective March 31, 2010, such that no new borrowings will be made and all related outstanding indebtedness was repaid during the quarter ended June 30,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Redeemable Convertible Preferred Stock and Stockholders’ Equity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On April 13, 2010, we effected a 0.267 for 1 reverse stock split in the form of a combination of our outstanding stock. All share and per share amounts in the accompanying financial statements and notes have been retroactively adjusted for all periods presented to give effect to the reverse stock split.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April 27, 2010, we completed our initial public offering of 4,711,198 shares of common stock at an offering price of $12.00 per share. We issued and sold 3,114,504 shares, including 614,505 shares sold pursuant to the exercise in full of the underwriters’ over-allotment option, and the selling stockholders sold 1,596,694 shares. 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w:t>
      </w:r>
    </w:p>
    <w:p>
      <w:pPr>
        <w:spacing w:after="0" w:line="80" w:lineRule="exact"/>
        <w:rPr>
          <w:sz w:val="20"/>
          <w:szCs w:val="20"/>
          <w:color w:val="auto"/>
        </w:rPr>
      </w:pPr>
    </w:p>
    <w:p>
      <w:pPr>
        <w:ind w:right="200" w:firstLine="215"/>
        <w:spacing w:after="0" w:line="302" w:lineRule="auto"/>
        <w:rPr>
          <w:sz w:val="20"/>
          <w:szCs w:val="20"/>
          <w:color w:val="auto"/>
        </w:rPr>
      </w:pPr>
      <w:r>
        <w:rPr>
          <w:rFonts w:ascii="Arial" w:cs="Arial" w:eastAsia="Arial" w:hAnsi="Arial"/>
          <w:sz w:val="16"/>
          <w:szCs w:val="16"/>
          <w:color w:val="auto"/>
        </w:rPr>
        <w:t>At the close of the initial public offering, our outstanding shares of redeemable convertible preferred stock were automatically converted into 8,093,826 shares of common stock and warrants to purchase 68,201 shares of redeemable convertible preferred stock were converted into warrants to purchase 68,201 shares of common stock. Accordingly, the related warrant liability of approximately $596,000 was transferred to additional paid-in capital in our balance sheet. These common stock warrants have an exercise price of $3.67 per share and expiration dates ranging from May 2011 to February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Warrants</w:t>
      </w:r>
    </w:p>
    <w:p>
      <w:pPr>
        <w:spacing w:after="0" w:line="117"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As discussed above, we previously had warrants outstanding to purchase 68,201 shares of our Series B redeemable convertible preferred stock. These warrants had an exercise price of $3.67 per share and expiration dates ranging from May 2011 to February 2016. We classified these outstanding warrants as a liability in our balance sheets. These warrants were subject to revaluation at each balance sheet date and any change in fair market value was recognized as a component of other income (expense) in our statements of operations.</w:t>
      </w:r>
    </w:p>
    <w:p>
      <w:pPr>
        <w:spacing w:after="0" w:line="79"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Prior to the conversion of the preferred stock warrants into common stock warrants, we recorded other expense of $0 and $27,000 for the three and six months ended June 30, 2010, respectively, for changes in the fair market value of these warrants. We recorded other income of $6,000 and $121,000 for the three and six months ended June 30, 2009, respectively, related to these warrants.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Stock-Based Compensation</w:t>
      </w:r>
    </w:p>
    <w:p>
      <w:pPr>
        <w:spacing w:after="0" w:line="121"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to employees, non-employee directors and other consultants who provide services to us. Stock options generally vest over three to four years and have a contractual term of ten years from the date of grant. At June 30, 2010, there were approximately 386,000 shares available for grant under approved equity compensation plans.</w:t>
      </w:r>
    </w:p>
    <w:p>
      <w:pPr>
        <w:spacing w:after="0" w:line="39" w:lineRule="exact"/>
        <w:rPr>
          <w:sz w:val="20"/>
          <w:szCs w:val="20"/>
          <w:color w:val="auto"/>
        </w:rPr>
      </w:pPr>
    </w:p>
    <w:p>
      <w:pPr>
        <w:ind w:right="120" w:firstLine="222"/>
        <w:spacing w:after="0" w:line="308" w:lineRule="auto"/>
        <w:rPr>
          <w:sz w:val="20"/>
          <w:szCs w:val="20"/>
          <w:color w:val="auto"/>
        </w:rPr>
      </w:pPr>
      <w:r>
        <w:rPr>
          <w:rFonts w:ascii="Arial" w:cs="Arial" w:eastAsia="Arial" w:hAnsi="Arial"/>
          <w:sz w:val="17"/>
          <w:szCs w:val="17"/>
          <w:color w:val="auto"/>
        </w:rPr>
        <w:t>We recorded stock-based compensation expense of $175,000 and $50,000 for the three months ended June 30, 2010 and 2009, respectively, and $226,000 and $98,000 for the six months ended June 30, 2010 and 2009, respectively. This expense was allocated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right"/>
              <w:ind w:right="167"/>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jc w:val="right"/>
              <w:ind w:right="207"/>
              <w:spacing w:after="0"/>
              <w:rPr>
                <w:sz w:val="20"/>
                <w:szCs w:val="20"/>
                <w:color w:val="auto"/>
              </w:rPr>
            </w:pPr>
            <w:r>
              <w:rPr>
                <w:rFonts w:ascii="Arial" w:cs="Arial" w:eastAsia="Arial" w:hAnsi="Arial"/>
                <w:sz w:val="14"/>
                <w:szCs w:val="14"/>
                <w:color w:val="auto"/>
              </w:rPr>
              <w:t>Six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527"/>
              <w:spacing w:after="0"/>
              <w:rPr>
                <w:sz w:val="20"/>
                <w:szCs w:val="20"/>
                <w:color w:val="auto"/>
              </w:rPr>
            </w:pPr>
            <w:r>
              <w:rPr>
                <w:rFonts w:ascii="Arial" w:cs="Arial" w:eastAsia="Arial" w:hAnsi="Arial"/>
                <w:sz w:val="14"/>
                <w:szCs w:val="14"/>
                <w:color w:val="auto"/>
              </w:rPr>
              <w:t>June 30,</w:t>
            </w:r>
          </w:p>
        </w:tc>
        <w:tc>
          <w:tcPr>
            <w:tcW w:w="2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507"/>
              <w:spacing w:after="0"/>
              <w:rPr>
                <w:sz w:val="20"/>
                <w:szCs w:val="20"/>
                <w:color w:val="auto"/>
              </w:rPr>
            </w:pPr>
            <w:r>
              <w:rPr>
                <w:rFonts w:ascii="Arial" w:cs="Arial" w:eastAsia="Arial" w:hAnsi="Arial"/>
                <w:sz w:val="14"/>
                <w:szCs w:val="14"/>
                <w:color w:val="auto"/>
                <w:w w:val="93"/>
              </w:rPr>
              <w:t>June 30,</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2009</w:t>
            </w:r>
          </w:p>
        </w:tc>
        <w:tc>
          <w:tcPr>
            <w:tcW w:w="20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2010</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2009</w:t>
            </w: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16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110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w:t>
            </w: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98</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 activity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Weighted Average</w:t>
            </w: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48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r>
      <w:tr>
        <w:trPr>
          <w:trHeight w:val="167"/>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2"/>
              </w:rPr>
              <w:t>($/share)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1,248,205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433,023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(79,241)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23"/>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50.48</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1,599,597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fair value of the options granted during 2010 was estimated on the date of grant using the Black-Scholes method with the following assumptions: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dividends</w:t>
            </w:r>
          </w:p>
        </w:tc>
        <w:tc>
          <w:tcPr>
            <w:tcW w:w="45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6.25</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4520" w:type="dxa"/>
            <w:vAlign w:val="bottom"/>
          </w:tcPr>
          <w:p>
            <w:pPr>
              <w:jc w:val="right"/>
              <w:spacing w:after="0"/>
              <w:rPr>
                <w:sz w:val="20"/>
                <w:szCs w:val="20"/>
                <w:color w:val="auto"/>
              </w:rPr>
            </w:pPr>
            <w:r>
              <w:rPr>
                <w:rFonts w:ascii="Arial" w:cs="Arial" w:eastAsia="Arial" w:hAnsi="Arial"/>
                <w:sz w:val="18"/>
                <w:szCs w:val="18"/>
                <w:color w:val="auto"/>
              </w:rPr>
              <w:t>3.14%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121"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recorded a provision for income taxes of $38,000 for the three months ended June 30, 2010. There was no provision for income taxes recorded for the three months ended June 30, 2009. We recorded a provision for income taxes of $103,000 and $11,000 for the six months ended June 30, 2010 and 2009, respectively. We record our interim provision for income taxes based on our estimated annual effective tax rate for the year. Our provision for income taxes includes estimated federal alternative minimum taxes and state income taxes, as well as deferred tax expense resulting from the book and tax basis difference in goodwill from a prior asset acquisition.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15"/>
        <w:spacing w:after="0" w:line="271" w:lineRule="auto"/>
        <w:rPr>
          <w:sz w:val="20"/>
          <w:szCs w:val="20"/>
          <w:color w:val="auto"/>
        </w:rPr>
      </w:pPr>
      <w:r>
        <w:rPr>
          <w:rFonts w:ascii="Arial" w:cs="Arial" w:eastAsia="Arial" w:hAnsi="Arial"/>
          <w:sz w:val="17"/>
          <w:szCs w:val="17"/>
          <w:color w:val="auto"/>
        </w:rPr>
        <w:t>As of December 31, 2009, we had net operating loss carryforwards of $53.4 million for U.S. federal tax purposes and $32.5 million for state tax purposes. These carryforwards expire between 2010 and 2029.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November 3, 2009 and determined that we had five separate ownership changes under Section 382. We believe that $17.6 million of the $53.4 million Federal losses will expire unused due to Section 382 limitations. Therefore, we have reduced the deferred tax asset relating to our net operating loss carryforwards by $17.6 million. The maximum annual limitation under Section 382 is approximately $990,000. This limitation could be further restricted if ownership changes occur in future years. As of December 31, 2009, the cumulative net operating loss carryforwards available to be utilized is approximately $16.1 million.</w:t>
      </w:r>
    </w:p>
    <w:p>
      <w:pPr>
        <w:spacing w:after="0" w:line="71" w:lineRule="exact"/>
        <w:rPr>
          <w:sz w:val="20"/>
          <w:szCs w:val="20"/>
          <w:color w:val="auto"/>
        </w:rPr>
      </w:pPr>
    </w:p>
    <w:p>
      <w:pPr>
        <w:ind w:right="380" w:firstLine="225"/>
        <w:spacing w:after="0" w:line="259" w:lineRule="auto"/>
        <w:rPr>
          <w:sz w:val="20"/>
          <w:szCs w:val="20"/>
          <w:color w:val="auto"/>
        </w:rPr>
      </w:pPr>
      <w:r>
        <w:rPr>
          <w:rFonts w:ascii="Arial" w:cs="Arial" w:eastAsia="Arial" w:hAnsi="Arial"/>
          <w:sz w:val="18"/>
          <w:szCs w:val="18"/>
          <w:color w:val="auto"/>
        </w:rPr>
        <w:t>Realization of our net operating loss carryforwards and other deferred tax temporary differences are contingent upon future taxable earnings. Our net deferred tax assets have been reduced fully by a valuation allowance, as realization is not considered to be likely based on an assessment of the history of losses and the likelihood of sufficient future taxable income. Our deferred tax liability relates to goodwill created in a prior asset acquisition which is deductible for tax purposes.</w:t>
      </w:r>
    </w:p>
    <w:p>
      <w:pPr>
        <w:spacing w:after="0" w:line="7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We are subject to income taxes in the U.S. federal jurisdiction and various state jurisdictions. As of June 30, 2010, we are no longer subject to U.S. federal tax examinations for tax years before 2006. We are subject to state tax audits until the applicable statutes of limitations expire.</w:t>
      </w:r>
    </w:p>
    <w:p>
      <w:pPr>
        <w:spacing w:after="0" w:line="62" w:lineRule="exact"/>
        <w:rPr>
          <w:sz w:val="20"/>
          <w:szCs w:val="20"/>
          <w:color w:val="auto"/>
        </w:rPr>
      </w:pPr>
    </w:p>
    <w:p>
      <w:pPr>
        <w:ind w:right="200" w:firstLine="215"/>
        <w:spacing w:after="0" w:line="342" w:lineRule="auto"/>
        <w:rPr>
          <w:sz w:val="20"/>
          <w:szCs w:val="20"/>
          <w:color w:val="auto"/>
        </w:rPr>
      </w:pPr>
      <w:r>
        <w:rPr>
          <w:rFonts w:ascii="Arial" w:cs="Arial" w:eastAsia="Arial" w:hAnsi="Arial"/>
          <w:sz w:val="16"/>
          <w:szCs w:val="16"/>
          <w:color w:val="auto"/>
        </w:rPr>
        <w:t>As of June 30, 2010,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Net Income per Share</w:t>
      </w:r>
    </w:p>
    <w:p>
      <w:pPr>
        <w:spacing w:after="0" w:line="121"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Net income per share has been computed using the weighted average number of shares of common stock outstanding during each period. Diluted amounts per share include the impact of outstanding potential common shares, such as options and warrants and redeemable convertible preferred stock. Potential common shares that are anti-dilutive are excluded from the calculation of diluted net income per common share.</w:t>
      </w:r>
    </w:p>
    <w:p>
      <w:pPr>
        <w:spacing w:after="0" w:line="5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(dollars in thousands, except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4"/>
                <w:szCs w:val="14"/>
                <w:color w:val="auto"/>
                <w:w w:val="93"/>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2010</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1,557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basic</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4,358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Options and warrants to purchase common and preferred stock</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Redeemable convertible preferred stock</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2,375</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8,165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5,203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outstanding, diluted</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11,844</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10,699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9,125</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05</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15</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vMerge w:val="restart"/>
          </w:tcPr>
          <w:p>
            <w:pPr>
              <w:jc w:val="right"/>
              <w:ind w:right="65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following outstanding options, warrants and redeemable convertible preferred stock were excluded from the computation of diluted net income per share for the periods indicated because they were anti-dilutive (in thousands):</w:t>
      </w:r>
    </w:p>
    <w:p>
      <w:pPr>
        <w:spacing w:after="0" w:line="166"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Three and Six Months Ended</w:t>
      </w:r>
    </w:p>
    <w:p>
      <w:pPr>
        <w:jc w:val="center"/>
        <w:ind w:left="916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9280" w:type="dxa"/>
            <w:vAlign w:val="bottom"/>
            <w:vMerge w:val="restart"/>
          </w:tcPr>
          <w:p>
            <w:pPr>
              <w:spacing w:after="0"/>
              <w:rPr>
                <w:sz w:val="20"/>
                <w:szCs w:val="20"/>
                <w:color w:val="auto"/>
              </w:rPr>
            </w:pPr>
            <w:r>
              <w:rPr>
                <w:rFonts w:ascii="Arial" w:cs="Arial" w:eastAsia="Arial" w:hAnsi="Arial"/>
                <w:sz w:val="18"/>
                <w:szCs w:val="18"/>
                <w:color w:val="auto"/>
              </w:rPr>
              <w:t>Options and warrants to purchase common and preferred stock</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2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c>
          <w:tcPr>
            <w:tcW w:w="68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331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w:t>
            </w:r>
          </w:p>
        </w:tc>
        <w:tc>
          <w:tcPr>
            <w:tcW w:w="86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9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ind w:right="300" w:firstLine="222"/>
        <w:spacing w:after="0" w:line="259" w:lineRule="auto"/>
        <w:rPr>
          <w:sz w:val="20"/>
          <w:szCs w:val="20"/>
          <w:color w:val="auto"/>
        </w:rPr>
      </w:pPr>
      <w:r>
        <w:rPr>
          <w:rFonts w:ascii="Arial" w:cs="Arial" w:eastAsia="Arial" w:hAnsi="Arial"/>
          <w:sz w:val="18"/>
          <w:szCs w:val="18"/>
          <w:color w:val="auto"/>
        </w:rPr>
        <w:t>We are a leading provider of on-demand supply chain management solutions, providing integration, collaboration, connectivity, visibility and data analytics to thousands of trading partners worldwide. We provide our solutions through SPSCommerce.net, a hosted software suite that improves the way suppliers, retailers, distributors and other trading partners manage and fulfill orders. We deliver our solutions to our customers over the Internet using a Software-as-a-Service model.</w:t>
      </w:r>
    </w:p>
    <w:p>
      <w:pPr>
        <w:spacing w:after="0" w:line="79"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industries or allow us to offer new functionalities.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On April 27, 2010, we completed our initial public offering of 4,711,198 shares of common stock at an offering price of $12.00 per share. We issued and sold 3,114,504 shares, including 614,505 shares sold pursuant to the exercise in full of the underwriters’ over-allotment option, and the selling stockholders sold 1,596,694 shares. 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have several key financial terms and metrics, including annualized average recurring revenues per recurring revenue customer and Adjusted EBITDA, which is a non-GAAP measure of financial performance. During the six months ended June 30, 2010, there were no changes in the definitions of our key financial terms and metrics, which are discussed in more detail under the heading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included in the final prospectus for our initial public offering dated April 22, 2010 as filed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This discussion of our financial condition and results of operations is based upon our financial statements, which are prepared in accordance with accounting principles generally accepted in the United States of America.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50"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46" w:lineRule="exact"/>
        <w:rPr>
          <w:sz w:val="20"/>
          <w:szCs w:val="20"/>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stock-based compensation;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valuation of goodwill.</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During the six months ended June 30, 2010, there were no significant changes in our critical accounting policies or estimates. See Note A to our financial statements included elsewhere in this Quarterly Report on Form 10-Q and in the final prospectus for our initial public offering dated April 22, 2010 as filed with the Securities and Exchange Commission for additional information regarding our critical accounting policies, as well as a description of our other significant accounting policies.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tables present our results of operations for the periods indicated (dollars in thousands):</w:t>
      </w:r>
    </w:p>
    <w:p>
      <w:pPr>
        <w:spacing w:after="0" w:line="220" w:lineRule="exact"/>
        <w:rPr>
          <w:sz w:val="20"/>
          <w:szCs w:val="20"/>
          <w:color w:val="auto"/>
        </w:rPr>
      </w:pPr>
    </w:p>
    <w:p>
      <w:pPr>
        <w:jc w:val="center"/>
        <w:ind w:left="740"/>
        <w:spacing w:after="0"/>
        <w:rPr>
          <w:sz w:val="20"/>
          <w:szCs w:val="20"/>
          <w:color w:val="auto"/>
        </w:rPr>
      </w:pPr>
      <w:r>
        <w:rPr>
          <w:rFonts w:ascii="Arial" w:cs="Arial" w:eastAsia="Arial" w:hAnsi="Arial"/>
          <w:sz w:val="14"/>
          <w:szCs w:val="14"/>
          <w:color w:val="auto"/>
        </w:rPr>
        <w:t>Three Months Ended</w:t>
      </w:r>
    </w:p>
    <w:p>
      <w:pPr>
        <w:jc w:val="center"/>
        <w:ind w:left="74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2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813"/>
              <w:spacing w:after="0" w:line="142" w:lineRule="exact"/>
              <w:rPr>
                <w:sz w:val="20"/>
                <w:szCs w:val="20"/>
                <w:color w:val="auto"/>
              </w:rPr>
            </w:pPr>
            <w:r>
              <w:rPr>
                <w:rFonts w:ascii="Arial" w:cs="Arial" w:eastAsia="Arial" w:hAnsi="Arial"/>
                <w:sz w:val="14"/>
                <w:szCs w:val="14"/>
                <w:color w:val="auto"/>
              </w:rPr>
              <w:t>2010</w:t>
            </w: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812"/>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right"/>
              <w:ind w:right="940"/>
              <w:spacing w:after="0" w:line="142" w:lineRule="exact"/>
              <w:rPr>
                <w:sz w:val="20"/>
                <w:szCs w:val="20"/>
                <w:color w:val="auto"/>
              </w:rPr>
            </w:pPr>
            <w:r>
              <w:rPr>
                <w:rFonts w:ascii="Arial" w:cs="Arial" w:eastAsia="Arial" w:hAnsi="Arial"/>
                <w:sz w:val="14"/>
                <w:szCs w:val="14"/>
                <w:color w:val="auto"/>
                <w:w w:val="93"/>
              </w:rPr>
              <w:t>Change</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10,944</w:t>
            </w:r>
          </w:p>
        </w:tc>
        <w:tc>
          <w:tcPr>
            <w:tcW w:w="20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9,600</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Cost of revenues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3,101</w:t>
            </w:r>
          </w:p>
        </w:tc>
        <w:tc>
          <w:tcPr>
            <w:tcW w:w="2000" w:type="dxa"/>
            <w:vAlign w:val="bottom"/>
            <w:gridSpan w:val="2"/>
          </w:tcPr>
          <w:p>
            <w:pPr>
              <w:jc w:val="right"/>
              <w:ind w:right="648"/>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2,896</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30.2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7,843</w:t>
            </w:r>
          </w:p>
        </w:tc>
        <w:tc>
          <w:tcPr>
            <w:tcW w:w="2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71.7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6,704</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4,122</w:t>
            </w:r>
          </w:p>
        </w:tc>
        <w:tc>
          <w:tcPr>
            <w:tcW w:w="2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3,397</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1,067</w:t>
            </w:r>
          </w:p>
        </w:tc>
        <w:tc>
          <w:tcPr>
            <w:tcW w:w="2000" w:type="dxa"/>
            <w:vAlign w:val="bottom"/>
            <w:gridSpan w:val="2"/>
          </w:tcPr>
          <w:p>
            <w:pPr>
              <w:jc w:val="right"/>
              <w:ind w:right="648"/>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1,059</w:t>
            </w:r>
          </w:p>
        </w:tc>
        <w:tc>
          <w:tcPr>
            <w:tcW w:w="126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w:t>
            </w:r>
          </w:p>
        </w:tc>
        <w:tc>
          <w:tcPr>
            <w:tcW w:w="2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1,514</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292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w:t>
            </w:r>
          </w:p>
        </w:tc>
        <w:tc>
          <w:tcPr>
            <w:tcW w:w="140" w:type="dxa"/>
            <w:vAlign w:val="bottom"/>
          </w:tcPr>
          <w:p>
            <w:pPr>
              <w:spacing w:after="0"/>
              <w:rPr>
                <w:sz w:val="19"/>
                <w:szCs w:val="19"/>
                <w:color w:val="auto"/>
              </w:rPr>
            </w:pPr>
          </w:p>
        </w:tc>
        <w:tc>
          <w:tcPr>
            <w:tcW w:w="2000" w:type="dxa"/>
            <w:vAlign w:val="bottom"/>
            <w:gridSpan w:val="2"/>
          </w:tcPr>
          <w:p>
            <w:pPr>
              <w:jc w:val="right"/>
              <w:ind w:right="648"/>
              <w:spacing w:after="0"/>
              <w:rPr>
                <w:sz w:val="20"/>
                <w:szCs w:val="20"/>
                <w:color w:val="auto"/>
              </w:rPr>
            </w:pPr>
            <w:r>
              <w:rPr>
                <w:rFonts w:ascii="Arial" w:cs="Arial" w:eastAsia="Arial" w:hAnsi="Arial"/>
                <w:sz w:val="18"/>
                <w:szCs w:val="18"/>
                <w:color w:val="auto"/>
              </w:rPr>
              <w:t>65.5</w:t>
            </w: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5,970</w:t>
            </w:r>
          </w:p>
        </w:tc>
        <w:tc>
          <w:tcPr>
            <w:tcW w:w="14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w:t>
            </w:r>
          </w:p>
        </w:tc>
        <w:tc>
          <w:tcPr>
            <w:tcW w:w="2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20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000" w:type="dxa"/>
            <w:vAlign w:val="bottom"/>
            <w:gridSpan w:val="2"/>
          </w:tcPr>
          <w:p>
            <w:pPr>
              <w:jc w:val="right"/>
              <w:ind w:right="648"/>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 net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20" w:type="dxa"/>
            <w:vAlign w:val="bottom"/>
          </w:tcPr>
          <w:p>
            <w:pPr>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2000" w:type="dxa"/>
            <w:vAlign w:val="bottom"/>
            <w:gridSpan w:val="2"/>
          </w:tcPr>
          <w:p>
            <w:pPr>
              <w:jc w:val="right"/>
              <w:ind w:right="588"/>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w:t>
            </w:r>
          </w:p>
        </w:tc>
        <w:tc>
          <w:tcPr>
            <w:tcW w:w="2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June 30,</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2"/>
            <w:vMerge w:val="restart"/>
          </w:tcPr>
          <w:p>
            <w:pPr>
              <w:jc w:val="right"/>
              <w:ind w:right="940"/>
              <w:spacing w:after="0"/>
              <w:rPr>
                <w:sz w:val="20"/>
                <w:szCs w:val="20"/>
                <w:color w:val="auto"/>
              </w:rPr>
            </w:pPr>
            <w:r>
              <w:rPr>
                <w:rFonts w:ascii="Arial" w:cs="Arial" w:eastAsia="Arial" w:hAnsi="Arial"/>
                <w:sz w:val="14"/>
                <w:szCs w:val="14"/>
                <w:color w:val="auto"/>
                <w:w w:val="93"/>
              </w:rPr>
              <w:t>Change</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813"/>
              <w:spacing w:after="0" w:line="142" w:lineRule="exact"/>
              <w:rPr>
                <w:sz w:val="20"/>
                <w:szCs w:val="20"/>
                <w:color w:val="auto"/>
              </w:rPr>
            </w:pPr>
            <w:r>
              <w:rPr>
                <w:rFonts w:ascii="Arial" w:cs="Arial" w:eastAsia="Arial" w:hAnsi="Arial"/>
                <w:sz w:val="14"/>
                <w:szCs w:val="14"/>
                <w:color w:val="auto"/>
              </w:rPr>
              <w:t>2010</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812"/>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21,187</w:t>
            </w:r>
          </w:p>
        </w:tc>
        <w:tc>
          <w:tcPr>
            <w:tcW w:w="20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18,131</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Cost of revenues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6,082</w:t>
            </w:r>
          </w:p>
        </w:tc>
        <w:tc>
          <w:tcPr>
            <w:tcW w:w="2000" w:type="dxa"/>
            <w:vAlign w:val="bottom"/>
            <w:gridSpan w:val="2"/>
          </w:tcPr>
          <w:p>
            <w:pPr>
              <w:jc w:val="right"/>
              <w:ind w:right="648"/>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5,733</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15,105</w:t>
            </w:r>
          </w:p>
        </w:tc>
        <w:tc>
          <w:tcPr>
            <w:tcW w:w="2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71.3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12,398</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7,629</w:t>
            </w:r>
          </w:p>
        </w:tc>
        <w:tc>
          <w:tcPr>
            <w:tcW w:w="2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6,472</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2,110</w:t>
            </w:r>
          </w:p>
        </w:tc>
        <w:tc>
          <w:tcPr>
            <w:tcW w:w="2000" w:type="dxa"/>
            <w:vAlign w:val="bottom"/>
            <w:gridSpan w:val="2"/>
          </w:tcPr>
          <w:p>
            <w:pPr>
              <w:jc w:val="right"/>
              <w:ind w:right="648"/>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2,103</w:t>
            </w:r>
          </w:p>
        </w:tc>
        <w:tc>
          <w:tcPr>
            <w:tcW w:w="1260" w:type="dxa"/>
            <w:vAlign w:val="bottom"/>
          </w:tcPr>
          <w:p>
            <w:pPr>
              <w:jc w:val="right"/>
              <w:spacing w:after="0"/>
              <w:rPr>
                <w:sz w:val="20"/>
                <w:szCs w:val="20"/>
                <w:color w:val="auto"/>
              </w:rPr>
            </w:pPr>
            <w:r>
              <w:rPr>
                <w:rFonts w:ascii="Arial" w:cs="Arial" w:eastAsia="Arial" w:hAnsi="Arial"/>
                <w:sz w:val="18"/>
                <w:szCs w:val="18"/>
                <w:color w:val="auto"/>
              </w:rPr>
              <w:t>11.6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3,640</w:t>
            </w:r>
          </w:p>
        </w:tc>
        <w:tc>
          <w:tcPr>
            <w:tcW w:w="2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3,166</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92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13,379</w:t>
            </w:r>
          </w:p>
        </w:tc>
        <w:tc>
          <w:tcPr>
            <w:tcW w:w="140" w:type="dxa"/>
            <w:vAlign w:val="bottom"/>
          </w:tcPr>
          <w:p>
            <w:pPr>
              <w:spacing w:after="0"/>
              <w:rPr>
                <w:sz w:val="19"/>
                <w:szCs w:val="19"/>
                <w:color w:val="auto"/>
              </w:rPr>
            </w:pPr>
          </w:p>
        </w:tc>
        <w:tc>
          <w:tcPr>
            <w:tcW w:w="2000" w:type="dxa"/>
            <w:vAlign w:val="bottom"/>
            <w:gridSpan w:val="2"/>
          </w:tcPr>
          <w:p>
            <w:pPr>
              <w:jc w:val="right"/>
              <w:ind w:right="648"/>
              <w:spacing w:after="0"/>
              <w:rPr>
                <w:sz w:val="20"/>
                <w:szCs w:val="20"/>
                <w:color w:val="auto"/>
              </w:rPr>
            </w:pPr>
            <w:r>
              <w:rPr>
                <w:rFonts w:ascii="Arial" w:cs="Arial" w:eastAsia="Arial" w:hAnsi="Arial"/>
                <w:sz w:val="18"/>
                <w:szCs w:val="18"/>
                <w:color w:val="auto"/>
              </w:rPr>
              <w:t>63.1</w:t>
            </w: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11,741</w:t>
            </w:r>
          </w:p>
        </w:tc>
        <w:tc>
          <w:tcPr>
            <w:tcW w:w="14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w:t>
            </w:r>
          </w:p>
        </w:tc>
        <w:tc>
          <w:tcPr>
            <w:tcW w:w="2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20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00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 net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20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20" w:type="dxa"/>
            <w:vAlign w:val="bottom"/>
          </w:tcPr>
          <w:p>
            <w:pPr>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2000" w:type="dxa"/>
            <w:vAlign w:val="bottom"/>
            <w:gridSpan w:val="2"/>
          </w:tcPr>
          <w:p>
            <w:pPr>
              <w:jc w:val="right"/>
              <w:ind w:right="588"/>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1,557</w:t>
            </w:r>
          </w:p>
        </w:tc>
        <w:tc>
          <w:tcPr>
            <w:tcW w:w="2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8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2010 compared to Three and Six Months Ended June 30, 2009</w:t>
      </w:r>
    </w:p>
    <w:p>
      <w:pPr>
        <w:spacing w:after="0" w:line="117"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the three months ended June 30, 2010 increased $1.3 million, or 14%, to $10.9 million from $9.6 million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2009. Revenues for the six months ended June 30, 2010 increased $3.1 million, or 17%, to $21.2 million from $18.1 million for the same period in 2009. Our fiscal quarter ended June 30, 2010 represented our 38th consecutive quarter of increased revenues. The increase in revenues for both periods resulted from a 10% increase in recurring revenue customers to 11,804 at June 30, 2010 from 10,709 at June 30, 2009, as well as an 11% increase in annualized average recurring revenues per recurring revenue customer to $3,149 for the three months ended June 30, 2010 from $2,837 for the same period in 2009. The increase in average recurring revenues per recurring revenue customer was primarily attributable to increased fees resulting from increased usage of our solutions by our recurring revenue customers. Recurring revenues from recurring revenue customers accounted for 83% of our total revenues for the three and six months ended June 30, 2010, compared to 78% and 79% for the same periods in 2009. We anticipate that average recurring revenues per recurring revenue customer will continue to increase as we increase the number of solutions we offer, such as the Trading Partner Intelligence solution we introduced in 2009, and increase the penetration of those solutions across our customer base.</w:t>
      </w:r>
    </w:p>
    <w:p>
      <w:pPr>
        <w:spacing w:after="0" w:line="6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three months ended June 30, 2010 increased $205,000, or 7%, to $3.1 million from $2.9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2009. Cost of revenues for the six months ended June 30, 2010 increased $349,000, or 6%, to $6.1 million from $5.7 million for the same period in 2009. The increase in costs was primarily attributable to higher costs of personnel, network services and depreciation. As a percentage of revenues, cost of revenues was 28% for the three months ended June 30, 2010, compared to 30% for the same period in 2009, and 29% for the six months ended June 30, 2010, compared to 32% for the same period in 2009. These decreases, as a percentage of revenue, and the corresponding increases in gross margin, were due primarily to the increase in revenues as discussed above. Going forward, we anticipate that cost of revenues will increase in absolute dollars as we continue to build our business.</w:t>
      </w:r>
    </w:p>
    <w:p>
      <w:pPr>
        <w:spacing w:after="0" w:line="81"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June 30, 2010 increased $725,000, or 21%, to $4.1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$3.4 million for the same period in 2009. Sales and marketing expenses for the six months ended June 30, 2010 increased $1.2 million, or 18%, to</w:t>
      </w:r>
    </w:p>
    <w:p>
      <w:pPr>
        <w:ind w:right="40"/>
        <w:spacing w:after="0" w:line="253" w:lineRule="auto"/>
        <w:rPr>
          <w:sz w:val="20"/>
          <w:szCs w:val="20"/>
          <w:color w:val="auto"/>
        </w:rPr>
      </w:pPr>
      <w:r>
        <w:rPr>
          <w:rFonts w:ascii="Arial" w:cs="Arial" w:eastAsia="Arial" w:hAnsi="Arial"/>
          <w:sz w:val="18"/>
          <w:szCs w:val="18"/>
          <w:color w:val="auto"/>
        </w:rPr>
        <w:t>$7.6 million from $6.5 million for the same period in 2009. The increase in sales and marketing expenses for both periods was due to higher commissions earned by sales personnel from new business, as well as increased personnel costs. As a percentage of revenues, sales and marketing expenses were 38% for the three months ended June 30, 2010, compared to 35% for the same period in 2009, and 36% for each of the six months ended June 30, 2010 and 2009. As we work to grow our business, we will continue to add resources to our sales and marketing efforts over time, and we expect that these expenses will increase in absolute dollars.</w:t>
      </w:r>
    </w:p>
    <w:p>
      <w:pPr>
        <w:spacing w:after="0" w:line="83"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three months ended June 30, 2010 were $1.1 million,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to the same period in 2009. Research and development expenses for the six months ended June 30, 2010 were $2.1 million, which was also comparable to the same period in 2009. As a percentage of revenues, research and development expenses were 10% for each of the three and six months ended June 30, 2010, compared to 11% and 12% for the same periods in 2009. Increased revenues contributed to the decrease in research and development expenses as a percentage of revenues. We expect research and development expenses will increase in absolute dollars as we continue to enhance and expand our solutions and applications.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June 30, 2010 increased $461,000, or 30%,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 million from $1.5 million for the same period in 2009. For the six months ended June 30, 2010, general and administrative expenses increased $474,000,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15%, to $3.6 million from $3.2 million for the same period in 2009. The increase in general and administrative expenses for both periods was due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increased expenses related to being a public company, including board of director, legal and accounting fees. As a percentage of revenues,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were 18% for the three months ended June 30, 2010, compared to 16% for the same period in 2009, and approximately 17% for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six months ended June 30, 2010 and 2009. Going forward, we expect to incur additional general and administrative expenses associated with being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company, including higher legal, audit and insurance costs.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Interest expense for the three months ended June 30, 2010 decreased $62,000, or 83%, to $13,000 from $75,000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2009. Interest expense for the six months ended June 30, 2010 decreased $106,000, or 65%, to $58,000 from $164,000 for the same period in 2009. The decrease in interest expense was principally due to reduced equipment borrowings and the repayment of all outstanding indebtedness under our credit facility in 2010. Other income for the three months ended June 30, 2010 was $10,000 compared to other expense of $2,000 for the same period in 2009. Other expense for the six months ended June 30, 2010 was $8,000 compared to other income of $121,000 for the same period in 2009. The other income (expense) change was driven primarily by updating the value of outstanding preferred stock warrants to fair market value as required by generally accepted accounting principles. We expect that there will be no further income or expense related to these warrants as they were converted to common stock warrants with the completion of our initial public offering in April 2010.</w:t>
      </w:r>
    </w:p>
    <w:p>
      <w:pPr>
        <w:spacing w:after="0" w:line="7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$38,000 for the three months ended June 30, 2010. There was no income tax expense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2009. Income tax expense was $103,000 for the six months ended June 30, 2010 compared to $11,000 for the same period in 2009. We record our interim provision for income taxes based on our estimated annual effective tax rate for the year. Our provision for income taxes includes estimated federal alternative minimum taxes and state income taxes, as well as deferred tax expense resulting from the book and tax basis difference in goodwill from a prior asset acquisition.</w:t>
      </w:r>
    </w:p>
    <w:p>
      <w:pPr>
        <w:spacing w:after="0" w:line="8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expense, income tax expense and non-cash, share-based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3"/>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2010</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745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Non-cash, share-based compensation expense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980" w:type="dxa"/>
            <w:vAlign w:val="bottom"/>
            <w:vMerge w:val="restart"/>
          </w:tcPr>
          <w:p>
            <w:pPr>
              <w:jc w:val="right"/>
              <w:ind w:right="65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At June 30, 2010, our principal sources of liquidity were cash and cash equivalents of $38.0 million and accounts receivable, net of allowance for doubtful accounts, of $5.0 million. Our working capital at June 30, 2010 was $39.1 million compared to $5.0 million at December 31, 2009. The increase in working capital from December 31, 2009 to June 30, 2010 resulted primarily from the following:</w:t>
      </w:r>
    </w:p>
    <w:p>
      <w:pPr>
        <w:spacing w:after="0" w:line="73"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$32.0 million increase in cash and cash equivalents, primarily representing the net proceeds from our initial public offering in April 2010;</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$221,000 increase in net accounts receivable, due to new business for the six months ended June 30, 2010;</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$443,000 increase in deferred costs, current for expenses related to increased implementation resources and commission payments for new business;</w:t>
      </w:r>
    </w:p>
    <w:p>
      <w:pPr>
        <w:spacing w:after="0" w:line="153" w:lineRule="exact"/>
        <w:rPr>
          <w:rFonts w:ascii="Arial" w:cs="Arial" w:eastAsia="Arial" w:hAnsi="Arial"/>
          <w:sz w:val="16"/>
          <w:szCs w:val="16"/>
          <w:b w:val="1"/>
          <w:bCs w:val="1"/>
          <w:color w:val="auto"/>
        </w:rPr>
      </w:pPr>
    </w:p>
    <w:p>
      <w:pPr>
        <w:ind w:left="660" w:hanging="314"/>
        <w:spacing w:after="0"/>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$483,000 decrease in prepaid expenses and other current assets, as prepaid expenses related to our initial public offering were recognized;</w:t>
      </w:r>
    </w:p>
    <w:p>
      <w:pPr>
        <w:spacing w:after="0" w:line="142" w:lineRule="exact"/>
        <w:rPr>
          <w:rFonts w:ascii="Arial" w:cs="Arial" w:eastAsia="Arial" w:hAnsi="Arial"/>
          <w:sz w:val="17"/>
          <w:szCs w:val="17"/>
          <w:b w:val="1"/>
          <w:bCs w:val="1"/>
          <w:color w:val="auto"/>
        </w:rPr>
      </w:pPr>
    </w:p>
    <w:p>
      <w:pPr>
        <w:ind w:left="660" w:right="52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$2.0 million decrease in the current portion of long-term debt and line of credit, as amounts were repaid with proceeds from our initial public offering;</w:t>
      </w:r>
    </w:p>
    <w:p>
      <w:pPr>
        <w:spacing w:after="0" w:line="75"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$362,000 decrease in accounts payable, and $299,000 decrease in accrued expenses and other current liabilities, as payments were made on invoices and accruals related to our initial public offering;</w:t>
      </w:r>
    </w:p>
    <w:p>
      <w:pPr>
        <w:spacing w:after="0" w:line="75"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$491,000 increase in accrued compensation and benefits, due primarily to increased salary accruals, slightly offset by payments made in early 2010 for bonuses accrued as of December 31, 2009; and,</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$281,000 increase in current deferred revenue, due to new business for the six months ended June 30,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Net cash provided by operating activities was $2.7 million for the six months ended June 30, 2010, compared to $2.8 million for the same period in 2009, as the approximate $1.0 increase in net income was more than offset by the changes in working capital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Net cash used in investing activities was $1.2 million for the six months ended June 30, 2010 and $247,000 for the same period in 2009, all for capital expenditures. Capital expenditures in 2010 included a consolidated purchase of middleware and database licenses.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300" w:firstLine="225"/>
        <w:spacing w:after="0" w:line="286" w:lineRule="auto"/>
        <w:rPr>
          <w:sz w:val="20"/>
          <w:szCs w:val="20"/>
          <w:color w:val="auto"/>
        </w:rPr>
      </w:pPr>
      <w:r>
        <w:rPr>
          <w:rFonts w:ascii="Arial" w:cs="Arial" w:eastAsia="Arial" w:hAnsi="Arial"/>
          <w:sz w:val="17"/>
          <w:szCs w:val="17"/>
          <w:color w:val="auto"/>
        </w:rPr>
        <w:t>Net cash provided by financing activities was $30.6 million for the six months ended June 30, 2010, representing the approximate $33.0 million of net proceeds from our initial public offering slightly offset by $2.3 million of net repayments on our outstanding indebtedness. Net cash used in financing activities was $902,000 for the six months ended June 30, 2009, representing net repayments of our outstanding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maintained a credit facility with BlueCrest Venture Finance Master Fund Limited which has provided us a series of equipment and term loans as well as a revolving line of credit. This credit facility is discussed in more detail under the heading “</w:t>
      </w:r>
      <w:r>
        <w:rPr>
          <w:rFonts w:ascii="Arial" w:cs="Arial" w:eastAsia="Arial" w:hAnsi="Arial"/>
          <w:sz w:val="16"/>
          <w:szCs w:val="16"/>
          <w:i w:val="1"/>
          <w:iCs w:val="1"/>
          <w:color w:val="auto"/>
        </w:rPr>
        <w:t>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Results of Operations</w:t>
      </w:r>
      <w:r>
        <w:rPr>
          <w:rFonts w:ascii="Arial" w:cs="Arial" w:eastAsia="Arial" w:hAnsi="Arial"/>
          <w:sz w:val="16"/>
          <w:szCs w:val="16"/>
          <w:color w:val="auto"/>
        </w:rPr>
        <w:t>” and in Note D to our financial statements included in the final prospectus for our initial public offering dated April 22, 2010 as</w:t>
      </w:r>
      <w:r>
        <w:rPr>
          <w:rFonts w:ascii="Arial" w:cs="Arial" w:eastAsia="Arial" w:hAnsi="Arial"/>
          <w:sz w:val="16"/>
          <w:szCs w:val="16"/>
          <w:i w:val="1"/>
          <w:iCs w:val="1"/>
          <w:color w:val="auto"/>
        </w:rPr>
        <w:t xml:space="preserve"> </w:t>
      </w:r>
      <w:r>
        <w:rPr>
          <w:rFonts w:ascii="Arial" w:cs="Arial" w:eastAsia="Arial" w:hAnsi="Arial"/>
          <w:sz w:val="16"/>
          <w:szCs w:val="16"/>
          <w:color w:val="auto"/>
        </w:rPr>
        <w:t>filed with the Securities and Exchange Commission. We terminated this credit facility, effective March 31, 2010, such that no new borrowings will be made and all related outstanding indebtedness was repaid during the quarter ended June 30, 2010. We are currently reviewing our future needs for a credit facility.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Historically, we have experienced increases in our expenditures consistent with the growth in our operations and personnel, and we anticipate that our expenditures will increase as we continue to grow our business.</w:t>
      </w:r>
    </w:p>
    <w:p>
      <w:pPr>
        <w:spacing w:after="0" w:line="64"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and six months ended June 30, 2010. We do not expect that inflation or changing prices will materially affect our business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See Note A to our financial statements elsewhere in this Quarterly Report on Form 10-Q and in the final prospectus for our initial public offering dated April 22, 2010 as filed with the Securities and Exchange Commission for a full description of recent accounting pronouncements, including the respective expected dates of adoption and effects on our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80" w:firstLine="215"/>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2010 that have materially affected, or are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We are not currently subject to any material legal proceedings. From time to time, however, we may be engaged in legal actions arising from our normal business activities. Any such actions, even those that lack merit, could result in the expenditure of significant financial and managerial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Our business is subject to a number of risks and uncertainties, which are discussed in detail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final prospectus for our initial public offering dated April 22, 2010 as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exhibits filed as part of this Quarterly Report on Form 10-Q are listed in the Exhibit Index immediately following the signatures to this report.</w:t>
      </w: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 August 4, 2010</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4"/>
          <w:szCs w:val="14"/>
          <w:i w:val="1"/>
          <w:iCs w:val="1"/>
          <w:color w:val="auto"/>
        </w:rPr>
        <w:t>Exhibit</w:t>
      </w:r>
    </w:p>
    <w:p>
      <w:pPr>
        <w:ind w:left="60"/>
        <w:spacing w:after="0"/>
        <w:tabs>
          <w:tab w:leader="none" w:pos="780" w:val="left"/>
        </w:tabs>
        <w:rPr>
          <w:sz w:val="20"/>
          <w:szCs w:val="20"/>
          <w:color w:val="auto"/>
        </w:rPr>
      </w:pPr>
      <w:r>
        <w:rPr>
          <w:rFonts w:ascii="Arial" w:cs="Arial" w:eastAsia="Arial" w:hAnsi="Arial"/>
          <w:sz w:val="14"/>
          <w:szCs w:val="14"/>
          <w:i w:val="1"/>
          <w:iCs w:val="1"/>
          <w:color w:val="auto"/>
        </w:rPr>
        <w:t>Number</w:t>
      </w:r>
      <w:r>
        <w:rPr>
          <w:sz w:val="20"/>
          <w:szCs w:val="20"/>
          <w:color w:val="auto"/>
        </w:rPr>
        <w:tab/>
      </w:r>
      <w:r>
        <w:rPr>
          <w:rFonts w:ascii="Arial" w:cs="Arial" w:eastAsia="Arial" w:hAnsi="Arial"/>
          <w:sz w:val="14"/>
          <w:szCs w:val="14"/>
          <w:i w:val="1"/>
          <w:i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4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Rules 13a-14(a) under the Securities Exchange Act of 1934, as amended (filed herewith).</w:t>
      </w:r>
    </w:p>
    <w:p>
      <w:pPr>
        <w:spacing w:after="0" w:line="209"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Rules 13a-14(a) under the Securities Exchange Act of 1934, as amended (filed herewith).</w:t>
      </w:r>
    </w:p>
    <w:p>
      <w:pPr>
        <w:spacing w:after="0" w:line="225" w:lineRule="exact"/>
        <w:rPr>
          <w:sz w:val="20"/>
          <w:szCs w:val="20"/>
          <w:color w:val="auto"/>
        </w:rPr>
      </w:pPr>
    </w:p>
    <w:p>
      <w:pPr>
        <w:ind w:left="800" w:right="120" w:hanging="663"/>
        <w:spacing w:after="0" w:line="277" w:lineRule="auto"/>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Sec. 1350, as adopted pursuant to Section 906 of the Sarbanes-Oxley Act of 2002 (filed herewith).</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19" w:right="3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17"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00" w:right="20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40" w:hanging="317"/>
        <w:spacing w:after="0" w:line="342"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8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314"/>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100" w:hanging="317"/>
        <w:spacing w:after="0" w:line="308" w:lineRule="auto"/>
        <w:tabs>
          <w:tab w:leader="none" w:pos="10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000" w:hanging="317"/>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2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2010</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ind w:right="2300" w:firstLine="2307"/>
        <w:spacing w:after="0" w:line="378"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00" w:right="200" w:hanging="317"/>
        <w:spacing w:after="0" w:line="264"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40" w:hanging="317"/>
        <w:spacing w:after="0" w:line="342" w:lineRule="auto"/>
        <w:tabs>
          <w:tab w:leader="none" w:pos="10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80" w:hanging="317"/>
        <w:spacing w:after="0" w:line="264"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314"/>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100" w:hanging="317"/>
        <w:spacing w:after="0" w:line="308" w:lineRule="auto"/>
        <w:tabs>
          <w:tab w:leader="none" w:pos="10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000" w:hanging="317"/>
        <w:spacing w:after="0" w:line="277"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2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2010</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2010, as filed with the Securities and Exchange Commission on the date hereof (the “Report”), the undersigned, the Chief Executive Officer and the Chief Financial Officer of the Company, hereby certify, pursuant to and for purposes of 18 U.S.C. § 1350, as adopted pursuant to Section 906 of the Sarbanes-Oxley Act of 2002, that:</w:t>
      </w:r>
    </w:p>
    <w:p>
      <w:pPr>
        <w:spacing w:after="0" w:line="39"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2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2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2019-12-10T17:54:32Z</dcterms:created>
  <dcterms:modified xsi:type="dcterms:W3CDTF">2019-12-10T17:54:32Z</dcterms:modified>
</cp:coreProperties>
</file>