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520" w:right="240" w:hanging="494"/>
        <w:spacing w:after="0" w:line="256" w:lineRule="auto"/>
        <w:tabs>
          <w:tab w:leader="none" w:pos="5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08" w:lineRule="exact"/>
        <w:rPr>
          <w:sz w:val="24"/>
          <w:szCs w:val="24"/>
          <w:color w:val="auto"/>
        </w:rPr>
      </w:pPr>
    </w:p>
    <w:p>
      <w:pPr>
        <w:ind w:left="480" w:right="240" w:hanging="454"/>
        <w:spacing w:after="0" w:line="256" w:lineRule="auto"/>
        <w:tabs>
          <w:tab w:leader="none" w:pos="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001-34702</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30480</wp:posOffset>
            </wp:positionV>
            <wp:extent cx="81407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jc w:val="center"/>
              <w:ind w:left="2723"/>
              <w:spacing w:after="0"/>
              <w:rPr>
                <w:sz w:val="20"/>
                <w:szCs w:val="20"/>
                <w:color w:val="auto"/>
              </w:rPr>
            </w:pPr>
            <w:r>
              <w:rPr>
                <w:rFonts w:ascii="Arial" w:cs="Arial" w:eastAsia="Arial" w:hAnsi="Arial"/>
                <w:sz w:val="18"/>
                <w:szCs w:val="18"/>
                <w:b w:val="1"/>
                <w:bCs w:val="1"/>
                <w:color w:val="auto"/>
                <w:w w:val="91"/>
              </w:rPr>
              <w:t>Delaware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60" w:type="dxa"/>
            <w:vAlign w:val="bottom"/>
          </w:tcPr>
          <w:p>
            <w:pPr>
              <w:jc w:val="center"/>
              <w:ind w:right="2024"/>
              <w:spacing w:after="0"/>
              <w:rPr>
                <w:sz w:val="20"/>
                <w:szCs w:val="20"/>
                <w:color w:val="auto"/>
              </w:rPr>
            </w:pPr>
            <w:r>
              <w:rPr>
                <w:rFonts w:ascii="Arial" w:cs="Arial" w:eastAsia="Arial" w:hAnsi="Arial"/>
                <w:sz w:val="18"/>
                <w:szCs w:val="18"/>
                <w:b w:val="1"/>
                <w:bCs w:val="1"/>
                <w:color w:val="auto"/>
                <w:w w:val="89"/>
              </w:rPr>
              <w:t>41-2015127</w:t>
            </w:r>
          </w:p>
        </w:tc>
      </w:tr>
      <w:tr>
        <w:trPr>
          <w:trHeight w:val="197"/>
        </w:trPr>
        <w:tc>
          <w:tcPr>
            <w:tcW w:w="7280" w:type="dxa"/>
            <w:vAlign w:val="bottom"/>
            <w:gridSpan w:val="6"/>
          </w:tcPr>
          <w:p>
            <w:pPr>
              <w:jc w:val="center"/>
              <w:ind w:right="720"/>
              <w:spacing w:after="0"/>
              <w:rPr>
                <w:sz w:val="20"/>
                <w:szCs w:val="20"/>
                <w:color w:val="auto"/>
              </w:rPr>
            </w:pPr>
            <w:r>
              <w:rPr>
                <w:rFonts w:ascii="Arial" w:cs="Arial" w:eastAsia="Arial" w:hAnsi="Arial"/>
                <w:sz w:val="14"/>
                <w:szCs w:val="14"/>
                <w:b w:val="1"/>
                <w:bCs w:val="1"/>
                <w:i w:val="1"/>
                <w:iCs w:val="1"/>
                <w:color w:val="auto"/>
                <w:w w:val="89"/>
              </w:rPr>
              <w:t>(State or other jurisdiction of</w:t>
            </w:r>
          </w:p>
        </w:tc>
        <w:tc>
          <w:tcPr>
            <w:tcW w:w="3960" w:type="dxa"/>
            <w:vAlign w:val="bottom"/>
          </w:tcPr>
          <w:p>
            <w:pPr>
              <w:jc w:val="center"/>
              <w:ind w:right="2044"/>
              <w:spacing w:after="0"/>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7280" w:type="dxa"/>
            <w:vAlign w:val="bottom"/>
            <w:gridSpan w:val="6"/>
          </w:tcPr>
          <w:p>
            <w:pPr>
              <w:jc w:val="center"/>
              <w:ind w:right="740"/>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3960" w:type="dxa"/>
            <w:vAlign w:val="bottom"/>
          </w:tcPr>
          <w:p>
            <w:pPr>
              <w:jc w:val="center"/>
              <w:ind w:right="2024"/>
              <w:spacing w:after="0"/>
              <w:rPr>
                <w:sz w:val="20"/>
                <w:szCs w:val="20"/>
                <w:color w:val="auto"/>
              </w:rPr>
            </w:pPr>
            <w:r>
              <w:rPr>
                <w:rFonts w:ascii="Arial" w:cs="Arial" w:eastAsia="Arial" w:hAnsi="Arial"/>
                <w:sz w:val="14"/>
                <w:szCs w:val="14"/>
                <w:b w:val="1"/>
                <w:bCs w:val="1"/>
                <w:i w:val="1"/>
                <w:iCs w:val="1"/>
                <w:color w:val="auto"/>
                <w:w w:val="92"/>
              </w:rPr>
              <w:t>Identification No.)</w:t>
            </w:r>
          </w:p>
        </w:tc>
      </w:tr>
      <w:tr>
        <w:trPr>
          <w:trHeight w:val="371"/>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333 South Seventh Street, Suite 1000, Minneapolis, MN 55402</w:t>
            </w:r>
          </w:p>
        </w:tc>
      </w:tr>
      <w:tr>
        <w:trPr>
          <w:trHeight w:val="182"/>
        </w:trPr>
        <w:tc>
          <w:tcPr>
            <w:tcW w:w="3760" w:type="dxa"/>
            <w:vAlign w:val="bottom"/>
          </w:tcPr>
          <w:p>
            <w:pPr>
              <w:spacing w:after="0"/>
              <w:rPr>
                <w:sz w:val="15"/>
                <w:szCs w:val="15"/>
                <w:color w:val="auto"/>
              </w:rPr>
            </w:pPr>
          </w:p>
        </w:tc>
        <w:tc>
          <w:tcPr>
            <w:tcW w:w="7480" w:type="dxa"/>
            <w:vAlign w:val="bottom"/>
            <w:gridSpan w:val="6"/>
          </w:tcPr>
          <w:p>
            <w:pPr>
              <w:jc w:val="center"/>
              <w:ind w:right="3684"/>
              <w:spacing w:after="0"/>
              <w:rPr>
                <w:sz w:val="20"/>
                <w:szCs w:val="20"/>
                <w:color w:val="auto"/>
              </w:rPr>
            </w:pPr>
            <w:r>
              <w:rPr>
                <w:rFonts w:ascii="Arial" w:cs="Arial" w:eastAsia="Arial" w:hAnsi="Arial"/>
                <w:sz w:val="14"/>
                <w:szCs w:val="14"/>
                <w:b w:val="1"/>
                <w:bCs w:val="1"/>
                <w:i w:val="1"/>
                <w:iCs w:val="1"/>
                <w:color w:val="auto"/>
                <w:w w:val="89"/>
              </w:rPr>
              <w:t>(Address of principal executive offices, including Zip Code)</w:t>
            </w:r>
          </w:p>
        </w:tc>
      </w:tr>
      <w:tr>
        <w:trPr>
          <w:trHeight w:val="344"/>
        </w:trPr>
        <w:tc>
          <w:tcPr>
            <w:tcW w:w="3760" w:type="dxa"/>
            <w:vAlign w:val="bottom"/>
          </w:tcPr>
          <w:p>
            <w:pPr>
              <w:spacing w:after="0"/>
              <w:rPr>
                <w:sz w:val="24"/>
                <w:szCs w:val="24"/>
                <w:color w:val="auto"/>
              </w:rPr>
            </w:pPr>
          </w:p>
        </w:tc>
        <w:tc>
          <w:tcPr>
            <w:tcW w:w="2880" w:type="dxa"/>
            <w:vAlign w:val="bottom"/>
            <w:gridSpan w:val="3"/>
          </w:tcPr>
          <w:p>
            <w:pPr>
              <w:jc w:val="center"/>
              <w:ind w:left="762"/>
              <w:spacing w:after="0"/>
              <w:rPr>
                <w:sz w:val="20"/>
                <w:szCs w:val="20"/>
                <w:color w:val="auto"/>
              </w:rPr>
            </w:pPr>
            <w:r>
              <w:rPr>
                <w:rFonts w:ascii="Arial" w:cs="Arial" w:eastAsia="Arial" w:hAnsi="Arial"/>
                <w:sz w:val="18"/>
                <w:szCs w:val="18"/>
                <w:b w:val="1"/>
                <w:bCs w:val="1"/>
                <w:color w:val="auto"/>
                <w:w w:val="90"/>
              </w:rPr>
              <w:t>(612) 435-9400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82"/>
        </w:trPr>
        <w:tc>
          <w:tcPr>
            <w:tcW w:w="3760" w:type="dxa"/>
            <w:vAlign w:val="bottom"/>
          </w:tcPr>
          <w:p>
            <w:pPr>
              <w:spacing w:after="0"/>
              <w:rPr>
                <w:sz w:val="15"/>
                <w:szCs w:val="15"/>
                <w:color w:val="auto"/>
              </w:rPr>
            </w:pPr>
          </w:p>
        </w:tc>
        <w:tc>
          <w:tcPr>
            <w:tcW w:w="3520" w:type="dxa"/>
            <w:vAlign w:val="bottom"/>
            <w:gridSpan w:val="5"/>
          </w:tcPr>
          <w:p>
            <w:pPr>
              <w:jc w:val="center"/>
              <w:ind w:left="122"/>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960" w:type="dxa"/>
            <w:vAlign w:val="bottom"/>
          </w:tcPr>
          <w:p>
            <w:pPr>
              <w:spacing w:after="0"/>
              <w:rPr>
                <w:sz w:val="15"/>
                <w:szCs w:val="15"/>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70"/>
        </w:trPr>
        <w:tc>
          <w:tcPr>
            <w:tcW w:w="3760" w:type="dxa"/>
            <w:vAlign w:val="bottom"/>
          </w:tcPr>
          <w:p>
            <w:pPr>
              <w:jc w:val="center"/>
              <w:ind w:left="683"/>
              <w:spacing w:after="0"/>
              <w:rPr>
                <w:sz w:val="20"/>
                <w:szCs w:val="20"/>
                <w:color w:val="auto"/>
              </w:rPr>
            </w:pPr>
            <w:r>
              <w:rPr>
                <w:rFonts w:ascii="Arial" w:cs="Arial" w:eastAsia="Arial" w:hAnsi="Arial"/>
                <w:sz w:val="14"/>
                <w:szCs w:val="14"/>
                <w:b w:val="1"/>
                <w:bCs w:val="1"/>
                <w:color w:val="auto"/>
                <w:w w:val="89"/>
              </w:rPr>
              <w:t>Title of each class</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Trading Symbol</w:t>
            </w:r>
          </w:p>
        </w:tc>
        <w:tc>
          <w:tcPr>
            <w:tcW w:w="3960" w:type="dxa"/>
            <w:vAlign w:val="bottom"/>
          </w:tcPr>
          <w:p>
            <w:pPr>
              <w:jc w:val="center"/>
              <w:ind w:right="484"/>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5"/>
        </w:trPr>
        <w:tc>
          <w:tcPr>
            <w:tcW w:w="3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760" w:type="dxa"/>
            <w:vAlign w:val="bottom"/>
          </w:tcPr>
          <w:p>
            <w:pPr>
              <w:jc w:val="center"/>
              <w:ind w:left="663"/>
              <w:spacing w:after="0"/>
              <w:rPr>
                <w:sz w:val="20"/>
                <w:szCs w:val="20"/>
                <w:color w:val="auto"/>
              </w:rPr>
            </w:pPr>
            <w:r>
              <w:rPr>
                <w:rFonts w:ascii="Arial" w:cs="Arial" w:eastAsia="Arial" w:hAnsi="Arial"/>
                <w:sz w:val="14"/>
                <w:szCs w:val="14"/>
                <w:color w:val="auto"/>
                <w:w w:val="92"/>
              </w:rPr>
              <w:t>Common Stock, par value $0.001 per share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4"/>
                <w:szCs w:val="14"/>
                <w:color w:val="auto"/>
                <w:w w:val="89"/>
              </w:rPr>
              <w:t>SPSC</w:t>
            </w:r>
          </w:p>
        </w:tc>
        <w:tc>
          <w:tcPr>
            <w:tcW w:w="3960" w:type="dxa"/>
            <w:vAlign w:val="bottom"/>
          </w:tcPr>
          <w:p>
            <w:pPr>
              <w:jc w:val="center"/>
              <w:ind w:right="464"/>
              <w:spacing w:after="0"/>
              <w:rPr>
                <w:sz w:val="20"/>
                <w:szCs w:val="20"/>
                <w:color w:val="auto"/>
              </w:rPr>
            </w:pPr>
            <w:r>
              <w:rPr>
                <w:rFonts w:ascii="Arial" w:cs="Arial" w:eastAsia="Arial" w:hAnsi="Arial"/>
                <w:sz w:val="14"/>
                <w:szCs w:val="14"/>
                <w:color w:val="auto"/>
                <w:w w:val="94"/>
              </w:rPr>
              <w:t>The Nasdaq Stock Market LLC (Nasdaq Global Market)</w:t>
            </w:r>
          </w:p>
        </w:tc>
      </w:tr>
    </w:tbl>
    <w:p>
      <w:pPr>
        <w:spacing w:after="0" w:line="15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5" w:lineRule="exact"/>
        <w:rPr>
          <w:sz w:val="24"/>
          <w:szCs w:val="24"/>
          <w:color w:val="auto"/>
        </w:rPr>
      </w:pPr>
    </w:p>
    <w:p>
      <w:pPr>
        <w:ind w:right="40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20" w:type="dxa"/>
            <w:vAlign w:val="bottom"/>
          </w:tcPr>
          <w:p>
            <w:pPr>
              <w:ind w:left="1500"/>
              <w:spacing w:after="0"/>
              <w:rPr>
                <w:sz w:val="20"/>
                <w:szCs w:val="20"/>
                <w:color w:val="auto"/>
              </w:rPr>
            </w:pPr>
            <w:r>
              <w:rPr>
                <w:rFonts w:ascii="Arial" w:cs="Arial" w:eastAsia="Arial" w:hAnsi="Arial"/>
                <w:sz w:val="16"/>
                <w:szCs w:val="16"/>
                <w:color w:val="auto"/>
              </w:rPr>
              <w:t>x</w:t>
            </w:r>
          </w:p>
        </w:tc>
        <w:tc>
          <w:tcPr>
            <w:tcW w:w="4160" w:type="dxa"/>
            <w:vAlign w:val="bottom"/>
          </w:tcPr>
          <w:p>
            <w:pPr>
              <w:ind w:left="520"/>
              <w:spacing w:after="0"/>
              <w:rPr>
                <w:sz w:val="20"/>
                <w:szCs w:val="20"/>
                <w:color w:val="auto"/>
              </w:rPr>
            </w:pPr>
            <w:r>
              <w:rPr>
                <w:rFonts w:ascii="Arial" w:cs="Arial" w:eastAsia="Arial" w:hAnsi="Arial"/>
                <w:sz w:val="16"/>
                <w:szCs w:val="16"/>
                <w:color w:val="auto"/>
              </w:rPr>
              <w:t>Accelerated filer</w:t>
            </w:r>
          </w:p>
        </w:tc>
        <w:tc>
          <w:tcPr>
            <w:tcW w:w="1960" w:type="dxa"/>
            <w:vAlign w:val="bottom"/>
          </w:tcPr>
          <w:p>
            <w:pPr>
              <w:ind w:left="1880"/>
              <w:spacing w:after="0"/>
              <w:rPr>
                <w:sz w:val="20"/>
                <w:szCs w:val="20"/>
                <w:color w:val="auto"/>
              </w:rPr>
            </w:pPr>
            <w:r>
              <w:rPr>
                <w:rFonts w:ascii="Arial" w:cs="Arial" w:eastAsia="Arial" w:hAnsi="Arial"/>
                <w:sz w:val="15"/>
                <w:szCs w:val="15"/>
                <w:color w:val="auto"/>
                <w:w w:val="71"/>
              </w:rPr>
              <w:t>o</w:t>
            </w:r>
          </w:p>
        </w:tc>
      </w:tr>
      <w:tr>
        <w:trPr>
          <w:trHeight w:val="270"/>
        </w:trPr>
        <w:tc>
          <w:tcPr>
            <w:tcW w:w="2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20" w:type="dxa"/>
            <w:vAlign w:val="bottom"/>
          </w:tcPr>
          <w:p>
            <w:pPr>
              <w:ind w:left="1500"/>
              <w:spacing w:after="0"/>
              <w:rPr>
                <w:sz w:val="20"/>
                <w:szCs w:val="20"/>
                <w:color w:val="auto"/>
              </w:rPr>
            </w:pPr>
            <w:r>
              <w:rPr>
                <w:rFonts w:ascii="Arial" w:cs="Arial" w:eastAsia="Arial" w:hAnsi="Arial"/>
                <w:sz w:val="16"/>
                <w:szCs w:val="16"/>
                <w:color w:val="auto"/>
              </w:rPr>
              <w:t>o</w:t>
            </w:r>
          </w:p>
        </w:tc>
        <w:tc>
          <w:tcPr>
            <w:tcW w:w="416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1960" w:type="dxa"/>
            <w:vAlign w:val="bottom"/>
          </w:tcPr>
          <w:p>
            <w:pPr>
              <w:ind w:left="1880"/>
              <w:spacing w:after="0"/>
              <w:rPr>
                <w:sz w:val="20"/>
                <w:szCs w:val="20"/>
                <w:color w:val="auto"/>
              </w:rPr>
            </w:pPr>
            <w:r>
              <w:rPr>
                <w:rFonts w:ascii="Arial" w:cs="Arial" w:eastAsia="Arial" w:hAnsi="Arial"/>
                <w:sz w:val="15"/>
                <w:szCs w:val="15"/>
                <w:color w:val="auto"/>
                <w:w w:val="71"/>
              </w:rPr>
              <w:t>o</w:t>
            </w:r>
          </w:p>
        </w:tc>
      </w:tr>
      <w:tr>
        <w:trPr>
          <w:trHeight w:val="270"/>
        </w:trPr>
        <w:tc>
          <w:tcPr>
            <w:tcW w:w="2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160" w:type="dxa"/>
            <w:vAlign w:val="bottom"/>
          </w:tcPr>
          <w:p>
            <w:pPr>
              <w:ind w:left="520"/>
              <w:spacing w:after="0"/>
              <w:rPr>
                <w:sz w:val="20"/>
                <w:szCs w:val="20"/>
                <w:color w:val="auto"/>
              </w:rPr>
            </w:pPr>
            <w:r>
              <w:rPr>
                <w:rFonts w:ascii="Arial" w:cs="Arial" w:eastAsia="Arial" w:hAnsi="Arial"/>
                <w:sz w:val="16"/>
                <w:szCs w:val="16"/>
                <w:color w:val="auto"/>
              </w:rPr>
              <w:t>Emerging growth company</w:t>
            </w:r>
          </w:p>
        </w:tc>
        <w:tc>
          <w:tcPr>
            <w:tcW w:w="1960" w:type="dxa"/>
            <w:vAlign w:val="bottom"/>
          </w:tcPr>
          <w:p>
            <w:pPr>
              <w:ind w:left="1880"/>
              <w:spacing w:after="0"/>
              <w:rPr>
                <w:sz w:val="20"/>
                <w:szCs w:val="20"/>
                <w:color w:val="auto"/>
              </w:rPr>
            </w:pPr>
            <w:r>
              <w:rPr>
                <w:rFonts w:ascii="Arial" w:cs="Arial" w:eastAsia="Arial" w:hAnsi="Arial"/>
                <w:sz w:val="15"/>
                <w:szCs w:val="15"/>
                <w:color w:val="auto"/>
                <w:w w:val="71"/>
              </w:rPr>
              <w:t>o</w:t>
            </w:r>
          </w:p>
        </w:tc>
      </w:tr>
    </w:tbl>
    <w:p>
      <w:pPr>
        <w:spacing w:after="0" w:line="91"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20, 2022 was 36,015,159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TABLE OF CONTENTS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gridSpan w:val="9"/>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20" w:type="dxa"/>
            <w:vAlign w:val="bottom"/>
            <w:gridSpan w:val="10"/>
            <w:vMerge w:val="restart"/>
          </w:tcPr>
          <w:p>
            <w:pPr>
              <w:spacing w:after="0"/>
              <w:rPr>
                <w:sz w:val="20"/>
                <w:szCs w:val="20"/>
                <w:color w:val="auto"/>
              </w:rPr>
            </w:pP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080" w:type="dxa"/>
            <w:vAlign w:val="bottom"/>
            <w:tcBorders>
              <w:bottom w:val="single" w:sz="8" w:color="0000FF"/>
            </w:tcBorders>
            <w:gridSpan w:val="9"/>
            <w:vMerge w:val="continue"/>
          </w:tcPr>
          <w:p>
            <w:pPr>
              <w:spacing w:after="0"/>
              <w:rPr>
                <w:sz w:val="16"/>
                <w:szCs w:val="16"/>
                <w:color w:val="auto"/>
              </w:rPr>
            </w:pPr>
          </w:p>
        </w:tc>
        <w:tc>
          <w:tcPr>
            <w:tcW w:w="4620" w:type="dxa"/>
            <w:vAlign w:val="bottom"/>
            <w:gridSpan w:val="10"/>
            <w:vMerge w:val="continue"/>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Financial Statements (unaudited)</w:t>
            </w:r>
          </w:p>
        </w:tc>
        <w:tc>
          <w:tcPr>
            <w:tcW w:w="4080" w:type="dxa"/>
            <w:vAlign w:val="bottom"/>
            <w:gridSpan w:val="8"/>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35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58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Comprehensive Income</w:t>
              </w:r>
            </w:hyperlink>
          </w:p>
        </w:tc>
        <w:tc>
          <w:tcPr>
            <w:tcW w:w="1880" w:type="dxa"/>
            <w:vAlign w:val="bottom"/>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Stockholders’ Equity</w:t>
              </w:r>
            </w:hyperlink>
          </w:p>
        </w:tc>
        <w:tc>
          <w:tcPr>
            <w:tcW w:w="35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80" w:type="dxa"/>
            <w:vAlign w:val="bottom"/>
            <w:tcBorders>
              <w:top w:val="single" w:sz="8" w:color="0000FF"/>
            </w:tcBorders>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2080" w:type="dxa"/>
            <w:vAlign w:val="bottom"/>
            <w:gridSpan w:val="2"/>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6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35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17">
              <w:r>
                <w:rPr>
                  <w:rFonts w:ascii="Arial" w:cs="Arial" w:eastAsia="Arial" w:hAnsi="Arial"/>
                  <w:sz w:val="18"/>
                  <w:szCs w:val="18"/>
                  <w:color w:val="auto"/>
                </w:rPr>
                <w:t>Item 2.</w:t>
              </w:r>
            </w:hyperlink>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350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rFonts w:ascii="Arial" w:cs="Arial" w:eastAsia="Arial" w:hAnsi="Arial"/>
                <w:sz w:val="18"/>
                <w:szCs w:val="18"/>
                <w:color w:val="auto"/>
              </w:rPr>
            </w:pPr>
            <w:hyperlink w:anchor="page26">
              <w:r>
                <w:rPr>
                  <w:rFonts w:ascii="Arial" w:cs="Arial" w:eastAsia="Arial" w:hAnsi="Arial"/>
                  <w:sz w:val="18"/>
                  <w:szCs w:val="18"/>
                  <w:color w:val="auto"/>
                </w:rPr>
                <w:t>Item 3.</w:t>
              </w:r>
            </w:hyperlink>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4.</w:t>
              </w:r>
            </w:hyperlink>
          </w:p>
        </w:tc>
        <w:tc>
          <w:tcPr>
            <w:tcW w:w="646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35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8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OTHER INFORMATION</w:t>
              </w:r>
            </w:hyperlink>
          </w:p>
        </w:tc>
        <w:tc>
          <w:tcPr>
            <w:tcW w:w="4920" w:type="dxa"/>
            <w:vAlign w:val="bottom"/>
            <w:gridSpan w:val="12"/>
          </w:tcPr>
          <w:p>
            <w:pPr>
              <w:spacing w:after="0"/>
              <w:rPr>
                <w:sz w:val="22"/>
                <w:szCs w:val="22"/>
                <w:color w:val="auto"/>
              </w:rPr>
            </w:pP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1.</w:t>
              </w:r>
            </w:hyperlink>
          </w:p>
        </w:tc>
        <w:tc>
          <w:tcPr>
            <w:tcW w:w="64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35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5140" w:type="dxa"/>
            <w:vAlign w:val="bottom"/>
            <w:gridSpan w:val="13"/>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64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Unregistered Sales of Equity Securities and Use of Proceeds</w:t>
              </w:r>
            </w:hyperlink>
          </w:p>
        </w:tc>
        <w:tc>
          <w:tcPr>
            <w:tcW w:w="35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3.</w:t>
              </w:r>
            </w:hyperlink>
          </w:p>
        </w:tc>
        <w:tc>
          <w:tcPr>
            <w:tcW w:w="23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5"/>
          </w:tcPr>
          <w:p>
            <w:pPr>
              <w:spacing w:after="0"/>
              <w:rPr>
                <w:sz w:val="22"/>
                <w:szCs w:val="22"/>
                <w:color w:val="auto"/>
              </w:rPr>
            </w:pPr>
          </w:p>
        </w:tc>
        <w:tc>
          <w:tcPr>
            <w:tcW w:w="2120" w:type="dxa"/>
            <w:vAlign w:val="bottom"/>
            <w:gridSpan w:val="4"/>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64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35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Other Information</w:t>
              </w:r>
            </w:hyperlink>
          </w:p>
        </w:tc>
        <w:tc>
          <w:tcPr>
            <w:tcW w:w="4700" w:type="dxa"/>
            <w:vAlign w:val="bottom"/>
            <w:gridSpan w:val="11"/>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5160" w:type="dxa"/>
            <w:vAlign w:val="bottom"/>
            <w:gridSpan w:val="14"/>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SIGNATURES</w:t>
              </w:r>
            </w:hyperlink>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BALANCE SHEETS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4720" w:type="dxa"/>
            <w:vAlign w:val="bottom"/>
            <w:tcBorders>
              <w:bottom w:val="single" w:sz="8" w:color="CCEEFF"/>
            </w:tcBorders>
            <w:vMerge w:val="continue"/>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4720" w:type="dxa"/>
            <w:vAlign w:val="bottom"/>
            <w:shd w:val="clear" w:color="auto" w:fill="CCEEFF"/>
          </w:tcPr>
          <w:p>
            <w:pPr>
              <w:ind w:left="3500"/>
              <w:spacing w:after="0"/>
              <w:rPr>
                <w:sz w:val="20"/>
                <w:szCs w:val="20"/>
                <w:color w:val="auto"/>
              </w:rPr>
            </w:pPr>
            <w:r>
              <w:rPr>
                <w:rFonts w:ascii="Arial" w:cs="Arial" w:eastAsia="Arial" w:hAnsi="Arial"/>
                <w:sz w:val="14"/>
                <w:szCs w:val="14"/>
                <w:b w:val="1"/>
                <w:bCs w:val="1"/>
                <w:color w:val="auto"/>
              </w:rPr>
              <w:t>ASSETS</w:t>
            </w:r>
          </w:p>
        </w:tc>
        <w:tc>
          <w:tcPr>
            <w:tcW w:w="2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04"/>
              <w:spacing w:after="0"/>
              <w:rPr>
                <w:sz w:val="20"/>
                <w:szCs w:val="20"/>
                <w:color w:val="auto"/>
              </w:rPr>
            </w:pPr>
            <w:r>
              <w:rPr>
                <w:rFonts w:ascii="Arial" w:cs="Arial" w:eastAsia="Arial" w:hAnsi="Arial"/>
                <w:sz w:val="14"/>
                <w:szCs w:val="14"/>
                <w:color w:val="auto"/>
                <w:w w:val="95"/>
              </w:rPr>
              <w:t>(unaudited)</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Current assets</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3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212,725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207,552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Short-term investments</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46,513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49,758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Accounts receivable</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Allowance for credit losses</w:t>
            </w:r>
          </w:p>
        </w:tc>
        <w:tc>
          <w:tcPr>
            <w:tcW w:w="2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(4,454)</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Accounts receivable, net</w:t>
            </w:r>
          </w:p>
        </w:tc>
        <w:tc>
          <w:tcPr>
            <w:tcW w:w="2820" w:type="dxa"/>
            <w:vAlign w:val="bottom"/>
            <w:shd w:val="clear" w:color="auto" w:fill="CCEEFF"/>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40,105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Deferred costs</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48,294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44,529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assets</w:t>
            </w:r>
          </w:p>
        </w:tc>
        <w:tc>
          <w:tcPr>
            <w:tcW w:w="28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16,042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720" w:type="dxa"/>
            <w:vAlign w:val="bottom"/>
          </w:tcPr>
          <w:p>
            <w:pPr>
              <w:ind w:left="500"/>
              <w:spacing w:after="0"/>
              <w:rPr>
                <w:sz w:val="20"/>
                <w:szCs w:val="20"/>
                <w:color w:val="auto"/>
              </w:rPr>
            </w:pPr>
            <w:r>
              <w:rPr>
                <w:rFonts w:ascii="Arial" w:cs="Arial" w:eastAsia="Arial" w:hAnsi="Arial"/>
                <w:sz w:val="15"/>
                <w:szCs w:val="15"/>
                <w:color w:val="auto"/>
              </w:rPr>
              <w:t>Total current assets</w:t>
            </w: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365,549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352,443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31,901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9,578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10,851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143,663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Intangible assets, net</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53,597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58,587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Deferred costs, non-current</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16,371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15,191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income tax assets</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assets, non-current</w:t>
            </w:r>
          </w:p>
        </w:tc>
        <w:tc>
          <w:tcPr>
            <w:tcW w:w="2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assets</w:t>
            </w:r>
          </w:p>
        </w:tc>
        <w:tc>
          <w:tcPr>
            <w:tcW w:w="2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622,776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615,846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20" w:type="dxa"/>
            <w:vAlign w:val="bottom"/>
          </w:tcPr>
          <w:p>
            <w:pPr>
              <w:spacing w:after="0"/>
              <w:rPr>
                <w:sz w:val="15"/>
                <w:szCs w:val="15"/>
                <w:color w:val="auto"/>
              </w:rPr>
            </w:pPr>
          </w:p>
        </w:tc>
        <w:tc>
          <w:tcPr>
            <w:tcW w:w="7540" w:type="dxa"/>
            <w:vAlign w:val="bottom"/>
            <w:gridSpan w:val="2"/>
          </w:tcPr>
          <w:p>
            <w:pPr>
              <w:ind w:left="210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31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4,442</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8,330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compensation</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Accrued expenses</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7,508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8,345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revenue</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Operating lease liabilities</w:t>
            </w:r>
          </w:p>
        </w:tc>
        <w:tc>
          <w:tcPr>
            <w:tcW w:w="2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current liabilities</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101,239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Other liabilities</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revenue, non-current</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Operating lease liabilities, non-current</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14,239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16,426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income tax liabilities</w:t>
            </w:r>
          </w:p>
        </w:tc>
        <w:tc>
          <w:tcPr>
            <w:tcW w:w="28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4,997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7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Total liabilities</w:t>
            </w:r>
          </w:p>
        </w:tc>
        <w:tc>
          <w:tcPr>
            <w:tcW w:w="2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125,756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131,587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2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Stockholders' equity</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782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Preferred stock, $0.001 par value; 5,000,000 shares authorized; 0 shares issued and outstanding</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820" w:type="dxa"/>
            <w:vAlign w:val="bottom"/>
            <w:gridSpan w:val="3"/>
          </w:tcPr>
          <w:p>
            <w:pPr>
              <w:ind w:left="180"/>
              <w:spacing w:after="0" w:line="149" w:lineRule="exact"/>
              <w:rPr>
                <w:sz w:val="20"/>
                <w:szCs w:val="20"/>
                <w:color w:val="auto"/>
              </w:rPr>
            </w:pPr>
            <w:r>
              <w:rPr>
                <w:rFonts w:ascii="Arial" w:cs="Arial" w:eastAsia="Arial" w:hAnsi="Arial"/>
                <w:sz w:val="15"/>
                <w:szCs w:val="15"/>
                <w:color w:val="auto"/>
              </w:rPr>
              <w:t>Common stock, $0.001 par value; 110,000,000 shares authorized; 38,074,026 and 37,798,610 shares issued; and</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36,029,477 and 36,009,257 shares outstanding, respectively</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7"/>
              </w:rPr>
              <w:t>Treasury Stock, at cost; 2,044,549 and 1,789,353 shares, respectively</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(85,677)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453,922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433,258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Retained earnings</w:t>
            </w:r>
          </w:p>
        </w:tc>
        <w:tc>
          <w:tcPr>
            <w:tcW w:w="2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161,443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138,087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Accumulated other comprehensive loss</w:t>
            </w:r>
          </w:p>
        </w:tc>
        <w:tc>
          <w:tcPr>
            <w:tcW w:w="2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stockholders’ equity</w:t>
            </w:r>
          </w:p>
        </w:tc>
        <w:tc>
          <w:tcPr>
            <w:tcW w:w="28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497,020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484,259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4720" w:type="dxa"/>
            <w:vAlign w:val="bottom"/>
          </w:tcPr>
          <w:p>
            <w:pPr>
              <w:ind w:left="660"/>
              <w:spacing w:after="0"/>
              <w:rPr>
                <w:sz w:val="20"/>
                <w:szCs w:val="20"/>
                <w:color w:val="auto"/>
              </w:rPr>
            </w:pPr>
            <w:r>
              <w:rPr>
                <w:rFonts w:ascii="Arial" w:cs="Arial" w:eastAsia="Arial" w:hAnsi="Arial"/>
                <w:sz w:val="15"/>
                <w:szCs w:val="15"/>
                <w:color w:val="auto"/>
              </w:rPr>
              <w:t>Total liabilities and stockholders’ equity</w:t>
            </w:r>
          </w:p>
        </w:tc>
        <w:tc>
          <w:tcPr>
            <w:tcW w:w="282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622,776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615,846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7820" w:type="dxa"/>
            <w:vAlign w:val="bottom"/>
            <w:gridSpan w:val="3"/>
          </w:tcPr>
          <w:p>
            <w:pPr>
              <w:ind w:left="3140"/>
              <w:spacing w:after="0"/>
              <w:rPr>
                <w:sz w:val="20"/>
                <w:szCs w:val="20"/>
                <w:color w:val="auto"/>
              </w:rPr>
            </w:pPr>
            <w:r>
              <w:rPr>
                <w:rFonts w:ascii="Arial" w:cs="Arial" w:eastAsia="Arial" w:hAnsi="Arial"/>
                <w:sz w:val="14"/>
                <w:szCs w:val="14"/>
                <w:color w:val="auto"/>
                <w:w w:val="93"/>
              </w:rPr>
              <w:t>See accompanying notes to these condensed consolidated financial statements.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720" w:type="dxa"/>
            <w:vAlign w:val="bottom"/>
          </w:tcPr>
          <w:p>
            <w:pPr>
              <w:ind w:left="320"/>
              <w:spacing w:after="0"/>
              <w:rPr>
                <w:sz w:val="20"/>
                <w:szCs w:val="20"/>
                <w:color w:val="auto"/>
              </w:rPr>
            </w:pPr>
            <w:r>
              <w:rPr>
                <w:rFonts w:ascii="Arial" w:cs="Arial" w:eastAsia="Arial" w:hAnsi="Arial"/>
                <w:sz w:val="14"/>
                <w:szCs w:val="14"/>
                <w:b w:val="1"/>
                <w:bCs w:val="1"/>
                <w:color w:val="auto"/>
              </w:rPr>
              <w:t>SPS COMMERCE, INC.</w:t>
            </w:r>
          </w:p>
        </w:tc>
        <w:tc>
          <w:tcPr>
            <w:tcW w:w="2820" w:type="dxa"/>
            <w:vAlign w:val="bottom"/>
          </w:tcPr>
          <w:p>
            <w:pPr>
              <w:jc w:val="right"/>
              <w:ind w:right="2345"/>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3200" w:type="dxa"/>
            <w:vAlign w:val="bottom"/>
            <w:gridSpan w:val="5"/>
          </w:tcPr>
          <w:p>
            <w:pPr>
              <w:ind w:left="140"/>
              <w:spacing w:after="0"/>
              <w:rPr>
                <w:sz w:val="20"/>
                <w:szCs w:val="20"/>
                <w:color w:val="auto"/>
              </w:rPr>
            </w:pPr>
            <w:r>
              <w:rPr>
                <w:rFonts w:ascii="Arial" w:cs="Arial" w:eastAsia="Arial" w:hAnsi="Arial"/>
                <w:sz w:val="11"/>
                <w:szCs w:val="11"/>
                <w:b w:val="1"/>
                <w:bCs w:val="1"/>
                <w:color w:val="auto"/>
              </w:rPr>
              <w:t>Form 10-Q for the Quarterly Period ended June 30, 2022</w:t>
            </w:r>
          </w:p>
        </w:tc>
        <w:tc>
          <w:tcPr>
            <w:tcW w:w="0" w:type="dxa"/>
            <w:vAlign w:val="bottom"/>
          </w:tcPr>
          <w:p>
            <w:pPr>
              <w:spacing w:after="0"/>
              <w:rPr>
                <w:sz w:val="1"/>
                <w:szCs w:val="1"/>
                <w:color w:val="auto"/>
              </w:rPr>
            </w:pPr>
          </w:p>
        </w:tc>
      </w:tr>
      <w:tr>
        <w:trPr>
          <w:trHeight w:val="212"/>
        </w:trPr>
        <w:tc>
          <w:tcPr>
            <w:tcW w:w="22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-522605</wp:posOffset>
            </wp:positionV>
            <wp:extent cx="325755" cy="299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AAE5"/>
        </w:rPr>
        <w:t>CONDENSED CONSOLIDATED STATEMENTS OF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122,933</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43,307</w:t>
            </w:r>
          </w:p>
        </w:tc>
        <w:tc>
          <w:tcPr>
            <w:tcW w:w="0" w:type="dxa"/>
            <w:vAlign w:val="bottom"/>
          </w:tcPr>
          <w:p>
            <w:pPr>
              <w:spacing w:after="0"/>
              <w:rPr>
                <w:sz w:val="1"/>
                <w:szCs w:val="1"/>
                <w:color w:val="auto"/>
              </w:rPr>
            </w:pPr>
          </w:p>
        </w:tc>
      </w:tr>
      <w:tr>
        <w:trPr>
          <w:trHeight w:val="230"/>
        </w:trPr>
        <w:tc>
          <w:tcPr>
            <w:tcW w:w="52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17,605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96,742</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31,563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25,483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Unrealized loss on investments, net of tax of ($3), ($12), ($4) and</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$(27), respectively</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80"/>
              <w:spacing w:after="0" w:line="176" w:lineRule="exact"/>
              <w:rPr>
                <w:sz w:val="20"/>
                <w:szCs w:val="20"/>
                <w:color w:val="auto"/>
              </w:rPr>
            </w:pPr>
            <w:r>
              <w:rPr>
                <w:rFonts w:ascii="Arial" w:cs="Arial" w:eastAsia="Arial" w:hAnsi="Arial"/>
                <w:sz w:val="18"/>
                <w:szCs w:val="18"/>
                <w:color w:val="auto"/>
                <w:w w:val="95"/>
              </w:rPr>
              <w:t>Reclassification of (gain) loss on investments into earnings, net of</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tax of $(8), $11, $(4) and $30, respectively</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20,757</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w w:val="88"/>
              </w:rPr>
              <w:t>Weighted average common shares used to compute net income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35,828</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36,897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32575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spacing w:after="0"/>
        <w:tabs>
          <w:tab w:leader="none" w:pos="5440" w:val="left"/>
          <w:tab w:leader="none" w:pos="85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4" w:name="page5"/>
    <w:bookmarkEnd w:id="4"/>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180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ind w:left="60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Paid-in</w:t>
            </w:r>
          </w:p>
        </w:tc>
        <w:tc>
          <w:tcPr>
            <w:tcW w:w="160" w:type="dxa"/>
            <w:vAlign w:val="bottom"/>
          </w:tcPr>
          <w:p>
            <w:pPr>
              <w:spacing w:after="0"/>
              <w:rPr>
                <w:sz w:val="4"/>
                <w:szCs w:val="4"/>
                <w:color w:val="auto"/>
              </w:rPr>
            </w:pPr>
          </w:p>
        </w:tc>
        <w:tc>
          <w:tcPr>
            <w:tcW w:w="88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8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Accumulated Other</w:t>
            </w:r>
          </w:p>
        </w:tc>
        <w:tc>
          <w:tcPr>
            <w:tcW w:w="100" w:type="dxa"/>
            <w:vAlign w:val="bottom"/>
          </w:tcPr>
          <w:p>
            <w:pPr>
              <w:spacing w:after="0"/>
              <w:rPr>
                <w:sz w:val="4"/>
                <w:szCs w:val="4"/>
                <w:color w:val="auto"/>
              </w:rPr>
            </w:pPr>
          </w:p>
        </w:tc>
        <w:tc>
          <w:tcPr>
            <w:tcW w:w="880" w:type="dxa"/>
            <w:vAlign w:val="bottom"/>
            <w:vMerge w:val="restart"/>
          </w:tcPr>
          <w:p>
            <w:pPr>
              <w:jc w:val="center"/>
              <w:ind w:right="37"/>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 except shares) (unaudited)</w:t>
            </w:r>
          </w:p>
        </w:tc>
        <w:tc>
          <w:tcPr>
            <w:tcW w:w="10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line="20" w:lineRule="exact"/>
              <w:rPr>
                <w:sz w:val="1"/>
                <w:szCs w:val="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March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35,861,584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402,860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440,523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7,014</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7,014</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36,756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24,528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2,081</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(63,515)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(6,450)</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10,183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10,183</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loss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7"/>
              </w:rPr>
              <w:t>Reclassification of loss on investments into</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3"/>
                <w:szCs w:val="13"/>
                <w:color w:val="auto"/>
              </w:rPr>
              <w:t>Balances,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35,859,353</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1,676,765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(71,697)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413,182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113,873</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454,749</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March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36,120,518</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1,910,897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(100,903)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442,405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150,690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491,521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8,128</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8,128</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33,337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3,203</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(133,652)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(14,997)</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10,753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10,753</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loss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6"/>
              </w:rPr>
              <w:t>Reclassification of gain on investments into</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3"/>
                <w:szCs w:val="13"/>
                <w:color w:val="auto"/>
              </w:rPr>
              <w:t>Balances,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36,029,477</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2,044,549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(115,900)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453,922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161,443</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497,020</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180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ind w:left="60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Paid-in</w:t>
            </w:r>
          </w:p>
        </w:tc>
        <w:tc>
          <w:tcPr>
            <w:tcW w:w="160" w:type="dxa"/>
            <w:vAlign w:val="bottom"/>
          </w:tcPr>
          <w:p>
            <w:pPr>
              <w:spacing w:after="0"/>
              <w:rPr>
                <w:sz w:val="4"/>
                <w:szCs w:val="4"/>
                <w:color w:val="auto"/>
              </w:rPr>
            </w:pPr>
          </w:p>
        </w:tc>
        <w:tc>
          <w:tcPr>
            <w:tcW w:w="88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8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Accumulated Other</w:t>
            </w:r>
          </w:p>
        </w:tc>
        <w:tc>
          <w:tcPr>
            <w:tcW w:w="100" w:type="dxa"/>
            <w:vAlign w:val="bottom"/>
          </w:tcPr>
          <w:p>
            <w:pPr>
              <w:spacing w:after="0"/>
              <w:rPr>
                <w:sz w:val="4"/>
                <w:szCs w:val="4"/>
                <w:color w:val="auto"/>
              </w:rPr>
            </w:pPr>
          </w:p>
        </w:tc>
        <w:tc>
          <w:tcPr>
            <w:tcW w:w="880" w:type="dxa"/>
            <w:vAlign w:val="bottom"/>
            <w:vMerge w:val="restart"/>
          </w:tcPr>
          <w:p>
            <w:pPr>
              <w:jc w:val="center"/>
              <w:ind w:right="37"/>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line="20" w:lineRule="exact"/>
              <w:rPr>
                <w:sz w:val="1"/>
                <w:szCs w:val="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35,487,217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393,462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420,721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13,505</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13,505</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409,502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4,030</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26,149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2,186</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(63,515)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(6,450)</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20,383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20,383</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loss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7"/>
              </w:rPr>
              <w:t>Reclassification of loss on investments into</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3"/>
                <w:szCs w:val="13"/>
                <w:color w:val="auto"/>
              </w:rPr>
              <w:t>Balances,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35,859,353</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1,676,765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(71,697)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413,182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113,873</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454,749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36,009,257</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1,789,353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433,258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138,087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484,259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16,624</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16,624</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240,381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35,035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3,350</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(255,196)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255,196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(30,223)</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23,356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23,356</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loss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6"/>
              </w:rPr>
              <w:t>Reclassification of gain on investments into</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3"/>
                <w:szCs w:val="13"/>
                <w:color w:val="auto"/>
              </w:rPr>
              <w:t>Balances,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36,029,477</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2,044,549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(115,900)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453,922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161,443</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497,020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192405</wp:posOffset>
            </wp:positionV>
            <wp:extent cx="325755" cy="299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86"/>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8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(unaudited)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11"/>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9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23,356</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20,383</w:t>
            </w:r>
          </w:p>
        </w:tc>
      </w:tr>
      <w:tr>
        <w:trPr>
          <w:trHeight w:val="229"/>
        </w:trPr>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17,676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14,424</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Deferred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30"/>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(2,087)</w:t>
            </w:r>
          </w:p>
        </w:tc>
      </w:tr>
      <w:tr>
        <w:trPr>
          <w:trHeight w:val="229"/>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w:t>
            </w:r>
          </w:p>
        </w:tc>
      </w:tr>
      <w:tr>
        <w:trPr>
          <w:trHeight w:val="230"/>
        </w:trPr>
        <w:tc>
          <w:tcPr>
            <w:tcW w:w="79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r>
      <w:tr>
        <w:trPr>
          <w:trHeight w:val="223"/>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36,785</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54,658</w:t>
            </w:r>
          </w:p>
        </w:tc>
      </w:tr>
      <w:tr>
        <w:trPr>
          <w:trHeight w:val="210"/>
        </w:trPr>
        <w:tc>
          <w:tcPr>
            <w:tcW w:w="79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(114,603)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(44,034)</w:t>
            </w: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of investments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23"/>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(30,223)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(6,450)</w:t>
            </w: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exercise of options to purchase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Net proceeds from employee stock purchase plan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2,186</w:t>
            </w:r>
          </w:p>
        </w:tc>
      </w:tr>
      <w:tr>
        <w:trPr>
          <w:trHeight w:val="22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contingent consideration</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23"/>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(26,183)</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34,675</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207,552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149,692</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212,725</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184,367</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295275</wp:posOffset>
            </wp:positionV>
            <wp:extent cx="325755" cy="299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0"/>
        <w:spacing w:after="0"/>
        <w:tabs>
          <w:tab w:leader="none" w:pos="546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NOTES TO CONDENSED CONSOLIDATED FINANCIAL STATEMENTS (UNAUDITED)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we provide enable our customers to increase their supply cycle agility, optimize their inventory levels and sell-through, reduce operational costs and gain increased visibility into customer orders, to help ensure that suppliers, grocers, distributors, and logistics firms can satisfy exacting retailer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w:t>
      </w:r>
    </w:p>
    <w:p>
      <w:pPr>
        <w:spacing w:after="0" w:line="184"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2021,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six months ended June 30, 2022. See Note A to the consolidated financial statements included in our Annual Report on Form 10-K for the year ended December 31, 2021, as filed with the SEC, for additional information regarding our significant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Accounting Pronouncements Not Yet Adopted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Standard</w:t>
            </w:r>
          </w:p>
        </w:tc>
        <w:tc>
          <w:tcPr>
            <w:tcW w:w="1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Date of Issuance</w:t>
            </w: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40" w:type="dxa"/>
            <w:vAlign w:val="bottom"/>
          </w:tcPr>
          <w:p>
            <w:pPr>
              <w:jc w:val="center"/>
              <w:ind w:left="82"/>
              <w:spacing w:after="0"/>
              <w:rPr>
                <w:sz w:val="20"/>
                <w:szCs w:val="20"/>
                <w:color w:val="auto"/>
              </w:rPr>
            </w:pPr>
            <w:r>
              <w:rPr>
                <w:rFonts w:ascii="Arial" w:cs="Arial" w:eastAsia="Arial" w:hAnsi="Arial"/>
                <w:sz w:val="14"/>
                <w:szCs w:val="14"/>
                <w:b w:val="1"/>
                <w:bCs w:val="1"/>
                <w:color w:val="auto"/>
                <w:w w:val="92"/>
              </w:rPr>
              <w:t>Date of Required</w:t>
            </w:r>
          </w:p>
        </w:tc>
        <w:tc>
          <w:tcPr>
            <w:tcW w:w="2640" w:type="dxa"/>
            <w:vAlign w:val="bottom"/>
            <w:vMerge w:val="restart"/>
          </w:tcPr>
          <w:p>
            <w:pPr>
              <w:jc w:val="center"/>
              <w:ind w:left="138"/>
              <w:spacing w:after="0"/>
              <w:rPr>
                <w:sz w:val="20"/>
                <w:szCs w:val="20"/>
                <w:color w:val="auto"/>
              </w:rPr>
            </w:pPr>
            <w:r>
              <w:rPr>
                <w:rFonts w:ascii="Arial" w:cs="Arial" w:eastAsia="Arial" w:hAnsi="Arial"/>
                <w:sz w:val="14"/>
                <w:szCs w:val="14"/>
                <w:b w:val="1"/>
                <w:bCs w:val="1"/>
                <w:color w:val="auto"/>
                <w:w w:val="91"/>
              </w:rPr>
              <w:t>Effect on the Financial Statements</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5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Adoption</w:t>
            </w:r>
          </w:p>
        </w:tc>
        <w:tc>
          <w:tcPr>
            <w:tcW w:w="2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b w:val="1"/>
                <w:bCs w:val="1"/>
                <w:color w:val="auto"/>
                <w:w w:val="90"/>
              </w:rPr>
              <w:t xml:space="preserve">ASU 2021-08, </w:t>
            </w:r>
            <w:r>
              <w:rPr>
                <w:rFonts w:ascii="Arial" w:cs="Arial" w:eastAsia="Arial" w:hAnsi="Arial"/>
                <w:sz w:val="18"/>
                <w:szCs w:val="18"/>
                <w:color w:val="auto"/>
                <w:w w:val="90"/>
              </w:rPr>
              <w:t>Business</w:t>
            </w:r>
          </w:p>
        </w:tc>
        <w:tc>
          <w:tcPr>
            <w:tcW w:w="1280" w:type="dxa"/>
            <w:vAlign w:val="bottom"/>
            <w:shd w:val="clear" w:color="auto" w:fill="CCEEFF"/>
          </w:tcPr>
          <w:p>
            <w:pPr>
              <w:ind w:left="140"/>
              <w:spacing w:after="0" w:line="184" w:lineRule="exact"/>
              <w:rPr>
                <w:sz w:val="20"/>
                <w:szCs w:val="20"/>
                <w:color w:val="auto"/>
              </w:rPr>
            </w:pPr>
            <w:r>
              <w:rPr>
                <w:rFonts w:ascii="Arial" w:cs="Arial" w:eastAsia="Arial" w:hAnsi="Arial"/>
                <w:sz w:val="18"/>
                <w:szCs w:val="18"/>
                <w:color w:val="auto"/>
              </w:rPr>
              <w:t>October 2021</w:t>
            </w:r>
          </w:p>
        </w:tc>
        <w:tc>
          <w:tcPr>
            <w:tcW w:w="358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89"/>
              </w:rPr>
              <w:t>This amendment requires that an acquirer</w:t>
            </w:r>
          </w:p>
        </w:tc>
        <w:tc>
          <w:tcPr>
            <w:tcW w:w="1240" w:type="dxa"/>
            <w:vAlign w:val="bottom"/>
            <w:shd w:val="clear" w:color="auto" w:fill="CCEEFF"/>
          </w:tcPr>
          <w:p>
            <w:pPr>
              <w:jc w:val="center"/>
              <w:ind w:left="82"/>
              <w:spacing w:after="0" w:line="184" w:lineRule="exact"/>
              <w:rPr>
                <w:sz w:val="20"/>
                <w:szCs w:val="20"/>
                <w:color w:val="auto"/>
              </w:rPr>
            </w:pPr>
            <w:r>
              <w:rPr>
                <w:rFonts w:ascii="Arial" w:cs="Arial" w:eastAsia="Arial" w:hAnsi="Arial"/>
                <w:sz w:val="18"/>
                <w:szCs w:val="18"/>
                <w:color w:val="auto"/>
                <w:w w:val="87"/>
              </w:rPr>
              <w:t>January 2023</w:t>
            </w:r>
          </w:p>
        </w:tc>
        <w:tc>
          <w:tcPr>
            <w:tcW w:w="2640" w:type="dxa"/>
            <w:vAlign w:val="bottom"/>
            <w:shd w:val="clear" w:color="auto" w:fill="CCEEFF"/>
          </w:tcPr>
          <w:p>
            <w:pPr>
              <w:jc w:val="center"/>
              <w:ind w:left="138"/>
              <w:spacing w:after="0" w:line="184" w:lineRule="exact"/>
              <w:rPr>
                <w:sz w:val="20"/>
                <w:szCs w:val="20"/>
                <w:color w:val="auto"/>
              </w:rPr>
            </w:pPr>
            <w:r>
              <w:rPr>
                <w:rFonts w:ascii="Arial" w:cs="Arial" w:eastAsia="Arial" w:hAnsi="Arial"/>
                <w:sz w:val="18"/>
                <w:szCs w:val="18"/>
                <w:color w:val="auto"/>
                <w:w w:val="90"/>
              </w:rPr>
              <w:t>The adoption of this standard</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Combinations (Topic 805) -</w:t>
            </w:r>
          </w:p>
        </w:tc>
        <w:tc>
          <w:tcPr>
            <w:tcW w:w="128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recognize and measure contract assets and</w:t>
            </w:r>
          </w:p>
        </w:tc>
        <w:tc>
          <w:tcPr>
            <w:tcW w:w="124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138"/>
              <w:spacing w:after="0" w:line="202" w:lineRule="exact"/>
              <w:rPr>
                <w:sz w:val="20"/>
                <w:szCs w:val="20"/>
                <w:color w:val="auto"/>
              </w:rPr>
            </w:pPr>
            <w:r>
              <w:rPr>
                <w:rFonts w:ascii="Arial" w:cs="Arial" w:eastAsia="Arial" w:hAnsi="Arial"/>
                <w:sz w:val="18"/>
                <w:szCs w:val="18"/>
                <w:color w:val="auto"/>
                <w:w w:val="90"/>
              </w:rPr>
              <w:t>may have a material impact on</w:t>
            </w:r>
          </w:p>
        </w:tc>
        <w:tc>
          <w:tcPr>
            <w:tcW w:w="0" w:type="dxa"/>
            <w:vAlign w:val="bottom"/>
          </w:tcPr>
          <w:p>
            <w:pPr>
              <w:spacing w:after="0"/>
              <w:rPr>
                <w:sz w:val="1"/>
                <w:szCs w:val="1"/>
                <w:color w:val="auto"/>
              </w:rPr>
            </w:pPr>
          </w:p>
        </w:tc>
      </w:tr>
      <w:tr>
        <w:trPr>
          <w:trHeight w:val="135"/>
        </w:trPr>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Accounting for Contract Assets</w:t>
            </w:r>
          </w:p>
        </w:tc>
        <w:tc>
          <w:tcPr>
            <w:tcW w:w="12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5" w:lineRule="exact"/>
              <w:rPr>
                <w:sz w:val="20"/>
                <w:szCs w:val="20"/>
                <w:color w:val="auto"/>
              </w:rPr>
            </w:pPr>
            <w:r>
              <w:rPr>
                <w:rFonts w:ascii="Arial" w:cs="Arial" w:eastAsia="Arial" w:hAnsi="Arial"/>
                <w:sz w:val="15"/>
                <w:szCs w:val="15"/>
                <w:color w:val="auto"/>
              </w:rPr>
              <w:t>contract liabilities acquired in a business</w:t>
            </w:r>
          </w:p>
        </w:tc>
        <w:tc>
          <w:tcPr>
            <w:tcW w:w="1240" w:type="dxa"/>
            <w:vAlign w:val="bottom"/>
            <w:shd w:val="clear" w:color="auto" w:fill="CCEEFF"/>
          </w:tcPr>
          <w:p>
            <w:pPr>
              <w:spacing w:after="0"/>
              <w:rPr>
                <w:sz w:val="11"/>
                <w:szCs w:val="11"/>
                <w:color w:val="auto"/>
              </w:rPr>
            </w:pPr>
          </w:p>
        </w:tc>
        <w:tc>
          <w:tcPr>
            <w:tcW w:w="2640" w:type="dxa"/>
            <w:vAlign w:val="bottom"/>
            <w:shd w:val="clear" w:color="auto" w:fill="CCEEFF"/>
          </w:tcPr>
          <w:p>
            <w:pPr>
              <w:jc w:val="center"/>
              <w:ind w:left="138"/>
              <w:spacing w:after="0" w:line="135" w:lineRule="exact"/>
              <w:rPr>
                <w:sz w:val="20"/>
                <w:szCs w:val="20"/>
                <w:color w:val="auto"/>
              </w:rPr>
            </w:pPr>
            <w:r>
              <w:rPr>
                <w:rFonts w:ascii="Arial" w:cs="Arial" w:eastAsia="Arial" w:hAnsi="Arial"/>
                <w:sz w:val="15"/>
                <w:szCs w:val="15"/>
                <w:color w:val="auto"/>
              </w:rPr>
              <w:t>the purchase accounting for</w:t>
            </w:r>
          </w:p>
        </w:tc>
        <w:tc>
          <w:tcPr>
            <w:tcW w:w="0" w:type="dxa"/>
            <w:vAlign w:val="bottom"/>
          </w:tcPr>
          <w:p>
            <w:pPr>
              <w:spacing w:after="0"/>
              <w:rPr>
                <w:sz w:val="1"/>
                <w:szCs w:val="1"/>
                <w:color w:val="auto"/>
              </w:rPr>
            </w:pPr>
          </w:p>
        </w:tc>
      </w:tr>
      <w:tr>
        <w:trPr>
          <w:trHeight w:val="94"/>
        </w:trPr>
        <w:tc>
          <w:tcPr>
            <w:tcW w:w="2500" w:type="dxa"/>
            <w:vAlign w:val="bottom"/>
            <w:vMerge w:val="continue"/>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358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combination in accordance with Topic 606,</w:t>
            </w:r>
          </w:p>
        </w:tc>
        <w:tc>
          <w:tcPr>
            <w:tcW w:w="1240" w:type="dxa"/>
            <w:vAlign w:val="bottom"/>
            <w:shd w:val="clear" w:color="auto" w:fill="CCEEFF"/>
          </w:tcPr>
          <w:p>
            <w:pPr>
              <w:spacing w:after="0"/>
              <w:rPr>
                <w:sz w:val="8"/>
                <w:szCs w:val="8"/>
                <w:color w:val="auto"/>
              </w:rPr>
            </w:pPr>
          </w:p>
        </w:tc>
        <w:tc>
          <w:tcPr>
            <w:tcW w:w="2640" w:type="dxa"/>
            <w:vAlign w:val="bottom"/>
            <w:vMerge w:val="restart"/>
            <w:shd w:val="clear" w:color="auto" w:fill="CCEEFF"/>
          </w:tcPr>
          <w:p>
            <w:pPr>
              <w:jc w:val="center"/>
              <w:ind w:left="138"/>
              <w:spacing w:after="0" w:line="176" w:lineRule="exact"/>
              <w:rPr>
                <w:sz w:val="20"/>
                <w:szCs w:val="20"/>
                <w:color w:val="auto"/>
              </w:rPr>
            </w:pPr>
            <w:r>
              <w:rPr>
                <w:rFonts w:ascii="Arial" w:cs="Arial" w:eastAsia="Arial" w:hAnsi="Arial"/>
                <w:sz w:val="18"/>
                <w:szCs w:val="18"/>
                <w:color w:val="auto"/>
                <w:w w:val="88"/>
              </w:rPr>
              <w:t>business combinations</w:t>
            </w:r>
          </w:p>
        </w:tc>
        <w:tc>
          <w:tcPr>
            <w:tcW w:w="0" w:type="dxa"/>
            <w:vAlign w:val="bottom"/>
          </w:tcPr>
          <w:p>
            <w:pPr>
              <w:spacing w:after="0"/>
              <w:rPr>
                <w:sz w:val="1"/>
                <w:szCs w:val="1"/>
                <w:color w:val="auto"/>
              </w:rPr>
            </w:pPr>
          </w:p>
        </w:tc>
      </w:tr>
      <w:tr>
        <w:trPr>
          <w:trHeight w:val="82"/>
        </w:trPr>
        <w:tc>
          <w:tcPr>
            <w:tcW w:w="2500" w:type="dxa"/>
            <w:vAlign w:val="bottom"/>
            <w:vMerge w:val="restart"/>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and Contract Liabilities from</w:t>
            </w:r>
          </w:p>
        </w:tc>
        <w:tc>
          <w:tcPr>
            <w:tcW w:w="1280" w:type="dxa"/>
            <w:vAlign w:val="bottom"/>
            <w:shd w:val="clear" w:color="auto" w:fill="CCEEFF"/>
          </w:tcPr>
          <w:p>
            <w:pPr>
              <w:spacing w:after="0"/>
              <w:rPr>
                <w:sz w:val="7"/>
                <w:szCs w:val="7"/>
                <w:color w:val="auto"/>
              </w:rPr>
            </w:pPr>
          </w:p>
        </w:tc>
        <w:tc>
          <w:tcPr>
            <w:tcW w:w="358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6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500" w:type="dxa"/>
            <w:vAlign w:val="bottom"/>
            <w:vMerge w:val="continue"/>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358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effective for all business combinations in the</w:t>
            </w:r>
          </w:p>
        </w:tc>
        <w:tc>
          <w:tcPr>
            <w:tcW w:w="1240" w:type="dxa"/>
            <w:vAlign w:val="bottom"/>
            <w:shd w:val="clear" w:color="auto" w:fill="CCEEFF"/>
          </w:tcPr>
          <w:p>
            <w:pPr>
              <w:spacing w:after="0"/>
              <w:rPr>
                <w:sz w:val="10"/>
                <w:szCs w:val="10"/>
                <w:color w:val="auto"/>
              </w:rPr>
            </w:pPr>
          </w:p>
        </w:tc>
        <w:tc>
          <w:tcPr>
            <w:tcW w:w="2640" w:type="dxa"/>
            <w:vAlign w:val="bottom"/>
            <w:vMerge w:val="restart"/>
            <w:shd w:val="clear" w:color="auto" w:fill="CCEEFF"/>
          </w:tcPr>
          <w:p>
            <w:pPr>
              <w:jc w:val="center"/>
              <w:ind w:left="158"/>
              <w:spacing w:after="0" w:line="176" w:lineRule="exact"/>
              <w:rPr>
                <w:sz w:val="20"/>
                <w:szCs w:val="20"/>
                <w:color w:val="auto"/>
              </w:rPr>
            </w:pPr>
            <w:r>
              <w:rPr>
                <w:rFonts w:ascii="Arial" w:cs="Arial" w:eastAsia="Arial" w:hAnsi="Arial"/>
                <w:sz w:val="18"/>
                <w:szCs w:val="18"/>
                <w:color w:val="auto"/>
                <w:w w:val="90"/>
              </w:rPr>
              <w:t>depending on the specific</w:t>
            </w:r>
          </w:p>
        </w:tc>
        <w:tc>
          <w:tcPr>
            <w:tcW w:w="0" w:type="dxa"/>
            <w:vAlign w:val="bottom"/>
          </w:tcPr>
          <w:p>
            <w:pPr>
              <w:spacing w:after="0"/>
              <w:rPr>
                <w:sz w:val="1"/>
                <w:szCs w:val="1"/>
                <w:color w:val="auto"/>
              </w:rPr>
            </w:pPr>
          </w:p>
        </w:tc>
      </w:tr>
      <w:tr>
        <w:trPr>
          <w:trHeight w:val="55"/>
        </w:trPr>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Contracts with Customers</w:t>
            </w:r>
          </w:p>
        </w:tc>
        <w:tc>
          <w:tcPr>
            <w:tcW w:w="1280" w:type="dxa"/>
            <w:vAlign w:val="bottom"/>
            <w:shd w:val="clear" w:color="auto" w:fill="CCEEFF"/>
          </w:tcPr>
          <w:p>
            <w:pPr>
              <w:spacing w:after="0"/>
              <w:rPr>
                <w:sz w:val="4"/>
                <w:szCs w:val="4"/>
                <w:color w:val="auto"/>
              </w:rPr>
            </w:pPr>
          </w:p>
        </w:tc>
        <w:tc>
          <w:tcPr>
            <w:tcW w:w="3580" w:type="dxa"/>
            <w:vAlign w:val="bottom"/>
            <w:vMerge w:val="continue"/>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6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500" w:type="dxa"/>
            <w:vAlign w:val="bottom"/>
            <w:vMerge w:val="continue"/>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year of adoption and thereafter.</w:t>
            </w:r>
          </w:p>
        </w:tc>
        <w:tc>
          <w:tcPr>
            <w:tcW w:w="1240" w:type="dxa"/>
            <w:vAlign w:val="bottom"/>
            <w:shd w:val="clear" w:color="auto" w:fill="CCEEFF"/>
          </w:tcPr>
          <w:p>
            <w:pPr>
              <w:spacing w:after="0"/>
              <w:rPr>
                <w:sz w:val="15"/>
                <w:szCs w:val="15"/>
                <w:color w:val="auto"/>
              </w:rPr>
            </w:pPr>
          </w:p>
        </w:tc>
        <w:tc>
          <w:tcPr>
            <w:tcW w:w="2640" w:type="dxa"/>
            <w:vAlign w:val="bottom"/>
            <w:shd w:val="clear" w:color="auto" w:fill="CCEEFF"/>
          </w:tcPr>
          <w:p>
            <w:pPr>
              <w:jc w:val="center"/>
              <w:ind w:left="138"/>
              <w:spacing w:after="0" w:line="176" w:lineRule="exact"/>
              <w:rPr>
                <w:sz w:val="20"/>
                <w:szCs w:val="20"/>
                <w:color w:val="auto"/>
              </w:rPr>
            </w:pPr>
            <w:r>
              <w:rPr>
                <w:rFonts w:ascii="Arial" w:cs="Arial" w:eastAsia="Arial" w:hAnsi="Arial"/>
                <w:sz w:val="18"/>
                <w:szCs w:val="18"/>
                <w:color w:val="auto"/>
                <w:w w:val="88"/>
              </w:rPr>
              <w:t>amount of contract assets and</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40" w:type="dxa"/>
            <w:vAlign w:val="bottom"/>
            <w:shd w:val="clear" w:color="auto" w:fill="CCEEFF"/>
          </w:tcPr>
          <w:p>
            <w:pPr>
              <w:jc w:val="center"/>
              <w:ind w:left="138"/>
              <w:spacing w:after="0"/>
              <w:rPr>
                <w:sz w:val="20"/>
                <w:szCs w:val="20"/>
                <w:color w:val="auto"/>
              </w:rPr>
            </w:pPr>
            <w:r>
              <w:rPr>
                <w:rFonts w:ascii="Arial" w:cs="Arial" w:eastAsia="Arial" w:hAnsi="Arial"/>
                <w:sz w:val="18"/>
                <w:szCs w:val="18"/>
                <w:color w:val="auto"/>
                <w:w w:val="92"/>
              </w:rPr>
              <w:t>liabilities being acquired.</w:t>
            </w:r>
          </w:p>
        </w:tc>
        <w:tc>
          <w:tcPr>
            <w:tcW w:w="0" w:type="dxa"/>
            <w:vAlign w:val="bottom"/>
          </w:tcPr>
          <w:p>
            <w:pPr>
              <w:spacing w:after="0"/>
              <w:rPr>
                <w:sz w:val="1"/>
                <w:szCs w:val="1"/>
                <w:color w:val="auto"/>
              </w:rPr>
            </w:pPr>
          </w:p>
        </w:tc>
      </w:tr>
      <w:tr>
        <w:trPr>
          <w:trHeight w:val="788"/>
        </w:trPr>
        <w:tc>
          <w:tcPr>
            <w:tcW w:w="2500" w:type="dxa"/>
            <w:vAlign w:val="bottom"/>
          </w:tcPr>
          <w:p>
            <w:pPr>
              <w:ind w:left="540"/>
              <w:spacing w:after="0"/>
              <w:rPr>
                <w:sz w:val="20"/>
                <w:szCs w:val="20"/>
                <w:color w:val="auto"/>
              </w:rPr>
            </w:pPr>
            <w:r>
              <w:rPr>
                <w:rFonts w:ascii="Arial" w:cs="Arial" w:eastAsia="Arial" w:hAnsi="Arial"/>
                <w:sz w:val="14"/>
                <w:szCs w:val="14"/>
                <w:b w:val="1"/>
                <w:bCs w:val="1"/>
                <w:color w:val="auto"/>
              </w:rPr>
              <w:t>SPS COMMERCE, INC.</w:t>
            </w:r>
          </w:p>
        </w:tc>
        <w:tc>
          <w:tcPr>
            <w:tcW w:w="1280" w:type="dxa"/>
            <w:vAlign w:val="bottom"/>
          </w:tcPr>
          <w:p>
            <w:pPr>
              <w:spacing w:after="0"/>
              <w:rPr>
                <w:sz w:val="24"/>
                <w:szCs w:val="24"/>
                <w:color w:val="auto"/>
              </w:rPr>
            </w:pPr>
          </w:p>
        </w:tc>
        <w:tc>
          <w:tcPr>
            <w:tcW w:w="3580" w:type="dxa"/>
            <w:vAlign w:val="bottom"/>
          </w:tcPr>
          <w:p>
            <w:pPr>
              <w:jc w:val="right"/>
              <w:ind w:right="1737"/>
              <w:spacing w:after="0"/>
              <w:rPr>
                <w:sz w:val="20"/>
                <w:szCs w:val="20"/>
                <w:color w:val="auto"/>
              </w:rPr>
            </w:pPr>
            <w:r>
              <w:rPr>
                <w:rFonts w:ascii="Arial" w:cs="Arial" w:eastAsia="Arial" w:hAnsi="Arial"/>
                <w:sz w:val="14"/>
                <w:szCs w:val="14"/>
                <w:color w:val="auto"/>
              </w:rPr>
              <w:t>7</w:t>
            </w:r>
          </w:p>
        </w:tc>
        <w:tc>
          <w:tcPr>
            <w:tcW w:w="12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1"/>
                <w:szCs w:val="11"/>
                <w:b w:val="1"/>
                <w:bCs w:val="1"/>
                <w:color w:val="auto"/>
                <w:w w:val="89"/>
              </w:rPr>
              <w:t>Form 10-Q for the Quarterly Period ended June 30, 2022</w:t>
            </w:r>
          </w:p>
        </w:tc>
        <w:tc>
          <w:tcPr>
            <w:tcW w:w="0" w:type="dxa"/>
            <w:vAlign w:val="bottom"/>
          </w:tcPr>
          <w:p>
            <w:pPr>
              <w:spacing w:after="0"/>
              <w:rPr>
                <w:sz w:val="1"/>
                <w:szCs w:val="1"/>
                <w:color w:val="auto"/>
              </w:rPr>
            </w:pPr>
          </w:p>
        </w:tc>
      </w:tr>
      <w:tr>
        <w:trPr>
          <w:trHeight w:val="231"/>
        </w:trPr>
        <w:tc>
          <w:tcPr>
            <w:tcW w:w="250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35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26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-522605</wp:posOffset>
            </wp:positionV>
            <wp:extent cx="32575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B – Revenue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2021</w:t>
            </w:r>
          </w:p>
        </w:tc>
      </w:tr>
      <w:tr>
        <w:trPr>
          <w:trHeight w:val="211"/>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Fulfillment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87,887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75,228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172,618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146,632</w:t>
            </w: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Analytics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w:t>
            </w:r>
          </w:p>
        </w:tc>
      </w:tr>
      <w:tr>
        <w:trPr>
          <w:trHeight w:val="229"/>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169,741</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One-time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109,178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expect to collect, in exchange for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generally are either in advance or within 30 days of the service being performed.</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Given that the recurring revenue contracts are for one year or less, we have applied the optional exemption to not disclose information about the remaining performance obligations for recurring revenue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One-time revenues consist of set-up fees and miscellaneous fees from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1F282C"/>
        </w:rPr>
        <w:t>Set-up revenues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212529"/>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12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w:t>
      </w:r>
    </w:p>
    <w:p>
      <w:pPr>
        <w:spacing w:after="0"/>
        <w:rPr>
          <w:sz w:val="20"/>
          <w:szCs w:val="20"/>
          <w:color w:val="auto"/>
        </w:rPr>
      </w:pPr>
      <w:r>
        <w:rPr>
          <w:rFonts w:ascii="Arial" w:cs="Arial" w:eastAsia="Arial" w:hAnsi="Arial"/>
          <w:sz w:val="17"/>
          <w:szCs w:val="17"/>
          <w:color w:val="auto"/>
        </w:rPr>
        <w:t>costs are deferred and recognized ratably over two years, which is the estimated period for which a material right is present for our customers</w:t>
      </w:r>
      <w:r>
        <w:rPr>
          <w:rFonts w:ascii="Arial" w:cs="Arial" w:eastAsia="Arial" w:hAnsi="Arial"/>
          <w:sz w:val="20"/>
          <w:szCs w:val="20"/>
          <w:color w:val="008080"/>
        </w:rPr>
        <w:t>.</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2140" w:type="dxa"/>
            <w:vAlign w:val="bottom"/>
          </w:tcPr>
          <w:p>
            <w:pPr>
              <w:jc w:val="center"/>
              <w:ind w:right="848"/>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5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Pr>
          <w:p>
            <w:pPr>
              <w:spacing w:after="0"/>
              <w:rPr>
                <w:sz w:val="16"/>
                <w:szCs w:val="16"/>
                <w:color w:val="auto"/>
              </w:rPr>
            </w:pPr>
          </w:p>
        </w:tc>
        <w:tc>
          <w:tcPr>
            <w:tcW w:w="214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June 30,</w:t>
            </w:r>
          </w:p>
        </w:tc>
      </w:tr>
      <w:tr>
        <w:trPr>
          <w:trHeight w:val="183"/>
        </w:trPr>
        <w:tc>
          <w:tcPr>
            <w:tcW w:w="5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9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1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Invoiced set-up fees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set-up fees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SPS COMMERCE, INC.</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6"/>
        </w:trPr>
        <w:tc>
          <w:tcPr>
            <w:tcW w:w="5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894"/>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spacing w:after="0"/>
              <w:rPr>
                <w:sz w:val="20"/>
                <w:szCs w:val="20"/>
                <w:color w:val="auto"/>
              </w:rPr>
            </w:pPr>
            <w:r>
              <w:rPr>
                <w:rFonts w:ascii="Arial" w:cs="Arial" w:eastAsia="Arial" w:hAnsi="Arial"/>
                <w:sz w:val="11"/>
                <w:szCs w:val="11"/>
                <w:b w:val="1"/>
                <w:bCs w:val="1"/>
                <w:color w:val="auto"/>
                <w:w w:val="94"/>
              </w:rPr>
              <w:t>Form 10-Q for the Quarterly Period ended June 30, 2022</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325755" cy="299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entire balance of deferred set-up fees will be recognized within two years. Those that will be recognized within the next year are classified as current, whereas the remainder are classified as non-current.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one-time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Miscellaneous one-time fees consist of professional services and testing and certification.</w:t>
      </w:r>
    </w:p>
    <w:p>
      <w:pPr>
        <w:spacing w:after="0" w:line="22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Deferred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deferred costs activity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78"/>
              <w:spacing w:after="0"/>
              <w:rPr>
                <w:sz w:val="20"/>
                <w:szCs w:val="20"/>
                <w:color w:val="auto"/>
              </w:rPr>
            </w:pPr>
            <w:r>
              <w:rPr>
                <w:rFonts w:ascii="Arial" w:cs="Arial" w:eastAsia="Arial" w:hAnsi="Arial"/>
                <w:sz w:val="18"/>
                <w:szCs w:val="18"/>
                <w:color w:val="auto"/>
                <w:w w:val="90"/>
              </w:rPr>
              <w:t>62,610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87"/>
              </w:rPr>
              <w:t>51,540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18"/>
              <w:spacing w:after="0"/>
              <w:rPr>
                <w:sz w:val="20"/>
                <w:szCs w:val="20"/>
                <w:color w:val="auto"/>
              </w:rPr>
            </w:pPr>
            <w:r>
              <w:rPr>
                <w:rFonts w:ascii="Arial" w:cs="Arial" w:eastAsia="Arial" w:hAnsi="Arial"/>
                <w:sz w:val="18"/>
                <w:szCs w:val="18"/>
                <w:color w:val="auto"/>
                <w:w w:val="87"/>
              </w:rPr>
              <w:t>59,720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7"/>
              </w:rPr>
              <w:t>50,595</w:t>
            </w: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Incurred deferred costs</w:t>
            </w:r>
          </w:p>
        </w:tc>
        <w:tc>
          <w:tcPr>
            <w:tcW w:w="360" w:type="dxa"/>
            <w:vAlign w:val="bottom"/>
          </w:tcPr>
          <w:p>
            <w:pPr>
              <w:spacing w:after="0"/>
              <w:rPr>
                <w:sz w:val="19"/>
                <w:szCs w:val="19"/>
                <w:color w:val="auto"/>
              </w:rPr>
            </w:pPr>
          </w:p>
        </w:tc>
        <w:tc>
          <w:tcPr>
            <w:tcW w:w="1120" w:type="dxa"/>
            <w:vAlign w:val="bottom"/>
          </w:tcPr>
          <w:p>
            <w:pPr>
              <w:jc w:val="center"/>
              <w:ind w:left="378"/>
              <w:spacing w:after="0"/>
              <w:rPr>
                <w:sz w:val="20"/>
                <w:szCs w:val="20"/>
                <w:color w:val="auto"/>
              </w:rPr>
            </w:pPr>
            <w:r>
              <w:rPr>
                <w:rFonts w:ascii="Arial" w:cs="Arial" w:eastAsia="Arial" w:hAnsi="Arial"/>
                <w:sz w:val="18"/>
                <w:szCs w:val="18"/>
                <w:color w:val="auto"/>
                <w:w w:val="90"/>
              </w:rPr>
              <w:t>17,637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center"/>
              <w:ind w:left="354"/>
              <w:spacing w:after="0"/>
              <w:rPr>
                <w:sz w:val="20"/>
                <w:szCs w:val="20"/>
                <w:color w:val="auto"/>
              </w:rPr>
            </w:pPr>
            <w:r>
              <w:rPr>
                <w:rFonts w:ascii="Arial" w:cs="Arial" w:eastAsia="Arial" w:hAnsi="Arial"/>
                <w:sz w:val="18"/>
                <w:szCs w:val="18"/>
                <w:color w:val="auto"/>
                <w:w w:val="87"/>
              </w:rPr>
              <w:t>16,036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418"/>
              <w:spacing w:after="0"/>
              <w:rPr>
                <w:sz w:val="20"/>
                <w:szCs w:val="20"/>
                <w:color w:val="auto"/>
              </w:rPr>
            </w:pPr>
            <w:r>
              <w:rPr>
                <w:rFonts w:ascii="Arial" w:cs="Arial" w:eastAsia="Arial" w:hAnsi="Arial"/>
                <w:sz w:val="18"/>
                <w:szCs w:val="18"/>
                <w:color w:val="auto"/>
                <w:w w:val="87"/>
              </w:rPr>
              <w:t>35,418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center"/>
              <w:ind w:left="194"/>
              <w:spacing w:after="0"/>
              <w:rPr>
                <w:sz w:val="20"/>
                <w:szCs w:val="20"/>
                <w:color w:val="auto"/>
              </w:rPr>
            </w:pPr>
            <w:r>
              <w:rPr>
                <w:rFonts w:ascii="Arial" w:cs="Arial" w:eastAsia="Arial" w:hAnsi="Arial"/>
                <w:sz w:val="18"/>
                <w:szCs w:val="18"/>
                <w:color w:val="auto"/>
                <w:w w:val="87"/>
              </w:rPr>
              <w:t>29,463</w:t>
            </w: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Amortized deferred costs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8"/>
                <w:szCs w:val="18"/>
                <w:color w:val="auto"/>
                <w:w w:val="89"/>
              </w:rPr>
              <w:t>(15,582)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2"/>
              </w:rPr>
              <w:t>(13,735)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398"/>
              <w:spacing w:after="0"/>
              <w:rPr>
                <w:sz w:val="20"/>
                <w:szCs w:val="20"/>
                <w:color w:val="auto"/>
              </w:rPr>
            </w:pPr>
            <w:r>
              <w:rPr>
                <w:rFonts w:ascii="Arial" w:cs="Arial" w:eastAsia="Arial" w:hAnsi="Arial"/>
                <w:sz w:val="18"/>
                <w:szCs w:val="18"/>
                <w:color w:val="auto"/>
                <w:w w:val="92"/>
              </w:rPr>
              <w:t>(30,473)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2"/>
              </w:rPr>
              <w:t>(26,217)</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378"/>
              <w:spacing w:after="0"/>
              <w:rPr>
                <w:sz w:val="20"/>
                <w:szCs w:val="20"/>
                <w:color w:val="auto"/>
              </w:rPr>
            </w:pPr>
            <w:r>
              <w:rPr>
                <w:rFonts w:ascii="Arial" w:cs="Arial" w:eastAsia="Arial" w:hAnsi="Arial"/>
                <w:sz w:val="18"/>
                <w:szCs w:val="18"/>
                <w:color w:val="auto"/>
                <w:w w:val="90"/>
              </w:rPr>
              <w:t>64,665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87"/>
              </w:rPr>
              <w:t>53,841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18"/>
              <w:spacing w:after="0"/>
              <w:rPr>
                <w:sz w:val="20"/>
                <w:szCs w:val="20"/>
                <w:color w:val="auto"/>
              </w:rPr>
            </w:pPr>
            <w:r>
              <w:rPr>
                <w:rFonts w:ascii="Arial" w:cs="Arial" w:eastAsia="Arial" w:hAnsi="Arial"/>
                <w:sz w:val="18"/>
                <w:szCs w:val="18"/>
                <w:color w:val="auto"/>
                <w:w w:val="87"/>
              </w:rPr>
              <w:t>64,665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87"/>
              </w:rPr>
              <w:t>53,841</w:t>
            </w:r>
          </w:p>
        </w:tc>
      </w:tr>
      <w:tr>
        <w:trPr>
          <w:trHeight w:val="21"/>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Cash Equivalents and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and investments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2022</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2021</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3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Unrealized Losses,</w:t>
            </w:r>
          </w:p>
        </w:tc>
        <w:tc>
          <w:tcPr>
            <w:tcW w:w="20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3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1"/>
                <w:szCs w:val="11"/>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(Losses), net</w:t>
            </w: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138,729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center"/>
              <w:ind w:left="555"/>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138,729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138,205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138,205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Certificates of deposit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555"/>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93"/>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center"/>
              <w:ind w:left="555"/>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3"/>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60" w:val="left"/>
          <w:tab w:leader="none" w:pos="8580" w:val="left"/>
        </w:tabs>
        <w:rPr>
          <w:sz w:val="20"/>
          <w:szCs w:val="20"/>
          <w:color w:val="auto"/>
        </w:rPr>
      </w:pPr>
      <w:r>
        <w:rPr>
          <w:sz w:val="1"/>
          <w:szCs w:val="1"/>
          <w:color w:val="auto"/>
        </w:rPr>
        <w:drawing>
          <wp:inline distT="0" distB="0" distL="0" distR="0">
            <wp:extent cx="325755" cy="3003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fair value hierarchy of our assets and liabilities measured at a fair value on a recurring basis: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8"/>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11"/>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138,205</w:t>
            </w: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7,268</w:t>
            </w:r>
          </w:p>
        </w:tc>
      </w:tr>
      <w:tr>
        <w:trPr>
          <w:trHeight w:val="229"/>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39,609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34,991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34,991</w:t>
            </w: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r>
      <w:tr>
        <w:trPr>
          <w:trHeight w:val="223"/>
        </w:trPr>
        <w:tc>
          <w:tcPr>
            <w:tcW w:w="2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39,609</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185,242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145,473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42,490</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187,963</w:t>
            </w:r>
          </w:p>
        </w:tc>
      </w:tr>
      <w:tr>
        <w:trPr>
          <w:trHeight w:val="21"/>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i w:val="1"/>
          <w:iCs w:val="1"/>
          <w:color w:val="auto"/>
        </w:rPr>
        <w:t>See Note E to the consolidated financial statements included in our Annual Report on Form 10-K for the year ended December 31, 2021, as filed with the SEC, for additional information regarding the three levels of inputs that may be used to measure fair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Allowance for Credit Losses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gridSpan w:val="5"/>
          </w:tcPr>
          <w:p>
            <w:pPr>
              <w:jc w:val="right"/>
              <w:ind w:right="873"/>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6"/>
        </w:trPr>
        <w:tc>
          <w:tcPr>
            <w:tcW w:w="7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4"/>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2,634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(2,429)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4,454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00AAE5"/>
              </w:rPr>
              <w:t>NOTE F – Property and Equipment, Net</w:t>
            </w: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0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124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88"/>
        </w:trPr>
        <w:tc>
          <w:tcPr>
            <w:tcW w:w="704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Internally developed software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0" w:type="dxa"/>
            <w:vAlign w:val="bottom"/>
          </w:tcPr>
          <w:p>
            <w:pPr>
              <w:spacing w:after="0"/>
              <w:rPr>
                <w:sz w:val="1"/>
                <w:szCs w:val="1"/>
                <w:color w:val="auto"/>
              </w:rPr>
            </w:pPr>
          </w:p>
        </w:tc>
      </w:tr>
      <w:tr>
        <w:trPr>
          <w:trHeight w:val="230"/>
        </w:trPr>
        <w:tc>
          <w:tcPr>
            <w:tcW w:w="7040" w:type="dxa"/>
            <w:vAlign w:val="bottom"/>
          </w:tcPr>
          <w:p>
            <w:pPr>
              <w:ind w:left="680"/>
              <w:spacing w:after="0"/>
              <w:rPr>
                <w:sz w:val="20"/>
                <w:szCs w:val="20"/>
                <w:color w:val="auto"/>
              </w:rPr>
            </w:pPr>
            <w:r>
              <w:rPr>
                <w:rFonts w:ascii="Arial" w:cs="Arial" w:eastAsia="Arial" w:hAnsi="Arial"/>
                <w:sz w:val="18"/>
                <w:szCs w:val="18"/>
                <w:color w:val="auto"/>
              </w:rPr>
              <w:t>Computer equipment</w:t>
            </w:r>
          </w:p>
        </w:tc>
        <w:tc>
          <w:tcPr>
            <w:tcW w:w="8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31,305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29,329</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Leasehold improvements</w:t>
            </w:r>
          </w:p>
        </w:tc>
        <w:tc>
          <w:tcPr>
            <w:tcW w:w="8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Office equipment and furniture</w:t>
            </w: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10,929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Property and equipment, cost</w:t>
            </w:r>
          </w:p>
        </w:tc>
        <w:tc>
          <w:tcPr>
            <w:tcW w:w="8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101,967</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Less: accumulated depreciation and amortization</w:t>
            </w: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(74,114)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(70,066)</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property and equipment, net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299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G – Goodwill and Intangible Assets, Net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goodwill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19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4"/>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134,853</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6"/>
              </w:rPr>
              <w:t>Remeasurement from provisional purchase accounting amount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142,960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135,354</w:t>
            </w:r>
          </w:p>
        </w:tc>
        <w:tc>
          <w:tcPr>
            <w:tcW w:w="0" w:type="dxa"/>
            <w:vAlign w:val="bottom"/>
          </w:tcPr>
          <w:p>
            <w:pPr>
              <w:spacing w:after="0"/>
              <w:rPr>
                <w:sz w:val="1"/>
                <w:szCs w:val="1"/>
                <w:color w:val="auto"/>
              </w:rPr>
            </w:pPr>
          </w:p>
        </w:tc>
      </w:tr>
      <w:tr>
        <w:trPr>
          <w:trHeight w:val="21"/>
        </w:trPr>
        <w:tc>
          <w:tcPr>
            <w:tcW w:w="3500" w:type="dxa"/>
            <w:vAlign w:val="bottom"/>
            <w:vMerge w:val="restart"/>
          </w:tcPr>
          <w:p>
            <w:pPr>
              <w:spacing w:after="0"/>
              <w:rPr>
                <w:sz w:val="20"/>
                <w:szCs w:val="20"/>
                <w:color w:val="auto"/>
              </w:rPr>
            </w:pPr>
            <w:r>
              <w:rPr>
                <w:rFonts w:ascii="Arial" w:cs="Arial" w:eastAsia="Arial" w:hAnsi="Arial"/>
                <w:sz w:val="18"/>
                <w:szCs w:val="18"/>
                <w:b w:val="1"/>
                <w:bCs w:val="1"/>
                <w:i w:val="1"/>
                <w:iCs w:val="1"/>
                <w:color w:val="1F282C"/>
              </w:rPr>
              <w:t>Intangible Assets</w:t>
            </w: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gridSpan w:val="4"/>
          </w:tcPr>
          <w:p>
            <w:pPr>
              <w:ind w:left="660"/>
              <w:spacing w:after="0"/>
              <w:rPr>
                <w:sz w:val="20"/>
                <w:szCs w:val="20"/>
                <w:color w:val="auto"/>
              </w:rPr>
            </w:pPr>
            <w:r>
              <w:rPr>
                <w:rFonts w:ascii="Arial" w:cs="Arial" w:eastAsia="Arial" w:hAnsi="Arial"/>
                <w:sz w:val="18"/>
                <w:szCs w:val="18"/>
                <w:color w:val="auto"/>
              </w:rPr>
              <w:t>Intangible assets, net consisted of the following:</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38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8"/>
        </w:trPr>
        <w:tc>
          <w:tcPr>
            <w:tcW w:w="3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6.0 years</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Acquired technology</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86"/>
              </w:rPr>
              <w:t>6.3 years</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96,469</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(42,821)</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53,597</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6.2 years</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38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8"/>
        </w:trPr>
        <w:tc>
          <w:tcPr>
            <w:tcW w:w="3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6.4 years</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Acquired technology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5"/>
              <w:spacing w:after="0"/>
              <w:rPr>
                <w:sz w:val="20"/>
                <w:szCs w:val="20"/>
                <w:color w:val="auto"/>
              </w:rPr>
            </w:pPr>
            <w:r>
              <w:rPr>
                <w:rFonts w:ascii="Arial" w:cs="Arial" w:eastAsia="Arial" w:hAnsi="Arial"/>
                <w:sz w:val="18"/>
                <w:szCs w:val="18"/>
                <w:color w:val="auto"/>
                <w:w w:val="86"/>
              </w:rPr>
              <w:t>6.8 years</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6.6 years</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80" w:type="dxa"/>
            <w:vAlign w:val="bottom"/>
            <w:gridSpan w:val="10"/>
          </w:tcPr>
          <w:p>
            <w:pPr>
              <w:ind w:left="660"/>
              <w:spacing w:after="0"/>
              <w:rPr>
                <w:sz w:val="20"/>
                <w:szCs w:val="20"/>
                <w:color w:val="auto"/>
              </w:rPr>
            </w:pPr>
            <w:r>
              <w:rPr>
                <w:rFonts w:ascii="Arial" w:cs="Arial" w:eastAsia="Arial" w:hAnsi="Arial"/>
                <w:sz w:val="18"/>
                <w:szCs w:val="18"/>
                <w:color w:val="auto"/>
              </w:rPr>
              <w:t>The estimated future annual amortization expense related to intangible assets is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2140" w:type="dxa"/>
            <w:vAlign w:val="bottom"/>
          </w:tcPr>
          <w:p>
            <w:pPr>
              <w:jc w:val="center"/>
              <w:ind w:right="848"/>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5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Pr>
          <w:p>
            <w:pPr>
              <w:spacing w:after="0"/>
              <w:rPr>
                <w:sz w:val="16"/>
                <w:szCs w:val="16"/>
                <w:color w:val="auto"/>
              </w:rPr>
            </w:pPr>
          </w:p>
        </w:tc>
        <w:tc>
          <w:tcPr>
            <w:tcW w:w="2140" w:type="dxa"/>
            <w:vAlign w:val="bottom"/>
          </w:tcPr>
          <w:p>
            <w:pPr>
              <w:jc w:val="center"/>
              <w:ind w:right="828"/>
              <w:spacing w:after="0"/>
              <w:rPr>
                <w:sz w:val="20"/>
                <w:szCs w:val="20"/>
                <w:color w:val="auto"/>
              </w:rPr>
            </w:pPr>
            <w:r>
              <w:rPr>
                <w:rFonts w:ascii="Arial" w:cs="Arial" w:eastAsia="Arial" w:hAnsi="Arial"/>
                <w:sz w:val="14"/>
                <w:szCs w:val="14"/>
                <w:b w:val="1"/>
                <w:bCs w:val="1"/>
                <w:color w:val="auto"/>
                <w:w w:val="92"/>
              </w:rPr>
              <w:t>June 30,</w:t>
            </w:r>
          </w:p>
        </w:tc>
      </w:tr>
      <w:tr>
        <w:trPr>
          <w:trHeight w:val="183"/>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9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1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840" w:type="dxa"/>
            <w:vAlign w:val="bottom"/>
            <w:gridSpan w:val="2"/>
          </w:tcPr>
          <w:p>
            <w:pPr>
              <w:ind w:left="660"/>
              <w:spacing w:after="0"/>
              <w:rPr>
                <w:sz w:val="20"/>
                <w:szCs w:val="20"/>
                <w:color w:val="auto"/>
              </w:rPr>
            </w:pPr>
            <w:r>
              <w:rPr>
                <w:rFonts w:ascii="Arial" w:cs="Arial" w:eastAsia="Arial" w:hAnsi="Arial"/>
                <w:sz w:val="18"/>
                <w:szCs w:val="18"/>
                <w:color w:val="auto"/>
                <w:w w:val="94"/>
              </w:rPr>
              <w:t>Supplemental cash flow information related to leases was as follows: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7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512"/>
        </w:trPr>
        <w:tc>
          <w:tcPr>
            <w:tcW w:w="6620" w:type="dxa"/>
            <w:vAlign w:val="bottom"/>
            <w:gridSpan w:val="4"/>
          </w:tcPr>
          <w:p>
            <w:pPr>
              <w:ind w:left="660"/>
              <w:spacing w:after="0"/>
              <w:rPr>
                <w:sz w:val="20"/>
                <w:szCs w:val="20"/>
                <w:color w:val="auto"/>
              </w:rPr>
            </w:pPr>
            <w:r>
              <w:rPr>
                <w:rFonts w:ascii="Arial" w:cs="Arial" w:eastAsia="Arial" w:hAnsi="Arial"/>
                <w:sz w:val="18"/>
                <w:szCs w:val="18"/>
                <w:color w:val="auto"/>
                <w:w w:val="89"/>
              </w:rPr>
              <w:t>Supplemental balance sheet information related to operating leases was as follows:</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88"/>
        </w:trPr>
        <w:tc>
          <w:tcPr>
            <w:tcW w:w="50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years</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years</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526"/>
        </w:trPr>
        <w:tc>
          <w:tcPr>
            <w:tcW w:w="7340" w:type="dxa"/>
            <w:vAlign w:val="bottom"/>
            <w:gridSpan w:val="5"/>
          </w:tcPr>
          <w:p>
            <w:pPr>
              <w:ind w:left="660"/>
              <w:spacing w:after="0"/>
              <w:rPr>
                <w:sz w:val="20"/>
                <w:szCs w:val="20"/>
                <w:color w:val="auto"/>
              </w:rPr>
            </w:pPr>
            <w:r>
              <w:rPr>
                <w:rFonts w:ascii="Arial" w:cs="Arial" w:eastAsia="Arial" w:hAnsi="Arial"/>
                <w:sz w:val="18"/>
                <w:szCs w:val="18"/>
                <w:color w:val="auto"/>
                <w:w w:val="94"/>
              </w:rPr>
              <w:t>At June 30, 2022, our future minimum payments under operating leases were as follows: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7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2025</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gross payments</w:t>
            </w: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7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1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have entered into separate noncancelable agreements with computing infrastructure and customer relationship management vendors for services through 2023. At June 30, 2022, the total remaining purchase commitments were $6.0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299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Share Repurchase Programs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212529"/>
        </w:rPr>
        <w:t>Our board of directors has authorized multiple non-concurrent programs to repurchase our common stock. Details of the programs and activity thereunder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Expiration Date</w:t>
            </w: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 Value Authorized</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 Value</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Unused &amp; Expired</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Share Value Available</w:t>
            </w:r>
          </w:p>
        </w:tc>
        <w:tc>
          <w:tcPr>
            <w:tcW w:w="0" w:type="dxa"/>
            <w:vAlign w:val="bottom"/>
          </w:tcPr>
          <w:p>
            <w:pPr>
              <w:spacing w:after="0"/>
              <w:rPr>
                <w:sz w:val="1"/>
                <w:szCs w:val="1"/>
                <w:color w:val="auto"/>
              </w:rPr>
            </w:pPr>
          </w:p>
        </w:tc>
      </w:tr>
      <w:tr>
        <w:trPr>
          <w:trHeight w:val="188"/>
        </w:trPr>
        <w:tc>
          <w:tcPr>
            <w:tcW w:w="14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for Repurchase</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Repurchased</w:t>
            </w:r>
          </w:p>
        </w:tc>
        <w:tc>
          <w:tcPr>
            <w:tcW w:w="1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Share Repurchase Value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Future Repurchase</w:t>
            </w:r>
          </w:p>
        </w:tc>
        <w:tc>
          <w:tcPr>
            <w:tcW w:w="0" w:type="dxa"/>
            <w:vAlign w:val="bottom"/>
          </w:tcPr>
          <w:p>
            <w:pPr>
              <w:spacing w:after="0"/>
              <w:rPr>
                <w:sz w:val="1"/>
                <w:szCs w:val="1"/>
                <w:color w:val="auto"/>
              </w:rPr>
            </w:pPr>
          </w:p>
        </w:tc>
      </w:tr>
      <w:tr>
        <w:trPr>
          <w:trHeight w:val="224"/>
        </w:trPr>
        <w:tc>
          <w:tcPr>
            <w:tcW w:w="1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2019 Program</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460" w:type="dxa"/>
            <w:vAlign w:val="bottom"/>
          </w:tcPr>
          <w:p>
            <w:pPr>
              <w:ind w:left="220"/>
              <w:spacing w:after="0"/>
              <w:rPr>
                <w:sz w:val="20"/>
                <w:szCs w:val="20"/>
                <w:color w:val="auto"/>
              </w:rPr>
            </w:pPr>
            <w:r>
              <w:rPr>
                <w:rFonts w:ascii="Arial" w:cs="Arial" w:eastAsia="Arial" w:hAnsi="Arial"/>
                <w:sz w:val="18"/>
                <w:szCs w:val="18"/>
                <w:color w:val="auto"/>
              </w:rPr>
              <w:t>2021 Program</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November 2021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November 2023</w:t>
            </w:r>
          </w:p>
        </w:tc>
        <w:tc>
          <w:tcPr>
            <w:tcW w:w="200" w:type="dxa"/>
            <w:vAlign w:val="bottom"/>
          </w:tcPr>
          <w:p>
            <w:pPr>
              <w:spacing w:after="0"/>
              <w:rPr>
                <w:sz w:val="20"/>
                <w:szCs w:val="20"/>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N/A</w:t>
            </w:r>
          </w:p>
        </w:tc>
        <w:tc>
          <w:tcPr>
            <w:tcW w:w="380" w:type="dxa"/>
            <w:vAlign w:val="bottom"/>
          </w:tcPr>
          <w:p>
            <w:pPr>
              <w:jc w:val="right"/>
              <w:ind w:right="20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20" w:firstLine="648"/>
        <w:spacing w:after="0" w:line="307" w:lineRule="auto"/>
        <w:rPr>
          <w:sz w:val="20"/>
          <w:szCs w:val="20"/>
          <w:color w:val="auto"/>
        </w:rPr>
      </w:pPr>
      <w:r>
        <w:rPr>
          <w:rFonts w:ascii="Arial" w:cs="Arial" w:eastAsia="Arial" w:hAnsi="Arial"/>
          <w:sz w:val="16"/>
          <w:szCs w:val="16"/>
          <w:color w:val="212529"/>
        </w:rPr>
        <w:t>On July 26, 2022, our board of directors authorized a new share repurchase program ("2022 Program"), effective August 26, 2022, that allows up to $50.0 million of common stock to be repurchased, expiring in July 2024. The 2021 Program will terminate on the effective date of the 2022 Program.</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share repurchase activity by period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86"/>
        </w:trPr>
        <w:tc>
          <w:tcPr>
            <w:tcW w:w="4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84"/>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 cost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Number of shares repurchased</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133,652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255,196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63,515</w:t>
            </w:r>
          </w:p>
        </w:tc>
      </w:tr>
      <w:tr>
        <w:trPr>
          <w:trHeight w:val="270"/>
        </w:trPr>
        <w:tc>
          <w:tcPr>
            <w:tcW w:w="4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Average price per repurchased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118.43</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101.55</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Stock-Based Compensation</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performance share units (“PSUs”), restricted stock awards (“RSAs”), restricted stock units (“RSUs”), and deferred stock units (“DSUs”), to employees, non-employee directors and other consultants who provide services to us. We also provide an employee stock purchase plan (“ESPP”) and 401(k) match to eligible participants.</w:t>
      </w:r>
    </w:p>
    <w:p>
      <w:pPr>
        <w:spacing w:after="0" w:line="7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 xml:space="preserve">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w:t>
      </w:r>
      <w:r>
        <w:rPr>
          <w:rFonts w:ascii="Arial" w:cs="Arial" w:eastAsia="Arial" w:hAnsi="Arial"/>
          <w:sz w:val="17"/>
          <w:szCs w:val="17"/>
          <w:color w:val="212529"/>
        </w:rPr>
        <w:t>June 30, 2022</w:t>
      </w:r>
      <w:r>
        <w:rPr>
          <w:rFonts w:ascii="Arial" w:cs="Arial" w:eastAsia="Arial" w:hAnsi="Arial"/>
          <w:sz w:val="17"/>
          <w:szCs w:val="17"/>
          <w:color w:val="auto"/>
        </w:rPr>
        <w:t>, there were approximately 13.2 million shares available for grant under approved equity compensation plans.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r>
      <w:tr>
        <w:trPr>
          <w:trHeight w:val="223"/>
        </w:trPr>
        <w:tc>
          <w:tcPr>
            <w:tcW w:w="50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14,424</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by grant type or plan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50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PSUs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4,016</w:t>
            </w:r>
          </w:p>
        </w:tc>
      </w:tr>
      <w:tr>
        <w:trPr>
          <w:trHeight w:val="22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7,536</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RSAs &amp; DSUs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50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401(k) stock match</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r>
      <w:tr>
        <w:trPr>
          <w:trHeight w:val="248"/>
        </w:trPr>
        <w:tc>
          <w:tcPr>
            <w:tcW w:w="50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8,661</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7,499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14,424</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30, 2022, there was $44.0 million of unrecognized stock-based compensation expense under our equity compensation plans, which is expected to be recognized on a primarily straight-line basis over a weighted average period of 2.6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option activity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960" w:type="dxa"/>
            <w:vAlign w:val="bottom"/>
            <w:gridSpan w:val="4"/>
          </w:tcPr>
          <w:p>
            <w:pPr>
              <w:jc w:val="right"/>
              <w:ind w:right="13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7280" w:type="dxa"/>
            <w:vAlign w:val="bottom"/>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7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jc w:val="center"/>
              <w:ind w:right="297"/>
              <w:spacing w:after="0" w:line="13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Options (#)</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jc w:val="center"/>
              <w:ind w:right="337"/>
              <w:spacing w:after="0" w:line="135"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period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29"/>
        </w:trPr>
        <w:tc>
          <w:tcPr>
            <w:tcW w:w="7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47,171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122.36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end of period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703,658</w:t>
            </w:r>
          </w:p>
        </w:tc>
        <w:tc>
          <w:tcPr>
            <w:tcW w:w="4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Of the total outstanding options at June 30, 2022, 0.6 million were exercisable. The outstanding and exercisable options had a weighted average exercise price of $41.52 per share and a weighted average remaining contractual life of 3.0 years.</w:t>
      </w:r>
    </w:p>
    <w:p>
      <w:pPr>
        <w:spacing w:after="0" w:line="170"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The weighted average grant date fair value of options granted during the six months ended June 30, 2022 was $40.78 per share. This was estimated on the date of grant using the Black-Scholes option pricing model with the following weighted-average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61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100" w:type="dxa"/>
            <w:vAlign w:val="bottom"/>
          </w:tcPr>
          <w:p>
            <w:pPr>
              <w:jc w:val="right"/>
              <w:spacing w:after="0"/>
              <w:rPr>
                <w:sz w:val="20"/>
                <w:szCs w:val="20"/>
                <w:color w:val="auto"/>
              </w:rPr>
            </w:pPr>
            <w:r>
              <w:rPr>
                <w:rFonts w:ascii="Arial" w:cs="Arial" w:eastAsia="Arial" w:hAnsi="Arial"/>
                <w:sz w:val="18"/>
                <w:szCs w:val="18"/>
                <w:color w:val="auto"/>
              </w:rPr>
              <w:t>37.4 %</w:t>
            </w:r>
          </w:p>
        </w:tc>
      </w:tr>
      <w:tr>
        <w:trPr>
          <w:trHeight w:val="26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100" w:type="dxa"/>
            <w:vAlign w:val="bottom"/>
          </w:tcPr>
          <w:p>
            <w:pPr>
              <w:jc w:val="right"/>
              <w:spacing w:after="0"/>
              <w:rPr>
                <w:sz w:val="20"/>
                <w:szCs w:val="20"/>
                <w:color w:val="auto"/>
              </w:rPr>
            </w:pPr>
            <w:r>
              <w:rPr>
                <w:rFonts w:ascii="Arial" w:cs="Arial" w:eastAsia="Arial" w:hAnsi="Arial"/>
                <w:sz w:val="18"/>
                <w:szCs w:val="18"/>
                <w:color w:val="auto"/>
              </w:rPr>
              <w:t>2.2 %</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each of the quarters ended March 31, 2022, 2021, 2020, and 2019 we granted PSU awards with a target performance level.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In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273050</wp:posOffset>
            </wp:positionV>
            <wp:extent cx="325755"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PSU awards granted in 2019 vested at the maximum performance level and less than 0.1 million shares of common stock were issued.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our PSUs, RSUs, RSAs, and DSUs in aggregate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60" w:type="dxa"/>
            <w:vAlign w:val="bottom"/>
            <w:gridSpan w:val="4"/>
          </w:tcPr>
          <w:p>
            <w:pPr>
              <w:jc w:val="right"/>
              <w:ind w:right="87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103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30"/>
        </w:trPr>
        <w:tc>
          <w:tcPr>
            <w:tcW w:w="8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8"/>
              <w:spacing w:after="0" w:line="13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148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period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241,902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126.60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end of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firstLine="648"/>
        <w:spacing w:after="0" w:line="246" w:lineRule="auto"/>
        <w:rPr>
          <w:sz w:val="20"/>
          <w:szCs w:val="20"/>
          <w:color w:val="auto"/>
        </w:rPr>
      </w:pPr>
      <w:r>
        <w:rPr>
          <w:rFonts w:ascii="Arial" w:cs="Arial" w:eastAsia="Arial" w:hAnsi="Arial"/>
          <w:sz w:val="18"/>
          <w:szCs w:val="18"/>
          <w:color w:val="auto"/>
        </w:rPr>
        <w:t>The number of PSUs, RSUs, RSAs, and DSUs outstanding at June 30, 2022 included less than 0.1 million units that have vested, but the shares of common stock have not yet been issued, pursuant to the terms of the underlying agreements.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Employee Stock Purchase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ESPP activity was as follows: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46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for shares purchased</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Shares purchased</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33,337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24,528</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35,035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26,149</w:t>
            </w:r>
          </w:p>
        </w:tc>
      </w:tr>
    </w:tbl>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60" w:type="dxa"/>
            <w:vAlign w:val="bottom"/>
          </w:tcPr>
          <w:p>
            <w:pPr>
              <w:ind w:left="660"/>
              <w:spacing w:after="0"/>
              <w:rPr>
                <w:sz w:val="20"/>
                <w:szCs w:val="20"/>
                <w:color w:val="auto"/>
              </w:rPr>
            </w:pPr>
            <w:r>
              <w:rPr>
                <w:rFonts w:ascii="Arial" w:cs="Arial" w:eastAsia="Arial" w:hAnsi="Arial"/>
                <w:sz w:val="18"/>
                <w:szCs w:val="18"/>
                <w:color w:val="auto"/>
              </w:rPr>
              <w:t>A total of 1.8 million shares of common stock are reserved for issuance under the ESPP as of June 30, 2022.</w:t>
            </w:r>
          </w:p>
        </w:tc>
        <w:tc>
          <w:tcPr>
            <w:tcW w:w="680" w:type="dxa"/>
            <w:vAlign w:val="bottom"/>
          </w:tcPr>
          <w:p>
            <w:pPr>
              <w:spacing w:after="0"/>
              <w:rPr>
                <w:sz w:val="20"/>
                <w:szCs w:val="20"/>
                <w:color w:val="auto"/>
              </w:rPr>
            </w:pPr>
          </w:p>
        </w:tc>
      </w:tr>
      <w:tr>
        <w:trPr>
          <w:trHeight w:val="418"/>
        </w:trPr>
        <w:tc>
          <w:tcPr>
            <w:tcW w:w="10560" w:type="dxa"/>
            <w:vAlign w:val="bottom"/>
          </w:tcPr>
          <w:p>
            <w:pPr>
              <w:ind w:left="660"/>
              <w:spacing w:after="0"/>
              <w:rPr>
                <w:sz w:val="20"/>
                <w:szCs w:val="20"/>
                <w:color w:val="auto"/>
              </w:rPr>
            </w:pPr>
            <w:r>
              <w:rPr>
                <w:rFonts w:ascii="Arial" w:cs="Arial" w:eastAsia="Arial" w:hAnsi="Arial"/>
                <w:sz w:val="18"/>
                <w:szCs w:val="18"/>
                <w:color w:val="auto"/>
                <w:w w:val="92"/>
              </w:rPr>
              <w:t>The fair value was estimated based on the market price of our common stock at the beginning of the offering period using the following</w:t>
            </w:r>
          </w:p>
        </w:tc>
        <w:tc>
          <w:tcPr>
            <w:tcW w:w="680" w:type="dxa"/>
            <w:vAlign w:val="bottom"/>
          </w:tcPr>
          <w:p>
            <w:pPr>
              <w:spacing w:after="0"/>
              <w:rPr>
                <w:sz w:val="24"/>
                <w:szCs w:val="24"/>
                <w:color w:val="auto"/>
              </w:rPr>
            </w:pPr>
          </w:p>
        </w:tc>
      </w:tr>
      <w:tr>
        <w:trPr>
          <w:trHeight w:val="230"/>
        </w:trPr>
        <w:tc>
          <w:tcPr>
            <w:tcW w:w="10560" w:type="dxa"/>
            <w:vAlign w:val="bottom"/>
          </w:tcPr>
          <w:p>
            <w:pPr>
              <w:spacing w:after="0"/>
              <w:rPr>
                <w:sz w:val="20"/>
                <w:szCs w:val="20"/>
                <w:color w:val="auto"/>
              </w:rPr>
            </w:pPr>
            <w:r>
              <w:rPr>
                <w:rFonts w:ascii="Arial" w:cs="Arial" w:eastAsia="Arial" w:hAnsi="Arial"/>
                <w:sz w:val="18"/>
                <w:szCs w:val="18"/>
                <w:color w:val="auto"/>
              </w:rPr>
              <w:t>assumptions:</w:t>
            </w:r>
          </w:p>
        </w:tc>
        <w:tc>
          <w:tcPr>
            <w:tcW w:w="680" w:type="dxa"/>
            <w:vAlign w:val="bottom"/>
          </w:tcPr>
          <w:p>
            <w:pPr>
              <w:spacing w:after="0"/>
              <w:rPr>
                <w:sz w:val="20"/>
                <w:szCs w:val="20"/>
                <w:color w:val="auto"/>
              </w:rPr>
            </w:pPr>
          </w:p>
        </w:tc>
      </w:tr>
      <w:tr>
        <w:trPr>
          <w:trHeight w:val="243"/>
        </w:trPr>
        <w:tc>
          <w:tcPr>
            <w:tcW w:w="10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9"/>
        </w:trPr>
        <w:tc>
          <w:tcPr>
            <w:tcW w:w="10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105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37.4 %</w:t>
            </w:r>
          </w:p>
        </w:tc>
      </w:tr>
      <w:tr>
        <w:trPr>
          <w:trHeight w:val="230"/>
        </w:trPr>
        <w:tc>
          <w:tcPr>
            <w:tcW w:w="10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105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0.2 %</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Income Taxes</w:t>
      </w:r>
    </w:p>
    <w:p>
      <w:pPr>
        <w:spacing w:after="0" w:line="12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includes current federal, state, and foreign income tax expense, as well as deferred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325755" cy="29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Other Income and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net included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5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86"/>
        </w:trPr>
        <w:tc>
          <w:tcPr>
            <w:tcW w:w="5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3"/>
              </w:rPr>
              <w:t>220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6"/>
              </w:rPr>
              <w:t>176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w w:val="96"/>
              </w:rPr>
              <w:t>Realized loss from foreign currency on cash and investments held</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(1,327)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center"/>
              <w:ind w:left="36"/>
              <w:spacing w:after="0"/>
              <w:rPr>
                <w:sz w:val="20"/>
                <w:szCs w:val="20"/>
                <w:color w:val="auto"/>
              </w:rPr>
            </w:pPr>
            <w:r>
              <w:rPr>
                <w:rFonts w:ascii="Arial" w:cs="Arial" w:eastAsia="Arial" w:hAnsi="Arial"/>
                <w:sz w:val="18"/>
                <w:szCs w:val="18"/>
                <w:color w:val="auto"/>
                <w:w w:val="90"/>
              </w:rPr>
              <w:t>(859)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center"/>
              <w:ind w:left="374"/>
              <w:spacing w:after="0"/>
              <w:rPr>
                <w:sz w:val="20"/>
                <w:szCs w:val="20"/>
                <w:color w:val="auto"/>
              </w:rPr>
            </w:pPr>
            <w:r>
              <w:rPr>
                <w:rFonts w:ascii="Arial" w:cs="Arial" w:eastAsia="Arial" w:hAnsi="Arial"/>
                <w:sz w:val="18"/>
                <w:szCs w:val="18"/>
                <w:color w:val="auto"/>
                <w:w w:val="95"/>
              </w:rPr>
              <w:t>(638)</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ind w:left="36"/>
              <w:spacing w:after="0"/>
              <w:rPr>
                <w:sz w:val="20"/>
                <w:szCs w:val="20"/>
                <w:color w:val="auto"/>
              </w:rPr>
            </w:pPr>
            <w:r>
              <w:rPr>
                <w:rFonts w:ascii="Arial" w:cs="Arial" w:eastAsia="Arial" w:hAnsi="Arial"/>
                <w:sz w:val="18"/>
                <w:szCs w:val="18"/>
                <w:color w:val="auto"/>
                <w:w w:val="90"/>
              </w:rPr>
              <w:t>(276)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95"/>
              </w:rPr>
              <w:t>(246)</w:t>
            </w: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Total other expense, net</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(1,338)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0"/>
              </w:rPr>
              <w:t>(915)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color w:val="auto"/>
                <w:w w:val="95"/>
              </w:rPr>
              <w:t>(708)</w:t>
            </w:r>
          </w:p>
        </w:tc>
      </w:tr>
      <w:tr>
        <w:trPr>
          <w:trHeight w:val="21"/>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Net Income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and computation of basic and diluted net income per share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1"/>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10,183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23,356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 basic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35,828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Options to purchase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PSUs, RSUs, RSAs, and DSUs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5060" w:type="dxa"/>
            <w:vAlign w:val="bottom"/>
          </w:tcPr>
          <w:p>
            <w:pPr>
              <w:ind w:left="5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number of outstanding potential common shares that were excluded from the calculation of diluted net income per share as they were anti-dilutive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56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9"/>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10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percentage of domestic revenue, which we define as the percentage of consolidated revenue that was attributable to customers based within the U.S.,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gridSpan w:val="3"/>
          </w:tcPr>
          <w:p>
            <w:pPr>
              <w:jc w:val="center"/>
              <w:ind w:left="864"/>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center"/>
              <w:ind w:left="904"/>
              <w:spacing w:after="0"/>
              <w:rPr>
                <w:sz w:val="20"/>
                <w:szCs w:val="20"/>
                <w:color w:val="auto"/>
              </w:rPr>
            </w:pPr>
            <w:r>
              <w:rPr>
                <w:rFonts w:ascii="Arial" w:cs="Arial" w:eastAsia="Arial" w:hAnsi="Arial"/>
                <w:sz w:val="14"/>
                <w:szCs w:val="14"/>
                <w:b w:val="1"/>
                <w:bCs w:val="1"/>
                <w:color w:val="auto"/>
                <w:w w:val="92"/>
              </w:rPr>
              <w:t>Six Months Ended</w:t>
            </w:r>
          </w:p>
        </w:tc>
        <w:tc>
          <w:tcPr>
            <w:tcW w:w="98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228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904"/>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183"/>
        </w:trPr>
        <w:tc>
          <w:tcPr>
            <w:tcW w:w="47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revenue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jurisdiction outside of the U.S. had revenues in excess of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of property and equipment, net located at subsidiary and office locations outside of the U.S.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120" w:type="dxa"/>
            <w:vAlign w:val="bottom"/>
          </w:tcPr>
          <w:p>
            <w:pPr>
              <w:jc w:val="center"/>
              <w:ind w:left="408"/>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8"/>
        </w:trPr>
        <w:tc>
          <w:tcPr>
            <w:tcW w:w="90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property and equipment</w:t>
            </w:r>
          </w:p>
        </w:tc>
        <w:tc>
          <w:tcPr>
            <w:tcW w:w="1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O - Subsequent Events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Effective July 19, 2022, we acquired all of the outstanding equity ownership interests of GCommerce, Inc., a leading EDI provider within the automotive aftermarket industry. Pursuant to the definitive agreement, the purchase price of approximately $45 million was paid in cash at closing, and is subject to post-closing adjustments.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See Note I for information regarding the authorization of a new share repurchase program on July 26, 2022.</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420" w:val="left"/>
          <w:tab w:leader="none" w:pos="8580" w:val="left"/>
        </w:tabs>
        <w:rPr>
          <w:sz w:val="20"/>
          <w:szCs w:val="20"/>
          <w:color w:val="auto"/>
        </w:rPr>
      </w:pPr>
      <w:r>
        <w:rPr>
          <w:sz w:val="1"/>
          <w:szCs w:val="1"/>
          <w:color w:val="auto"/>
        </w:rPr>
        <w:drawing>
          <wp:inline distT="0" distB="0" distL="0" distR="0">
            <wp:extent cx="325755" cy="30035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2021,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we provide enable our customers to increase their supply cycle agility, optimize their inventory levels and sell-through, reduce operational costs and gain increased visibility into customer orders, to help ensure that suppliers, grocers, distributors, and logistics firms can satisfy exacting retailer requirements.</w:t>
      </w:r>
    </w:p>
    <w:p>
      <w:pPr>
        <w:spacing w:after="0" w:line="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Metrics and Non-GAAP Measures</w:t>
      </w:r>
    </w:p>
    <w:p>
      <w:pPr>
        <w:spacing w:after="0" w:line="12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have several key financial terms and metrics, as discussed in our Annual Report on Form 10-K for the year ended December 31, 2021, as filed with the SEC,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14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To supplement our financial statements, we provide investors with Adjusted EBITDA, Adjusted EBITDA Margin, and non-GAAP income per share, all of which are non-GAAP financial measures. We believe that these non-GAAP measures provide useful information to our management, board of directors, and investors regarding certain financial and business trends relating to our financial condition and results of operations. Our management uses these non-GAAP measures to compare our performance to that of prior periods for trend analyses and planning purposes. Adjusted EBITDA is also used for purposes of determining executive and senior management incentive compensation.</w:t>
      </w:r>
    </w:p>
    <w:p>
      <w:pPr>
        <w:spacing w:after="0" w:line="17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263525</wp:posOffset>
            </wp:positionV>
            <wp:extent cx="32575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June 30, 2022 Compared to Three Months Ended June 30, 2021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85"/>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40" w:type="dxa"/>
            <w:vAlign w:val="bottom"/>
          </w:tcPr>
          <w:p>
            <w:pPr>
              <w:jc w:val="right"/>
              <w:ind w:right="112"/>
              <w:spacing w:after="0" w:line="185" w:lineRule="exact"/>
              <w:rPr>
                <w:sz w:val="20"/>
                <w:szCs w:val="20"/>
                <w:color w:val="auto"/>
              </w:rPr>
            </w:pPr>
            <w:r>
              <w:rPr>
                <w:rFonts w:ascii="Arial" w:cs="Arial" w:eastAsia="Arial" w:hAnsi="Arial"/>
                <w:sz w:val="14"/>
                <w:szCs w:val="14"/>
                <w:b w:val="1"/>
                <w:bCs w:val="1"/>
                <w:color w:val="auto"/>
                <w:w w:val="90"/>
              </w:rPr>
              <w:t>% of revenue</w:t>
            </w:r>
            <w:r>
              <w:rPr>
                <w:rFonts w:ascii="Arial" w:cs="Arial" w:eastAsia="Arial" w:hAnsi="Arial"/>
                <w:sz w:val="18"/>
                <w:szCs w:val="18"/>
                <w:b w:val="1"/>
                <w:bCs w:val="1"/>
                <w:color w:val="auto"/>
                <w:w w:val="90"/>
                <w:vertAlign w:val="superscript"/>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40" w:type="dxa"/>
            <w:vAlign w:val="bottom"/>
          </w:tcPr>
          <w:p>
            <w:pPr>
              <w:jc w:val="right"/>
              <w:ind w:right="111"/>
              <w:spacing w:after="0" w:line="185" w:lineRule="exact"/>
              <w:rPr>
                <w:sz w:val="20"/>
                <w:szCs w:val="20"/>
                <w:color w:val="auto"/>
              </w:rPr>
            </w:pPr>
            <w:r>
              <w:rPr>
                <w:rFonts w:ascii="Arial" w:cs="Arial" w:eastAsia="Arial" w:hAnsi="Arial"/>
                <w:sz w:val="14"/>
                <w:szCs w:val="14"/>
                <w:b w:val="1"/>
                <w:bCs w:val="1"/>
                <w:color w:val="auto"/>
                <w:w w:val="90"/>
              </w:rPr>
              <w:t>% of revenue</w:t>
            </w:r>
            <w:r>
              <w:rPr>
                <w:rFonts w:ascii="Arial" w:cs="Arial" w:eastAsia="Arial" w:hAnsi="Arial"/>
                <w:sz w:val="18"/>
                <w:szCs w:val="18"/>
                <w:b w:val="1"/>
                <w:bCs w:val="1"/>
                <w:color w:val="auto"/>
                <w:w w:val="90"/>
                <w:vertAlign w:val="superscript"/>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rPr>
              <w:t>%</w:t>
            </w: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2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37,530</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18.3</w:t>
            </w:r>
          </w:p>
        </w:tc>
      </w:tr>
      <w:tr>
        <w:trPr>
          <w:trHeight w:val="22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14.1</w:t>
            </w:r>
          </w:p>
        </w:tc>
      </w:tr>
      <w:tr>
        <w:trPr>
          <w:trHeight w:val="209"/>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w:t>
            </w: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11,432</w:t>
            </w: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8,899</w:t>
            </w: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2,533</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28.5</w:t>
            </w: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w:t>
            </w:r>
          </w:p>
        </w:tc>
      </w:tr>
      <w:tr>
        <w:trPr>
          <w:trHeight w:val="230"/>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(7.6)</w:t>
            </w:r>
          </w:p>
        </w:tc>
      </w:tr>
      <w:tr>
        <w:trPr>
          <w:trHeight w:val="223"/>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15,968</w:t>
            </w: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13,529</w:t>
            </w: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2,439</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18.0</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249.4</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14,630</w:t>
            </w: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13,146</w:t>
            </w: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1,484</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11.3</w:t>
            </w: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30.8</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(1) Amounts in column may not foot due to rounding</w:t>
      </w:r>
    </w:p>
    <w:p>
      <w:pPr>
        <w:spacing w:after="0" w:line="32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Revenues increased for the 86th consecutive quarter. The increase in revenue resulted from two primary factors: the increase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recurring revenue customers, which is driven primarily by 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980" w:right="3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number of recurring revenue customers increased 12% to 38,650 at </w:t>
      </w:r>
      <w:r>
        <w:rPr>
          <w:rFonts w:ascii="Arial" w:cs="Arial" w:eastAsia="Arial" w:hAnsi="Arial"/>
          <w:sz w:val="18"/>
          <w:szCs w:val="18"/>
          <w:color w:val="1F282C"/>
        </w:rPr>
        <w:t>June 30, 2022</w:t>
      </w:r>
      <w:r>
        <w:rPr>
          <w:rFonts w:ascii="Arial" w:cs="Arial" w:eastAsia="Arial" w:hAnsi="Arial"/>
          <w:sz w:val="18"/>
          <w:szCs w:val="18"/>
          <w:color w:val="auto"/>
        </w:rPr>
        <w:t xml:space="preserve"> from 34,550 at </w:t>
      </w:r>
      <w:r>
        <w:rPr>
          <w:rFonts w:ascii="Arial" w:cs="Arial" w:eastAsia="Arial" w:hAnsi="Arial"/>
          <w:sz w:val="18"/>
          <w:szCs w:val="18"/>
          <w:color w:val="1F282C"/>
        </w:rPr>
        <w:t>June 30, 2021 primarily due to sales</w:t>
      </w:r>
      <w:r>
        <w:rPr>
          <w:rFonts w:ascii="Arial" w:cs="Arial" w:eastAsia="Arial" w:hAnsi="Arial"/>
          <w:sz w:val="18"/>
          <w:szCs w:val="18"/>
          <w:color w:val="auto"/>
        </w:rPr>
        <w:t xml:space="preserve"> </w:t>
      </w:r>
      <w:r>
        <w:rPr>
          <w:rFonts w:ascii="Arial" w:cs="Arial" w:eastAsia="Arial" w:hAnsi="Arial"/>
          <w:sz w:val="18"/>
          <w:szCs w:val="18"/>
          <w:color w:val="1F282C"/>
        </w:rPr>
        <w:t>and marketing efforts to acquire new customers and due to recent acquisitions.</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Wallet share increased 4% to $10,550 for the three months ended </w:t>
      </w:r>
      <w:r>
        <w:rPr>
          <w:rFonts w:ascii="Arial" w:cs="Arial" w:eastAsia="Arial" w:hAnsi="Arial"/>
          <w:sz w:val="18"/>
          <w:szCs w:val="18"/>
          <w:color w:val="1F282C"/>
        </w:rPr>
        <w:t>June 30, 2022</w:t>
      </w:r>
      <w:r>
        <w:rPr>
          <w:rFonts w:ascii="Arial" w:cs="Arial" w:eastAsia="Arial" w:hAnsi="Arial"/>
          <w:sz w:val="18"/>
          <w:szCs w:val="18"/>
          <w:color w:val="auto"/>
        </w:rPr>
        <w:t xml:space="preserve"> from $10,150 for the same period in 2021. This was primarily attributable to increased usage of our products by our recurring revenue customers.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Recurring revenues increased 16% to $101.2 million for the three months ended </w:t>
      </w:r>
      <w:r>
        <w:rPr>
          <w:rFonts w:ascii="Arial" w:cs="Arial" w:eastAsia="Arial" w:hAnsi="Arial"/>
          <w:sz w:val="18"/>
          <w:szCs w:val="18"/>
          <w:color w:val="1F282C"/>
        </w:rPr>
        <w:t>June 30, 2022 compared to the three months ended June 30, 2021.</w:t>
      </w:r>
      <w:r>
        <w:rPr>
          <w:rFonts w:ascii="Arial" w:cs="Arial" w:eastAsia="Arial" w:hAnsi="Arial"/>
          <w:sz w:val="18"/>
          <w:szCs w:val="18"/>
          <w:color w:val="auto"/>
        </w:rPr>
        <w:t xml:space="preserve"> </w:t>
      </w:r>
      <w:r>
        <w:rPr>
          <w:rFonts w:ascii="Arial" w:cs="Arial" w:eastAsia="Arial" w:hAnsi="Arial"/>
          <w:sz w:val="18"/>
          <w:szCs w:val="18"/>
          <w:color w:val="1F282C"/>
        </w:rPr>
        <w:t xml:space="preserve">Recurring revenues </w:t>
      </w:r>
      <w:r>
        <w:rPr>
          <w:rFonts w:ascii="Arial" w:cs="Arial" w:eastAsia="Arial" w:hAnsi="Arial"/>
          <w:sz w:val="18"/>
          <w:szCs w:val="18"/>
          <w:color w:val="000000"/>
        </w:rPr>
        <w:t>from recurring revenue customers accounted for 93% and 92% of our total revenues for the three months ended</w:t>
      </w:r>
      <w:r>
        <w:rPr>
          <w:rFonts w:ascii="Arial" w:cs="Arial" w:eastAsia="Arial" w:hAnsi="Arial"/>
          <w:sz w:val="18"/>
          <w:szCs w:val="18"/>
          <w:color w:val="1F282C"/>
        </w:rPr>
        <w:t xml:space="preserve"> June 30, 2022 </w:t>
      </w:r>
      <w:r>
        <w:rPr>
          <w:rFonts w:ascii="Arial" w:cs="Arial" w:eastAsia="Arial" w:hAnsi="Arial"/>
          <w:sz w:val="18"/>
          <w:szCs w:val="18"/>
          <w:color w:val="000000"/>
        </w:rPr>
        <w:t>and</w:t>
      </w:r>
      <w:r>
        <w:rPr>
          <w:rFonts w:ascii="Arial" w:cs="Arial" w:eastAsia="Arial" w:hAnsi="Arial"/>
          <w:sz w:val="18"/>
          <w:szCs w:val="18"/>
          <w:color w:val="1F282C"/>
        </w:rPr>
        <w:t xml:space="preserve"> </w:t>
      </w:r>
      <w:r>
        <w:rPr>
          <w:rFonts w:ascii="Arial" w:cs="Arial" w:eastAsia="Arial" w:hAnsi="Arial"/>
          <w:sz w:val="18"/>
          <w:szCs w:val="18"/>
          <w:color w:val="000000"/>
        </w:rPr>
        <w:t>2021, respectively. We anticipate that the number of recurring revenue customers and wallet share will continue to increase as we execute our growth strategy focused on further penetrations of our market.</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Cost of Revenues - </w:t>
      </w:r>
      <w:r>
        <w:rPr>
          <w:rFonts w:ascii="Arial" w:cs="Arial" w:eastAsia="Arial" w:hAnsi="Arial"/>
          <w:sz w:val="18"/>
          <w:szCs w:val="18"/>
          <w:color w:val="000000"/>
        </w:rPr>
        <w:t>The increase in cost of revenues was primarily due to increased headcount, which resulted in an increase of $4.7 million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personnel-related costs and an increase of $0.5 million in software subscriptions.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Sales and Marketing Expenses - </w:t>
      </w:r>
      <w:r>
        <w:rPr>
          <w:rFonts w:ascii="Arial" w:cs="Arial" w:eastAsia="Arial" w:hAnsi="Arial"/>
          <w:sz w:val="18"/>
          <w:szCs w:val="18"/>
          <w:color w:val="000000"/>
        </w:rPr>
        <w:t>The increase in sales and marketing expense was primarily due to increased headcount, which resulted in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$2.0 million in personnel-related costs.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was primarily due to increased headcount, which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resulted in an increase of $2.1 million in personnel-related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299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b w:val="1"/>
          <w:bCs w:val="1"/>
          <w:i w:val="1"/>
          <w:iCs w:val="1"/>
          <w:color w:val="1F282C"/>
        </w:rPr>
        <w:t xml:space="preserve">General and Administrative Expenses </w:t>
      </w:r>
      <w:r>
        <w:rPr>
          <w:rFonts w:ascii="Arial" w:cs="Arial" w:eastAsia="Arial" w:hAnsi="Arial"/>
          <w:sz w:val="17"/>
          <w:szCs w:val="17"/>
          <w:color w:val="1F282C"/>
        </w:rPr>
        <w:t>-</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The increase in general and administrative expense was primarily related to supporting continued</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business growth, including an increase in headcount which resulted in an increase in personnel-related costs of $0.8 million. Additionally, there was an increase in professional fees of $0.8 million, which was offset by a decrease of $0.8 million in charitable contributions.</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decrease in amortization of intangible assets was driven by the full amortization of previously acquired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intangible assets as partially offset by acquired intangible assets related to recent business combinations.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1F282C"/>
        </w:rPr>
        <w:t xml:space="preserve">Other Expense, Net - </w:t>
      </w:r>
      <w:r>
        <w:rPr>
          <w:rFonts w:ascii="Arial" w:cs="Arial" w:eastAsia="Arial" w:hAnsi="Arial"/>
          <w:sz w:val="17"/>
          <w:szCs w:val="17"/>
          <w:color w:val="000000"/>
        </w:rPr>
        <w:t>The increase in net other expenses was primarily due to unfavorable foreign currency exchange rate changes.</w:t>
      </w:r>
    </w:p>
    <w:p>
      <w:pPr>
        <w:spacing w:after="0" w:line="23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000000"/>
        </w:rPr>
        <w:t>The increase in income tax expense was primarily driven by a decrease in the excess tax deductions due to the current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quarter equity award settlements. Excess tax benefits generated upon the settlement or exercise of stock awards are recognized as a reduction to income tax expense and, as a result, we expect that our annual effective income tax rate will fluctuate.</w:t>
      </w:r>
    </w:p>
    <w:p>
      <w:pPr>
        <w:spacing w:after="0" w:line="18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which is a non-GAAP measure of financial performance, consists of net income adjusted for income tax</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expense, depreciation and amortization expense, stock-based compensation expense, realized gain or loss from foreign currency on cash and investments held, investment income or loss, and other adjustments as necessary for a fair presentation.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the three months ended </w:t>
      </w:r>
      <w:r>
        <w:rPr>
          <w:rFonts w:ascii="Arial" w:cs="Arial" w:eastAsia="Arial" w:hAnsi="Arial"/>
          <w:sz w:val="17"/>
          <w:szCs w:val="17"/>
          <w:color w:val="1F282C"/>
        </w:rPr>
        <w:t>June 30, 2021,</w:t>
      </w:r>
      <w:r>
        <w:rPr>
          <w:rFonts w:ascii="Arial" w:cs="Arial" w:eastAsia="Arial" w:hAnsi="Arial"/>
          <w:sz w:val="17"/>
          <w:szCs w:val="17"/>
          <w:color w:val="auto"/>
        </w:rPr>
        <w:t xml:space="preserve"> other adjustments included disposals of cloud hosting arrangement implementation costs.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Adjusted EBITDA: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18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2,963</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2,671</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b w:val="1"/>
          <w:bCs w:val="1"/>
          <w:i w:val="1"/>
          <w:iCs w:val="1"/>
          <w:color w:val="1F282C"/>
        </w:rPr>
        <w:t xml:space="preserve">Adjusted EBITDA Margin - </w:t>
      </w:r>
      <w:r>
        <w:rPr>
          <w:rFonts w:ascii="Arial" w:cs="Arial" w:eastAsia="Arial" w:hAnsi="Arial"/>
          <w:sz w:val="17"/>
          <w:szCs w:val="17"/>
          <w:color w:val="000000"/>
        </w:rPr>
        <w:t>Adjusted EBITDA Margin, which is a non-GAAP measure of financial performance, consists of Adjusted EBITDA</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divided by revenue. Margin, the comparable GAAP measure of financial performance, consists of net income divided by revenue.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Margin to Adjusted EBITDA Margin: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r>
      <w:tr>
        <w:trPr>
          <w:trHeight w:val="186"/>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184"/>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109,178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94,539</w:t>
            </w:r>
          </w:p>
        </w:tc>
      </w:tr>
      <w:tr>
        <w:trPr>
          <w:trHeight w:val="270"/>
        </w:trPr>
        <w:tc>
          <w:tcPr>
            <w:tcW w:w="7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10,753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10,183</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Margin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30,864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27,328</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Non-GAAP Income per Share - </w:t>
      </w:r>
      <w:r>
        <w:rPr>
          <w:rFonts w:ascii="Arial" w:cs="Arial" w:eastAsia="Arial" w:hAnsi="Arial"/>
          <w:sz w:val="18"/>
          <w:szCs w:val="18"/>
          <w:color w:val="000000"/>
        </w:rPr>
        <w:t>Non-GAAP income per share, which is a non-GAAP measure of financial performance, consists of net income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plus stock-based compensation expense, 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the three months ended </w:t>
      </w:r>
      <w:r>
        <w:rPr>
          <w:rFonts w:ascii="Arial" w:cs="Arial" w:eastAsia="Arial" w:hAnsi="Arial"/>
          <w:sz w:val="17"/>
          <w:szCs w:val="17"/>
          <w:color w:val="1F282C"/>
        </w:rPr>
        <w:t>June 30, 2021,</w:t>
      </w:r>
      <w:r>
        <w:rPr>
          <w:rFonts w:ascii="Arial" w:cs="Arial" w:eastAsia="Arial" w:hAnsi="Arial"/>
          <w:sz w:val="17"/>
          <w:szCs w:val="17"/>
          <w:color w:val="auto"/>
        </w:rPr>
        <w:t xml:space="preserve"> other adjustments included disposals of cloud hosting arrangement implementation costs.</w:t>
      </w:r>
    </w:p>
    <w:p>
      <w:pPr>
        <w:spacing w:after="0" w:line="23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0" w:type="dxa"/>
            <w:vAlign w:val="bottom"/>
          </w:tcPr>
          <w:p>
            <w:pPr>
              <w:spacing w:after="0"/>
              <w:rPr>
                <w:sz w:val="1"/>
                <w:szCs w:val="1"/>
                <w:color w:val="auto"/>
              </w:rPr>
            </w:pPr>
          </w:p>
        </w:tc>
      </w:tr>
      <w:tr>
        <w:trPr>
          <w:trHeight w:val="230"/>
        </w:trPr>
        <w:tc>
          <w:tcPr>
            <w:tcW w:w="818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0"/>
        </w:trPr>
        <w:tc>
          <w:tcPr>
            <w:tcW w:w="8180" w:type="dxa"/>
            <w:vAlign w:val="bottom"/>
          </w:tcPr>
          <w:p>
            <w:pPr>
              <w:ind w:left="30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Income tax effects of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to compute non-GAAP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35,903</w:t>
            </w:r>
          </w:p>
        </w:tc>
        <w:tc>
          <w:tcPr>
            <w:tcW w:w="0" w:type="dxa"/>
            <w:vAlign w:val="bottom"/>
          </w:tcPr>
          <w:p>
            <w:pPr>
              <w:spacing w:after="0"/>
              <w:rPr>
                <w:sz w:val="1"/>
                <w:szCs w:val="1"/>
                <w:color w:val="auto"/>
              </w:rPr>
            </w:pPr>
          </w:p>
        </w:tc>
      </w:tr>
      <w:tr>
        <w:trPr>
          <w:trHeight w:val="229"/>
        </w:trPr>
        <w:tc>
          <w:tcPr>
            <w:tcW w:w="8180" w:type="dxa"/>
            <w:vAlign w:val="bottom"/>
          </w:tcPr>
          <w:p>
            <w:pPr>
              <w:ind w:left="3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36,753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income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0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20" w:val="left"/>
          <w:tab w:leader="none" w:pos="8580" w:val="left"/>
        </w:tabs>
        <w:rPr>
          <w:sz w:val="20"/>
          <w:szCs w:val="20"/>
          <w:color w:val="auto"/>
        </w:rPr>
      </w:pPr>
      <w:r>
        <w:rPr>
          <w:sz w:val="1"/>
          <w:szCs w:val="1"/>
          <w:color w:val="auto"/>
        </w:rPr>
        <w:drawing>
          <wp:inline distT="0" distB="0" distL="0" distR="0">
            <wp:extent cx="325755" cy="30035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Six Months Ended June 30, 2022 Compared to Six Months Ended June 30, 2021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3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85"/>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6"/>
                <w:szCs w:val="16"/>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60" w:type="dxa"/>
            <w:vAlign w:val="bottom"/>
          </w:tcPr>
          <w:p>
            <w:pPr>
              <w:jc w:val="right"/>
              <w:ind w:right="112"/>
              <w:spacing w:after="0" w:line="185" w:lineRule="exact"/>
              <w:rPr>
                <w:sz w:val="20"/>
                <w:szCs w:val="20"/>
                <w:color w:val="auto"/>
              </w:rPr>
            </w:pPr>
            <w:r>
              <w:rPr>
                <w:rFonts w:ascii="Arial" w:cs="Arial" w:eastAsia="Arial" w:hAnsi="Arial"/>
                <w:sz w:val="14"/>
                <w:szCs w:val="14"/>
                <w:b w:val="1"/>
                <w:bCs w:val="1"/>
                <w:color w:val="auto"/>
                <w:w w:val="92"/>
              </w:rPr>
              <w:t>% of revenue</w:t>
            </w:r>
            <w:r>
              <w:rPr>
                <w:rFonts w:ascii="Arial" w:cs="Arial" w:eastAsia="Arial" w:hAnsi="Arial"/>
                <w:sz w:val="18"/>
                <w:szCs w:val="18"/>
                <w:b w:val="1"/>
                <w:bCs w:val="1"/>
                <w:color w:val="auto"/>
                <w:w w:val="92"/>
                <w:vertAlign w:val="superscript"/>
              </w:rPr>
              <w:t>(1)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60" w:type="dxa"/>
            <w:vAlign w:val="bottom"/>
          </w:tcPr>
          <w:p>
            <w:pPr>
              <w:jc w:val="right"/>
              <w:ind w:right="111"/>
              <w:spacing w:after="0" w:line="185" w:lineRule="exact"/>
              <w:rPr>
                <w:sz w:val="20"/>
                <w:szCs w:val="20"/>
                <w:color w:val="auto"/>
              </w:rPr>
            </w:pPr>
            <w:r>
              <w:rPr>
                <w:rFonts w:ascii="Arial" w:cs="Arial" w:eastAsia="Arial" w:hAnsi="Arial"/>
                <w:sz w:val="14"/>
                <w:szCs w:val="14"/>
                <w:b w:val="1"/>
                <w:bCs w:val="1"/>
                <w:color w:val="auto"/>
                <w:w w:val="92"/>
              </w:rPr>
              <w:t>% of revenue</w:t>
            </w:r>
            <w:r>
              <w:rPr>
                <w:rFonts w:ascii="Arial" w:cs="Arial" w:eastAsia="Arial" w:hAnsi="Arial"/>
                <w:sz w:val="18"/>
                <w:szCs w:val="18"/>
                <w:b w:val="1"/>
                <w:bCs w:val="1"/>
                <w:color w:val="auto"/>
                <w:w w:val="92"/>
                <w:vertAlign w:val="superscript"/>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90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3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72,919</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61,700</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18.2</w:t>
            </w:r>
          </w:p>
        </w:tc>
      </w:tr>
      <w:tr>
        <w:trPr>
          <w:trHeight w:val="22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18,519</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15.1</w:t>
            </w:r>
          </w:p>
        </w:tc>
      </w:tr>
      <w:tr>
        <w:trPr>
          <w:trHeight w:val="210"/>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w:t>
            </w: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22,133</w:t>
            </w:r>
          </w:p>
        </w:tc>
        <w:tc>
          <w:tcPr>
            <w:tcW w:w="2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17,605</w:t>
            </w:r>
          </w:p>
        </w:tc>
        <w:tc>
          <w:tcPr>
            <w:tcW w:w="2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4,528</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25.7</w:t>
            </w: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r>
      <w:tr>
        <w:trPr>
          <w:trHeight w:val="229"/>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(7.4)</w:t>
            </w:r>
          </w:p>
        </w:tc>
      </w:tr>
      <w:tr>
        <w:trPr>
          <w:trHeight w:val="223"/>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32,478</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26,191</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24.0</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29.2</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31,563</w:t>
            </w:r>
          </w:p>
        </w:tc>
        <w:tc>
          <w:tcPr>
            <w:tcW w:w="2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25,483</w:t>
            </w:r>
          </w:p>
        </w:tc>
        <w:tc>
          <w:tcPr>
            <w:tcW w:w="2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6,080</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23.9</w:t>
            </w: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60.9</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 Amounts in column may not foot due to rounding</w:t>
      </w:r>
    </w:p>
    <w:p>
      <w:pPr>
        <w:spacing w:after="0" w:line="32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 resulted from two primary factors: the increase in recurring revenue customers, which is driven primarily by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number of recurring revenue customers increased 12% to 38,650 at </w:t>
      </w:r>
      <w:r>
        <w:rPr>
          <w:rFonts w:ascii="Arial" w:cs="Arial" w:eastAsia="Arial" w:hAnsi="Arial"/>
          <w:sz w:val="18"/>
          <w:szCs w:val="18"/>
          <w:color w:val="1F282C"/>
        </w:rPr>
        <w:t>June 30, 2022</w:t>
      </w:r>
      <w:r>
        <w:rPr>
          <w:rFonts w:ascii="Arial" w:cs="Arial" w:eastAsia="Arial" w:hAnsi="Arial"/>
          <w:sz w:val="18"/>
          <w:szCs w:val="18"/>
          <w:color w:val="auto"/>
        </w:rPr>
        <w:t xml:space="preserve"> from 34,550 at </w:t>
      </w:r>
      <w:r>
        <w:rPr>
          <w:rFonts w:ascii="Arial" w:cs="Arial" w:eastAsia="Arial" w:hAnsi="Arial"/>
          <w:sz w:val="18"/>
          <w:szCs w:val="18"/>
          <w:color w:val="1F282C"/>
        </w:rPr>
        <w:t>June 30, 2021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Wallet share increased 4% to $10,450 for the six months ended </w:t>
      </w:r>
      <w:r>
        <w:rPr>
          <w:rFonts w:ascii="Arial" w:cs="Arial" w:eastAsia="Arial" w:hAnsi="Arial"/>
          <w:sz w:val="18"/>
          <w:szCs w:val="18"/>
          <w:color w:val="1F282C"/>
        </w:rPr>
        <w:t>June 30, 2022</w:t>
      </w:r>
      <w:r>
        <w:rPr>
          <w:rFonts w:ascii="Arial" w:cs="Arial" w:eastAsia="Arial" w:hAnsi="Arial"/>
          <w:sz w:val="18"/>
          <w:szCs w:val="18"/>
          <w:color w:val="auto"/>
        </w:rPr>
        <w:t xml:space="preserve"> from $10,100 for the same period in 2021. The increase was primarily attributable to increased usage of our solutions by our recurring revenue customers.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Recurring revenues increased 17% to $198.7 million for the six months ended </w:t>
      </w:r>
      <w:r>
        <w:rPr>
          <w:rFonts w:ascii="Arial" w:cs="Arial" w:eastAsia="Arial" w:hAnsi="Arial"/>
          <w:sz w:val="18"/>
          <w:szCs w:val="18"/>
          <w:color w:val="1F282C"/>
        </w:rPr>
        <w:t>June 30, 2022 compared to the</w:t>
      </w:r>
      <w:r>
        <w:rPr>
          <w:rFonts w:ascii="Arial" w:cs="Arial" w:eastAsia="Arial" w:hAnsi="Arial"/>
          <w:sz w:val="18"/>
          <w:szCs w:val="18"/>
          <w:color w:val="auto"/>
        </w:rPr>
        <w:t xml:space="preserve"> six </w:t>
      </w:r>
      <w:r>
        <w:rPr>
          <w:rFonts w:ascii="Arial" w:cs="Arial" w:eastAsia="Arial" w:hAnsi="Arial"/>
          <w:sz w:val="18"/>
          <w:szCs w:val="18"/>
          <w:color w:val="1F282C"/>
        </w:rPr>
        <w:t>months ended June 30, 2021.</w:t>
      </w:r>
      <w:r>
        <w:rPr>
          <w:rFonts w:ascii="Arial" w:cs="Arial" w:eastAsia="Arial" w:hAnsi="Arial"/>
          <w:sz w:val="18"/>
          <w:szCs w:val="18"/>
          <w:color w:val="auto"/>
        </w:rPr>
        <w:t xml:space="preserve"> </w:t>
      </w:r>
      <w:r>
        <w:rPr>
          <w:rFonts w:ascii="Arial" w:cs="Arial" w:eastAsia="Arial" w:hAnsi="Arial"/>
          <w:sz w:val="18"/>
          <w:szCs w:val="18"/>
          <w:color w:val="1F282C"/>
        </w:rPr>
        <w:t xml:space="preserve">Recurring revenues </w:t>
      </w:r>
      <w:r>
        <w:rPr>
          <w:rFonts w:ascii="Arial" w:cs="Arial" w:eastAsia="Arial" w:hAnsi="Arial"/>
          <w:sz w:val="18"/>
          <w:szCs w:val="18"/>
          <w:color w:val="000000"/>
        </w:rPr>
        <w:t>from recurring revenue customers accounted for 93% and 92% of our total revenues for the six months ended</w:t>
      </w:r>
      <w:r>
        <w:rPr>
          <w:rFonts w:ascii="Arial" w:cs="Arial" w:eastAsia="Arial" w:hAnsi="Arial"/>
          <w:sz w:val="18"/>
          <w:szCs w:val="18"/>
          <w:color w:val="1F282C"/>
        </w:rPr>
        <w:t xml:space="preserve"> June 30, 2022 </w:t>
      </w:r>
      <w:r>
        <w:rPr>
          <w:rFonts w:ascii="Arial" w:cs="Arial" w:eastAsia="Arial" w:hAnsi="Arial"/>
          <w:sz w:val="18"/>
          <w:szCs w:val="18"/>
          <w:color w:val="000000"/>
        </w:rPr>
        <w:t>and 2021,</w:t>
      </w:r>
      <w:r>
        <w:rPr>
          <w:rFonts w:ascii="Arial" w:cs="Arial" w:eastAsia="Arial" w:hAnsi="Arial"/>
          <w:sz w:val="18"/>
          <w:szCs w:val="18"/>
          <w:color w:val="1F282C"/>
        </w:rPr>
        <w:t xml:space="preserve"> </w:t>
      </w:r>
      <w:r>
        <w:rPr>
          <w:rFonts w:ascii="Arial" w:cs="Arial" w:eastAsia="Arial" w:hAnsi="Arial"/>
          <w:sz w:val="18"/>
          <w:szCs w:val="18"/>
          <w:color w:val="000000"/>
        </w:rPr>
        <w:t>respectively. We anticipate that the number of recurring revenue customers and wallet share will continue to increase as we execute our growth strategy focused on further penetrations of our market.</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b w:val="1"/>
          <w:bCs w:val="1"/>
          <w:i w:val="1"/>
          <w:iCs w:val="1"/>
          <w:color w:val="1F282C"/>
        </w:rPr>
        <w:t xml:space="preserve">Cost of Revenues - </w:t>
      </w:r>
      <w:r>
        <w:rPr>
          <w:rFonts w:ascii="Arial" w:cs="Arial" w:eastAsia="Arial" w:hAnsi="Arial"/>
          <w:sz w:val="17"/>
          <w:szCs w:val="17"/>
          <w:color w:val="000000"/>
        </w:rPr>
        <w:t>The increase in cost of revenues was primarily due to increased headcount, which resulted in an increase of $8.4 million in</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personnel-related costs, an increase of $1.1 million in stock-based compensation, and an increase of $1.0 million of software subscriptions. Additionally, as we continued to invest in the infrastructure supporting our platform, depreciation expense increased by $0.8 million.</w:t>
      </w:r>
    </w:p>
    <w:p>
      <w:pPr>
        <w:spacing w:after="0" w:line="165"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Sales and Marketing Expenses - </w:t>
      </w:r>
      <w:r>
        <w:rPr>
          <w:rFonts w:ascii="Arial" w:cs="Arial" w:eastAsia="Arial" w:hAnsi="Arial"/>
          <w:sz w:val="18"/>
          <w:szCs w:val="18"/>
          <w:color w:val="000000"/>
        </w:rPr>
        <w:t>The increase in sales and marketing expense was primarily due to increased headcount, which resulted in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$3.7 million in personnel-related costs, an increase of $0.8 million in stock-based compensation, and an increase of $0.7 million in variable compensation earned by sales personnel.</w:t>
      </w:r>
    </w:p>
    <w:p>
      <w:pPr>
        <w:spacing w:after="0" w:line="18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was primarily due to increased headcount, which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resulted in an increase of $3.2 million in personnel-related costs, an increase of $0.8 million in stock-based compensation, and an increase of $0.6 million in software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271145</wp:posOffset>
            </wp:positionV>
            <wp:extent cx="325755"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was primarily related to supporting continued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business growth, including an increase in headcount, which resulted in an increase in personnel-related costs of $1.6 million and an increase in stock-based compensation of $0.6 million. This was partially offset by a decrease of $1.3 million in charitable contributions.</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decrease in amortization of intangible assets was driven by the full amortization of previously acquired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intangible assets as partially offset by acquired intangible assets related to recent business combinations.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1F282C"/>
        </w:rPr>
        <w:t xml:space="preserve">Other Expense, Net - </w:t>
      </w:r>
      <w:r>
        <w:rPr>
          <w:rFonts w:ascii="Arial" w:cs="Arial" w:eastAsia="Arial" w:hAnsi="Arial"/>
          <w:sz w:val="17"/>
          <w:szCs w:val="17"/>
          <w:color w:val="000000"/>
        </w:rPr>
        <w:t>The increase in net other expenses was primarily due to unfavorable foreign currency exchange rate changes.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1F282C"/>
        </w:rPr>
        <w:t>The increase in income tax expense was primarily driven by a decrease in the excess tax deductions due to the current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1F282C"/>
        </w:rPr>
        <w:t>period equity award settlements, partially offset by a decrease in nondeductible executive compensation. Excess tax benefits generated upon the settlement or exercise of stock awards are recognized as a reduction to income tax expense and, as a result, we expect that our annual effective income tax rate will fluctuate.</w:t>
      </w:r>
    </w:p>
    <w:p>
      <w:pPr>
        <w:spacing w:after="0" w:line="22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which is a non-GAAP measure of financial performance, consists of net income adjusted for income tax</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expense, depreciation and amortization expense, stock-based compensation expense, realized gain or loss from foreign currency on cash and investments held, investment income or loss, and other adjustments as necessary for a fair presentation.</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For the six months ended </w:t>
      </w:r>
      <w:r>
        <w:rPr>
          <w:rFonts w:ascii="Arial" w:cs="Arial" w:eastAsia="Arial" w:hAnsi="Arial"/>
          <w:sz w:val="18"/>
          <w:szCs w:val="18"/>
          <w:color w:val="1F282C"/>
        </w:rPr>
        <w:t>June 30, 2021</w:t>
      </w:r>
      <w:r>
        <w:rPr>
          <w:rFonts w:ascii="Arial" w:cs="Arial" w:eastAsia="Arial" w:hAnsi="Arial"/>
          <w:sz w:val="18"/>
          <w:szCs w:val="18"/>
          <w:color w:val="auto"/>
        </w:rPr>
        <w:t>,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Adjusted EBITDA: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b w:val="1"/>
          <w:bCs w:val="1"/>
          <w:i w:val="1"/>
          <w:iCs w:val="1"/>
          <w:color w:val="1F282C"/>
        </w:rPr>
        <w:t xml:space="preserve">Adjusted EBITDA Margin - </w:t>
      </w:r>
      <w:r>
        <w:rPr>
          <w:rFonts w:ascii="Arial" w:cs="Arial" w:eastAsia="Arial" w:hAnsi="Arial"/>
          <w:sz w:val="17"/>
          <w:szCs w:val="17"/>
          <w:color w:val="000000"/>
        </w:rPr>
        <w:t>Adjusted EBITDA Margin, which is a non-GAAP measure of financial performance, consists of Adjusted EBITDA</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divided by revenue. Margin, the comparable GAAP measure of financial performance, consists of net income divided by revenue.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Margin to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325755"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4"/>
                <w:szCs w:val="14"/>
                <w:color w:val="auto"/>
              </w:rPr>
            </w:pPr>
          </w:p>
        </w:tc>
      </w:tr>
      <w:tr>
        <w:trPr>
          <w:trHeight w:val="186"/>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6"/>
                <w:szCs w:val="16"/>
                <w:color w:val="auto"/>
              </w:rPr>
            </w:pPr>
          </w:p>
        </w:tc>
      </w:tr>
      <w:tr>
        <w:trPr>
          <w:trHeight w:val="184"/>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2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214,371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184,633</w:t>
            </w: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23,356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20,383</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Margin</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62,630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52,785</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Non-GAAP Income per Share - </w:t>
      </w:r>
      <w:r>
        <w:rPr>
          <w:rFonts w:ascii="Arial" w:cs="Arial" w:eastAsia="Arial" w:hAnsi="Arial"/>
          <w:sz w:val="18"/>
          <w:szCs w:val="18"/>
          <w:color w:val="000000"/>
        </w:rPr>
        <w:t>Non-GAAP income per share, which is a non-GAAP measure of financial performance, consists of net income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plus stock-based compensation expense, 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For the six months ended </w:t>
      </w:r>
      <w:r>
        <w:rPr>
          <w:rFonts w:ascii="Arial" w:cs="Arial" w:eastAsia="Arial" w:hAnsi="Arial"/>
          <w:sz w:val="18"/>
          <w:szCs w:val="18"/>
          <w:color w:val="1F282C"/>
        </w:rPr>
        <w:t>June 30, 2021</w:t>
      </w:r>
      <w:r>
        <w:rPr>
          <w:rFonts w:ascii="Arial" w:cs="Arial" w:eastAsia="Arial" w:hAnsi="Arial"/>
          <w:sz w:val="18"/>
          <w:szCs w:val="18"/>
          <w:color w:val="auto"/>
        </w:rPr>
        <w:t>,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effects of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to compute non-GAAP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35,828</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income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and expenses and related disclosures. On an ongoing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5420" w:val="left"/>
          <w:tab w:leader="none" w:pos="8580" w:val="left"/>
        </w:tabs>
        <w:rPr>
          <w:sz w:val="20"/>
          <w:szCs w:val="20"/>
          <w:color w:val="auto"/>
        </w:rPr>
      </w:pPr>
      <w:r>
        <w:rPr>
          <w:sz w:val="1"/>
          <w:szCs w:val="1"/>
          <w:color w:val="auto"/>
        </w:rPr>
        <w:drawing>
          <wp:inline distT="0" distB="0" distL="0" distR="0">
            <wp:extent cx="325755" cy="3003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internal-use software, and business combinations are the most critical to fully understand and evaluate our financial condition and results of operations.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six months ended June 30, 2022, there were no changes in our critical accounting policies or estimates. For additional information regarding our critical accounting policies and estimates, see the discussion under "Critical Accounting Policies and Estimates" in "Management's Discussion and Analysis of Financial Condition and Results of Operations" included in our Annual Report on Form 10-K for the year ended December 31, 2021, as filed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1F282C"/>
        </w:rPr>
        <w:t>June 30, 2022</w:t>
      </w:r>
      <w:r>
        <w:rPr>
          <w:rFonts w:ascii="Arial" w:cs="Arial" w:eastAsia="Arial" w:hAnsi="Arial"/>
          <w:sz w:val="18"/>
          <w:szCs w:val="18"/>
          <w:color w:val="auto"/>
        </w:rPr>
        <w:t>, our principal sources of liquidity were cash and cash equivalents and short-term investments totaling $259.2 million and net accounts receivable of $40.1 million. Our investments are selected in accordance with our investment policy, with a goal of maintaining liquidity and capital preservation. Our cash equivalents and short-term investments are held in highly liquid money market funds, certificates of deposits, and commercial paper.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summary of activity within the condensed consolidated statements of cash flows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18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(17,772)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decrease in cash provided by operating activities was primarily driven by changes in the amount and timing of settlement of operating assets and liabilities, primarily the change in accrued compensation.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decrease in cash used in investing activities was primarily due to increased maturities of investments, partially offset by increased purchases of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cash used in financing activities was primarily due to the increase in cash used for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325755"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Our contractual obligations and commercial commitments as of </w:t>
      </w:r>
      <w:r>
        <w:rPr>
          <w:rFonts w:ascii="Arial" w:cs="Arial" w:eastAsia="Arial" w:hAnsi="Arial"/>
          <w:sz w:val="18"/>
          <w:szCs w:val="18"/>
          <w:color w:val="1F282C"/>
        </w:rPr>
        <w:t>June 30, 2022</w:t>
      </w:r>
      <w:r>
        <w:rPr>
          <w:rFonts w:ascii="Arial" w:cs="Arial" w:eastAsia="Arial" w:hAnsi="Arial"/>
          <w:sz w:val="18"/>
          <w:szCs w:val="18"/>
          <w:color w:val="auto"/>
        </w:rPr>
        <w:t xml:space="preserve"> are summarized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717"/>
              <w:spacing w:after="0"/>
              <w:rPr>
                <w:sz w:val="20"/>
                <w:szCs w:val="20"/>
                <w:color w:val="auto"/>
              </w:rPr>
            </w:pPr>
            <w:r>
              <w:rPr>
                <w:rFonts w:ascii="Arial" w:cs="Arial" w:eastAsia="Arial" w:hAnsi="Arial"/>
                <w:sz w:val="14"/>
                <w:szCs w:val="14"/>
                <w:b w:val="1"/>
                <w:bCs w:val="1"/>
                <w:color w:val="auto"/>
                <w:w w:val="92"/>
              </w:rPr>
              <w:t>Payments Due by Period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Less Than</w:t>
            </w: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3-5 Years</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More Than</w:t>
            </w:r>
          </w:p>
        </w:tc>
        <w:tc>
          <w:tcPr>
            <w:tcW w:w="260" w:type="dxa"/>
            <w:vAlign w:val="bottom"/>
          </w:tcPr>
          <w:p>
            <w:pPr>
              <w:spacing w:after="0"/>
              <w:rPr>
                <w:sz w:val="11"/>
                <w:szCs w:val="11"/>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including imputed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Future Capital Requirements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products and applications, if any;</w:t>
      </w:r>
    </w:p>
    <w:p>
      <w:pPr>
        <w:spacing w:after="0" w:line="117"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products and applications that we may develop;</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products and applications;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believe our cash, cash equivalents, investments and our cash flows from operations will be sufficient to meet our working capital and capital expenditure requirements for at least the next twelve months.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and Inflation Rate Changes</w:t>
      </w:r>
    </w:p>
    <w:p>
      <w:pPr>
        <w:spacing w:after="0" w:line="11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spacing w:after="0" w:line="14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Inflation and changing prices did not have a material effect on our business during the six months ended </w:t>
      </w:r>
      <w:r>
        <w:rPr>
          <w:rFonts w:ascii="Arial" w:cs="Arial" w:eastAsia="Arial" w:hAnsi="Arial"/>
          <w:sz w:val="18"/>
          <w:szCs w:val="18"/>
          <w:color w:val="1F282C"/>
        </w:rPr>
        <w:t>June 30, 2022</w:t>
      </w:r>
      <w:r>
        <w:rPr>
          <w:rFonts w:ascii="Arial" w:cs="Arial" w:eastAsia="Arial" w:hAnsi="Arial"/>
          <w:sz w:val="18"/>
          <w:szCs w:val="18"/>
          <w:color w:val="auto"/>
        </w:rPr>
        <w:t xml:space="preserve"> and we do not expect that inflation or changing prices will materially affect our business in the foreseeable future.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of exposure. We do not enter into investments for trading or speculative purposes.</w:t>
      </w:r>
    </w:p>
    <w:p>
      <w:pPr>
        <w:spacing w:after="0" w:line="14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We did not have any variable interest rate outstanding debt as of </w:t>
      </w:r>
      <w:r>
        <w:rPr>
          <w:rFonts w:ascii="Arial" w:cs="Arial" w:eastAsia="Arial" w:hAnsi="Arial"/>
          <w:sz w:val="18"/>
          <w:szCs w:val="18"/>
          <w:color w:val="1F282C"/>
        </w:rPr>
        <w:t>June 30, 2022</w:t>
      </w:r>
      <w:r>
        <w:rPr>
          <w:rFonts w:ascii="Arial" w:cs="Arial" w:eastAsia="Arial" w:hAnsi="Arial"/>
          <w:sz w:val="18"/>
          <w:szCs w:val="18"/>
          <w:color w:val="auto"/>
        </w:rPr>
        <w:t>. Therefore, we do not have any material risk to interest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Due to international operations, we have revenue, expenses, assets, and liabilities that are denominated in currencies other than the U.S. dollar, primarily the Australian and Canadian dollars. Our condensed consolidated balance sheet, results of operations, and cash flows are, therefore, subject to</w:t>
      </w:r>
    </w:p>
    <w:p>
      <w:pPr>
        <w:spacing w:after="0"/>
        <w:rPr>
          <w:sz w:val="20"/>
          <w:szCs w:val="20"/>
          <w:color w:val="auto"/>
        </w:rPr>
      </w:pPr>
      <w:r>
        <w:rPr>
          <w:rFonts w:ascii="Arial" w:cs="Arial" w:eastAsia="Arial" w:hAnsi="Arial"/>
          <w:sz w:val="16"/>
          <w:szCs w:val="16"/>
          <w:color w:val="auto"/>
        </w:rPr>
        <w:t>fluctuations due to changes in foreign currency exchange rates and may be adversely affected in the future due to changes in foreign exchange rates</w:t>
      </w:r>
      <w:r>
        <w:rPr>
          <w:rFonts w:ascii="Arial" w:cs="Arial" w:eastAsia="Arial" w:hAnsi="Arial"/>
          <w:sz w:val="19"/>
          <w:szCs w:val="19"/>
          <w:color w:val="008080"/>
        </w:rPr>
        <w:t>.</w:t>
      </w:r>
    </w:p>
    <w:p>
      <w:pPr>
        <w:spacing w:after="0" w:line="267" w:lineRule="exact"/>
        <w:rPr>
          <w:sz w:val="20"/>
          <w:szCs w:val="20"/>
          <w:color w:val="auto"/>
        </w:rPr>
      </w:pPr>
    </w:p>
    <w:p>
      <w:pPr>
        <w:ind w:right="220" w:firstLine="648"/>
        <w:spacing w:after="0" w:line="324" w:lineRule="auto"/>
        <w:rPr>
          <w:sz w:val="20"/>
          <w:szCs w:val="20"/>
          <w:color w:val="auto"/>
        </w:rPr>
      </w:pPr>
      <w:r>
        <w:rPr>
          <w:rFonts w:ascii="Arial" w:cs="Arial" w:eastAsia="Arial" w:hAnsi="Arial"/>
          <w:sz w:val="16"/>
          <w:szCs w:val="16"/>
          <w:color w:val="auto"/>
        </w:rPr>
        <w:t xml:space="preserve">Our sales are primarily denominated in U.S. dollars. Our expenses are generally denominated in the local currencies in which our operations are located. As of </w:t>
      </w:r>
      <w:r>
        <w:rPr>
          <w:rFonts w:ascii="Arial" w:cs="Arial" w:eastAsia="Arial" w:hAnsi="Arial"/>
          <w:sz w:val="16"/>
          <w:szCs w:val="16"/>
          <w:color w:val="1F282C"/>
        </w:rPr>
        <w:t>June 30, 2022</w:t>
      </w:r>
      <w:r>
        <w:rPr>
          <w:rFonts w:ascii="Arial" w:cs="Arial" w:eastAsia="Arial" w:hAnsi="Arial"/>
          <w:sz w:val="16"/>
          <w:szCs w:val="16"/>
          <w:color w:val="auto"/>
        </w:rPr>
        <w:t xml:space="preserve"> , we maintained approximately 5% of our total cash and cash equivalents and investments in foreign currencies.</w:t>
      </w:r>
    </w:p>
    <w:p>
      <w:pPr>
        <w:spacing w:after="0" w:line="151" w:lineRule="exact"/>
        <w:rPr>
          <w:sz w:val="20"/>
          <w:szCs w:val="20"/>
          <w:color w:val="auto"/>
        </w:rPr>
      </w:pPr>
    </w:p>
    <w:p>
      <w:pPr>
        <w:ind w:right="200" w:firstLine="648"/>
        <w:spacing w:after="0" w:line="291" w:lineRule="auto"/>
        <w:rPr>
          <w:sz w:val="20"/>
          <w:szCs w:val="20"/>
          <w:color w:val="auto"/>
        </w:rPr>
      </w:pPr>
      <w:r>
        <w:rPr>
          <w:rFonts w:ascii="Arial" w:cs="Arial" w:eastAsia="Arial" w:hAnsi="Arial"/>
          <w:sz w:val="17"/>
          <w:szCs w:val="17"/>
          <w:color w:val="auto"/>
        </w:rPr>
        <w:t>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w:t>
      </w:r>
    </w:p>
    <w:p>
      <w:pPr>
        <w:spacing w:after="0" w:line="174"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We have not used any forward contracts or currency borrowings to hedge our exposure to foreign currency exchange risk, although we may do so in the future.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6"/>
          <w:szCs w:val="16"/>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160" w:firstLine="648"/>
        <w:spacing w:after="0" w:line="274" w:lineRule="auto"/>
        <w:rPr>
          <w:sz w:val="20"/>
          <w:szCs w:val="20"/>
          <w:color w:val="auto"/>
        </w:rPr>
      </w:pPr>
      <w:r>
        <w:rPr>
          <w:rFonts w:ascii="Arial" w:cs="Arial" w:eastAsia="Arial" w:hAnsi="Arial"/>
          <w:sz w:val="16"/>
          <w:szCs w:val="16"/>
          <w:color w:val="auto"/>
        </w:rPr>
        <w:t xml:space="preserve">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w:t>
      </w:r>
      <w:r>
        <w:rPr>
          <w:rFonts w:ascii="Arial" w:cs="Arial" w:eastAsia="Arial" w:hAnsi="Arial"/>
          <w:sz w:val="16"/>
          <w:szCs w:val="16"/>
          <w:color w:val="1F282C"/>
        </w:rPr>
        <w:t>June 30, 2022</w:t>
      </w:r>
      <w:r>
        <w:rPr>
          <w:rFonts w:ascii="Arial" w:cs="Arial" w:eastAsia="Arial" w:hAnsi="Arial"/>
          <w:sz w:val="16"/>
          <w:szCs w:val="16"/>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117"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 xml:space="preserve">In November 2021, we acquired the Genius Central business. Pursuant to the SEC’s general guidance that an assessment of a recently acquired business may be omitted from our scope for a period not to exceed one year from the date of acquisition, the scope of our most recent assessment did not include Genius Central. We are currently in the process of incorporating internal controls specific to Genius Central that we believe are appropriate and necessary to consolidate and report upon our financial results. Our assessment of the effectiveness of internal control over financial reporting as of December 31, 2022 will include Genius Central. As of and for the three and six months ended </w:t>
      </w:r>
      <w:r>
        <w:rPr>
          <w:rFonts w:ascii="Arial" w:cs="Arial" w:eastAsia="Arial" w:hAnsi="Arial"/>
          <w:sz w:val="16"/>
          <w:szCs w:val="16"/>
          <w:color w:val="1F282C"/>
        </w:rPr>
        <w:t>June 30, 2022</w:t>
      </w:r>
      <w:r>
        <w:rPr>
          <w:rFonts w:ascii="Arial" w:cs="Arial" w:eastAsia="Arial" w:hAnsi="Arial"/>
          <w:sz w:val="16"/>
          <w:szCs w:val="16"/>
          <w:color w:val="auto"/>
        </w:rPr>
        <w:t>, excluding net intangible assets and goodwill, Genius Central represented less than 1% of our consolidated assets and approximately 1% of our consolidated revenues.</w:t>
      </w:r>
    </w:p>
    <w:p>
      <w:pPr>
        <w:spacing w:after="0" w:line="5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 xml:space="preserve">There were no changes in our internal control over financial reporting during the quarter ended </w:t>
      </w:r>
      <w:r>
        <w:rPr>
          <w:rFonts w:ascii="Arial" w:cs="Arial" w:eastAsia="Arial" w:hAnsi="Arial"/>
          <w:sz w:val="18"/>
          <w:szCs w:val="18"/>
          <w:color w:val="1F282C"/>
        </w:rPr>
        <w:t>June 30, 2022</w:t>
      </w:r>
      <w:r>
        <w:rPr>
          <w:rFonts w:ascii="Arial" w:cs="Arial" w:eastAsia="Arial" w:hAnsi="Arial"/>
          <w:sz w:val="18"/>
          <w:szCs w:val="18"/>
          <w:color w:val="auto"/>
        </w:rPr>
        <w:t xml:space="preserve">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263525</wp:posOffset>
            </wp:positionV>
            <wp:extent cx="32575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2021, as filed with the SEC.</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5"/>
          <w:szCs w:val="15"/>
          <w:b w:val="1"/>
          <w:bCs w:val="1"/>
          <w:color w:val="00AAE5"/>
        </w:rPr>
        <w:t>Unregistered Sales of Equity Securities and Use of Proceeds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1F282C"/>
        </w:rPr>
        <w:t>(c) Share Repurchases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89"/>
        </w:trPr>
        <w:tc>
          <w:tcPr>
            <w:tcW w:w="504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 per Share</w:t>
            </w:r>
          </w:p>
        </w:tc>
        <w:tc>
          <w:tcPr>
            <w:tcW w:w="14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1"/>
              </w:rPr>
              <w:t>Program</w:t>
            </w:r>
            <w:r>
              <w:rPr>
                <w:rFonts w:ascii="Arial" w:cs="Arial" w:eastAsia="Arial" w:hAnsi="Arial"/>
                <w:sz w:val="18"/>
                <w:szCs w:val="18"/>
                <w:b w:val="1"/>
                <w:bCs w:val="1"/>
                <w:color w:val="auto"/>
                <w:w w:val="91"/>
                <w:vertAlign w:val="superscript"/>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1"/>
              <w:spacing w:after="0" w:line="189" w:lineRule="exact"/>
              <w:rPr>
                <w:sz w:val="20"/>
                <w:szCs w:val="20"/>
                <w:color w:val="auto"/>
              </w:rPr>
            </w:pPr>
            <w:r>
              <w:rPr>
                <w:rFonts w:ascii="Arial" w:cs="Arial" w:eastAsia="Arial" w:hAnsi="Arial"/>
                <w:sz w:val="14"/>
                <w:szCs w:val="14"/>
                <w:b w:val="1"/>
                <w:bCs w:val="1"/>
                <w:color w:val="auto"/>
                <w:w w:val="89"/>
              </w:rPr>
              <w:t xml:space="preserve">Program </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1 - 30, 2022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36,778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20,412,000</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May 1 - 31,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45,132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18"/>
                <w:szCs w:val="18"/>
                <w:color w:val="auto"/>
              </w:rPr>
              <w:t>45,132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15,582,000</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51,742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10,008,000</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133,652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10,008,000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For more information regarding our share repurchase programs, refer to Note I to our condensed consolidated financial statements, included in Part I of this Quarterly Report on Form 10-Q.</w:t>
      </w:r>
    </w:p>
    <w:p>
      <w:pPr>
        <w:spacing w:after="0" w:line="171" w:lineRule="exact"/>
        <w:rPr>
          <w:sz w:val="20"/>
          <w:szCs w:val="20"/>
          <w:color w:val="auto"/>
        </w:rPr>
      </w:pPr>
    </w:p>
    <w:p>
      <w:pPr>
        <w:ind w:left="1300" w:right="80" w:hanging="644"/>
        <w:spacing w:after="0" w:line="248" w:lineRule="auto"/>
        <w:tabs>
          <w:tab w:leader="none" w:pos="129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Under our share repurchase program announced by our board of directors on October 28, 2021, we can repurchase up to $50.0 million of our common stock in the open market or in privately negotiated purchases, or both, through November 28, 2023. Our share repurchase activity during the three months ended </w:t>
      </w:r>
      <w:r>
        <w:rPr>
          <w:rFonts w:ascii="Arial" w:cs="Arial" w:eastAsia="Arial" w:hAnsi="Arial"/>
          <w:sz w:val="18"/>
          <w:szCs w:val="18"/>
          <w:color w:val="1F282C"/>
        </w:rPr>
        <w:t>June 30, 2022</w:t>
      </w:r>
      <w:r>
        <w:rPr>
          <w:rFonts w:ascii="Arial" w:cs="Arial" w:eastAsia="Arial" w:hAnsi="Arial"/>
          <w:sz w:val="18"/>
          <w:szCs w:val="18"/>
          <w:color w:val="auto"/>
        </w:rPr>
        <w:t xml:space="preserve"> is included in this column.</w:t>
      </w:r>
    </w:p>
    <w:p>
      <w:pPr>
        <w:spacing w:after="0" w:line="181" w:lineRule="exact"/>
        <w:rPr>
          <w:rFonts w:ascii="Arial" w:cs="Arial" w:eastAsia="Arial" w:hAnsi="Arial"/>
          <w:sz w:val="18"/>
          <w:szCs w:val="18"/>
          <w:color w:val="auto"/>
        </w:rPr>
      </w:pPr>
    </w:p>
    <w:p>
      <w:pPr>
        <w:ind w:left="1300" w:right="120" w:hanging="644"/>
        <w:spacing w:after="0" w:line="294" w:lineRule="auto"/>
        <w:tabs>
          <w:tab w:leader="none" w:pos="1317" w:val="left"/>
        </w:tabs>
        <w:numPr>
          <w:ilvl w:val="0"/>
          <w:numId w:val="6"/>
        </w:numPr>
        <w:rPr>
          <w:rFonts w:ascii="Arial" w:cs="Arial" w:eastAsia="Arial" w:hAnsi="Arial"/>
          <w:sz w:val="16"/>
          <w:szCs w:val="16"/>
          <w:color w:val="212529"/>
        </w:rPr>
      </w:pPr>
      <w:r>
        <w:rPr>
          <w:rFonts w:ascii="Arial" w:cs="Arial" w:eastAsia="Arial" w:hAnsi="Arial"/>
          <w:sz w:val="16"/>
          <w:szCs w:val="16"/>
          <w:color w:val="212529"/>
        </w:rPr>
        <w:t xml:space="preserve">On July 26, 2022 (announced July 27, 2022), a new share repurchase program was authorized, effective August 26, 2022, that allows up to $50.0 million of common stock to be repurchased </w:t>
      </w:r>
      <w:r>
        <w:rPr>
          <w:rFonts w:ascii="Arial" w:cs="Arial" w:eastAsia="Arial" w:hAnsi="Arial"/>
          <w:sz w:val="16"/>
          <w:szCs w:val="16"/>
          <w:color w:val="000000"/>
        </w:rPr>
        <w:t>in the open market or in privately negotiated purchases, or both</w:t>
      </w:r>
      <w:r>
        <w:rPr>
          <w:rFonts w:ascii="Arial" w:cs="Arial" w:eastAsia="Arial" w:hAnsi="Arial"/>
          <w:sz w:val="16"/>
          <w:szCs w:val="16"/>
          <w:color w:val="212529"/>
        </w:rPr>
        <w:t>, expiring in July 2024. The current program, described in (1) above, will terminate on the effective date of the new share repurchase program.</w:t>
      </w:r>
    </w:p>
    <w:p>
      <w:pPr>
        <w:spacing w:after="0" w:line="2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325755"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00AAE5"/>
              </w:rPr>
              <w:t>Item 6.</w:t>
            </w:r>
          </w:p>
        </w:tc>
        <w:tc>
          <w:tcPr>
            <w:tcW w:w="10600" w:type="dxa"/>
            <w:vAlign w:val="bottom"/>
            <w:gridSpan w:val="13"/>
          </w:tcPr>
          <w:p>
            <w:pPr>
              <w:ind w:left="80"/>
              <w:spacing w:after="0"/>
              <w:rPr>
                <w:sz w:val="20"/>
                <w:szCs w:val="20"/>
                <w:color w:val="auto"/>
              </w:rPr>
            </w:pPr>
            <w:r>
              <w:rPr>
                <w:rFonts w:ascii="Arial" w:cs="Arial" w:eastAsia="Arial" w:hAnsi="Arial"/>
                <w:sz w:val="18"/>
                <w:szCs w:val="18"/>
                <w:b w:val="1"/>
                <w:bCs w:val="1"/>
                <w:color w:val="00AAE5"/>
              </w:rPr>
              <w:t>Exhibits</w:t>
            </w:r>
          </w:p>
        </w:tc>
      </w:tr>
      <w:tr>
        <w:trPr>
          <w:trHeight w:val="433"/>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6"/>
        </w:trPr>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Ninth Amended and Restated Certificate of Incorporation (incorporated by reference to Exhibit 3.2 to our Current Report on Form 8-K</w:t>
              </w:r>
            </w:hyperlink>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filed with the SEC on May 21, 2020).</w:t>
              </w:r>
            </w:hyperlink>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6"/>
              </w:rPr>
            </w:pPr>
            <w:hyperlink r:id="rId68">
              <w:r>
                <w:rPr>
                  <w:rFonts w:ascii="Arial" w:cs="Arial" w:eastAsia="Arial" w:hAnsi="Arial"/>
                  <w:sz w:val="18"/>
                  <w:szCs w:val="18"/>
                  <w:color w:val="0000EE"/>
                  <w:w w:val="96"/>
                </w:rPr>
                <w:t>Amended and Restated Bylaws (incorporated by reference to Exhibit 3.1 to our Current Report on Form 8-K filed with the SEC on</w:t>
              </w:r>
            </w:hyperlink>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October 17, 2017).</w:t>
              </w:r>
            </w:hyperlink>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Certification of Principal Executive Officer pursuant to Rules 13a-14(a) under the Securities Exchange Act of 1934, as amended (filed</w:t>
              </w:r>
            </w:hyperlink>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herewith).</w:t>
              </w:r>
            </w:hyperlink>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Certification of Principal Financial Officer pursuant to Rules 13a-14(a) under the Securities Exchange Act of 1934, as amended (filed</w:t>
              </w:r>
            </w:hyperlink>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herewith).</w:t>
              </w:r>
            </w:hyperlink>
          </w:p>
        </w:tc>
        <w:tc>
          <w:tcPr>
            <w:tcW w:w="2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and Chief Financial Officer pursuant to 18 U.S.C. Sec. 1350, as adopted pursuant to Section 906</w:t>
              </w:r>
            </w:hyperlink>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of the Sarbanes-Oxley Act of 2002 (filed herewith).</w:t>
              </w:r>
            </w:hyperlink>
          </w:p>
        </w:tc>
        <w:tc>
          <w:tcPr>
            <w:tcW w:w="6120" w:type="dxa"/>
            <w:vAlign w:val="bottom"/>
            <w:tcBorders>
              <w:top w:val="single" w:sz="8" w:color="0000EE"/>
            </w:tcBorders>
            <w:gridSpan w:val="5"/>
          </w:tcPr>
          <w:p>
            <w:pPr>
              <w:spacing w:after="0"/>
              <w:rPr>
                <w:sz w:val="15"/>
                <w:szCs w:val="15"/>
                <w:color w:val="auto"/>
              </w:rPr>
            </w:pPr>
          </w:p>
        </w:tc>
        <w:tc>
          <w:tcPr>
            <w:tcW w:w="120" w:type="dxa"/>
            <w:vAlign w:val="bottom"/>
          </w:tcPr>
          <w:p>
            <w:pPr>
              <w:spacing w:after="0"/>
              <w:rPr>
                <w:sz w:val="15"/>
                <w:szCs w:val="15"/>
                <w:color w:val="auto"/>
              </w:rPr>
            </w:pPr>
          </w:p>
        </w:tc>
      </w:tr>
    </w:tbl>
    <w:p>
      <w:pPr>
        <w:spacing w:after="0" w:line="161" w:lineRule="exact"/>
        <w:rPr>
          <w:sz w:val="20"/>
          <w:szCs w:val="20"/>
          <w:color w:val="auto"/>
        </w:rPr>
      </w:pPr>
    </w:p>
    <w:p>
      <w:pPr>
        <w:ind w:left="1260" w:right="440" w:hanging="1234"/>
        <w:spacing w:after="0" w:line="261"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10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June 30, 2022,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325755"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9"/>
          <w:szCs w:val="9"/>
          <w:b w:val="1"/>
          <w:bCs w:val="1"/>
          <w:color w:val="auto"/>
        </w:rPr>
        <w:t>Form 10-Q for the Quarterly Period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July 27, 2022</w:t>
      </w:r>
      <w:r>
        <w:rPr>
          <w:sz w:val="20"/>
          <w:szCs w:val="20"/>
          <w:color w:val="auto"/>
        </w:rPr>
        <w:tab/>
      </w:r>
      <w:r>
        <w:rPr>
          <w:rFonts w:ascii="Arial" w:cs="Arial" w:eastAsia="Arial" w:hAnsi="Arial"/>
          <w:sz w:val="17"/>
          <w:szCs w:val="17"/>
          <w:b w:val="1"/>
          <w:bCs w:val="1"/>
          <w:color w:val="auto"/>
        </w:rPr>
        <w:t>SPS COMMERCE, INC.</w:t>
      </w: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Kimberly Nelson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325755"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spacing w:after="0"/>
        <w:tabs>
          <w:tab w:leader="none" w:pos="5420" w:val="left"/>
          <w:tab w:leader="none" w:pos="85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9"/>
          <w:szCs w:val="9"/>
          <w:b w:val="1"/>
          <w:bCs w:val="1"/>
          <w:color w:val="auto"/>
        </w:rPr>
        <w:t>Form 10-Q for the Quarterly Period ended June 30, 2022</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Black, certify that:</w:t>
      </w:r>
    </w:p>
    <w:p>
      <w:pPr>
        <w:spacing w:after="0" w:line="225"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20" w:hanging="648"/>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960" w:right="20" w:hanging="980"/>
        <w:spacing w:after="0" w:line="286" w:lineRule="auto"/>
        <w:tabs>
          <w:tab w:leader="none" w:pos="195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980"/>
        <w:spacing w:after="0" w:line="286" w:lineRule="auto"/>
        <w:tabs>
          <w:tab w:leader="none" w:pos="19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980"/>
        <w:spacing w:after="0" w:line="263" w:lineRule="auto"/>
        <w:tabs>
          <w:tab w:leader="none" w:pos="195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00" w:hanging="980"/>
        <w:spacing w:after="0" w:line="311" w:lineRule="auto"/>
        <w:tabs>
          <w:tab w:leader="none" w:pos="1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80" w:hanging="648"/>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80" w:hanging="980"/>
        <w:spacing w:after="0" w:line="263" w:lineRule="auto"/>
        <w:tabs>
          <w:tab w:leader="none" w:pos="195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980"/>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ARCHIE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Archie Black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ind w:left="20"/>
        <w:spacing w:after="0"/>
        <w:rPr>
          <w:sz w:val="20"/>
          <w:szCs w:val="20"/>
          <w:color w:val="auto"/>
        </w:rPr>
      </w:pPr>
      <w:r>
        <w:rPr>
          <w:rFonts w:ascii="Arial" w:cs="Arial" w:eastAsia="Arial" w:hAnsi="Arial"/>
          <w:sz w:val="18"/>
          <w:szCs w:val="18"/>
          <w:color w:val="auto"/>
        </w:rPr>
        <w:t>July 27, 2022</w:t>
      </w:r>
    </w:p>
    <w:p>
      <w:pPr>
        <w:sectPr>
          <w:pgSz w:w="11900" w:h="16838" w:orient="portrait"/>
          <w:cols w:equalWidth="0" w:num="1">
            <w:col w:w="11240"/>
          </w:cols>
          <w:pgMar w:left="320" w:top="114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Nelson, certify that:</w:t>
      </w:r>
    </w:p>
    <w:p>
      <w:pPr>
        <w:spacing w:after="0" w:line="225"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20" w:hanging="648"/>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960" w:right="20" w:hanging="980"/>
        <w:spacing w:after="0" w:line="286" w:lineRule="auto"/>
        <w:tabs>
          <w:tab w:leader="none" w:pos="195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980"/>
        <w:spacing w:after="0" w:line="286" w:lineRule="auto"/>
        <w:tabs>
          <w:tab w:leader="none" w:pos="1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980"/>
        <w:spacing w:after="0" w:line="263"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00" w:hanging="980"/>
        <w:spacing w:after="0" w:line="311" w:lineRule="auto"/>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80" w:hanging="648"/>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80" w:hanging="980"/>
        <w:spacing w:after="0" w:line="263"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980"/>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Nelson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ind w:left="20"/>
        <w:spacing w:after="0"/>
        <w:rPr>
          <w:sz w:val="20"/>
          <w:szCs w:val="20"/>
          <w:color w:val="auto"/>
        </w:rPr>
      </w:pPr>
      <w:r>
        <w:rPr>
          <w:rFonts w:ascii="Arial" w:cs="Arial" w:eastAsia="Arial" w:hAnsi="Arial"/>
          <w:sz w:val="18"/>
          <w:szCs w:val="18"/>
          <w:color w:val="auto"/>
        </w:rPr>
        <w:t>July 27, 2022</w:t>
      </w:r>
    </w:p>
    <w:p>
      <w:pPr>
        <w:sectPr>
          <w:pgSz w:w="11900" w:h="16838" w:orient="portrait"/>
          <w:cols w:equalWidth="0" w:num="1">
            <w:col w:w="11240"/>
          </w:cols>
          <w:pgMar w:left="320" w:top="114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2022,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49"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0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ARCHIE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Archie Black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Nelson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0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9" Type="http://schemas.openxmlformats.org/officeDocument/2006/relationships/image" Target="media/image60.jpe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jpe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7" Type="http://schemas.openxmlformats.org/officeDocument/2006/relationships/hyperlink" Target="http://www.sec.gov/Archives/edgar/data/1092699/000119312520148645/d833455dex32.htm" TargetMode="External"/><Relationship Id="rId68"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2022-07-27T16:22:25Z</dcterms:created>
  <dcterms:modified xsi:type="dcterms:W3CDTF">2022-07-27T16:22:25Z</dcterms:modified>
</cp:coreProperties>
</file>