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right="3879" w:firstLine="8"/>
        <w:spacing w:after="0" w:line="250" w:lineRule="exact"/>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54"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86995</wp:posOffset>
            </wp:positionV>
            <wp:extent cx="57467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67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4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1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2816860</wp:posOffset>
            </wp:positionV>
            <wp:extent cx="163195"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057400" cy="591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9118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2497455</wp:posOffset>
            </wp:positionV>
            <wp:extent cx="1551305" cy="139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Chad Collins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333 South Seventh Street, Suite 1000</w:t>
      </w:r>
    </w:p>
    <w:p>
      <w:pPr>
        <w:jc w:val="right"/>
        <w:spacing w:after="0" w:line="203" w:lineRule="auto"/>
        <w:rPr>
          <w:sz w:val="20"/>
          <w:szCs w:val="20"/>
          <w:color w:val="auto"/>
        </w:rPr>
      </w:pPr>
      <w:r>
        <w:rPr>
          <w:rFonts w:ascii="Times New Roman" w:cs="Times New Roman" w:eastAsia="Times New Roman" w:hAnsi="Times New Roman"/>
          <w:sz w:val="18"/>
          <w:szCs w:val="18"/>
          <w:color w:val="auto"/>
        </w:rPr>
        <w:t>Minneapolis, Minnesota 55402</w:t>
      </w:r>
    </w:p>
    <w:p>
      <w:pPr>
        <w:jc w:val="right"/>
        <w:spacing w:after="0"/>
        <w:rPr>
          <w:sz w:val="20"/>
          <w:szCs w:val="20"/>
          <w:color w:val="auto"/>
        </w:rPr>
      </w:pPr>
      <w:r>
        <w:rPr>
          <w:rFonts w:ascii="Times New Roman" w:cs="Times New Roman" w:eastAsia="Times New Roman" w:hAnsi="Times New Roman"/>
          <w:sz w:val="18"/>
          <w:szCs w:val="18"/>
          <w:color w:val="auto"/>
        </w:rPr>
        <w:t>(612) 435-9400</w:t>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14, 2026</w:t>
      </w: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00AAE5"/>
        </w:rPr>
        <w:t>Dear Stockholders:</w:t>
      </w:r>
    </w:p>
    <w:p>
      <w:pPr>
        <w:spacing w:after="0" w:line="200" w:lineRule="exact"/>
        <w:rPr>
          <w:sz w:val="20"/>
          <w:szCs w:val="20"/>
          <w:color w:val="auto"/>
        </w:rPr>
      </w:pPr>
    </w:p>
    <w:p>
      <w:pPr>
        <w:spacing w:after="0" w:line="211" w:lineRule="exact"/>
        <w:rPr>
          <w:sz w:val="20"/>
          <w:szCs w:val="20"/>
          <w:color w:val="auto"/>
        </w:rPr>
      </w:pPr>
    </w:p>
    <w:p>
      <w:pPr>
        <w:ind w:right="300" w:firstLine="486"/>
        <w:spacing w:after="0" w:line="256" w:lineRule="auto"/>
        <w:rPr>
          <w:sz w:val="20"/>
          <w:szCs w:val="20"/>
          <w:color w:val="auto"/>
        </w:rPr>
      </w:pPr>
      <w:r>
        <w:rPr>
          <w:rFonts w:ascii="Times New Roman" w:cs="Times New Roman" w:eastAsia="Times New Roman" w:hAnsi="Times New Roman"/>
          <w:sz w:val="18"/>
          <w:szCs w:val="18"/>
          <w:color w:val="auto"/>
        </w:rPr>
        <w:t>You are cordially invited to join us for our 2026 Annual Meeting of Stockholders, which will be held virtually on Thursday, May 28, 2026, at 8:00 a.m., Central Time. The virtual meeting can be accessed by visiting the following website and entering your control number: www.virtualshareholdermeeting.com/SPSC2026. Stockholders will have the same opportunities to participate in the virtual meeting as you would at an in-person meeting, including having the opportunity to vote and to submit a question during the meeting using the directions on the meeting website.</w:t>
      </w:r>
    </w:p>
    <w:p>
      <w:pPr>
        <w:spacing w:after="0" w:line="133"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notice of the 2026 Annual Meeting of Stockholders and the Proxy Statement that follow describe the business to be conducted at the meeting. Whether or not you plan to attend the virtual meeting, your vote is important and we encourage you to submit your proxy to vote your shares promptly. You may vote your shares by proxy by using a toll-free telephone number, the internet, or mail, free of charge. Instructions regarding these three methods of voting are contained in the proxy materials.</w:t>
      </w:r>
    </w:p>
    <w:p>
      <w:pPr>
        <w:spacing w:after="0" w:line="129" w:lineRule="exact"/>
        <w:rPr>
          <w:sz w:val="20"/>
          <w:szCs w:val="20"/>
          <w:color w:val="auto"/>
        </w:rPr>
      </w:pPr>
    </w:p>
    <w:p>
      <w:pPr>
        <w:ind w:right="260" w:firstLine="486"/>
        <w:spacing w:after="0" w:line="254" w:lineRule="auto"/>
        <w:rPr>
          <w:sz w:val="20"/>
          <w:szCs w:val="20"/>
          <w:color w:val="auto"/>
        </w:rPr>
      </w:pPr>
      <w:r>
        <w:rPr>
          <w:rFonts w:ascii="Times New Roman" w:cs="Times New Roman" w:eastAsia="Times New Roman" w:hAnsi="Times New Roman"/>
          <w:sz w:val="18"/>
          <w:szCs w:val="18"/>
          <w:color w:val="auto"/>
        </w:rPr>
        <w:t>We are pleased to take advantage of SEC rules that allow companies to furnish their proxy materials over the internet. We are mailing to many of our stockholders a Notice of Internet Availability of Proxy Materials (the “Notice”) instead of a paper copy of our proxy materials and our 2025 Annual Report to Stockholders (the “Annual Report”). This process allows us to provide our stockholders with the information they need more promptly, while reducing the environmental impact and lowering the costs of printing and distributing our proxy materials. The Notice contains instructions on how to access our proxy materials and Annual Report and to cast your vote via the internet. The Notice also contains instructions on how to request a paper copy of our proxy materials and our Annual Report. All stockholders who do not receive a Notice will receive a paper copy of our proxy materials and Annual Report by mail.</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look forward to having you attend the virtual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34290</wp:posOffset>
            </wp:positionV>
            <wp:extent cx="1885950" cy="419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Chad Collins</w:t>
      </w:r>
    </w:p>
    <w:p>
      <w:pPr>
        <w:spacing w:after="0" w:line="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704215</wp:posOffset>
            </wp:positionV>
            <wp:extent cx="16319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560"/>
            <w:col w:w="8200"/>
          </w:cols>
          <w:pgMar w:left="7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72390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type w:val="continuous"/>
        </w:sectPr>
      </w:pPr>
    </w:p>
    <w:bookmarkStart w:id="2" w:name="page3"/>
    <w:bookmarkEnd w:id="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NOTICE OF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2057400" cy="591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03" w:lineRule="auto"/>
        <w:rPr>
          <w:sz w:val="20"/>
          <w:szCs w:val="20"/>
          <w:color w:val="auto"/>
        </w:rPr>
      </w:pPr>
      <w:r>
        <w:rPr>
          <w:rFonts w:ascii="Times New Roman" w:cs="Times New Roman" w:eastAsia="Times New Roman" w:hAnsi="Times New Roman"/>
          <w:sz w:val="18"/>
          <w:szCs w:val="18"/>
          <w:color w:val="auto"/>
        </w:rPr>
        <w:t>333 South Seventh Street, Suite 1000</w:t>
      </w: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color w:val="auto"/>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96520</wp:posOffset>
            </wp:positionV>
            <wp:extent cx="14605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96520</wp:posOffset>
            </wp:positionV>
            <wp:extent cx="14605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 cy="145415"/>
                    </a:xfrm>
                    <a:prstGeom prst="rect">
                      <a:avLst/>
                    </a:prstGeom>
                    <a:noFill/>
                  </pic:spPr>
                </pic:pic>
              </a:graphicData>
            </a:graphic>
          </wp:anchor>
        </w:drawing>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00AAE5"/>
              </w:rPr>
              <w:t>T</w:t>
            </w:r>
            <w:r>
              <w:rPr>
                <w:rFonts w:ascii="Times New Roman" w:cs="Times New Roman" w:eastAsia="Times New Roman" w:hAnsi="Times New Roman"/>
                <w:sz w:val="18"/>
                <w:szCs w:val="18"/>
                <w:b w:val="1"/>
                <w:bCs w:val="1"/>
                <w:color w:val="0094FF"/>
              </w:rPr>
              <w:t>i</w:t>
            </w:r>
            <w:r>
              <w:rPr>
                <w:rFonts w:ascii="Times New Roman" w:cs="Times New Roman" w:eastAsia="Times New Roman" w:hAnsi="Times New Roman"/>
                <w:sz w:val="18"/>
                <w:szCs w:val="18"/>
                <w:b w:val="1"/>
                <w:bCs w:val="1"/>
                <w:color w:val="00AAE5"/>
              </w:rPr>
              <w:t>me and Date</w:t>
            </w:r>
          </w:p>
        </w:tc>
        <w:tc>
          <w:tcPr>
            <w:tcW w:w="1980" w:type="dxa"/>
            <w:vAlign w:val="bottom"/>
          </w:tcPr>
          <w:p>
            <w:pPr>
              <w:spacing w:after="0"/>
              <w:rPr>
                <w:sz w:val="19"/>
                <w:szCs w:val="19"/>
                <w:color w:val="auto"/>
              </w:rPr>
            </w:pPr>
          </w:p>
        </w:tc>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00AAE5"/>
              </w:rPr>
              <w:t>Access</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8:00 a.m., Central Time</w:t>
            </w:r>
          </w:p>
        </w:tc>
        <w:tc>
          <w:tcPr>
            <w:tcW w:w="69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9"/>
              </w:rPr>
              <w:t>The 2026 Annual Meeting of Stockholders is virtual only. Join us via:</w:t>
            </w:r>
          </w:p>
        </w:tc>
      </w:tr>
      <w:tr>
        <w:trPr>
          <w:trHeight w:val="194"/>
        </w:trPr>
        <w:tc>
          <w:tcPr>
            <w:tcW w:w="370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Thursday, May 28, 2026</w:t>
            </w:r>
          </w:p>
        </w:tc>
        <w:tc>
          <w:tcPr>
            <w:tcW w:w="1980" w:type="dxa"/>
            <w:vAlign w:val="bottom"/>
          </w:tcPr>
          <w:p>
            <w:pPr>
              <w:spacing w:after="0"/>
              <w:rPr>
                <w:sz w:val="16"/>
                <w:szCs w:val="16"/>
                <w:color w:val="auto"/>
              </w:rPr>
            </w:pPr>
          </w:p>
        </w:tc>
        <w:tc>
          <w:tcPr>
            <w:tcW w:w="3500" w:type="dxa"/>
            <w:vAlign w:val="bottom"/>
            <w:tcBorders>
              <w:bottom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w w:val="99"/>
              </w:rPr>
              <w:t>www.virtualshareholdermeeting.com/SPSC2026</w:t>
            </w:r>
          </w:p>
        </w:tc>
        <w:tc>
          <w:tcPr>
            <w:tcW w:w="14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40575" cy="874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87439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00AAE5"/>
        </w:rPr>
        <w:t>Items of Business</w:t>
      </w:r>
    </w:p>
    <w:p>
      <w:pPr>
        <w:spacing w:after="0" w:line="67" w:lineRule="exact"/>
        <w:rPr>
          <w:sz w:val="20"/>
          <w:szCs w:val="20"/>
          <w:color w:val="auto"/>
        </w:rPr>
      </w:pPr>
    </w:p>
    <w:p>
      <w:pPr>
        <w:ind w:left="600" w:hanging="439"/>
        <w:spacing w:after="0"/>
        <w:tabs>
          <w:tab w:leader="none" w:pos="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nine directors, each for a one-year term.</w:t>
      </w:r>
    </w:p>
    <w:p>
      <w:pPr>
        <w:spacing w:after="0" w:line="63" w:lineRule="exact"/>
        <w:rPr>
          <w:rFonts w:ascii="Times New Roman" w:cs="Times New Roman" w:eastAsia="Times New Roman" w:hAnsi="Times New Roman"/>
          <w:sz w:val="18"/>
          <w:szCs w:val="18"/>
          <w:color w:val="auto"/>
        </w:rPr>
      </w:pPr>
    </w:p>
    <w:p>
      <w:pPr>
        <w:ind w:left="600" w:hanging="439"/>
        <w:spacing w:after="0"/>
        <w:tabs>
          <w:tab w:leader="none" w:pos="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LLP as independent auditor for the fiscal year ending December 31, 2026.</w:t>
      </w:r>
    </w:p>
    <w:p>
      <w:pPr>
        <w:spacing w:after="0" w:line="63" w:lineRule="exact"/>
        <w:rPr>
          <w:rFonts w:ascii="Times New Roman" w:cs="Times New Roman" w:eastAsia="Times New Roman" w:hAnsi="Times New Roman"/>
          <w:sz w:val="18"/>
          <w:szCs w:val="18"/>
          <w:color w:val="auto"/>
        </w:rPr>
      </w:pPr>
    </w:p>
    <w:p>
      <w:pPr>
        <w:ind w:left="600" w:hanging="439"/>
        <w:spacing w:after="0"/>
        <w:tabs>
          <w:tab w:leader="none" w:pos="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our named executive officers (“Say-on-Pay” vote).</w:t>
      </w:r>
    </w:p>
    <w:p>
      <w:pPr>
        <w:spacing w:after="0" w:line="63" w:lineRule="exact"/>
        <w:rPr>
          <w:rFonts w:ascii="Times New Roman" w:cs="Times New Roman" w:eastAsia="Times New Roman" w:hAnsi="Times New Roman"/>
          <w:sz w:val="18"/>
          <w:szCs w:val="18"/>
          <w:color w:val="auto"/>
        </w:rPr>
      </w:pPr>
    </w:p>
    <w:p>
      <w:pPr>
        <w:ind w:left="600" w:hanging="500"/>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be considered at the meeting or any adjournment or postponement of the meeting.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 xml:space="preserve">Record Date </w:t>
      </w:r>
      <w:r>
        <w:rPr>
          <w:rFonts w:ascii="Times New Roman" w:cs="Times New Roman" w:eastAsia="Times New Roman" w:hAnsi="Times New Roman"/>
          <w:sz w:val="18"/>
          <w:szCs w:val="18"/>
          <w:color w:val="000000"/>
        </w:rPr>
        <w:t>– You may vote at the 2026 Annual Meeting if you were a stockholder of record at the close of business on March 30, 2026.</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00AAE5"/>
        </w:rPr>
        <w:t xml:space="preserve">Voting by Proxy </w:t>
      </w:r>
      <w:r>
        <w:rPr>
          <w:rFonts w:ascii="Times New Roman" w:cs="Times New Roman" w:eastAsia="Times New Roman" w:hAnsi="Times New Roman"/>
          <w:sz w:val="18"/>
          <w:szCs w:val="18"/>
          <w:color w:val="000000"/>
        </w:rPr>
        <w:t>– Whether or not you plan to attend the 2026 Annual Meeting virtually, please vote your shares by proxy to ensure they are represented at</w:t>
      </w:r>
      <w:r>
        <w:rPr>
          <w:rFonts w:ascii="Times New Roman" w:cs="Times New Roman" w:eastAsia="Times New Roman" w:hAnsi="Times New Roman"/>
          <w:sz w:val="18"/>
          <w:szCs w:val="18"/>
          <w:b w:val="1"/>
          <w:bCs w:val="1"/>
          <w:color w:val="00AAE5"/>
        </w:rPr>
        <w:t xml:space="preserve"> </w:t>
      </w:r>
      <w:r>
        <w:rPr>
          <w:rFonts w:ascii="Times New Roman" w:cs="Times New Roman" w:eastAsia="Times New Roman" w:hAnsi="Times New Roman"/>
          <w:sz w:val="18"/>
          <w:szCs w:val="18"/>
          <w:color w:val="000000"/>
        </w:rPr>
        <w:t>the 2026 Annual Meeting. To submit your proxy vote, you may follow the instructions for voting via the internet as described in the Notice and the proxy card. If you received a paper copy of the proxy card by mail, you may sign, date, and mail the proxy card in the envelope provided, or you may vote via telephone or the internet as described in the proxy card.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137160</wp:posOffset>
            </wp:positionV>
            <wp:extent cx="13970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0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 Collins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4057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314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left="380" w:right="700"/>
        <w:spacing w:after="0" w:line="239" w:lineRule="auto"/>
        <w:rPr>
          <w:sz w:val="20"/>
          <w:szCs w:val="20"/>
          <w:color w:val="auto"/>
        </w:rPr>
      </w:pPr>
      <w:r>
        <w:rPr>
          <w:rFonts w:ascii="Times New Roman" w:cs="Times New Roman" w:eastAsia="Times New Roman" w:hAnsi="Times New Roman"/>
          <w:sz w:val="18"/>
          <w:szCs w:val="18"/>
          <w:b w:val="1"/>
          <w:bCs w:val="1"/>
          <w:color w:val="00AAE5"/>
        </w:rPr>
        <w:t>IMPORTANT NOTICE REGARDING THE AVAILABILITY OF PROXY MATERIALS FOR THE ANNUAL MEETING OF STOCKHOLDERS TO BE HELD ON MAY 28, 2026:</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00AAE5"/>
        </w:rPr>
        <w:t>This Notice of the 2026 Annual Meeting, 2026 Proxy Statement, and 2025 Annual Report to Stockholders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1391285</wp:posOffset>
            </wp:positionV>
            <wp:extent cx="16319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3" w:name="page4"/>
    <w:bookmarkEnd w:id="3"/>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NOTICE OF 2026 ANNUAL MEETING OF SHAREHOLDERS</w:t>
      </w:r>
    </w:p>
    <w:p>
      <w:pPr>
        <w:sectPr>
          <w:pgSz w:w="11900" w:h="16838" w:orient="portrait"/>
          <w:cols w:equalWidth="0" w:num="1">
            <w:col w:w="11120"/>
          </w:cols>
          <w:pgMar w:left="320" w:top="33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to Vote by Proxy</w:t>
      </w:r>
    </w:p>
    <w:p>
      <w:pPr>
        <w:spacing w:after="0" w:line="14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Whether or not you plan to attend the 2026 Annual Meeting virtually, please provide your proxy by either using the internet or telephone as further explained below or filling in, signing, dating, and promptly mailing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148590</wp:posOffset>
            </wp:positionV>
            <wp:extent cx="14541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0AAE5"/>
        </w:rPr>
        <w:t>BY TELEPHONE</w:t>
      </w: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to use a control number that was provided to you by our vote tabulator, Broadridge Financial Solutions.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the toll-free number on your proxy card, 24 hours a day, seven days a week, through 11:59 p.m. Eastern Time (“ET”) on May 27, 2026 for shares held directly, and through 11:59 p.m. ET on May 22, 2026 for shares held in the SPS Commerce, Inc. 401(k) Retirement Savings Plan (the “Plan”).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proxy card available and follow the additional steps when prompted.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188595</wp:posOffset>
            </wp:positionV>
            <wp:extent cx="14541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0AAE5"/>
        </w:rPr>
        <w:t>BY INTERNET</w:t>
      </w:r>
    </w:p>
    <w:p>
      <w:pPr>
        <w:spacing w:after="0" w:line="378" w:lineRule="exact"/>
        <w:rPr>
          <w:sz w:val="20"/>
          <w:szCs w:val="20"/>
          <w:color w:val="auto"/>
        </w:rPr>
      </w:pPr>
    </w:p>
    <w:p>
      <w:pPr>
        <w:ind w:left="660" w:right="1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the web site at www.proxyvote.com, 24 hours a day, seven days a week, through 11:59 p.m. ET on May 27, 2026 for shares held directly, and through 11:59 p.m. ET on May 22, 2026 for shares held in the Plan.</w:t>
      </w:r>
    </w:p>
    <w:p>
      <w:pPr>
        <w:spacing w:after="0" w:line="6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Notice or proxy card available and follow the instructions provided to obtain your records and to submit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148590</wp:posOffset>
            </wp:positionV>
            <wp:extent cx="14541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0AAE5"/>
        </w:rPr>
        <w:t>BY MAIL</w:t>
      </w:r>
    </w:p>
    <w:p>
      <w:pPr>
        <w:spacing w:after="0" w:line="200" w:lineRule="exact"/>
        <w:rPr>
          <w:sz w:val="20"/>
          <w:szCs w:val="20"/>
          <w:color w:val="auto"/>
        </w:rPr>
      </w:pPr>
    </w:p>
    <w:p>
      <w:pPr>
        <w:spacing w:after="0" w:line="205" w:lineRule="exact"/>
        <w:rPr>
          <w:sz w:val="20"/>
          <w:szCs w:val="20"/>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Notice, first request a paper copy of the proxy materials as directed in the Notice on or before May 14, 2026 to facilitate timely delivery.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sign, and date your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the proxy card in the postage-paid envelope provided.</w:t>
      </w:r>
    </w:p>
    <w:p>
      <w:pPr>
        <w:spacing w:after="0" w:line="171"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If your shares are held in an account at a brokerage firm, bank, or similar organization, you will receive voting instructions from the organization holding your account and you must follow those instructions to vote your shares. You will receive a notice that will tell you how to access our proxy materials on the internet and vote your shares by proxy over the internet. It will also tell you how to request a paper or electronic copy of our proxy materials.</w:t>
      </w:r>
    </w:p>
    <w:p>
      <w:pPr>
        <w:spacing w:after="0" w:line="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YOUR VOTE IS IMPORTANT. THANK YOU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928370</wp:posOffset>
            </wp:positionV>
            <wp:extent cx="1631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8" w:right="459" w:bottom="1440" w:gutter="0" w:footer="0" w:header="0"/>
          <w:type w:val="continuous"/>
        </w:sectPr>
      </w:pPr>
    </w:p>
    <w:bookmarkStart w:id="4" w:name="page5"/>
    <w:bookmarkEnd w:id="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NOTICE OF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References &amp; Abbreviations</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 the words “we,” “us,” “our,” the “Company,” “SPS,” and “SPS Commerce” refer to SPS Commerce,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other common abbreviations used in this Proxy Statement are as follows.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1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Abbreviation</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Term</w:t>
            </w:r>
          </w:p>
        </w:tc>
        <w:tc>
          <w:tcPr>
            <w:tcW w:w="1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Abbreviation</w:t>
            </w:r>
          </w:p>
        </w:tc>
        <w:tc>
          <w:tcPr>
            <w:tcW w:w="37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Term</w:t>
            </w:r>
          </w:p>
        </w:tc>
        <w:tc>
          <w:tcPr>
            <w:tcW w:w="0" w:type="dxa"/>
            <w:vAlign w:val="bottom"/>
          </w:tcPr>
          <w:p>
            <w:pPr>
              <w:spacing w:after="0"/>
              <w:rPr>
                <w:sz w:val="1"/>
                <w:szCs w:val="1"/>
                <w:color w:val="auto"/>
              </w:rPr>
            </w:pPr>
          </w:p>
        </w:tc>
      </w:tr>
      <w:tr>
        <w:trPr>
          <w:trHeight w:val="34"/>
        </w:trPr>
        <w:tc>
          <w:tcPr>
            <w:tcW w:w="166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37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SPS Commerce, Inc. 401(k) Retirement</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Annual Meeting</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2026 Annual Meeting of Stockholders</w:t>
            </w:r>
          </w:p>
        </w:tc>
        <w:tc>
          <w:tcPr>
            <w:tcW w:w="1420" w:type="dxa"/>
            <w:vAlign w:val="bottom"/>
          </w:tcPr>
          <w:p>
            <w:pPr>
              <w:spacing w:after="0"/>
              <w:rPr>
                <w:sz w:val="20"/>
                <w:szCs w:val="20"/>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Savings Plan</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2025 Annual Report to Stockholders</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KPMG</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KPMG LLP</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Board of Directors</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Stock Unit</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 Unit</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DSU</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Stock Unit</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Named Executive Officer</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TSR</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Shareholder Return</w:t>
            </w:r>
          </w:p>
        </w:tc>
        <w:tc>
          <w:tcPr>
            <w:tcW w:w="0" w:type="dxa"/>
            <w:vAlign w:val="bottom"/>
          </w:tcPr>
          <w:p>
            <w:pPr>
              <w:spacing w:after="0"/>
              <w:rPr>
                <w:sz w:val="1"/>
                <w:szCs w:val="1"/>
                <w:color w:val="auto"/>
              </w:rPr>
            </w:pPr>
          </w:p>
        </w:tc>
      </w:tr>
      <w:tr>
        <w:trPr>
          <w:trHeight w:val="252"/>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w:t>
            </w: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Notice of Internet Availability of Proxy</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Materials</w:t>
            </w:r>
          </w:p>
        </w:tc>
        <w:tc>
          <w:tcPr>
            <w:tcW w:w="14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Forward-Looking Statements</w:t>
      </w:r>
    </w:p>
    <w:p>
      <w:pPr>
        <w:spacing w:after="0" w:line="3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Proxy Statement contains forward-looking statements, including information about future expectations, plans and prospects, within the safe harbor provisions under The Private Securities Litigation Reform Act of 1995. These statements involve known and unknown risks, uncertainties and other factors which may cause the actual results to be materially different than those expressed or implied in such statements. Certain of these risks, uncertainties, and other factors are included in documents the Company filed with the SEC, including but not limited to, the Company’s Annual Report on Form 10-K for the year ended December 31, 2025, as well as subsequent reports filed with the SEC. Other unknown or unpredictable factors also could have material adverse effects on the Company’s future results. The forward-looking statements included in this Proxy Statement are made only as of the date hereof. The Company cannot guarantee future results, levels of activity, performance or achievements. Accordingly, you should not place undue reliance on these forward-looking statements. Finally, except to the extent required by law, the Company expressly disclaims any intent or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602615</wp:posOffset>
            </wp:positionV>
            <wp:extent cx="1631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36"/>
          <w:szCs w:val="36"/>
          <w:b w:val="1"/>
          <w:bCs w:val="1"/>
          <w:color w:val="00AAE5"/>
        </w:rPr>
        <w:t>TABLE OF CONTENTS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PROXY SUMMARY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r>
      <w:tr>
        <w:trPr>
          <w:trHeight w:val="28"/>
        </w:trPr>
        <w:tc>
          <w:tcPr>
            <w:tcW w:w="9780" w:type="dxa"/>
            <w:vAlign w:val="bottom"/>
            <w:tcBorders>
              <w:bottom w:val="single" w:sz="8" w:color="00AAE5"/>
            </w:tcBorders>
          </w:tcPr>
          <w:p>
            <w:pPr>
              <w:spacing w:after="0"/>
              <w:rPr>
                <w:sz w:val="2"/>
                <w:szCs w:val="2"/>
                <w:color w:val="auto"/>
              </w:rPr>
            </w:pPr>
          </w:p>
        </w:tc>
        <w:tc>
          <w:tcPr>
            <w:tcW w:w="1460" w:type="dxa"/>
            <w:vAlign w:val="bottom"/>
            <w:tcBorders>
              <w:bottom w:val="single" w:sz="8" w:color="00AAE5"/>
            </w:tcBorders>
          </w:tcPr>
          <w:p>
            <w:pPr>
              <w:spacing w:after="0"/>
              <w:rPr>
                <w:sz w:val="2"/>
                <w:szCs w:val="2"/>
                <w:color w:val="auto"/>
              </w:rPr>
            </w:pPr>
          </w:p>
        </w:tc>
      </w:tr>
      <w:tr>
        <w:trPr>
          <w:trHeight w:val="202"/>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Business Overview</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Voting Matters and Voting Recommendations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QUESTIONS AND ANSWERS ABOUT THE MEETING AND VOTING</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Purpose of the Meeting</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Meeting Voting Rights and Attendance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Information about the Notice and Proxy Materials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Voting</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1 - ELECTION OF DIRECTORS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0079A5"/>
              </w:rPr>
              <w:t>8</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2"/>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Director Skills and Experience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Nominees for Director</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INFORMATION REGARDING THE BOARD OF DIRECTORS AND CORPORATE GOVERNANCE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Board Leadership Structure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Board Committees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Board Meetings and Attendance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Board Involvement in Risk Oversight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Procedures for Contacting the Company, including the Board</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Director Independence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Procedures for Selecting and Nominating Director Candidates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Board Diversity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Director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Corporate Responsibility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EXECUTIVE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Compensation Discussion and Analysis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Compensation &amp; Talent Committee Report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2025 Summary Compensation Table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2025 Grants of Plan-Based Awards Table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Outstanding Equity Awards at Fiscal Year-End Table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2025 Options Exercised and Stock Vested Table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Pension Benefits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Non-Qualified Deferred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Employment and Severance Arrangements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Potential Payments Upon Termination, Retirement, or Change in Control</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CEO Pay Ratio</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Pay Versus Performance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AUDIT COMMITTEE REPORT AND PAYMENT OF FEES TO OUR INDEPENDENT AUDITOR</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65</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Audit Committee Report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Auditor Fees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Auditor Services Pre-Approval Policy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2 - RATIFICATION OF SELECTION OF INDEPENDENT AUDITOR</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0079A5"/>
              </w:rPr>
              <w:t>67</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0079A5"/>
              </w:rPr>
              <w:t>ITEM 3 - ADVISORY VOTE TO APPROVE THE COMPENSATION OF THE COMPANY’S NAMED EXECUTIVE OFFICERS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68</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SECURITY OWNERSHIP</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69</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2"/>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Security Ownership of Certain Beneficial Owners and Management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Equity Compensation Plan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CERTAIN RELATIONSHIPS AND RELATED PERSON TRANSACTIONS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71</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1"/>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Transactions with Related Persons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Policy for Approval of Related Person Transactions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72</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202"/>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Delinquent Section 16(a) Reports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43"/>
        </w:trPr>
        <w:tc>
          <w:tcPr>
            <w:tcW w:w="9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Stockholder Proposals for the 2027 Annual Meeting of Stockholders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Householding of Proxy Materials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43"/>
        </w:trPr>
        <w:tc>
          <w:tcPr>
            <w:tcW w:w="97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Other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APPENDIX A - RECONCILIATION OF NON-GAAP FINANCIAL MEASURE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A-1</w:t>
            </w:r>
          </w:p>
        </w:tc>
      </w:tr>
      <w:tr>
        <w:trPr>
          <w:trHeight w:val="35"/>
        </w:trPr>
        <w:tc>
          <w:tcPr>
            <w:tcW w:w="9780" w:type="dxa"/>
            <w:vAlign w:val="bottom"/>
            <w:tcBorders>
              <w:bottom w:val="single" w:sz="8" w:color="00AAE5"/>
            </w:tcBorders>
          </w:tcPr>
          <w:p>
            <w:pPr>
              <w:spacing w:after="0"/>
              <w:rPr>
                <w:sz w:val="3"/>
                <w:szCs w:val="3"/>
                <w:color w:val="auto"/>
              </w:rPr>
            </w:pPr>
          </w:p>
        </w:tc>
        <w:tc>
          <w:tcPr>
            <w:tcW w:w="1460" w:type="dxa"/>
            <w:vAlign w:val="bottom"/>
            <w:tcBorders>
              <w:bottom w:val="single" w:sz="8" w:color="00AAE5"/>
            </w:tcBorders>
          </w:tcPr>
          <w:p>
            <w:pPr>
              <w:spacing w:after="0"/>
              <w:rPr>
                <w:sz w:val="3"/>
                <w:szCs w:val="3"/>
                <w:color w:val="auto"/>
              </w:rPr>
            </w:pPr>
          </w:p>
        </w:tc>
      </w:tr>
      <w:tr>
        <w:trPr>
          <w:trHeight w:val="689"/>
        </w:trPr>
        <w:tc>
          <w:tcPr>
            <w:tcW w:w="9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6" w:name="page7"/>
    <w:bookmarkEnd w:id="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00AAE5"/>
        </w:rPr>
        <w:t>PROXY SUMMARY</w:t>
      </w:r>
    </w:p>
    <w:p>
      <w:pPr>
        <w:spacing w:after="0" w:line="11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summary provides a business overview and highlights certain information contained elsewhere in this Proxy Statement. We encourage you to review the entire Proxy Statement. This Proxy Statement and our Annual Report are first being made available to our stockholders on or about April 14, 2026. Website addresses included throughout this Proxy Statement are for reference only, and the information contained on such websites, including our website, is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Business Overview</w:t>
      </w:r>
    </w:p>
    <w:p>
      <w:pPr>
        <w:spacing w:after="0" w:line="24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SPS Commerce is the world’s leading intelligent global supply chain network that connects retailers, brands, distributors, manufacturers, and logistics providers through shared infrastructure built to handle the complexity of modern commerce operations. Our network enables companies to connect once and immediately transact with thousands of trading partners without negotiating standards, building integrations, or maintaining compliance logic.</w:t>
      </w:r>
    </w:p>
    <w:p>
      <w:pPr>
        <w:spacing w:after="0" w:line="6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network powers our portfolio of solutions that orchestrate the critical processes, protocols, and data exchanges needed to get the right product, in the right place, at the right time, every time. We have embedded deep expertise, proven processes, and compliance logic built from over 20 years of commerce intelligence into every connection, delivering a full-service experience that empowers partners to move forward faster,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Voting Matters and Voting Recommendations</w:t>
      </w:r>
    </w:p>
    <w:p>
      <w:pPr>
        <w:spacing w:after="0" w:line="248"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proposals are included in this Proxy Statement and are scheduled to be voted on at the 2026 Annual Meeting. Our Board recommends that you vote your shares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148590</wp:posOffset>
            </wp:positionV>
            <wp:extent cx="65151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648585"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48585" cy="24003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p>
      <w:pPr>
        <w:spacing w:after="0" w:line="337" w:lineRule="exact"/>
        <w:rPr>
          <w:sz w:val="20"/>
          <w:szCs w:val="20"/>
          <w:color w:val="auto"/>
        </w:rPr>
      </w:pPr>
    </w:p>
    <w:p>
      <w:pPr>
        <w:ind w:left="1680"/>
        <w:spacing w:after="0"/>
        <w:rPr>
          <w:sz w:val="20"/>
          <w:szCs w:val="20"/>
          <w:color w:val="auto"/>
        </w:rPr>
      </w:pPr>
      <w:r>
        <w:rPr>
          <w:rFonts w:ascii="Arial" w:cs="Arial" w:eastAsia="Arial" w:hAnsi="Arial"/>
          <w:sz w:val="12"/>
          <w:szCs w:val="12"/>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648585"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4858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0" w:type="dxa"/>
            <w:vAlign w:val="bottom"/>
            <w:tcBorders>
              <w:top w:val="single" w:sz="8" w:color="0079A5"/>
            </w:tcBorders>
            <w:shd w:val="clear" w:color="auto" w:fill="F6F6F6"/>
          </w:tcPr>
          <w:p>
            <w:pPr>
              <w:spacing w:after="0"/>
              <w:rPr>
                <w:sz w:val="14"/>
                <w:szCs w:val="14"/>
                <w:color w:val="auto"/>
              </w:rPr>
            </w:pPr>
          </w:p>
        </w:tc>
        <w:tc>
          <w:tcPr>
            <w:tcW w:w="1920" w:type="dxa"/>
            <w:vAlign w:val="bottom"/>
            <w:tcBorders>
              <w:top w:val="single" w:sz="8" w:color="0079A5"/>
              <w:right w:val="single" w:sz="8" w:color="F6F6F6"/>
            </w:tcBorders>
            <w:shd w:val="clear" w:color="auto" w:fill="F6F6F6"/>
          </w:tcPr>
          <w:p>
            <w:pPr>
              <w:jc w:val="center"/>
              <w:spacing w:after="0"/>
              <w:rPr>
                <w:sz w:val="20"/>
                <w:szCs w:val="20"/>
                <w:color w:val="auto"/>
              </w:rPr>
            </w:pPr>
            <w:r>
              <w:rPr>
                <w:rFonts w:ascii="Arial" w:cs="Arial" w:eastAsia="Arial" w:hAnsi="Arial"/>
                <w:sz w:val="13"/>
                <w:szCs w:val="13"/>
                <w:b w:val="1"/>
                <w:bCs w:val="1"/>
                <w:color w:val="auto"/>
                <w:highlight w:val="white"/>
                <w:w w:val="96"/>
              </w:rPr>
              <w:t>THE BOARD OF DIRECTOR’S</w:t>
            </w:r>
          </w:p>
        </w:tc>
        <w:tc>
          <w:tcPr>
            <w:tcW w:w="100" w:type="dxa"/>
            <w:vAlign w:val="bottom"/>
          </w:tcPr>
          <w:p>
            <w:pPr>
              <w:spacing w:after="0"/>
              <w:rPr>
                <w:sz w:val="14"/>
                <w:szCs w:val="14"/>
                <w:color w:val="auto"/>
              </w:rPr>
            </w:pPr>
          </w:p>
        </w:tc>
        <w:tc>
          <w:tcPr>
            <w:tcW w:w="3680" w:type="dxa"/>
            <w:vAlign w:val="bottom"/>
            <w:tcBorders>
              <w:top w:val="single" w:sz="8" w:color="0079A5"/>
            </w:tcBorders>
            <w:vMerge w:val="restart"/>
            <w:shd w:val="clear" w:color="auto" w:fill="F6F6F6"/>
          </w:tcPr>
          <w:p>
            <w:pPr>
              <w:ind w:left="980"/>
              <w:spacing w:after="0"/>
              <w:rPr>
                <w:sz w:val="20"/>
                <w:szCs w:val="20"/>
                <w:color w:val="auto"/>
              </w:rPr>
            </w:pPr>
            <w:r>
              <w:rPr>
                <w:rFonts w:ascii="Arial" w:cs="Arial" w:eastAsia="Arial" w:hAnsi="Arial"/>
                <w:sz w:val="13"/>
                <w:szCs w:val="13"/>
                <w:b w:val="1"/>
                <w:bCs w:val="1"/>
                <w:color w:val="auto"/>
              </w:rPr>
              <w:t>RATIONALE FOR SUPPORT:</w:t>
            </w:r>
          </w:p>
        </w:tc>
        <w:tc>
          <w:tcPr>
            <w:tcW w:w="0" w:type="dxa"/>
            <w:vAlign w:val="bottom"/>
          </w:tcPr>
          <w:p>
            <w:pPr>
              <w:spacing w:after="0"/>
              <w:rPr>
                <w:sz w:val="1"/>
                <w:szCs w:val="1"/>
                <w:color w:val="auto"/>
              </w:rPr>
            </w:pPr>
          </w:p>
        </w:tc>
      </w:tr>
      <w:tr>
        <w:trPr>
          <w:trHeight w:val="114"/>
        </w:trPr>
        <w:tc>
          <w:tcPr>
            <w:tcW w:w="40" w:type="dxa"/>
            <w:vAlign w:val="bottom"/>
            <w:shd w:val="clear" w:color="auto" w:fill="F6F6F6"/>
          </w:tcPr>
          <w:p>
            <w:pPr>
              <w:spacing w:after="0"/>
              <w:rPr>
                <w:sz w:val="9"/>
                <w:szCs w:val="9"/>
                <w:color w:val="auto"/>
              </w:rPr>
            </w:pPr>
          </w:p>
        </w:tc>
        <w:tc>
          <w:tcPr>
            <w:tcW w:w="1920" w:type="dxa"/>
            <w:vAlign w:val="bottom"/>
            <w:tcBorders>
              <w:right w:val="single" w:sz="8" w:color="F6F6F6"/>
            </w:tcBorders>
            <w:vMerge w:val="restart"/>
            <w:shd w:val="clear" w:color="auto" w:fill="F6F6F6"/>
          </w:tcPr>
          <w:p>
            <w:pPr>
              <w:jc w:val="center"/>
              <w:spacing w:after="0"/>
              <w:rPr>
                <w:sz w:val="20"/>
                <w:szCs w:val="20"/>
                <w:color w:val="auto"/>
              </w:rPr>
            </w:pPr>
            <w:r>
              <w:rPr>
                <w:rFonts w:ascii="Arial" w:cs="Arial" w:eastAsia="Arial" w:hAnsi="Arial"/>
                <w:sz w:val="13"/>
                <w:szCs w:val="13"/>
                <w:b w:val="1"/>
                <w:bCs w:val="1"/>
                <w:color w:val="auto"/>
                <w:highlight w:val="white"/>
                <w:w w:val="97"/>
              </w:rPr>
              <w:t>VOTING RECOMMENDATIONS:</w:t>
            </w:r>
          </w:p>
        </w:tc>
        <w:tc>
          <w:tcPr>
            <w:tcW w:w="100" w:type="dxa"/>
            <w:vAlign w:val="bottom"/>
          </w:tcPr>
          <w:p>
            <w:pPr>
              <w:spacing w:after="0"/>
              <w:rPr>
                <w:sz w:val="9"/>
                <w:szCs w:val="9"/>
                <w:color w:val="auto"/>
              </w:rPr>
            </w:pPr>
          </w:p>
        </w:tc>
        <w:tc>
          <w:tcPr>
            <w:tcW w:w="3680" w:type="dxa"/>
            <w:vAlign w:val="bottom"/>
            <w:vMerge w:val="continue"/>
            <w:shd w:val="clear" w:color="auto" w:fill="F6F6F6"/>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40" w:type="dxa"/>
            <w:vAlign w:val="bottom"/>
            <w:shd w:val="clear" w:color="auto" w:fill="F6F6F6"/>
          </w:tcPr>
          <w:p>
            <w:pPr>
              <w:spacing w:after="0"/>
              <w:rPr>
                <w:sz w:val="3"/>
                <w:szCs w:val="3"/>
                <w:color w:val="auto"/>
              </w:rPr>
            </w:pPr>
          </w:p>
        </w:tc>
        <w:tc>
          <w:tcPr>
            <w:tcW w:w="1920" w:type="dxa"/>
            <w:vAlign w:val="bottom"/>
            <w:tcBorders>
              <w:right w:val="single" w:sz="8" w:color="F6F6F6"/>
            </w:tcBorders>
            <w:vMerge w:val="continue"/>
            <w:shd w:val="clear" w:color="auto" w:fill="F6F6F6"/>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shd w:val="clear" w:color="auto" w:fill="F6F6F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40" w:type="dxa"/>
            <w:vAlign w:val="bottom"/>
            <w:tcBorders>
              <w:bottom w:val="single" w:sz="8" w:color="0079A5"/>
            </w:tcBorders>
            <w:shd w:val="clear" w:color="auto" w:fill="F6F6F6"/>
          </w:tcPr>
          <w:p>
            <w:pPr>
              <w:spacing w:after="0"/>
              <w:rPr>
                <w:sz w:val="5"/>
                <w:szCs w:val="5"/>
                <w:color w:val="auto"/>
              </w:rPr>
            </w:pPr>
          </w:p>
        </w:tc>
        <w:tc>
          <w:tcPr>
            <w:tcW w:w="1920" w:type="dxa"/>
            <w:vAlign w:val="bottom"/>
            <w:tcBorders>
              <w:bottom w:val="single" w:sz="8" w:color="0079A5"/>
              <w:right w:val="single" w:sz="8" w:color="F6F6F6"/>
            </w:tcBorders>
            <w:shd w:val="clear" w:color="auto" w:fill="F6F6F6"/>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tcBorders>
              <w:bottom w:val="single" w:sz="8" w:color="0079A5"/>
            </w:tcBorders>
            <w:shd w:val="clear" w:color="auto" w:fill="F6F6F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60"/>
        <w:spacing w:after="0" w:line="317" w:lineRule="auto"/>
        <w:rPr>
          <w:sz w:val="20"/>
          <w:szCs w:val="20"/>
          <w:color w:val="auto"/>
        </w:rPr>
      </w:pPr>
      <w:r>
        <w:rPr>
          <w:rFonts w:ascii="Arial" w:cs="Arial" w:eastAsia="Arial" w:hAnsi="Arial"/>
          <w:sz w:val="12"/>
          <w:szCs w:val="12"/>
          <w:b w:val="1"/>
          <w:bCs w:val="1"/>
          <w:color w:val="auto"/>
        </w:rPr>
        <w:t>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-5080</wp:posOffset>
            </wp:positionV>
            <wp:extent cx="6515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3">
            <w:col w:w="3660" w:space="720"/>
            <w:col w:w="5740" w:space="160"/>
            <w:col w:w="960"/>
          </w:cols>
          <w:pgMar w:left="320" w:top="338" w:right="339" w:bottom="1440" w:gutter="0" w:footer="0" w:header="0"/>
          <w:type w:val="continuous"/>
        </w:sectPr>
      </w:pPr>
    </w:p>
    <w:p>
      <w:pPr>
        <w:spacing w:after="0" w:line="81" w:lineRule="exact"/>
        <w:rPr>
          <w:sz w:val="20"/>
          <w:szCs w:val="20"/>
          <w:color w:val="auto"/>
        </w:rPr>
      </w:pPr>
    </w:p>
    <w:p>
      <w:pPr>
        <w:ind w:left="1060" w:right="180"/>
        <w:spacing w:after="0" w:line="302" w:lineRule="auto"/>
        <w:rPr>
          <w:sz w:val="20"/>
          <w:szCs w:val="20"/>
          <w:color w:val="auto"/>
        </w:rPr>
      </w:pPr>
      <w:r>
        <w:rPr>
          <w:rFonts w:ascii="Arial" w:cs="Arial" w:eastAsia="Arial" w:hAnsi="Arial"/>
          <w:sz w:val="13"/>
          <w:szCs w:val="13"/>
          <w:color w:val="auto"/>
        </w:rPr>
        <w:t>Election of nine directors, each for a term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648585" cy="385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48585" cy="385445"/>
                    </a:xfrm>
                    <a:prstGeom prst="rect">
                      <a:avLst/>
                    </a:prstGeom>
                    <a:noFill/>
                  </pic:spPr>
                </pic:pic>
              </a:graphicData>
            </a:graphic>
          </wp:anchor>
        </w:drawing>
      </w:r>
    </w:p>
    <w:p>
      <w:pPr>
        <w:spacing w:after="0" w:line="238" w:lineRule="exact"/>
        <w:rPr>
          <w:sz w:val="20"/>
          <w:szCs w:val="20"/>
          <w:color w:val="auto"/>
        </w:rPr>
      </w:pPr>
    </w:p>
    <w:p>
      <w:pPr>
        <w:ind w:left="1060"/>
        <w:spacing w:after="0" w:line="281" w:lineRule="auto"/>
        <w:rPr>
          <w:sz w:val="20"/>
          <w:szCs w:val="20"/>
          <w:color w:val="auto"/>
        </w:rPr>
      </w:pPr>
      <w:r>
        <w:rPr>
          <w:rFonts w:ascii="Arial" w:cs="Arial" w:eastAsia="Arial" w:hAnsi="Arial"/>
          <w:sz w:val="13"/>
          <w:szCs w:val="13"/>
          <w:color w:val="auto"/>
        </w:rPr>
        <w:t>Ratification of the selection of KPMG as independent auditor of SPS Commerce, Inc.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648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111760</wp:posOffset>
            </wp:positionV>
            <wp:extent cx="488315"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8315" cy="377190"/>
                    </a:xfrm>
                    <a:prstGeom prst="rect">
                      <a:avLst/>
                    </a:prstGeom>
                    <a:noFill/>
                  </pic:spPr>
                </pic:pic>
              </a:graphicData>
            </a:graphic>
          </wp:anchor>
        </w:drawing>
      </w:r>
    </w:p>
    <w:p>
      <w:pPr>
        <w:spacing w:after="0" w:line="332" w:lineRule="exact"/>
        <w:rPr>
          <w:sz w:val="20"/>
          <w:szCs w:val="20"/>
          <w:color w:val="auto"/>
        </w:rPr>
      </w:pPr>
    </w:p>
    <w:p>
      <w:pPr>
        <w:ind w:left="1060" w:right="340"/>
        <w:spacing w:after="0" w:line="302" w:lineRule="auto"/>
        <w:rPr>
          <w:sz w:val="20"/>
          <w:szCs w:val="20"/>
          <w:color w:val="auto"/>
        </w:rPr>
      </w:pPr>
      <w:r>
        <w:rPr>
          <w:rFonts w:ascii="Arial" w:cs="Arial" w:eastAsia="Arial" w:hAnsi="Arial"/>
          <w:sz w:val="13"/>
          <w:szCs w:val="13"/>
          <w:color w:val="auto"/>
        </w:rPr>
        <w:t>Advisory approval of the compensation of our NEOs (“Say-on-Pay” vote).</w:t>
      </w:r>
    </w:p>
    <w:p>
      <w:pPr>
        <w:spacing w:after="0" w:line="20" w:lineRule="exact"/>
        <w:rPr>
          <w:sz w:val="20"/>
          <w:szCs w:val="20"/>
          <w:color w:val="auto"/>
        </w:rPr>
      </w:pPr>
      <w:r>
        <w:rPr>
          <w:sz w:val="20"/>
          <w:szCs w:val="20"/>
          <w:color w:val="auto"/>
        </w:rPr>
        <w:br w:type="column"/>
      </w:r>
    </w:p>
    <w:p>
      <w:pPr>
        <w:jc w:val="center"/>
        <w:ind w:right="440"/>
        <w:spacing w:after="0" w:line="281" w:lineRule="auto"/>
        <w:rPr>
          <w:sz w:val="20"/>
          <w:szCs w:val="20"/>
          <w:color w:val="auto"/>
        </w:rPr>
      </w:pPr>
      <w:r>
        <w:rPr>
          <w:rFonts w:ascii="Arial" w:cs="Arial" w:eastAsia="Arial" w:hAnsi="Arial"/>
          <w:sz w:val="13"/>
          <w:szCs w:val="13"/>
          <w:color w:val="auto"/>
        </w:rPr>
        <w:t>“FOR” each nominee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52070</wp:posOffset>
            </wp:positionV>
            <wp:extent cx="12433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-299085</wp:posOffset>
            </wp:positionV>
            <wp:extent cx="20574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146050</wp:posOffset>
            </wp:positionV>
            <wp:extent cx="2057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187325</wp:posOffset>
            </wp:positionV>
            <wp:extent cx="12433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410210</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w:t>
      </w:r>
    </w:p>
    <w:p>
      <w:pPr>
        <w:spacing w:after="0" w:line="20" w:lineRule="exact"/>
        <w:rPr>
          <w:sz w:val="20"/>
          <w:szCs w:val="20"/>
          <w:color w:val="auto"/>
        </w:rPr>
      </w:pPr>
      <w:r>
        <w:rPr>
          <w:sz w:val="20"/>
          <w:szCs w:val="20"/>
          <w:color w:val="auto"/>
        </w:rPr>
        <w:br w:type="column"/>
      </w:r>
    </w:p>
    <w:p>
      <w:pPr>
        <w:jc w:val="both"/>
        <w:ind w:right="20"/>
        <w:spacing w:after="0" w:line="281" w:lineRule="auto"/>
        <w:rPr>
          <w:sz w:val="20"/>
          <w:szCs w:val="20"/>
          <w:color w:val="auto"/>
        </w:rPr>
      </w:pPr>
      <w:r>
        <w:rPr>
          <w:rFonts w:ascii="Arial" w:cs="Arial" w:eastAsia="Arial" w:hAnsi="Arial"/>
          <w:sz w:val="13"/>
          <w:szCs w:val="13"/>
          <w:color w:val="auto"/>
        </w:rPr>
        <w:t>Our nominees are distinguished leaders who bring a mix of strong skills and experience to the Board and can represent the interests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52070</wp:posOffset>
            </wp:positionV>
            <wp:extent cx="23399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89" w:lineRule="exact"/>
        <w:rPr>
          <w:sz w:val="20"/>
          <w:szCs w:val="20"/>
          <w:color w:val="auto"/>
        </w:rPr>
      </w:pPr>
    </w:p>
    <w:p>
      <w:pPr>
        <w:ind w:right="40"/>
        <w:spacing w:after="0" w:line="274" w:lineRule="auto"/>
        <w:rPr>
          <w:sz w:val="20"/>
          <w:szCs w:val="20"/>
          <w:color w:val="auto"/>
        </w:rPr>
      </w:pPr>
      <w:r>
        <w:rPr>
          <w:rFonts w:ascii="Arial" w:cs="Arial" w:eastAsia="Arial" w:hAnsi="Arial"/>
          <w:sz w:val="13"/>
          <w:szCs w:val="13"/>
          <w:color w:val="auto"/>
        </w:rPr>
        <w:t>Based on its assessment of the qualifications and performance of KPMG, the Audit Committee believes that it is in the best interests of the Company and its stockholders to retain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wp:posOffset>
            </wp:positionV>
            <wp:extent cx="23399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3"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We set the compensation of our NEOs based on their ability to create sustainable long-term stockholder value in a cost-effective manner. Our executive compensation philosophy is to align executive compensation decisions with our desired business direction, strategy, and performance.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187325</wp:posOffset>
            </wp:positionV>
            <wp:extent cx="6515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187325</wp:posOffset>
            </wp:positionV>
            <wp:extent cx="6515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Page 68</w:t>
      </w:r>
    </w:p>
    <w:p>
      <w:pPr>
        <w:spacing w:after="0" w:line="567" w:lineRule="exact"/>
        <w:rPr>
          <w:sz w:val="20"/>
          <w:szCs w:val="20"/>
          <w:color w:val="auto"/>
        </w:rPr>
      </w:pPr>
    </w:p>
    <w:p>
      <w:pPr>
        <w:sectPr>
          <w:pgSz w:w="11900" w:h="16838" w:orient="portrait"/>
          <w:cols w:equalWidth="0" w:num="4">
            <w:col w:w="4120" w:space="300"/>
            <w:col w:w="1320" w:space="720"/>
            <w:col w:w="3580" w:space="440"/>
            <w:col w:w="760"/>
          </w:cols>
          <w:pgMar w:left="320" w:top="338" w:right="339" w:bottom="1440" w:gutter="0" w:footer="0" w:header="0"/>
          <w:type w:val="continuous"/>
        </w:sectPr>
      </w:pPr>
    </w:p>
    <w:p>
      <w:pPr>
        <w:spacing w:after="0" w:line="1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Other than the proposals described in this Proxy Statement, the Board is not aware of any other matters to be presented for a vote at the 2026 Annual Meeting. If you grant a proxy by telephone, by internet, or by signing and returning your proxy card, any of the persons appointed by the Board as proxy holders will have the discretion to vote your shares on any additional matters properly presented for a vote at the 2026 Annual Meeting. If any of our nominees is unavailable as a candidate for director, the named proxy holders will vote your proxy for another candidate or candidates as may be nominated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471170</wp:posOffset>
            </wp:positionV>
            <wp:extent cx="240030" cy="231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7" w:name="page8"/>
    <w:bookmarkEnd w:id="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line="258" w:lineRule="auto"/>
        <w:rPr>
          <w:sz w:val="20"/>
          <w:szCs w:val="20"/>
          <w:color w:val="auto"/>
        </w:rPr>
      </w:pPr>
      <w:r>
        <w:rPr>
          <w:rFonts w:ascii="Arial" w:cs="Arial" w:eastAsia="Arial" w:hAnsi="Arial"/>
          <w:sz w:val="36"/>
          <w:szCs w:val="36"/>
          <w:b w:val="1"/>
          <w:bCs w:val="1"/>
          <w:color w:val="00AAE5"/>
        </w:rPr>
        <w:t>QUESTIONS AND ANSWERS ABOUT THE MEETING AND VOTING</w:t>
      </w:r>
    </w:p>
    <w:p>
      <w:pPr>
        <w:spacing w:after="0" w:line="34" w:lineRule="exact"/>
        <w:rPr>
          <w:sz w:val="20"/>
          <w:szCs w:val="20"/>
          <w:color w:val="auto"/>
        </w:rPr>
      </w:pPr>
    </w:p>
    <w:p>
      <w:pPr>
        <w:ind w:right="1020" w:firstLine="648"/>
        <w:spacing w:after="0" w:line="282" w:lineRule="auto"/>
        <w:rPr>
          <w:sz w:val="20"/>
          <w:szCs w:val="20"/>
          <w:color w:val="auto"/>
        </w:rPr>
      </w:pPr>
      <w:r>
        <w:rPr>
          <w:rFonts w:ascii="Times New Roman" w:cs="Times New Roman" w:eastAsia="Times New Roman" w:hAnsi="Times New Roman"/>
          <w:sz w:val="18"/>
          <w:szCs w:val="18"/>
          <w:color w:val="auto"/>
        </w:rPr>
        <w:t>SPS Commerce, Inc. is soliciting proxies for use at the 2026 Annual Meeting to be held on May 28, 2026, and at any adjournment or postponement of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Purpose of the Meeting</w:t>
      </w:r>
    </w:p>
    <w:p>
      <w:pPr>
        <w:spacing w:after="0" w:line="26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our 2026 Annual Meeting, stockholders will act upon the matters outlined in the Notice of 2026 Annual Meeting, and management will have an opportunity to respond to appropriate questions from our stockholders. The matters outlined in the Notice include the following:</w:t>
      </w:r>
    </w:p>
    <w:p>
      <w:pPr>
        <w:spacing w:after="0" w:line="108" w:lineRule="exact"/>
        <w:rPr>
          <w:sz w:val="20"/>
          <w:szCs w:val="20"/>
          <w:color w:val="auto"/>
        </w:rPr>
      </w:pPr>
    </w:p>
    <w:p>
      <w:pPr>
        <w:ind w:left="780" w:hanging="331"/>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nine directors, each to a one-year term;</w:t>
      </w:r>
    </w:p>
    <w:p>
      <w:pPr>
        <w:spacing w:after="0" w:line="27" w:lineRule="exact"/>
        <w:rPr>
          <w:rFonts w:ascii="Times New Roman" w:cs="Times New Roman" w:eastAsia="Times New Roman" w:hAnsi="Times New Roman"/>
          <w:sz w:val="18"/>
          <w:szCs w:val="18"/>
          <w:color w:val="auto"/>
        </w:rPr>
      </w:pPr>
    </w:p>
    <w:p>
      <w:pPr>
        <w:ind w:left="780" w:hanging="331"/>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as our independent auditor for the year ending December 31, 2026; and</w:t>
      </w:r>
    </w:p>
    <w:p>
      <w:pPr>
        <w:spacing w:after="0" w:line="9" w:lineRule="exact"/>
        <w:rPr>
          <w:rFonts w:ascii="Times New Roman" w:cs="Times New Roman" w:eastAsia="Times New Roman" w:hAnsi="Times New Roman"/>
          <w:sz w:val="18"/>
          <w:szCs w:val="18"/>
          <w:color w:val="auto"/>
        </w:rPr>
      </w:pPr>
    </w:p>
    <w:p>
      <w:pPr>
        <w:ind w:left="780" w:hanging="331"/>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Meeting Voting Rights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5" w:lineRule="exact"/>
        <w:rPr>
          <w:sz w:val="20"/>
          <w:szCs w:val="20"/>
          <w:color w:val="auto"/>
        </w:rPr>
      </w:pPr>
    </w:p>
    <w:p>
      <w:pPr>
        <w:ind w:left="380" w:hanging="354"/>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Who is entitled to vote at the 2026 Annual Meeting?</w:t>
      </w:r>
    </w:p>
    <w:p>
      <w:pPr>
        <w:spacing w:after="0" w:line="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jc w:val="both"/>
        <w:ind w:left="72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set March 30, 2026 as the record date for the 2026 Annual Meeting. If you were a stockholder of record at the close of business on March 30, 2026, you are entitled to vote at the 2026 Annual Meeting. As of the record date, 36,967,108 shares of common stock, representing all of our voting stock, were issued and outstanding and, therefore, eligible to vote at the 2026 Annual Meeting.</w:t>
      </w:r>
    </w:p>
    <w:p>
      <w:pPr>
        <w:spacing w:after="0" w:line="20" w:lineRule="exact"/>
        <w:rPr>
          <w:rFonts w:ascii="Times New Roman" w:cs="Times New Roman" w:eastAsia="Times New Roman" w:hAnsi="Times New Roman"/>
          <w:sz w:val="18"/>
          <w:szCs w:val="18"/>
          <w:b w:val="1"/>
          <w:bCs w:val="1"/>
          <w:color w:val="auto"/>
        </w:rPr>
      </w:pPr>
    </w:p>
    <w:p>
      <w:pPr>
        <w:ind w:left="380" w:hanging="354"/>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are my voting rights?</w:t>
      </w:r>
    </w:p>
    <w:p>
      <w:pPr>
        <w:spacing w:after="0" w:line="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2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our common stock are entitled to one vote per share. Therefore, a total of 36,967,108 votes are entitled to be cast at the 2026 Annual Meeting. There is no cumulative voting.</w:t>
      </w:r>
    </w:p>
    <w:p>
      <w:pPr>
        <w:spacing w:after="0" w:line="16" w:lineRule="exact"/>
        <w:rPr>
          <w:rFonts w:ascii="Times New Roman" w:cs="Times New Roman" w:eastAsia="Times New Roman" w:hAnsi="Times New Roman"/>
          <w:sz w:val="18"/>
          <w:szCs w:val="18"/>
          <w:b w:val="1"/>
          <w:bCs w:val="1"/>
          <w:color w:val="auto"/>
        </w:rPr>
      </w:pPr>
    </w:p>
    <w:p>
      <w:pPr>
        <w:ind w:left="380" w:hanging="354"/>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many shares must be present to hold the 2026 Annual Meeting?</w:t>
      </w:r>
    </w:p>
    <w:p>
      <w:pPr>
        <w:spacing w:after="0" w:line="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20" w:right="1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our bylaws, the holders of shares equal to a majority of the voting power of the outstanding shares of common stock entitled to vote generally in the election of directors as of the record date must be present at the 2026 Annual Meeting in order to hold the 2026 Annual Meeting and conduct business. This is called a quorum. Shares are counted as present at the 2026 Annual Meeting if:</w:t>
      </w:r>
    </w:p>
    <w:p>
      <w:pPr>
        <w:spacing w:after="0" w:line="78" w:lineRule="exact"/>
        <w:rPr>
          <w:rFonts w:ascii="Times New Roman" w:cs="Times New Roman" w:eastAsia="Times New Roman" w:hAnsi="Times New Roman"/>
          <w:sz w:val="18"/>
          <w:szCs w:val="18"/>
          <w:b w:val="1"/>
          <w:bCs w:val="1"/>
          <w:color w:val="auto"/>
        </w:rPr>
      </w:pPr>
    </w:p>
    <w:p>
      <w:pPr>
        <w:ind w:left="1480" w:hanging="311"/>
        <w:spacing w:after="0"/>
        <w:tabs>
          <w:tab w:leader="none" w:pos="1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present (virtually) and vote at the 2026 Annual Meeting; or</w:t>
      </w:r>
    </w:p>
    <w:p>
      <w:pPr>
        <w:spacing w:after="0" w:line="115" w:lineRule="exact"/>
        <w:rPr>
          <w:rFonts w:ascii="Times New Roman" w:cs="Times New Roman" w:eastAsia="Times New Roman" w:hAnsi="Times New Roman"/>
          <w:sz w:val="18"/>
          <w:szCs w:val="18"/>
          <w:color w:val="auto"/>
        </w:rPr>
      </w:pPr>
    </w:p>
    <w:p>
      <w:pPr>
        <w:ind w:left="1480" w:hanging="311"/>
        <w:spacing w:after="0"/>
        <w:tabs>
          <w:tab w:leader="none" w:pos="1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properly and timely submitted your proxy as described below under “</w:t>
      </w:r>
      <w:r>
        <w:rPr>
          <w:rFonts w:ascii="Times New Roman" w:cs="Times New Roman" w:eastAsia="Times New Roman" w:hAnsi="Times New Roman"/>
          <w:sz w:val="18"/>
          <w:szCs w:val="18"/>
          <w:i w:val="1"/>
          <w:iCs w:val="1"/>
          <w:color w:val="auto"/>
        </w:rPr>
        <w:t>How do I submit my proxy?</w:t>
      </w:r>
      <w:r>
        <w:rPr>
          <w:rFonts w:ascii="Times New Roman" w:cs="Times New Roman" w:eastAsia="Times New Roman" w:hAnsi="Times New Roman"/>
          <w:sz w:val="18"/>
          <w:szCs w:val="18"/>
          <w:color w:val="auto"/>
        </w:rPr>
        <w:t>”</w:t>
      </w:r>
    </w:p>
    <w:p>
      <w:pPr>
        <w:spacing w:after="0" w:line="61" w:lineRule="exact"/>
        <w:rPr>
          <w:rFonts w:ascii="Times New Roman" w:cs="Times New Roman" w:eastAsia="Times New Roman" w:hAnsi="Times New Roman"/>
          <w:sz w:val="18"/>
          <w:szCs w:val="18"/>
          <w:color w:val="auto"/>
        </w:rPr>
      </w:pPr>
    </w:p>
    <w:p>
      <w:pPr>
        <w:ind w:left="380" w:hanging="354"/>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is the difference between a stockholder of record and a “street name” holder?</w:t>
      </w:r>
    </w:p>
    <w:p>
      <w:pPr>
        <w:spacing w:after="0" w:line="63" w:lineRule="exact"/>
        <w:rPr>
          <w:rFonts w:ascii="Times New Roman" w:cs="Times New Roman" w:eastAsia="Times New Roman" w:hAnsi="Times New Roman"/>
          <w:sz w:val="18"/>
          <w:szCs w:val="18"/>
          <w:b w:val="1"/>
          <w:bCs w:val="1"/>
          <w:color w:val="auto"/>
        </w:rPr>
      </w:pPr>
    </w:p>
    <w:p>
      <w:pPr>
        <w:ind w:left="720" w:right="140" w:hanging="351"/>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your shares are registered directly in your name, you are considered the stockholder of record with respect to those shares. If your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in a stock brokerage account or by a bank, trust or other nominee, then the broker, bank, trust or other nominee is considered to be the stockholder of record with respect to those shares, and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w:t>
      </w:r>
      <w:r>
        <w:rPr>
          <w:rFonts w:ascii="Times New Roman" w:cs="Times New Roman" w:eastAsia="Times New Roman" w:hAnsi="Times New Roman"/>
          <w:sz w:val="18"/>
          <w:szCs w:val="18"/>
          <w:i w:val="1"/>
          <w:iCs w:val="1"/>
          <w:color w:val="auto"/>
        </w:rPr>
        <w:t>How do I submit my proxy?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-2597785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539115</wp:posOffset>
            </wp:positionV>
            <wp:extent cx="240030" cy="231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 w:name="page9"/>
    <w:bookmarkEnd w:id="8"/>
    <w:p>
      <w:pPr>
        <w:ind w:left="1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can I attend the 2026 Annual Meeting?</w:t>
      </w:r>
    </w:p>
    <w:p>
      <w:pPr>
        <w:spacing w:after="0" w:line="63" w:lineRule="exact"/>
        <w:rPr>
          <w:rFonts w:ascii="Times New Roman" w:cs="Times New Roman" w:eastAsia="Times New Roman" w:hAnsi="Times New Roman"/>
          <w:sz w:val="18"/>
          <w:szCs w:val="18"/>
          <w:b w:val="1"/>
          <w:bCs w:val="1"/>
          <w:color w:val="auto"/>
        </w:rPr>
      </w:pPr>
    </w:p>
    <w:p>
      <w:pPr>
        <w:ind w:left="700" w:right="120" w:hanging="351"/>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All of our stockholders are invited to attend the 2026 Annual Meeting virtually. The 2026 Annual Meeting is not being held in person.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hosting the 2026 Annual Meeting online enables increased attendance and participation from locations around the world. The 2026 Annual Meeting has been designed to provide the same rights to participate as you would have at an in-person 2026 Annual Meeting.</w:t>
      </w:r>
    </w:p>
    <w:p>
      <w:pPr>
        <w:spacing w:after="0" w:line="8"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do I need to attend the 2026 Annual Meeting?</w:t>
      </w:r>
    </w:p>
    <w:p>
      <w:pPr>
        <w:spacing w:after="0" w:line="63" w:lineRule="exact"/>
        <w:rPr>
          <w:rFonts w:ascii="Times New Roman" w:cs="Times New Roman" w:eastAsia="Times New Roman" w:hAnsi="Times New Roman"/>
          <w:sz w:val="18"/>
          <w:szCs w:val="18"/>
          <w:b w:val="1"/>
          <w:bCs w:val="1"/>
          <w:color w:val="auto"/>
        </w:rPr>
      </w:pPr>
    </w:p>
    <w:p>
      <w:pPr>
        <w:ind w:left="700" w:right="80" w:hanging="351"/>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We will be hosting our 2026 Annual Meeting via live webcast. Stockholders can attend the 2026 Annual Meeting online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www.virtualshareholdermeeting.com/SPSC2026</w:t>
      </w:r>
      <w:r>
        <w:rPr>
          <w:rFonts w:ascii="Times New Roman" w:cs="Times New Roman" w:eastAsia="Times New Roman" w:hAnsi="Times New Roman"/>
          <w:sz w:val="18"/>
          <w:szCs w:val="18"/>
          <w:color w:val="auto"/>
        </w:rPr>
        <w:t>. The webcast will begin at 8:00 a.m., Central Time. We encourage you to access the 2026 Annual Meeting prior to the start time. In order to participate in the 2026 Annual Meeting, you will need the 16-digit control number located on your Notice, on your proxy card or on the instructions that accompanied your proxy materials.</w:t>
      </w:r>
    </w:p>
    <w:p>
      <w:pPr>
        <w:spacing w:after="0" w:line="14"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can I submit a question at the 2026 Annual Meeting?</w:t>
      </w:r>
    </w:p>
    <w:p>
      <w:pPr>
        <w:spacing w:after="0" w:line="63" w:lineRule="exact"/>
        <w:rPr>
          <w:rFonts w:ascii="Times New Roman" w:cs="Times New Roman" w:eastAsia="Times New Roman" w:hAnsi="Times New Roman"/>
          <w:sz w:val="18"/>
          <w:szCs w:val="18"/>
          <w:b w:val="1"/>
          <w:bCs w:val="1"/>
          <w:color w:val="auto"/>
        </w:rPr>
      </w:pPr>
    </w:p>
    <w:p>
      <w:pPr>
        <w:ind w:left="700" w:hanging="351"/>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would like to submit a question at the 2026 Annual Meeting, you may type your question into the dialog box provided at any point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virtual 2026 Annual Meeting (until the floor is closed to questions). In order to allow us to answer questions from as many stockholders as possible, we limit each stockholder to two questions. Questions and answers may be grouped by topic and substantially similar questions may be answered at once.</w:t>
      </w:r>
    </w:p>
    <w:p>
      <w:pPr>
        <w:spacing w:after="0" w:line="14"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if I have technical difficulties or trouble accessing the 2026 Annual Meeting?</w:t>
      </w:r>
    </w:p>
    <w:p>
      <w:pPr>
        <w:spacing w:after="0" w:line="63" w:lineRule="exact"/>
        <w:rPr>
          <w:rFonts w:ascii="Times New Roman" w:cs="Times New Roman" w:eastAsia="Times New Roman" w:hAnsi="Times New Roman"/>
          <w:sz w:val="18"/>
          <w:szCs w:val="18"/>
          <w:b w:val="1"/>
          <w:bCs w:val="1"/>
          <w:color w:val="auto"/>
        </w:rPr>
      </w:pPr>
    </w:p>
    <w:p>
      <w:pPr>
        <w:ind w:left="700" w:right="80" w:hanging="35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encounter any technical difficulties with accessing the virtual 2026 Annual Meeting, please call the technical support number that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posted on the 2026 Annual Meeting website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-1995805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-1241425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-487045</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69850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the Notice and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1" w:lineRule="exact"/>
        <w:rPr>
          <w:sz w:val="20"/>
          <w:szCs w:val="20"/>
          <w:color w:val="auto"/>
        </w:rPr>
      </w:pPr>
    </w:p>
    <w:p>
      <w:pPr>
        <w:ind w:left="360" w:hanging="354"/>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is a proxy?</w:t>
      </w:r>
    </w:p>
    <w:p>
      <w:pPr>
        <w:spacing w:after="0" w:line="4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is a designation for another person to vote stock you own; that other person is called a proxy. If you designate someone as your proxy in a written document, that document is called a form of proxy or a proxy card. When you designate a proxy, you also may direct the proxy how to vote your shares. We refer to this as your “proxy vote.” Two executive officers, Chad Collins and Joseph Del Preto, have been designated as proxies for our 2026 Annual Meeting.</w:t>
      </w:r>
    </w:p>
    <w:p>
      <w:pPr>
        <w:spacing w:after="0" w:line="21"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If I received a one-page Notice, how can I receive a full set of printed proxy materials?</w:t>
      </w:r>
    </w:p>
    <w:p>
      <w:pPr>
        <w:spacing w:after="0" w:line="4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permitted by SEC rules, we have elected to provide access to our proxy materials over the internet to stockholders who have not previously requested printed proxy materials, which reduces our costs and the environmental impact of our 2026 Annual Meeting. The Notice contains instructions on how to request a printed set of proxy materials, which we will provide to stockholders upon request at no cost to the requesting stockholder within three business days after receiving the request. If you would like to request a printed set of proxy materials, please make your request on or before May 14, 2026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543560</wp:posOffset>
            </wp:positionV>
            <wp:extent cx="240030"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338" w:right="419" w:bottom="1440" w:gutter="0" w:footer="0" w:header="0"/>
        </w:sectPr>
      </w:pPr>
    </w:p>
    <w:bookmarkStart w:id="9" w:name="page10"/>
    <w:bookmarkEnd w:id="9"/>
    <w:p>
      <w:pPr>
        <w:ind w:left="1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hanging="354"/>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do I submit my proxy?</w:t>
      </w:r>
    </w:p>
    <w:p>
      <w:pPr>
        <w:spacing w:after="0" w:line="4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you can submit your vote for the 2026 Annual Meeting in any of the following ways:</w:t>
      </w:r>
    </w:p>
    <w:p>
      <w:pPr>
        <w:spacing w:after="0" w:line="97" w:lineRule="exact"/>
        <w:rPr>
          <w:rFonts w:ascii="Times New Roman" w:cs="Times New Roman" w:eastAsia="Times New Roman" w:hAnsi="Times New Roman"/>
          <w:sz w:val="18"/>
          <w:szCs w:val="18"/>
          <w:b w:val="1"/>
          <w:bCs w:val="1"/>
          <w:color w:val="auto"/>
        </w:rPr>
      </w:pPr>
    </w:p>
    <w:p>
      <w:pPr>
        <w:ind w:left="1460" w:hanging="311"/>
        <w:spacing w:after="0"/>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internet using www.proxyvote.com;</w:t>
      </w:r>
    </w:p>
    <w:p>
      <w:pPr>
        <w:spacing w:after="0" w:line="117"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by calling a toll-free number; or</w:t>
      </w:r>
    </w:p>
    <w:p>
      <w:pPr>
        <w:spacing w:after="0" w:line="117"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mailing the proxy card in the envelope provided.</w:t>
      </w:r>
    </w:p>
    <w:p>
      <w:pPr>
        <w:spacing w:after="0" w:line="171" w:lineRule="exact"/>
        <w:rPr>
          <w:sz w:val="20"/>
          <w:szCs w:val="20"/>
          <w:color w:val="auto"/>
        </w:rPr>
      </w:pPr>
    </w:p>
    <w:p>
      <w:pPr>
        <w:ind w:left="700" w:right="60"/>
        <w:spacing w:after="0" w:line="266" w:lineRule="auto"/>
        <w:rPr>
          <w:sz w:val="20"/>
          <w:szCs w:val="20"/>
          <w:color w:val="auto"/>
        </w:rPr>
      </w:pPr>
      <w:r>
        <w:rPr>
          <w:rFonts w:ascii="Times New Roman" w:cs="Times New Roman" w:eastAsia="Times New Roman" w:hAnsi="Times New Roman"/>
          <w:sz w:val="18"/>
          <w:szCs w:val="18"/>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w:t>
      </w:r>
    </w:p>
    <w:p>
      <w:pPr>
        <w:spacing w:after="0" w:line="122" w:lineRule="exact"/>
        <w:rPr>
          <w:sz w:val="20"/>
          <w:szCs w:val="20"/>
          <w:color w:val="auto"/>
        </w:rPr>
      </w:pPr>
    </w:p>
    <w:p>
      <w:pPr>
        <w:ind w:left="700" w:right="8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must vote your shares in the manner prescribed by your broker, bank, trust, or other nominee, which is similar to the voting procedures for stockholders of record. If you receive the proxy materials by mail, you will receive a voting instruction form (not a proxy card) to use in directing the broker, bank, trust, or other nominee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hanging="354"/>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does it mean if I receive more than one printed set of proxy materials?</w:t>
      </w:r>
    </w:p>
    <w:p>
      <w:pPr>
        <w:spacing w:after="0" w:line="63" w:lineRule="exact"/>
        <w:rPr>
          <w:rFonts w:ascii="Times New Roman" w:cs="Times New Roman" w:eastAsia="Times New Roman" w:hAnsi="Times New Roman"/>
          <w:sz w:val="18"/>
          <w:szCs w:val="18"/>
          <w:b w:val="1"/>
          <w:bCs w:val="1"/>
          <w:color w:val="auto"/>
        </w:rPr>
      </w:pPr>
    </w:p>
    <w:p>
      <w:pPr>
        <w:ind w:left="700" w:right="140" w:hanging="351"/>
        <w:spacing w:after="0" w:line="29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If you receive more than one Notice or printed set of proxy materials, it means that you hold shares registered in more than one account.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ensure that all of your shares are voted, vote once for each control number you receive as described above under “</w:t>
      </w:r>
      <w:r>
        <w:rPr>
          <w:rFonts w:ascii="Times New Roman" w:cs="Times New Roman" w:eastAsia="Times New Roman" w:hAnsi="Times New Roman"/>
          <w:sz w:val="17"/>
          <w:szCs w:val="17"/>
          <w:i w:val="1"/>
          <w:iCs w:val="1"/>
          <w:color w:val="auto"/>
        </w:rPr>
        <w:t>How do I submit my proxy?</w:t>
      </w:r>
      <w:r>
        <w:rPr>
          <w:rFonts w:ascii="Times New Roman" w:cs="Times New Roman" w:eastAsia="Times New Roman" w:hAnsi="Times New Roman"/>
          <w:sz w:val="17"/>
          <w:szCs w:val="17"/>
          <w:color w:val="auto"/>
        </w:rPr>
        <w:t>”</w:t>
      </w:r>
    </w:p>
    <w:p>
      <w:pPr>
        <w:ind w:left="360" w:hanging="354"/>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Who pays for the cost of proxy preparation and solicitation?</w:t>
      </w:r>
    </w:p>
    <w:p>
      <w:pPr>
        <w:spacing w:after="0" w:line="63" w:lineRule="exact"/>
        <w:rPr>
          <w:rFonts w:ascii="Times New Roman" w:cs="Times New Roman" w:eastAsia="Times New Roman" w:hAnsi="Times New Roman"/>
          <w:sz w:val="18"/>
          <w:szCs w:val="18"/>
          <w:b w:val="1"/>
          <w:bCs w:val="1"/>
          <w:color w:val="auto"/>
        </w:rPr>
      </w:pPr>
    </w:p>
    <w:p>
      <w:pPr>
        <w:ind w:left="700" w:hanging="351"/>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SPS pays for the cost of proxy preparation and solicitation, including the reasonable charges and expenses of brokerage firms, banks, trusts,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nominees for forwarding proxy materials to street name holders. In addition, our directors, officers, and regular employees may solicit proxies personally, telephonically, electronically or by other means of communication. Our directors, officers and regular employees will receive no additional compensation for their services other than such regular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9" w:lineRule="exact"/>
        <w:rPr>
          <w:sz w:val="20"/>
          <w:szCs w:val="20"/>
          <w:color w:val="auto"/>
        </w:rPr>
      </w:pPr>
    </w:p>
    <w:p>
      <w:pPr>
        <w:ind w:left="360" w:hanging="354"/>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do I vote?</w:t>
      </w:r>
    </w:p>
    <w:p>
      <w:pPr>
        <w:spacing w:after="0" w:line="6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spacing w:after="0" w:line="31" w:lineRule="exact"/>
        <w:rPr>
          <w:rFonts w:ascii="Times New Roman" w:cs="Times New Roman" w:eastAsia="Times New Roman" w:hAnsi="Times New Roman"/>
          <w:sz w:val="18"/>
          <w:szCs w:val="18"/>
          <w:b w:val="1"/>
          <w:bCs w:val="1"/>
          <w:color w:val="auto"/>
        </w:rPr>
      </w:pPr>
    </w:p>
    <w:p>
      <w:pPr>
        <w:ind w:left="70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the “</w:t>
      </w:r>
      <w:r>
        <w:rPr>
          <w:rFonts w:ascii="Times New Roman" w:cs="Times New Roman" w:eastAsia="Times New Roman" w:hAnsi="Times New Roman"/>
          <w:sz w:val="18"/>
          <w:szCs w:val="18"/>
          <w:i w:val="1"/>
          <w:iCs w:val="1"/>
          <w:color w:val="auto"/>
        </w:rPr>
        <w:t>How to Vote by Proxy</w:t>
      </w:r>
      <w:r>
        <w:rPr>
          <w:rFonts w:ascii="Times New Roman" w:cs="Times New Roman" w:eastAsia="Times New Roman" w:hAnsi="Times New Roman"/>
          <w:sz w:val="18"/>
          <w:szCs w:val="18"/>
          <w:color w:val="auto"/>
        </w:rPr>
        <w:t>” section above for instructions on the different options on how to vote by proxy. See below under “</w:t>
      </w:r>
      <w:r>
        <w:rPr>
          <w:rFonts w:ascii="Times New Roman" w:cs="Times New Roman" w:eastAsia="Times New Roman" w:hAnsi="Times New Roman"/>
          <w:sz w:val="18"/>
          <w:szCs w:val="18"/>
          <w:i w:val="1"/>
          <w:iCs w:val="1"/>
          <w:color w:val="auto"/>
        </w:rPr>
        <w:t>Can I vote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at the 2026 Annual Meeting?</w:t>
      </w:r>
      <w:r>
        <w:rPr>
          <w:rFonts w:ascii="Times New Roman" w:cs="Times New Roman" w:eastAsia="Times New Roman" w:hAnsi="Times New Roman"/>
          <w:sz w:val="18"/>
          <w:szCs w:val="18"/>
          <w:color w:val="auto"/>
        </w:rPr>
        <w:t>” for information on voting your shares during the virtual 2026 Annual Meeting.</w:t>
      </w:r>
    </w:p>
    <w:p>
      <w:pPr>
        <w:spacing w:after="0" w:line="15" w:lineRule="exact"/>
        <w:rPr>
          <w:rFonts w:ascii="Times New Roman" w:cs="Times New Roman" w:eastAsia="Times New Roman" w:hAnsi="Times New Roman"/>
          <w:sz w:val="18"/>
          <w:szCs w:val="18"/>
          <w:b w:val="1"/>
          <w:bCs w:val="1"/>
          <w:color w:val="auto"/>
        </w:rPr>
      </w:pPr>
    </w:p>
    <w:p>
      <w:pPr>
        <w:ind w:left="360" w:hanging="354"/>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does the Board recommend that I vote?</w:t>
      </w:r>
    </w:p>
    <w:p>
      <w:pPr>
        <w:spacing w:after="0" w:line="31" w:lineRule="exact"/>
        <w:rPr>
          <w:rFonts w:ascii="Times New Roman" w:cs="Times New Roman" w:eastAsia="Times New Roman" w:hAnsi="Times New Roman"/>
          <w:sz w:val="18"/>
          <w:szCs w:val="18"/>
          <w:b w:val="1"/>
          <w:bCs w:val="1"/>
          <w:color w:val="auto"/>
        </w:rPr>
      </w:pPr>
    </w:p>
    <w:p>
      <w:pPr>
        <w:ind w:left="360"/>
        <w:spacing w:after="0" w:line="23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recommends a vote:</w:t>
      </w:r>
    </w:p>
    <w:p>
      <w:pPr>
        <w:spacing w:after="0" w:line="66" w:lineRule="exact"/>
        <w:rPr>
          <w:rFonts w:ascii="Times New Roman" w:cs="Times New Roman" w:eastAsia="Times New Roman" w:hAnsi="Times New Roman"/>
          <w:sz w:val="18"/>
          <w:szCs w:val="18"/>
          <w:b w:val="1"/>
          <w:bCs w:val="1"/>
          <w:color w:val="auto"/>
        </w:rPr>
      </w:pPr>
    </w:p>
    <w:p>
      <w:pPr>
        <w:ind w:left="1460" w:hanging="311"/>
        <w:spacing w:after="0"/>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director;</w:t>
      </w:r>
    </w:p>
    <w:p>
      <w:pPr>
        <w:spacing w:after="0" w:line="103" w:lineRule="exact"/>
        <w:rPr>
          <w:rFonts w:ascii="Times New Roman" w:cs="Times New Roman" w:eastAsia="Times New Roman" w:hAnsi="Times New Roman"/>
          <w:sz w:val="18"/>
          <w:szCs w:val="18"/>
          <w:color w:val="auto"/>
        </w:rPr>
      </w:pPr>
    </w:p>
    <w:p>
      <w:pPr>
        <w:ind w:left="1480" w:right="120" w:hanging="331"/>
        <w:spacing w:after="0" w:line="255" w:lineRule="auto"/>
        <w:tabs>
          <w:tab w:leader="none" w:pos="147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KPMG as the independent auditor of SPS Commerce, Inc. for the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and</w:t>
      </w:r>
    </w:p>
    <w:p>
      <w:pPr>
        <w:spacing w:after="0" w:line="59" w:lineRule="exact"/>
        <w:rPr>
          <w:rFonts w:ascii="Times New Roman" w:cs="Times New Roman" w:eastAsia="Times New Roman" w:hAnsi="Times New Roman"/>
          <w:sz w:val="18"/>
          <w:szCs w:val="18"/>
          <w:color w:val="auto"/>
        </w:rPr>
      </w:pPr>
    </w:p>
    <w:p>
      <w:pPr>
        <w:ind w:left="1460" w:hanging="311"/>
        <w:spacing w:after="0"/>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advisory approval of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-1102360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568325</wp:posOffset>
            </wp:positionV>
            <wp:extent cx="240030"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338" w:right="439" w:bottom="1440" w:gutter="0" w:footer="0" w:header="0"/>
        </w:sectPr>
      </w:pPr>
    </w:p>
    <w:bookmarkStart w:id="10" w:name="page11"/>
    <w:bookmarkEnd w:id="10"/>
    <w:p>
      <w:pPr>
        <w:ind w:left="114"/>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619125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4" w:hanging="354"/>
        <w:spacing w:after="0"/>
        <w:tabs>
          <w:tab w:leader="none" w:pos="35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if I do not specify how I want my shares voted?</w:t>
      </w:r>
    </w:p>
    <w:p>
      <w:pPr>
        <w:spacing w:after="0" w:line="63" w:lineRule="exact"/>
        <w:rPr>
          <w:rFonts w:ascii="Times New Roman" w:cs="Times New Roman" w:eastAsia="Times New Roman" w:hAnsi="Times New Roman"/>
          <w:sz w:val="18"/>
          <w:szCs w:val="18"/>
          <w:b w:val="1"/>
          <w:bCs w:val="1"/>
          <w:color w:val="auto"/>
        </w:rPr>
      </w:pPr>
    </w:p>
    <w:p>
      <w:pPr>
        <w:ind w:left="694" w:right="60" w:hanging="35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are a stockholder of record and submit a signed proxy card or submit your proxy by internet or telephone but do not specify how you want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your shares on a particular matter, we will vote your shares as follows:</w:t>
      </w:r>
    </w:p>
    <w:p>
      <w:pPr>
        <w:spacing w:after="0" w:line="181" w:lineRule="exact"/>
        <w:rPr>
          <w:rFonts w:ascii="Times New Roman" w:cs="Times New Roman" w:eastAsia="Times New Roman" w:hAnsi="Times New Roman"/>
          <w:sz w:val="18"/>
          <w:szCs w:val="18"/>
          <w:b w:val="1"/>
          <w:bCs w:val="1"/>
          <w:color w:val="auto"/>
        </w:rPr>
      </w:pPr>
    </w:p>
    <w:p>
      <w:pPr>
        <w:ind w:left="1034" w:hanging="107"/>
        <w:spacing w:after="0"/>
        <w:tabs>
          <w:tab w:leader="none" w:pos="10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director;</w:t>
      </w:r>
    </w:p>
    <w:p>
      <w:pPr>
        <w:spacing w:after="0" w:line="31" w:lineRule="exact"/>
        <w:rPr>
          <w:rFonts w:ascii="Times New Roman" w:cs="Times New Roman" w:eastAsia="Times New Roman" w:hAnsi="Times New Roman"/>
          <w:sz w:val="18"/>
          <w:szCs w:val="18"/>
          <w:color w:val="auto"/>
        </w:rPr>
      </w:pPr>
    </w:p>
    <w:p>
      <w:pPr>
        <w:ind w:left="1034" w:hanging="107"/>
        <w:spacing w:after="0"/>
        <w:tabs>
          <w:tab w:leader="none" w:pos="10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KPMG as the independent auditor of SPS Commerce, Inc. for the year ending December 31, 2026;</w:t>
      </w:r>
    </w:p>
    <w:p>
      <w:pPr>
        <w:spacing w:after="0" w:line="9" w:lineRule="exact"/>
        <w:rPr>
          <w:rFonts w:ascii="Times New Roman" w:cs="Times New Roman" w:eastAsia="Times New Roman" w:hAnsi="Times New Roman"/>
          <w:sz w:val="18"/>
          <w:szCs w:val="18"/>
          <w:color w:val="auto"/>
        </w:rPr>
      </w:pPr>
    </w:p>
    <w:p>
      <w:pPr>
        <w:ind w:left="69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 w:lineRule="exact"/>
        <w:rPr>
          <w:rFonts w:ascii="Times New Roman" w:cs="Times New Roman" w:eastAsia="Times New Roman" w:hAnsi="Times New Roman"/>
          <w:sz w:val="18"/>
          <w:szCs w:val="18"/>
          <w:color w:val="auto"/>
        </w:rPr>
      </w:pPr>
    </w:p>
    <w:p>
      <w:pPr>
        <w:ind w:left="1034" w:hanging="107"/>
        <w:spacing w:after="0"/>
        <w:tabs>
          <w:tab w:leader="none" w:pos="10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advisory approval of the compensation of our NEOs.</w:t>
      </w:r>
    </w:p>
    <w:p>
      <w:pPr>
        <w:spacing w:after="0" w:line="247" w:lineRule="exact"/>
        <w:rPr>
          <w:sz w:val="20"/>
          <w:szCs w:val="20"/>
          <w:color w:val="auto"/>
        </w:rPr>
      </w:pPr>
    </w:p>
    <w:p>
      <w:pPr>
        <w:ind w:left="694" w:right="60"/>
        <w:spacing w:after="0" w:line="254" w:lineRule="auto"/>
        <w:rPr>
          <w:sz w:val="20"/>
          <w:szCs w:val="20"/>
          <w:color w:val="auto"/>
        </w:rPr>
      </w:pPr>
      <w:r>
        <w:rPr>
          <w:rFonts w:ascii="Times New Roman" w:cs="Times New Roman" w:eastAsia="Times New Roman" w:hAnsi="Times New Roman"/>
          <w:sz w:val="18"/>
          <w:szCs w:val="18"/>
          <w:color w:val="auto"/>
        </w:rPr>
        <w:t>Your vote is important. We urge you to vote, or to instruct your broker, bank, trust, or other nominee how to vote, on all matters before the 2026 Annual Meeting. If you are a street name holder and fail to instruct the stockholder of record how you want to vote your shares on a particular matter, those shares are considered to be “uninstructed.” Other than the ratification of the selection of KPMG as our independent auditor for the year ending December 31, 2026, brokers may not exercise voting discretion as to the uninstructed shares on any matter included in the Notice of 2026 Annual Meeting. With respect to the ratification of the selection of KPMG as our independent auditor for the year ending December 31, 2026, brokers may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w:t>
      </w:r>
      <w:r>
        <w:rPr>
          <w:rFonts w:ascii="Times New Roman" w:cs="Times New Roman" w:eastAsia="Times New Roman" w:hAnsi="Times New Roman"/>
          <w:sz w:val="18"/>
          <w:szCs w:val="18"/>
          <w:i w:val="1"/>
          <w:iCs w:val="1"/>
          <w:color w:val="auto"/>
        </w:rPr>
        <w:t>How are votes counted?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167640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9" w:lineRule="exact"/>
        <w:rPr>
          <w:sz w:val="20"/>
          <w:szCs w:val="20"/>
          <w:color w:val="auto"/>
        </w:rPr>
      </w:pPr>
    </w:p>
    <w:p>
      <w:pPr>
        <w:ind w:left="354" w:hanging="354"/>
        <w:spacing w:after="0"/>
        <w:tabs>
          <w:tab w:leader="none" w:pos="35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Can I change my vote after submitting my proxy?</w:t>
      </w:r>
    </w:p>
    <w:p>
      <w:pPr>
        <w:spacing w:after="0" w:line="63" w:lineRule="exact"/>
        <w:rPr>
          <w:rFonts w:ascii="Times New Roman" w:cs="Times New Roman" w:eastAsia="Times New Roman" w:hAnsi="Times New Roman"/>
          <w:sz w:val="18"/>
          <w:szCs w:val="18"/>
          <w:b w:val="1"/>
          <w:bCs w:val="1"/>
          <w:color w:val="auto"/>
        </w:rPr>
      </w:pPr>
    </w:p>
    <w:p>
      <w:pPr>
        <w:ind w:left="694" w:right="300" w:hanging="35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Yes. If you are a stockholder of record with shares registered in your name, you may revoke your proxy and/or change your vote in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ways:</w:t>
      </w:r>
    </w:p>
    <w:p>
      <w:pPr>
        <w:spacing w:after="0" w:line="104" w:lineRule="exact"/>
        <w:rPr>
          <w:rFonts w:ascii="Times New Roman" w:cs="Times New Roman" w:eastAsia="Times New Roman" w:hAnsi="Times New Roman"/>
          <w:sz w:val="18"/>
          <w:szCs w:val="18"/>
          <w:b w:val="1"/>
          <w:bCs w:val="1"/>
          <w:color w:val="auto"/>
        </w:rPr>
      </w:pPr>
    </w:p>
    <w:p>
      <w:pPr>
        <w:ind w:left="1474" w:right="20" w:hanging="331"/>
        <w:spacing w:after="0" w:line="282" w:lineRule="auto"/>
        <w:tabs>
          <w:tab w:leader="none" w:pos="14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proxy by telephone or the internet before 11:59 p.m. Eastern Time on May 27, 2026 for shares held directly and before 11:59 p.m. Eastern Time on May 22, 2026 for shares held in the Plan;</w:t>
      </w:r>
    </w:p>
    <w:p>
      <w:pPr>
        <w:spacing w:after="0" w:line="53" w:lineRule="exact"/>
        <w:rPr>
          <w:rFonts w:ascii="Times New Roman" w:cs="Times New Roman" w:eastAsia="Times New Roman" w:hAnsi="Times New Roman"/>
          <w:sz w:val="18"/>
          <w:szCs w:val="18"/>
          <w:color w:val="auto"/>
        </w:rPr>
      </w:pPr>
    </w:p>
    <w:p>
      <w:pPr>
        <w:ind w:left="1474" w:right="60" w:hanging="331"/>
        <w:spacing w:after="0" w:line="282" w:lineRule="auto"/>
        <w:tabs>
          <w:tab w:leader="none" w:pos="14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proxy to the Corporate Secretary of SPS, which must be received by us before the time of the 2026 Annual Meeting;</w:t>
      </w:r>
    </w:p>
    <w:p>
      <w:pPr>
        <w:spacing w:after="0" w:line="53" w:lineRule="exact"/>
        <w:rPr>
          <w:rFonts w:ascii="Times New Roman" w:cs="Times New Roman" w:eastAsia="Times New Roman" w:hAnsi="Times New Roman"/>
          <w:sz w:val="18"/>
          <w:szCs w:val="18"/>
          <w:color w:val="auto"/>
        </w:rPr>
      </w:pPr>
    </w:p>
    <w:p>
      <w:pPr>
        <w:ind w:left="1474" w:right="80" w:hanging="331"/>
        <w:spacing w:after="0" w:line="282" w:lineRule="auto"/>
        <w:tabs>
          <w:tab w:leader="none" w:pos="14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written notice of revocation to the Corporate Secretary of SPS, which must be received by us before the time of the 2026 Annual Meeting; or</w:t>
      </w:r>
    </w:p>
    <w:p>
      <w:pPr>
        <w:spacing w:after="0" w:line="53" w:lineRule="exact"/>
        <w:rPr>
          <w:rFonts w:ascii="Times New Roman" w:cs="Times New Roman" w:eastAsia="Times New Roman" w:hAnsi="Times New Roman"/>
          <w:sz w:val="18"/>
          <w:szCs w:val="18"/>
          <w:color w:val="auto"/>
        </w:rPr>
      </w:pPr>
    </w:p>
    <w:p>
      <w:pPr>
        <w:ind w:left="1454" w:hanging="311"/>
        <w:spacing w:after="0"/>
        <w:tabs>
          <w:tab w:leader="none" w:pos="14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at the virtual 2026 Annual Meeting.</w:t>
      </w:r>
    </w:p>
    <w:p>
      <w:pPr>
        <w:spacing w:after="0" w:line="252" w:lineRule="exact"/>
        <w:rPr>
          <w:sz w:val="20"/>
          <w:szCs w:val="20"/>
          <w:color w:val="auto"/>
        </w:rPr>
      </w:pPr>
    </w:p>
    <w:p>
      <w:pPr>
        <w:ind w:left="714" w:right="60"/>
        <w:spacing w:after="0" w:line="279" w:lineRule="auto"/>
        <w:rPr>
          <w:sz w:val="20"/>
          <w:szCs w:val="20"/>
          <w:color w:val="auto"/>
        </w:rPr>
      </w:pPr>
      <w:r>
        <w:rPr>
          <w:rFonts w:ascii="Times New Roman" w:cs="Times New Roman" w:eastAsia="Times New Roman" w:hAnsi="Times New Roman"/>
          <w:sz w:val="18"/>
          <w:szCs w:val="18"/>
          <w:color w:val="auto"/>
        </w:rPr>
        <w:t>If you hold your shares in street name, you should contact your broker, bank, trust, or other nominee and follow their instructions to change your vote or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54" w:hanging="354"/>
        <w:spacing w:after="0"/>
        <w:tabs>
          <w:tab w:leader="none" w:pos="35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Can I vote my shares at the 2026 Annual Meeting?</w:t>
      </w:r>
    </w:p>
    <w:p>
      <w:pPr>
        <w:spacing w:after="0" w:line="63" w:lineRule="exact"/>
        <w:rPr>
          <w:rFonts w:ascii="Times New Roman" w:cs="Times New Roman" w:eastAsia="Times New Roman" w:hAnsi="Times New Roman"/>
          <w:sz w:val="18"/>
          <w:szCs w:val="18"/>
          <w:b w:val="1"/>
          <w:bCs w:val="1"/>
          <w:color w:val="auto"/>
        </w:rPr>
      </w:pPr>
    </w:p>
    <w:p>
      <w:pPr>
        <w:ind w:left="694" w:hanging="351"/>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are a stockholder of record or beneficial owner of common stock as of the close of business on the record date, you may vote your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virtual 2026 Annual Meeting by using the 16-digit control number on your Notice, your proxy card, or your voting instruction form, as applicable, on </w:t>
      </w:r>
      <w:r>
        <w:rPr>
          <w:rFonts w:ascii="Times New Roman" w:cs="Times New Roman" w:eastAsia="Times New Roman" w:hAnsi="Times New Roman"/>
          <w:sz w:val="18"/>
          <w:szCs w:val="18"/>
          <w:u w:val="single" w:color="auto"/>
          <w:color w:val="auto"/>
        </w:rPr>
        <w:t>www.virtualshareholdermeeting.com/SPSC2026</w:t>
      </w:r>
      <w:r>
        <w:rPr>
          <w:rFonts w:ascii="Times New Roman" w:cs="Times New Roman" w:eastAsia="Times New Roman" w:hAnsi="Times New Roman"/>
          <w:sz w:val="18"/>
          <w:szCs w:val="18"/>
          <w:color w:val="auto"/>
        </w:rPr>
        <w:t>. Even if you currently plan to attend the 2026 Annual Meeting, we recommend that you submit your proxy as described above so your vote will be counted if you decide later not to attend the 2026 Annual Meeting. If you submit your vote by proxy and decide later to vote during the meeting, the vote you submit at the 2026 Annual Meeting will override your proxy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541020</wp:posOffset>
            </wp:positionV>
            <wp:extent cx="240030" cy="231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54"/>
        <w:spacing w:after="0"/>
        <w:tabs>
          <w:tab w:leader="none" w:pos="1054"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234950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4"/>
          </w:cols>
          <w:pgMar w:left="346" w:top="338" w:right="359" w:bottom="1440" w:gutter="0" w:footer="0" w:header="0"/>
        </w:sectPr>
      </w:pPr>
    </w:p>
    <w:bookmarkStart w:id="11" w:name="page12"/>
    <w:bookmarkEnd w:id="11"/>
    <w:p>
      <w:pPr>
        <w:ind w:left="114"/>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619125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4" w:hanging="354"/>
        <w:spacing w:after="0"/>
        <w:tabs>
          <w:tab w:leader="none" w:pos="35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What vote is required to approve each item of business included in the Notice of 2026 Annual Meeting?</w:t>
      </w:r>
    </w:p>
    <w:p>
      <w:pPr>
        <w:spacing w:after="0" w:line="63" w:lineRule="exact"/>
        <w:rPr>
          <w:rFonts w:ascii="Times New Roman" w:cs="Times New Roman" w:eastAsia="Times New Roman" w:hAnsi="Times New Roman"/>
          <w:sz w:val="18"/>
          <w:szCs w:val="18"/>
          <w:b w:val="1"/>
          <w:bCs w:val="1"/>
          <w:color w:val="auto"/>
        </w:rPr>
      </w:pPr>
    </w:p>
    <w:p>
      <w:pPr>
        <w:jc w:val="both"/>
        <w:ind w:left="694" w:hanging="351"/>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 director nominee will be elected if the number of votes cast “FOR” the nominee exceeds the number of votes cast “AGAINST” the nominee.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incumbent director who does not receive a greater number of votes “FOR” than “AGAINST” his or her reelection in an uncontested election shall tender his or her resignation to the Board, subject to acceptance. The Governance and Nominating Committee will make a recommendation and the Board will determine whether to accept or reject the offer to resign and publicly disclose its decision within 90 days of certification of the stockholder vote.</w:t>
      </w:r>
    </w:p>
    <w:p>
      <w:pPr>
        <w:spacing w:after="0" w:line="210" w:lineRule="exact"/>
        <w:rPr>
          <w:sz w:val="20"/>
          <w:szCs w:val="20"/>
          <w:color w:val="auto"/>
        </w:rPr>
      </w:pPr>
    </w:p>
    <w:p>
      <w:pPr>
        <w:ind w:left="694" w:right="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or represented by proxy at the 2026 Annual Meeting and entitled to vote on the matter is required to ratify the selection of our independent auditor.</w:t>
      </w:r>
    </w:p>
    <w:p>
      <w:pPr>
        <w:spacing w:after="0" w:line="202" w:lineRule="exact"/>
        <w:rPr>
          <w:sz w:val="20"/>
          <w:szCs w:val="20"/>
          <w:color w:val="auto"/>
        </w:rPr>
      </w:pPr>
    </w:p>
    <w:p>
      <w:pPr>
        <w:jc w:val="both"/>
        <w:ind w:left="694" w:right="100"/>
        <w:spacing w:after="0" w:line="266" w:lineRule="auto"/>
        <w:rPr>
          <w:sz w:val="20"/>
          <w:szCs w:val="20"/>
          <w:color w:val="auto"/>
        </w:rPr>
      </w:pPr>
      <w:r>
        <w:rPr>
          <w:rFonts w:ascii="Times New Roman" w:cs="Times New Roman" w:eastAsia="Times New Roman" w:hAnsi="Times New Roman"/>
          <w:sz w:val="18"/>
          <w:szCs w:val="18"/>
          <w:color w:val="auto"/>
        </w:rPr>
        <w:t>For the advisory vote to approve the executive compensation of our NEOs, there is no minimum approval necessary since it is an advisory vote; however, the Board will consider the the proposal approved if the holders of a majority of the shares of common stock present or represented by proxy at the 2026 Annual Meeting and entitled to vote on the matter vote to approve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54" w:hanging="354"/>
        <w:spacing w:after="0"/>
        <w:tabs>
          <w:tab w:leader="none" w:pos="35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b w:val="1"/>
          <w:bCs w:val="1"/>
          <w:i w:val="1"/>
          <w:iCs w:val="1"/>
          <w:color w:val="00AAE5"/>
        </w:rPr>
        <w:t>How are votes counted?</w:t>
      </w:r>
    </w:p>
    <w:p>
      <w:pPr>
        <w:spacing w:after="0" w:line="63" w:lineRule="exact"/>
        <w:rPr>
          <w:rFonts w:ascii="Times New Roman" w:cs="Times New Roman" w:eastAsia="Times New Roman" w:hAnsi="Times New Roman"/>
          <w:sz w:val="18"/>
          <w:szCs w:val="18"/>
          <w:b w:val="1"/>
          <w:bCs w:val="1"/>
          <w:color w:val="auto"/>
        </w:rPr>
      </w:pPr>
    </w:p>
    <w:p>
      <w:pPr>
        <w:ind w:left="694" w:right="100" w:hanging="351"/>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You may vote “FOR,” “AGAINST” OR “ABSTAIN” for each director nominee and on the other proposals. If you properly submit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abstain from voting for a director nominee or on the other proposals, your shares will be counted as present at the 2026 Annual Meeting for the purpose of determining a quorum and for the purpose of calculating the vote on the particular matter(s) with respect to which you abstained from voting. If you do not submit your proxy or voting instructions and also do not vote at the 2026 Annual Meeting, your shares will not be counted as present at the 2026 Annual Meeting for the purpose of determining a quorum, unless you hold your shares in street name and the broker, bank, trust or other nominee has discretion to vote your shares and does so. For more information regarding discretionary voting, see the information above under “</w:t>
      </w:r>
      <w:r>
        <w:rPr>
          <w:rFonts w:ascii="Times New Roman" w:cs="Times New Roman" w:eastAsia="Times New Roman" w:hAnsi="Times New Roman"/>
          <w:sz w:val="18"/>
          <w:szCs w:val="18"/>
          <w:i w:val="1"/>
          <w:iCs w:val="1"/>
          <w:color w:val="auto"/>
        </w:rPr>
        <w:t>What if I do not specify how I want my shares voted?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left="694" w:right="40"/>
        <w:spacing w:after="0" w:line="282" w:lineRule="auto"/>
        <w:rPr>
          <w:sz w:val="20"/>
          <w:szCs w:val="20"/>
          <w:color w:val="auto"/>
        </w:rPr>
      </w:pPr>
      <w:r>
        <w:rPr>
          <w:rFonts w:ascii="Times New Roman" w:cs="Times New Roman" w:eastAsia="Times New Roman" w:hAnsi="Times New Roman"/>
          <w:sz w:val="18"/>
          <w:szCs w:val="18"/>
          <w:color w:val="auto"/>
        </w:rPr>
        <w:t>With respect to the proposal to elect directors, if you abstain from voting for one or more of the director nominees or you do not vote your shares on this matter (whether by broker non-vote or otherwise), this will have no effect on the outcome of the vote.</w:t>
      </w:r>
    </w:p>
    <w:p>
      <w:pPr>
        <w:spacing w:after="0" w:line="202" w:lineRule="exact"/>
        <w:rPr>
          <w:sz w:val="20"/>
          <w:szCs w:val="20"/>
          <w:color w:val="auto"/>
        </w:rPr>
      </w:pPr>
    </w:p>
    <w:p>
      <w:pPr>
        <w:jc w:val="both"/>
        <w:ind w:left="694" w:right="60"/>
        <w:spacing w:after="0" w:line="261" w:lineRule="auto"/>
        <w:rPr>
          <w:sz w:val="20"/>
          <w:szCs w:val="20"/>
          <w:color w:val="auto"/>
        </w:rPr>
      </w:pPr>
      <w:r>
        <w:rPr>
          <w:rFonts w:ascii="Times New Roman" w:cs="Times New Roman" w:eastAsia="Times New Roman" w:hAnsi="Times New Roman"/>
          <w:sz w:val="18"/>
          <w:szCs w:val="18"/>
          <w:color w:val="auto"/>
        </w:rPr>
        <w:t>With respect to the proposal to ratify the selection of KPMG as our independent auditor, if you abstain from voting, doing so will have the same effect as a vote against the proposal. Your broker or other nominee does have discretionary authority to vote your shares on this proposal, even if the broker or other nominee does not receive voting instructions from you. Therefore, we do not expect any broker non-votes with respect to this proposal, and accordingly broker non-votes will not affect the outcome of the vote.</w:t>
      </w:r>
    </w:p>
    <w:p>
      <w:pPr>
        <w:spacing w:after="0" w:line="207" w:lineRule="exact"/>
        <w:rPr>
          <w:sz w:val="20"/>
          <w:szCs w:val="20"/>
          <w:color w:val="auto"/>
        </w:rPr>
      </w:pPr>
    </w:p>
    <w:p>
      <w:pPr>
        <w:jc w:val="both"/>
        <w:ind w:left="694" w:right="40"/>
        <w:spacing w:after="0" w:line="282" w:lineRule="auto"/>
        <w:rPr>
          <w:sz w:val="20"/>
          <w:szCs w:val="20"/>
          <w:color w:val="auto"/>
        </w:rPr>
      </w:pPr>
      <w:r>
        <w:rPr>
          <w:rFonts w:ascii="Times New Roman" w:cs="Times New Roman" w:eastAsia="Times New Roman" w:hAnsi="Times New Roman"/>
          <w:sz w:val="18"/>
          <w:szCs w:val="18"/>
          <w:color w:val="auto"/>
        </w:rPr>
        <w:t>Broker non-votes will have no effect on the advisory vote to approve the compensation of our NEOs, however, if you abstain from voting on this matter, doing so will have the same effect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525780</wp:posOffset>
            </wp:positionV>
            <wp:extent cx="240030"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54"/>
        <w:spacing w:after="0"/>
        <w:tabs>
          <w:tab w:leader="none" w:pos="1054"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234950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338" w:right="379" w:bottom="1440" w:gutter="0" w:footer="0" w:header="0"/>
        </w:sectPr>
      </w:pPr>
    </w:p>
    <w:bookmarkStart w:id="12" w:name="page13"/>
    <w:bookmarkEnd w:id="1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00AAE5"/>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The Board currently consists of ten directors. Our Amended and Restated Bylaws provide that each member of our Board is elected annually by a majority of votes cast if the election is uncontested. All of our directors, except for Ms. Chima, Mr. McConnell, and Mr. Partin, were elected by our stockholders at our 2025 annual meeting of stockholders. Ms. Chima and Mr. McConnell were each appointed as a director of the Company effective February 12, 2026 pursuant to the Cooperation Agreement (as defined below), and Mr. Partin was appointed as a director of the Company effective August 18, 2025. One of our independent directors recommended Mr. Partin for consideration as a director nominee by the Governance &amp; Nominating Committee.</w:t>
      </w:r>
    </w:p>
    <w:p>
      <w:pPr>
        <w:spacing w:after="0" w:line="19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Ms. Chima and Mr. McConnell are nominated pursuant to a cooperation letter agreement (the “Cooperation Agreement”) entered into with Anson Funds Management LP (“Anson”) on February 12, 2026. The Cooperation Agreement, including certain standstill commitments made by Anson, is described in the Current Report on Form</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8-K filed by the Company with the SEC on February 12, 2026. Pursuant to the Cooperation Agreement and based upon the recommendation of the Governance &amp; Nominating Committee, the Board has nominated nine directors, including Ms. Chima and Mr. McConnell, for election at the 2026 Annual Meeting. As announced by the Company on February 12, 2026, in accordance with the long-standing age limitation set forth in the Company’s Corporate Governance Guidelines, Mr. Wehrwein is not standing for re-election as a director at the 2026 Annual Meeting. The Board has taken action to reduce the size of the Board to nine members effective upon the expiration of Mr. Wehrwein’s term as a director at the 2026 Annual Meeting. Proxies cannot be voted for a greater number of persons than nine, which is the number of nominees named in this Proxy Statement.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directors who currently serve on our Board and are nominated for reelection and continued service.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w w:val="96"/>
              </w:rPr>
              <w:t>Age</w:t>
            </w:r>
            <w:r>
              <w:rPr>
                <w:rFonts w:ascii="Times New Roman" w:cs="Times New Roman" w:eastAsia="Times New Roman" w:hAnsi="Times New Roman"/>
                <w:sz w:val="18"/>
                <w:szCs w:val="18"/>
                <w:b w:val="1"/>
                <w:bCs w:val="1"/>
                <w:color w:val="auto"/>
                <w:w w:val="96"/>
                <w:vertAlign w:val="superscript"/>
              </w:rPr>
              <w:t>(1)</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4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250"/>
        </w:trPr>
        <w:tc>
          <w:tcPr>
            <w:tcW w:w="2780" w:type="dxa"/>
            <w:vAlign w:val="bottom"/>
            <w:tcBorders>
              <w:bottom w:val="single" w:sz="8" w:color="F6F6F6"/>
            </w:tcBorders>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860" w:type="dxa"/>
            <w:vAlign w:val="bottom"/>
            <w:tcBorders>
              <w:bottom w:val="single" w:sz="8" w:color="F6F6F6"/>
            </w:tcBorders>
            <w:shd w:val="clear" w:color="auto" w:fill="F6F6F6"/>
          </w:tcPr>
          <w:p>
            <w:pPr>
              <w:jc w:val="center"/>
              <w:ind w:left="472"/>
              <w:spacing w:after="0"/>
              <w:rPr>
                <w:sz w:val="20"/>
                <w:szCs w:val="20"/>
                <w:color w:val="auto"/>
              </w:rPr>
            </w:pPr>
            <w:r>
              <w:rPr>
                <w:rFonts w:ascii="Times New Roman" w:cs="Times New Roman" w:eastAsia="Times New Roman" w:hAnsi="Times New Roman"/>
                <w:sz w:val="18"/>
                <w:szCs w:val="18"/>
                <w:color w:val="auto"/>
                <w:w w:val="99"/>
              </w:rPr>
              <w:t>50</w:t>
            </w:r>
          </w:p>
        </w:tc>
        <w:tc>
          <w:tcPr>
            <w:tcW w:w="336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rPr>
              <w:t>Chief Executive Officer, Director</w:t>
            </w:r>
          </w:p>
        </w:tc>
        <w:tc>
          <w:tcPr>
            <w:tcW w:w="174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40" w:type="dxa"/>
            <w:vAlign w:val="bottom"/>
            <w:tcBorders>
              <w:bottom w:val="single" w:sz="8" w:color="F6F6F6"/>
            </w:tcBorders>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9"/>
              </w:rPr>
              <w:t>No</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Fumbi Chima</w:t>
            </w:r>
          </w:p>
        </w:tc>
        <w:tc>
          <w:tcPr>
            <w:tcW w:w="18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51</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780" w:type="dxa"/>
            <w:vAlign w:val="bottom"/>
            <w:tcBorders>
              <w:bottom w:val="single" w:sz="8" w:color="F6F6F6"/>
            </w:tcBorders>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Razat Gaurav</w:t>
            </w:r>
          </w:p>
        </w:tc>
        <w:tc>
          <w:tcPr>
            <w:tcW w:w="1860" w:type="dxa"/>
            <w:vAlign w:val="bottom"/>
            <w:tcBorders>
              <w:bottom w:val="single" w:sz="8" w:color="F6F6F6"/>
            </w:tcBorders>
            <w:shd w:val="clear" w:color="auto" w:fill="F6F6F6"/>
          </w:tcPr>
          <w:p>
            <w:pPr>
              <w:jc w:val="center"/>
              <w:ind w:left="472"/>
              <w:spacing w:after="0"/>
              <w:rPr>
                <w:sz w:val="20"/>
                <w:szCs w:val="20"/>
                <w:color w:val="auto"/>
              </w:rPr>
            </w:pPr>
            <w:r>
              <w:rPr>
                <w:rFonts w:ascii="Times New Roman" w:cs="Times New Roman" w:eastAsia="Times New Roman" w:hAnsi="Times New Roman"/>
                <w:sz w:val="18"/>
                <w:szCs w:val="18"/>
                <w:color w:val="auto"/>
                <w:w w:val="99"/>
              </w:rPr>
              <w:t>52</w:t>
            </w:r>
          </w:p>
        </w:tc>
        <w:tc>
          <w:tcPr>
            <w:tcW w:w="336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40" w:type="dxa"/>
            <w:vAlign w:val="bottom"/>
            <w:tcBorders>
              <w:bottom w:val="single" w:sz="8" w:color="F6F6F6"/>
            </w:tcBorders>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McConnell</w:t>
            </w:r>
          </w:p>
        </w:tc>
        <w:tc>
          <w:tcPr>
            <w:tcW w:w="18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60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780" w:type="dxa"/>
            <w:vAlign w:val="bottom"/>
            <w:tcBorders>
              <w:bottom w:val="single" w:sz="8" w:color="F6F6F6"/>
            </w:tcBorders>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Mark Partin</w:t>
            </w:r>
          </w:p>
        </w:tc>
        <w:tc>
          <w:tcPr>
            <w:tcW w:w="1860" w:type="dxa"/>
            <w:vAlign w:val="bottom"/>
            <w:tcBorders>
              <w:bottom w:val="single" w:sz="8" w:color="F6F6F6"/>
            </w:tcBorders>
            <w:shd w:val="clear" w:color="auto" w:fill="F6F6F6"/>
          </w:tcPr>
          <w:p>
            <w:pPr>
              <w:jc w:val="center"/>
              <w:ind w:left="472"/>
              <w:spacing w:after="0"/>
              <w:rPr>
                <w:sz w:val="20"/>
                <w:szCs w:val="20"/>
                <w:color w:val="auto"/>
              </w:rPr>
            </w:pPr>
            <w:r>
              <w:rPr>
                <w:rFonts w:ascii="Times New Roman" w:cs="Times New Roman" w:eastAsia="Times New Roman" w:hAnsi="Times New Roman"/>
                <w:sz w:val="18"/>
                <w:szCs w:val="18"/>
                <w:color w:val="auto"/>
                <w:w w:val="99"/>
              </w:rPr>
              <w:t>58</w:t>
            </w:r>
          </w:p>
        </w:tc>
        <w:tc>
          <w:tcPr>
            <w:tcW w:w="336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40" w:type="dxa"/>
            <w:vAlign w:val="bottom"/>
            <w:tcBorders>
              <w:bottom w:val="single" w:sz="8" w:color="F6F6F6"/>
            </w:tcBorders>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Marty Réaume</w:t>
            </w:r>
          </w:p>
        </w:tc>
        <w:tc>
          <w:tcPr>
            <w:tcW w:w="18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60</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780" w:type="dxa"/>
            <w:vAlign w:val="bottom"/>
            <w:tcBorders>
              <w:bottom w:val="single" w:sz="8" w:color="F6F6F6"/>
            </w:tcBorders>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860" w:type="dxa"/>
            <w:vAlign w:val="bottom"/>
            <w:tcBorders>
              <w:bottom w:val="single" w:sz="8" w:color="F6F6F6"/>
            </w:tcBorders>
            <w:shd w:val="clear" w:color="auto" w:fill="F6F6F6"/>
          </w:tcPr>
          <w:p>
            <w:pPr>
              <w:jc w:val="center"/>
              <w:ind w:left="472"/>
              <w:spacing w:after="0"/>
              <w:rPr>
                <w:sz w:val="20"/>
                <w:szCs w:val="20"/>
                <w:color w:val="auto"/>
              </w:rPr>
            </w:pPr>
            <w:r>
              <w:rPr>
                <w:rFonts w:ascii="Times New Roman" w:cs="Times New Roman" w:eastAsia="Times New Roman" w:hAnsi="Times New Roman"/>
                <w:sz w:val="18"/>
                <w:szCs w:val="18"/>
                <w:color w:val="auto"/>
                <w:w w:val="99"/>
              </w:rPr>
              <w:t>61</w:t>
            </w:r>
          </w:p>
        </w:tc>
        <w:tc>
          <w:tcPr>
            <w:tcW w:w="336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Borders>
              <w:bottom w:val="single" w:sz="8" w:color="F6F6F6"/>
            </w:tcBorders>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440" w:type="dxa"/>
            <w:vAlign w:val="bottom"/>
            <w:tcBorders>
              <w:bottom w:val="single" w:sz="8" w:color="F6F6F6"/>
            </w:tcBorders>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8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69</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4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2780" w:type="dxa"/>
            <w:vAlign w:val="bottom"/>
            <w:shd w:val="clear" w:color="auto" w:fill="F6F6F6"/>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860" w:type="dxa"/>
            <w:vAlign w:val="bottom"/>
            <w:shd w:val="clear" w:color="auto" w:fill="F6F6F6"/>
          </w:tcPr>
          <w:p>
            <w:pPr>
              <w:jc w:val="center"/>
              <w:ind w:left="472"/>
              <w:spacing w:after="0"/>
              <w:rPr>
                <w:sz w:val="20"/>
                <w:szCs w:val="20"/>
                <w:color w:val="auto"/>
              </w:rPr>
            </w:pPr>
            <w:r>
              <w:rPr>
                <w:rFonts w:ascii="Times New Roman" w:cs="Times New Roman" w:eastAsia="Times New Roman" w:hAnsi="Times New Roman"/>
                <w:sz w:val="18"/>
                <w:szCs w:val="18"/>
                <w:color w:val="auto"/>
                <w:w w:val="99"/>
              </w:rPr>
              <w:t>54</w:t>
            </w:r>
          </w:p>
        </w:tc>
        <w:tc>
          <w:tcPr>
            <w:tcW w:w="3360" w:type="dxa"/>
            <w:vAlign w:val="bottom"/>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shd w:val="clear" w:color="auto" w:fill="F6F6F6"/>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shd w:val="clear" w:color="auto" w:fill="F6F6F6"/>
          </w:tcPr>
          <w:p>
            <w:pPr>
              <w:jc w:val="center"/>
              <w:ind w:left="52"/>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2780" w:type="dxa"/>
            <w:vAlign w:val="bottom"/>
            <w:shd w:val="clear" w:color="auto" w:fill="F6F6F6"/>
          </w:tcPr>
          <w:p>
            <w:pPr>
              <w:spacing w:after="0"/>
              <w:rPr>
                <w:sz w:val="2"/>
                <w:szCs w:val="2"/>
                <w:color w:val="auto"/>
              </w:rPr>
            </w:pPr>
          </w:p>
        </w:tc>
        <w:tc>
          <w:tcPr>
            <w:tcW w:w="1860" w:type="dxa"/>
            <w:vAlign w:val="bottom"/>
            <w:shd w:val="clear" w:color="auto" w:fill="F6F6F6"/>
          </w:tcPr>
          <w:p>
            <w:pPr>
              <w:spacing w:after="0"/>
              <w:rPr>
                <w:sz w:val="2"/>
                <w:szCs w:val="2"/>
                <w:color w:val="auto"/>
              </w:rPr>
            </w:pPr>
          </w:p>
        </w:tc>
        <w:tc>
          <w:tcPr>
            <w:tcW w:w="3360" w:type="dxa"/>
            <w:vAlign w:val="bottom"/>
            <w:shd w:val="clear" w:color="auto" w:fill="F6F6F6"/>
          </w:tcPr>
          <w:p>
            <w:pPr>
              <w:spacing w:after="0"/>
              <w:rPr>
                <w:sz w:val="2"/>
                <w:szCs w:val="2"/>
                <w:color w:val="auto"/>
              </w:rPr>
            </w:pPr>
          </w:p>
        </w:tc>
        <w:tc>
          <w:tcPr>
            <w:tcW w:w="1740" w:type="dxa"/>
            <w:vAlign w:val="bottom"/>
            <w:shd w:val="clear" w:color="auto" w:fill="F6F6F6"/>
          </w:tcPr>
          <w:p>
            <w:pPr>
              <w:spacing w:after="0"/>
              <w:rPr>
                <w:sz w:val="2"/>
                <w:szCs w:val="2"/>
                <w:color w:val="auto"/>
              </w:rPr>
            </w:pPr>
          </w:p>
        </w:tc>
        <w:tc>
          <w:tcPr>
            <w:tcW w:w="1440" w:type="dxa"/>
            <w:vAlign w:val="bottom"/>
            <w:shd w:val="clear" w:color="auto" w:fill="F6F6F6"/>
          </w:tcPr>
          <w:p>
            <w:pPr>
              <w:spacing w:after="0"/>
              <w:rPr>
                <w:sz w:val="2"/>
                <w:szCs w:val="2"/>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Age as of April 14, 2026</w:t>
      </w:r>
    </w:p>
    <w:p>
      <w:pPr>
        <w:spacing w:after="0" w:line="11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All nominated Board members have agreed to serve as directors if elected. If, for any reason, any nominee becomes unable to serve before the 2026 Annual Meeting occurs, the persons named as proxies may vote your shares for a substitute nominee selected by our Board. The director nominees, if reelected, will serve until our 2027 annual meeting of stockholders or until their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0575" cy="514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514350"/>
                    </a:xfrm>
                    <a:prstGeom prst="rect">
                      <a:avLst/>
                    </a:prstGeom>
                    <a:noFill/>
                  </pic:spPr>
                </pic:pic>
              </a:graphicData>
            </a:graphic>
          </wp:anchor>
        </w:drawing>
      </w:r>
    </w:p>
    <w:p>
      <w:pPr>
        <w:spacing w:after="0" w:line="260" w:lineRule="exact"/>
        <w:rPr>
          <w:sz w:val="20"/>
          <w:szCs w:val="20"/>
          <w:color w:val="auto"/>
        </w:rPr>
      </w:pPr>
    </w:p>
    <w:p>
      <w:pPr>
        <w:ind w:left="1460" w:right="11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director nominees. Proxies will be voted FOR the election of each of the nominees unless otherwise specified.</w:t>
      </w:r>
    </w:p>
    <w:p>
      <w:pPr>
        <w:spacing w:after="0" w:line="200" w:lineRule="exact"/>
        <w:rPr>
          <w:sz w:val="20"/>
          <w:szCs w:val="20"/>
          <w:color w:val="auto"/>
        </w:rPr>
      </w:pP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each of the nominated directors. The following includes certain information regarding our director nominees’ collective and individual experience, qualifications, attributes, and skills that led the Board to conclude that the makeup of the Board is appropriate and each nominee should continue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466090</wp:posOffset>
            </wp:positionV>
            <wp:extent cx="240030" cy="2311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8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361950</wp:posOffset>
            </wp:positionV>
            <wp:extent cx="712343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22288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Director Skills and Experience</w:t>
      </w:r>
    </w:p>
    <w:p>
      <w:pPr>
        <w:spacing w:after="0" w:line="221" w:lineRule="exact"/>
        <w:rPr>
          <w:sz w:val="20"/>
          <w:szCs w:val="20"/>
          <w:color w:val="auto"/>
        </w:rPr>
      </w:pPr>
    </w:p>
    <w:p>
      <w:pPr>
        <w:ind w:left="260" w:right="160"/>
        <w:spacing w:after="0" w:line="258" w:lineRule="auto"/>
        <w:rPr>
          <w:sz w:val="20"/>
          <w:szCs w:val="20"/>
          <w:color w:val="auto"/>
        </w:rPr>
      </w:pPr>
      <w:r>
        <w:rPr>
          <w:rFonts w:ascii="Times New Roman" w:cs="Times New Roman" w:eastAsia="Times New Roman" w:hAnsi="Times New Roman"/>
          <w:sz w:val="18"/>
          <w:szCs w:val="18"/>
          <w:color w:val="auto"/>
        </w:rPr>
        <w:t>The Board strives for well-qualified directors, with the relevant business and board skills and experiences, judgment and integrity, reputation in their profession, diversity of background, education, leadership ability, and concern for the interests of stockholders, to provide effective oversight and thought leadership to management and exercise oversight responsibilities on behalf of SPS stockholders. Each director brings experience and skills that complement those of the other directors. The Board believes that all the directors nominated for election are highly qualified, and have the skills, experience, and diversity of viewpoints required for service on the Board.</w:t>
      </w:r>
    </w:p>
    <w:p>
      <w:pPr>
        <w:spacing w:after="0" w:line="75" w:lineRule="exact"/>
        <w:rPr>
          <w:sz w:val="20"/>
          <w:szCs w:val="20"/>
          <w:color w:val="auto"/>
        </w:rPr>
      </w:pPr>
    </w:p>
    <w:p>
      <w:pPr>
        <w:ind w:left="260" w:right="220"/>
        <w:spacing w:after="0" w:line="266" w:lineRule="auto"/>
        <w:rPr>
          <w:sz w:val="20"/>
          <w:szCs w:val="20"/>
          <w:color w:val="auto"/>
        </w:rPr>
      </w:pPr>
      <w:r>
        <w:rPr>
          <w:rFonts w:ascii="Times New Roman" w:cs="Times New Roman" w:eastAsia="Times New Roman" w:hAnsi="Times New Roman"/>
          <w:sz w:val="18"/>
          <w:szCs w:val="18"/>
          <w:color w:val="auto"/>
        </w:rPr>
        <w:t>Core skills, experiences, and statistics for each of our director nominees are included in the summary graphics below. The lack of a skill or experience noted below does not mean the director does not possess that qualification but rather a noted skill or experience indicates a specific area of focus or expertise on which the Board relies most heavily.</w:t>
      </w:r>
    </w:p>
    <w:p>
      <w:pPr>
        <w:spacing w:after="0" w:line="61" w:lineRule="exact"/>
        <w:rPr>
          <w:sz w:val="20"/>
          <w:szCs w:val="20"/>
          <w:color w:val="auto"/>
        </w:rPr>
      </w:pPr>
    </w:p>
    <w:tbl>
      <w:tblPr>
        <w:tblLayout w:type="fixed"/>
        <w:tblInd w:w="390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Sempowski</w:t>
            </w:r>
          </w:p>
        </w:tc>
      </w:t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Collins</w:t>
            </w: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Chima</w:t>
            </w:r>
          </w:p>
        </w:tc>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Gaurav   McConnell</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Partin</w:t>
            </w: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Réaume</w:t>
            </w: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Reller</w:t>
            </w:r>
          </w:p>
        </w:tc>
        <w:tc>
          <w:tcPr>
            <w:tcW w:w="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Soran</w:t>
            </w:r>
          </w:p>
        </w:tc>
        <w:tc>
          <w:tcPr>
            <w:tcW w:w="8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Ward</w:t>
            </w:r>
          </w:p>
        </w:tc>
      </w:tr>
    </w:tbl>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Knowledge, Experience, and Skill</w:t>
      </w:r>
    </w:p>
    <w:p>
      <w:pPr>
        <w:sectPr>
          <w:pgSz w:w="11900" w:h="16838" w:orient="portrait"/>
          <w:cols w:equalWidth="0" w:num="1">
            <w:col w:w="10740"/>
          </w:cols>
          <w:pgMar w:left="460" w:top="338" w:right="699" w:bottom="1440" w:gutter="0" w:footer="0" w:header="0"/>
        </w:sectPr>
      </w:pPr>
    </w:p>
    <w:p>
      <w:pPr>
        <w:spacing w:after="0" w:line="66" w:lineRule="exact"/>
        <w:rPr>
          <w:sz w:val="20"/>
          <w:szCs w:val="20"/>
          <w:color w:val="auto"/>
        </w:rPr>
      </w:pPr>
    </w:p>
    <w:p>
      <w:pPr>
        <w:ind w:left="1100" w:right="160"/>
        <w:spacing w:after="0"/>
        <w:rPr>
          <w:sz w:val="20"/>
          <w:szCs w:val="20"/>
          <w:color w:val="auto"/>
        </w:rPr>
      </w:pPr>
      <w:r>
        <w:rPr>
          <w:rFonts w:ascii="Arial" w:cs="Arial" w:eastAsia="Arial" w:hAnsi="Arial"/>
          <w:sz w:val="16"/>
          <w:szCs w:val="16"/>
          <w:b w:val="1"/>
          <w:bCs w:val="1"/>
          <w:u w:val="single" w:color="auto"/>
          <w:color w:val="auto"/>
        </w:rPr>
        <w:t xml:space="preserve">Financial Literacy </w:t>
      </w:r>
      <w:r>
        <w:rPr>
          <w:rFonts w:ascii="Times New Roman" w:cs="Times New Roman" w:eastAsia="Times New Roman" w:hAnsi="Times New Roman"/>
          <w:sz w:val="16"/>
          <w:szCs w:val="16"/>
          <w:color w:val="auto"/>
        </w:rPr>
        <w:t>Experience in overseeing and understanding financial statements, capital structure,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-363855</wp:posOffset>
            </wp:positionV>
            <wp:extent cx="20574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6"/>
          <w:szCs w:val="16"/>
          <w:b w:val="1"/>
          <w:bCs w:val="1"/>
          <w:u w:val="single" w:color="auto"/>
          <w:color w:val="auto"/>
        </w:rPr>
        <w:t>SaaS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-73025</wp:posOffset>
            </wp:positionV>
            <wp:extent cx="20574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1100"/>
        <w:spacing w:after="0" w:line="239" w:lineRule="auto"/>
        <w:rPr>
          <w:sz w:val="20"/>
          <w:szCs w:val="20"/>
          <w:color w:val="auto"/>
        </w:rPr>
      </w:pPr>
      <w:r>
        <w:rPr>
          <w:rFonts w:ascii="Times New Roman" w:cs="Times New Roman" w:eastAsia="Times New Roman" w:hAnsi="Times New Roman"/>
          <w:sz w:val="16"/>
          <w:szCs w:val="16"/>
          <w:color w:val="auto"/>
        </w:rPr>
        <w:t>Experience in the Software-as-a-Service (SaaS) business model</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6"/>
          <w:szCs w:val="16"/>
          <w:b w:val="1"/>
          <w:bCs w:val="1"/>
          <w:u w:val="single" w:color="auto"/>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-73025</wp:posOffset>
            </wp:positionV>
            <wp:extent cx="20574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1100"/>
        <w:spacing w:after="0" w:line="239" w:lineRule="auto"/>
        <w:rPr>
          <w:sz w:val="20"/>
          <w:szCs w:val="20"/>
          <w:color w:val="auto"/>
        </w:rPr>
      </w:pPr>
      <w:r>
        <w:rPr>
          <w:rFonts w:ascii="Times New Roman" w:cs="Times New Roman" w:eastAsia="Times New Roman" w:hAnsi="Times New Roman"/>
          <w:sz w:val="16"/>
          <w:szCs w:val="16"/>
          <w:color w:val="auto"/>
        </w:rPr>
        <w:t>Experience in managing and developing technology, including cybersecurity</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6"/>
          <w:szCs w:val="16"/>
          <w:b w:val="1"/>
          <w:bCs w:val="1"/>
          <w:u w:val="single" w:color="auto"/>
          <w:color w:val="auto"/>
        </w:rPr>
        <w:t>Retail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-73025</wp:posOffset>
            </wp:positionV>
            <wp:extent cx="205740"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1100" w:right="260"/>
        <w:spacing w:after="0" w:line="239" w:lineRule="auto"/>
        <w:rPr>
          <w:sz w:val="20"/>
          <w:szCs w:val="20"/>
          <w:color w:val="auto"/>
        </w:rPr>
      </w:pPr>
      <w:r>
        <w:rPr>
          <w:rFonts w:ascii="Times New Roman" w:cs="Times New Roman" w:eastAsia="Times New Roman" w:hAnsi="Times New Roman"/>
          <w:sz w:val="16"/>
          <w:szCs w:val="16"/>
          <w:color w:val="auto"/>
        </w:rPr>
        <w:t>Experience in our primary customer market, retailers</w:t>
      </w:r>
    </w:p>
    <w:p>
      <w:pPr>
        <w:spacing w:after="0" w:line="20" w:lineRule="exact"/>
        <w:rPr>
          <w:sz w:val="20"/>
          <w:szCs w:val="20"/>
          <w:color w:val="auto"/>
        </w:rPr>
      </w:pPr>
    </w:p>
    <w:p>
      <w:pPr>
        <w:ind w:left="1100" w:right="280"/>
        <w:spacing w:after="0"/>
        <w:rPr>
          <w:sz w:val="20"/>
          <w:szCs w:val="20"/>
          <w:color w:val="auto"/>
        </w:rPr>
      </w:pPr>
      <w:r>
        <w:rPr>
          <w:rFonts w:ascii="Arial" w:cs="Arial" w:eastAsia="Arial" w:hAnsi="Arial"/>
          <w:sz w:val="16"/>
          <w:szCs w:val="16"/>
          <w:b w:val="1"/>
          <w:bCs w:val="1"/>
          <w:u w:val="single" w:color="auto"/>
          <w:color w:val="auto"/>
        </w:rPr>
        <w:t>Senior Leadership / Corporate Governance</w:t>
      </w:r>
    </w:p>
    <w:p>
      <w:pPr>
        <w:spacing w:after="0" w:line="1" w:lineRule="exact"/>
        <w:rPr>
          <w:sz w:val="20"/>
          <w:szCs w:val="20"/>
          <w:color w:val="auto"/>
        </w:rPr>
      </w:pPr>
    </w:p>
    <w:p>
      <w:pPr>
        <w:ind w:left="1100" w:right="40"/>
        <w:spacing w:after="0" w:line="233" w:lineRule="auto"/>
        <w:rPr>
          <w:sz w:val="20"/>
          <w:szCs w:val="20"/>
          <w:color w:val="auto"/>
        </w:rPr>
      </w:pPr>
      <w:r>
        <w:rPr>
          <w:rFonts w:ascii="Times New Roman" w:cs="Times New Roman" w:eastAsia="Times New Roman" w:hAnsi="Times New Roman"/>
          <w:sz w:val="16"/>
          <w:szCs w:val="16"/>
          <w:color w:val="auto"/>
        </w:rPr>
        <w:t>Experience in senior leadership or the direct management of corporate governance to assist in our organizational and operating structures, including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-526415</wp:posOffset>
            </wp:positionV>
            <wp:extent cx="205740"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4" w:lineRule="exact"/>
        <w:rPr>
          <w:sz w:val="20"/>
          <w:szCs w:val="20"/>
          <w:color w:val="auto"/>
        </w:rPr>
      </w:pPr>
    </w:p>
    <w:p>
      <w:pPr>
        <w:ind w:left="1100" w:right="420"/>
        <w:spacing w:after="0"/>
        <w:rPr>
          <w:sz w:val="20"/>
          <w:szCs w:val="20"/>
          <w:color w:val="auto"/>
        </w:rPr>
      </w:pPr>
      <w:r>
        <w:rPr>
          <w:rFonts w:ascii="Arial" w:cs="Arial" w:eastAsia="Arial" w:hAnsi="Arial"/>
          <w:sz w:val="16"/>
          <w:szCs w:val="16"/>
          <w:b w:val="1"/>
          <w:bCs w:val="1"/>
          <w:u w:val="single" w:color="auto"/>
          <w:color w:val="auto"/>
        </w:rPr>
        <w:t>Talent Management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-129540</wp:posOffset>
            </wp:positionV>
            <wp:extent cx="205740"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ind w:left="1100" w:right="20"/>
        <w:spacing w:after="0" w:line="239" w:lineRule="auto"/>
        <w:rPr>
          <w:sz w:val="20"/>
          <w:szCs w:val="20"/>
          <w:color w:val="auto"/>
        </w:rPr>
      </w:pPr>
      <w:r>
        <w:rPr>
          <w:rFonts w:ascii="Times New Roman" w:cs="Times New Roman" w:eastAsia="Times New Roman" w:hAnsi="Times New Roman"/>
          <w:sz w:val="16"/>
          <w:szCs w:val="16"/>
          <w:color w:val="auto"/>
        </w:rPr>
        <w:t>Experience in the direct management of retaining and compensating people</w:t>
      </w:r>
    </w:p>
    <w:p>
      <w:pPr>
        <w:spacing w:after="0" w:line="20" w:lineRule="exact"/>
        <w:rPr>
          <w:sz w:val="20"/>
          <w:szCs w:val="20"/>
          <w:color w:val="auto"/>
        </w:rPr>
      </w:pPr>
    </w:p>
    <w:p>
      <w:pPr>
        <w:ind w:left="1100" w:right="20"/>
        <w:spacing w:after="0"/>
        <w:rPr>
          <w:sz w:val="20"/>
          <w:szCs w:val="20"/>
          <w:color w:val="auto"/>
        </w:rPr>
      </w:pPr>
      <w:r>
        <w:rPr>
          <w:rFonts w:ascii="Arial" w:cs="Arial" w:eastAsia="Arial" w:hAnsi="Arial"/>
          <w:sz w:val="16"/>
          <w:szCs w:val="16"/>
          <w:b w:val="1"/>
          <w:bCs w:val="1"/>
          <w:u w:val="single" w:color="auto"/>
          <w:color w:val="auto"/>
        </w:rPr>
        <w:t xml:space="preserve">Sales / Customer Engagement </w:t>
      </w:r>
      <w:r>
        <w:rPr>
          <w:rFonts w:ascii="Times New Roman" w:cs="Times New Roman" w:eastAsia="Times New Roman" w:hAnsi="Times New Roman"/>
          <w:sz w:val="16"/>
          <w:szCs w:val="16"/>
          <w:color w:val="auto"/>
        </w:rPr>
        <w:t>Experience in the direct management of the sales or customer success organizational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-466725</wp:posOffset>
            </wp:positionV>
            <wp:extent cx="2623185" cy="480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23185" cy="480060"/>
                    </a:xfrm>
                    <a:prstGeom prst="rect">
                      <a:avLst/>
                    </a:prstGeom>
                    <a:noFill/>
                  </pic:spPr>
                </pic:pic>
              </a:graphicData>
            </a:graphic>
          </wp:anchor>
        </w:drawing>
      </w:r>
    </w:p>
    <w:p>
      <w:pPr>
        <w:ind w:left="1100" w:right="40"/>
        <w:spacing w:after="0" w:line="237" w:lineRule="auto"/>
        <w:rPr>
          <w:sz w:val="20"/>
          <w:szCs w:val="20"/>
          <w:color w:val="auto"/>
        </w:rPr>
      </w:pPr>
      <w:r>
        <w:rPr>
          <w:rFonts w:ascii="Arial" w:cs="Arial" w:eastAsia="Arial" w:hAnsi="Arial"/>
          <w:sz w:val="16"/>
          <w:szCs w:val="16"/>
          <w:b w:val="1"/>
          <w:bCs w:val="1"/>
          <w:u w:val="single" w:color="auto"/>
          <w:color w:val="auto"/>
        </w:rPr>
        <w:t xml:space="preserve">Mergers &amp; Acquisitions </w:t>
      </w:r>
      <w:r>
        <w:rPr>
          <w:rFonts w:ascii="Times New Roman" w:cs="Times New Roman" w:eastAsia="Times New Roman" w:hAnsi="Times New Roman"/>
          <w:sz w:val="16"/>
          <w:szCs w:val="16"/>
          <w:color w:val="auto"/>
        </w:rPr>
        <w:t>Experience in the various phases of M&amp;A work including target identification, due diligence, agreement negotiation and review, and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-422275</wp:posOffset>
            </wp:positionV>
            <wp:extent cx="20574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 w:lineRule="exact"/>
        <w:rPr>
          <w:sz w:val="20"/>
          <w:szCs w:val="20"/>
          <w:color w:val="auto"/>
        </w:rPr>
      </w:pPr>
    </w:p>
    <w:p>
      <w:pPr>
        <w:ind w:left="1100" w:right="20"/>
        <w:spacing w:after="0"/>
        <w:rPr>
          <w:sz w:val="20"/>
          <w:szCs w:val="20"/>
          <w:color w:val="auto"/>
        </w:rPr>
      </w:pPr>
      <w:r>
        <w:rPr>
          <w:rFonts w:ascii="Arial" w:cs="Arial" w:eastAsia="Arial" w:hAnsi="Arial"/>
          <w:sz w:val="16"/>
          <w:szCs w:val="16"/>
          <w:b w:val="1"/>
          <w:bCs w:val="1"/>
          <w:u w:val="single" w:color="auto"/>
          <w:color w:val="auto"/>
        </w:rPr>
        <w:t xml:space="preserve">International Operations </w:t>
      </w:r>
      <w:r>
        <w:rPr>
          <w:rFonts w:ascii="Times New Roman" w:cs="Times New Roman" w:eastAsia="Times New Roman" w:hAnsi="Times New Roman"/>
          <w:sz w:val="16"/>
          <w:szCs w:val="16"/>
          <w:color w:val="auto"/>
        </w:rPr>
        <w:t>Experience in the complex landscape of existing and growth into multi-national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-363855</wp:posOffset>
            </wp:positionV>
            <wp:extent cx="20574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-72390</wp:posOffset>
            </wp:positionV>
            <wp:extent cx="240030" cy="231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0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0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r>
      <w:tr>
        <w:trPr>
          <w:trHeight w:val="662"/>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2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0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00" w:type="dxa"/>
            <w:vAlign w:val="bottom"/>
          </w:tcPr>
          <w:p>
            <w:pPr>
              <w:spacing w:after="0"/>
              <w:rPr>
                <w:sz w:val="24"/>
                <w:szCs w:val="24"/>
                <w:color w:val="auto"/>
              </w:rPr>
            </w:pPr>
          </w:p>
        </w:tc>
      </w:tr>
      <w:tr>
        <w:trPr>
          <w:trHeight w:val="581"/>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0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00" w:type="dxa"/>
            <w:vAlign w:val="bottom"/>
          </w:tcPr>
          <w:p>
            <w:pPr>
              <w:spacing w:after="0"/>
              <w:rPr>
                <w:sz w:val="24"/>
                <w:szCs w:val="24"/>
                <w:color w:val="auto"/>
              </w:rPr>
            </w:pPr>
          </w:p>
        </w:tc>
      </w:tr>
      <w:tr>
        <w:trPr>
          <w:trHeight w:val="58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r>
      <w:tr>
        <w:trPr>
          <w:trHeight w:val="945"/>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2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0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0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r>
      <w:tr>
        <w:trPr>
          <w:trHeight w:val="1026"/>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2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0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0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r>
      <w:tr>
        <w:trPr>
          <w:trHeight w:val="288"/>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8"/>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shd w:val="clear" w:color="auto" w:fill="DBDBDB"/>
          </w:tcPr>
          <w:p>
            <w:pPr>
              <w:spacing w:after="0"/>
              <w:rPr>
                <w:sz w:val="24"/>
                <w:szCs w:val="24"/>
                <w:color w:val="auto"/>
              </w:rPr>
            </w:pPr>
          </w:p>
        </w:tc>
        <w:tc>
          <w:tcPr>
            <w:tcW w:w="760" w:type="dxa"/>
            <w:vAlign w:val="bottom"/>
            <w:shd w:val="clear" w:color="auto" w:fill="DBDBDB"/>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shd w:val="clear" w:color="auto" w:fill="DBDBDB"/>
          </w:tcPr>
          <w:p>
            <w:pPr>
              <w:ind w:left="34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shd w:val="clear" w:color="auto" w:fill="DBDBDB"/>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shd w:val="clear" w:color="auto" w:fill="DBDBDB"/>
          </w:tcPr>
          <w:p>
            <w:pPr>
              <w:spacing w:after="0"/>
              <w:rPr>
                <w:sz w:val="24"/>
                <w:szCs w:val="24"/>
                <w:color w:val="auto"/>
              </w:rPr>
            </w:pPr>
          </w:p>
        </w:tc>
        <w:tc>
          <w:tcPr>
            <w:tcW w:w="720" w:type="dxa"/>
            <w:vAlign w:val="bottom"/>
            <w:shd w:val="clear" w:color="auto" w:fill="DBDBDB"/>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00" w:type="dxa"/>
            <w:vAlign w:val="bottom"/>
            <w:shd w:val="clear" w:color="auto" w:fill="DBDBDB"/>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00" w:type="dxa"/>
            <w:vAlign w:val="bottom"/>
            <w:shd w:val="clear" w:color="auto" w:fill="DBDBDB"/>
          </w:tcPr>
          <w:p>
            <w:pPr>
              <w:ind w:left="340"/>
              <w:spacing w:after="0"/>
              <w:rPr>
                <w:sz w:val="20"/>
                <w:szCs w:val="20"/>
                <w:color w:val="auto"/>
              </w:rPr>
            </w:pPr>
            <w:r>
              <w:rPr>
                <w:rFonts w:ascii="Wingdings" w:cs="Wingdings" w:eastAsia="Wingdings" w:hAnsi="Wingdings"/>
                <w:sz w:val="18"/>
                <w:szCs w:val="18"/>
                <w:b w:val="1"/>
                <w:bCs w:val="1"/>
                <w:color w:val="00AAE5"/>
              </w:rPr>
              <w:t>l</w:t>
            </w:r>
          </w:p>
        </w:tc>
      </w:tr>
      <w:tr>
        <w:trPr>
          <w:trHeight w:val="288"/>
        </w:trPr>
        <w:tc>
          <w:tcPr>
            <w:tcW w:w="440" w:type="dxa"/>
            <w:vAlign w:val="bottom"/>
          </w:tcPr>
          <w:p>
            <w:pPr>
              <w:spacing w:after="0"/>
              <w:rPr>
                <w:sz w:val="24"/>
                <w:szCs w:val="24"/>
                <w:color w:val="auto"/>
              </w:rPr>
            </w:pPr>
          </w:p>
        </w:tc>
        <w:tc>
          <w:tcPr>
            <w:tcW w:w="740" w:type="dxa"/>
            <w:vAlign w:val="bottom"/>
            <w:shd w:val="clear" w:color="auto" w:fill="DBDBDB"/>
          </w:tcPr>
          <w:p>
            <w:pPr>
              <w:spacing w:after="0"/>
              <w:rPr>
                <w:sz w:val="24"/>
                <w:szCs w:val="24"/>
                <w:color w:val="auto"/>
              </w:rPr>
            </w:pPr>
          </w:p>
        </w:tc>
        <w:tc>
          <w:tcPr>
            <w:tcW w:w="760" w:type="dxa"/>
            <w:vAlign w:val="bottom"/>
            <w:shd w:val="clear" w:color="auto" w:fill="DBDBDB"/>
          </w:tcPr>
          <w:p>
            <w:pPr>
              <w:spacing w:after="0"/>
              <w:rPr>
                <w:sz w:val="24"/>
                <w:szCs w:val="24"/>
                <w:color w:val="auto"/>
              </w:rPr>
            </w:pPr>
          </w:p>
        </w:tc>
        <w:tc>
          <w:tcPr>
            <w:tcW w:w="820" w:type="dxa"/>
            <w:vAlign w:val="bottom"/>
            <w:shd w:val="clear" w:color="auto" w:fill="DBDBDB"/>
          </w:tcPr>
          <w:p>
            <w:pPr>
              <w:spacing w:after="0"/>
              <w:rPr>
                <w:sz w:val="24"/>
                <w:szCs w:val="24"/>
                <w:color w:val="auto"/>
              </w:rPr>
            </w:pPr>
          </w:p>
        </w:tc>
        <w:tc>
          <w:tcPr>
            <w:tcW w:w="780" w:type="dxa"/>
            <w:vAlign w:val="bottom"/>
            <w:shd w:val="clear" w:color="auto" w:fill="DBDBDB"/>
          </w:tcPr>
          <w:p>
            <w:pPr>
              <w:spacing w:after="0"/>
              <w:rPr>
                <w:sz w:val="24"/>
                <w:szCs w:val="24"/>
                <w:color w:val="auto"/>
              </w:rPr>
            </w:pPr>
          </w:p>
        </w:tc>
        <w:tc>
          <w:tcPr>
            <w:tcW w:w="740" w:type="dxa"/>
            <w:vAlign w:val="bottom"/>
            <w:shd w:val="clear" w:color="auto" w:fill="DBDBDB"/>
          </w:tcPr>
          <w:p>
            <w:pPr>
              <w:spacing w:after="0"/>
              <w:rPr>
                <w:sz w:val="24"/>
                <w:szCs w:val="24"/>
                <w:color w:val="auto"/>
              </w:rPr>
            </w:pPr>
          </w:p>
        </w:tc>
        <w:tc>
          <w:tcPr>
            <w:tcW w:w="720" w:type="dxa"/>
            <w:vAlign w:val="bottom"/>
            <w:shd w:val="clear" w:color="auto" w:fill="DBDBDB"/>
          </w:tcPr>
          <w:p>
            <w:pPr>
              <w:spacing w:after="0"/>
              <w:rPr>
                <w:sz w:val="24"/>
                <w:szCs w:val="24"/>
                <w:color w:val="auto"/>
              </w:rPr>
            </w:pPr>
          </w:p>
        </w:tc>
        <w:tc>
          <w:tcPr>
            <w:tcW w:w="800" w:type="dxa"/>
            <w:vAlign w:val="bottom"/>
            <w:shd w:val="clear" w:color="auto" w:fill="DBDBDB"/>
          </w:tcPr>
          <w:p>
            <w:pPr>
              <w:spacing w:after="0"/>
              <w:rPr>
                <w:sz w:val="24"/>
                <w:szCs w:val="24"/>
                <w:color w:val="auto"/>
              </w:rPr>
            </w:pPr>
          </w:p>
        </w:tc>
        <w:tc>
          <w:tcPr>
            <w:tcW w:w="900" w:type="dxa"/>
            <w:vAlign w:val="bottom"/>
            <w:shd w:val="clear" w:color="auto" w:fill="DBDBDB"/>
          </w:tcPr>
          <w:p>
            <w:pPr>
              <w:spacing w:after="0"/>
              <w:rPr>
                <w:sz w:val="24"/>
                <w:szCs w:val="24"/>
                <w:color w:val="auto"/>
              </w:rPr>
            </w:pPr>
          </w:p>
        </w:tc>
      </w:tr>
      <w:tr>
        <w:trPr>
          <w:trHeight w:val="549"/>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2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0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90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r>
      <w:tr>
        <w:trPr>
          <w:trHeight w:val="850"/>
        </w:trPr>
        <w:tc>
          <w:tcPr>
            <w:tcW w:w="440" w:type="dxa"/>
            <w:vAlign w:val="bottom"/>
          </w:tcPr>
          <w:p>
            <w:pPr>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6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ind w:left="34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2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-4257040</wp:posOffset>
            </wp:positionV>
            <wp:extent cx="6180455" cy="4800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80455" cy="48006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-3408045</wp:posOffset>
            </wp:positionV>
            <wp:extent cx="6180455" cy="3683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80455" cy="36830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-2670810</wp:posOffset>
            </wp:positionV>
            <wp:extent cx="6180455" cy="8229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80455" cy="82296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-296545</wp:posOffset>
            </wp:positionV>
            <wp:extent cx="6180455" cy="4800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700" w:space="340"/>
            <w:col w:w="6700"/>
          </w:cols>
          <w:pgMar w:left="460" w:top="338" w:right="699" w:bottom="1440" w:gutter="0" w:footer="0" w:header="0"/>
          <w:type w:val="continuous"/>
        </w:sectPr>
      </w:pPr>
    </w:p>
    <w:p>
      <w:pPr>
        <w:ind w:left="1080" w:hanging="492"/>
        <w:spacing w:after="0"/>
        <w:tabs>
          <w:tab w:leader="none" w:pos="108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223520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460" w:top="338" w:right="6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ectPr>
          <w:pgSz w:w="11900" w:h="16838" w:orient="portrait"/>
          <w:cols w:equalWidth="0" w:num="1">
            <w:col w:w="10740"/>
          </w:cols>
          <w:pgMar w:left="460" w:top="338" w:right="6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Gender</w:t>
      </w:r>
    </w:p>
    <w:p>
      <w:pPr>
        <w:spacing w:after="0" w:line="52"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Male</w:t>
            </w:r>
          </w:p>
        </w:tc>
        <w:tc>
          <w:tcPr>
            <w:tcW w:w="1640" w:type="dxa"/>
            <w:vAlign w:val="bottom"/>
            <w:tcBorders>
              <w:bottom w:val="single" w:sz="8" w:color="DBDBDB"/>
            </w:tcBorders>
            <w:shd w:val="clear" w:color="auto" w:fill="DBDBDB"/>
          </w:tcPr>
          <w:p>
            <w:pPr>
              <w:ind w:left="1200"/>
              <w:spacing w:after="0"/>
              <w:rPr>
                <w:sz w:val="20"/>
                <w:szCs w:val="20"/>
                <w:color w:val="auto"/>
              </w:rPr>
            </w:pPr>
            <w:r>
              <w:rPr>
                <w:rFonts w:ascii="Wingdings" w:cs="Wingdings" w:eastAsia="Wingdings" w:hAnsi="Wingdings"/>
                <w:sz w:val="18"/>
                <w:szCs w:val="18"/>
                <w:b w:val="1"/>
                <w:bCs w:val="1"/>
                <w:color w:val="00AAE5"/>
              </w:rPr>
              <w:t>l</w:t>
            </w:r>
          </w:p>
        </w:tc>
        <w:tc>
          <w:tcPr>
            <w:tcW w:w="1500" w:type="dxa"/>
            <w:vAlign w:val="bottom"/>
            <w:tcBorders>
              <w:bottom w:val="single" w:sz="8" w:color="DBDBDB"/>
            </w:tcBorders>
            <w:shd w:val="clear" w:color="auto" w:fill="DBDBDB"/>
          </w:tcPr>
          <w:p>
            <w:pPr>
              <w:ind w:left="102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Borders>
              <w:bottom w:val="single" w:sz="8" w:color="DBDBDB"/>
            </w:tcBorders>
            <w:shd w:val="clear" w:color="auto" w:fill="DBDBDB"/>
          </w:tcPr>
          <w:p>
            <w:pPr>
              <w:ind w:left="34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Borders>
              <w:bottom w:val="single" w:sz="8" w:color="DBDBDB"/>
            </w:tcBorders>
            <w:shd w:val="clear" w:color="auto" w:fill="DBDBDB"/>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Borders>
              <w:bottom w:val="single" w:sz="8" w:color="DBDBDB"/>
            </w:tcBorders>
            <w:shd w:val="clear" w:color="auto" w:fill="DBDBDB"/>
          </w:tcPr>
          <w:p>
            <w:pPr>
              <w:spacing w:after="0"/>
              <w:rPr>
                <w:sz w:val="20"/>
                <w:szCs w:val="20"/>
                <w:color w:val="auto"/>
              </w:rPr>
            </w:pPr>
          </w:p>
        </w:tc>
        <w:tc>
          <w:tcPr>
            <w:tcW w:w="720" w:type="dxa"/>
            <w:vAlign w:val="bottom"/>
            <w:tcBorders>
              <w:bottom w:val="single" w:sz="8" w:color="DBDBDB"/>
            </w:tcBorders>
            <w:shd w:val="clear" w:color="auto" w:fill="DBDBDB"/>
          </w:tcPr>
          <w:p>
            <w:pPr>
              <w:spacing w:after="0"/>
              <w:rPr>
                <w:sz w:val="20"/>
                <w:szCs w:val="20"/>
                <w:color w:val="auto"/>
              </w:rPr>
            </w:pPr>
          </w:p>
        </w:tc>
        <w:tc>
          <w:tcPr>
            <w:tcW w:w="1700" w:type="dxa"/>
            <w:vAlign w:val="bottom"/>
            <w:tcBorders>
              <w:bottom w:val="single" w:sz="8" w:color="DBDBDB"/>
            </w:tcBorders>
            <w:shd w:val="clear" w:color="auto" w:fill="DBDBDB"/>
          </w:tcPr>
          <w:p>
            <w:pPr>
              <w:ind w:left="300"/>
              <w:spacing w:after="0"/>
              <w:rPr>
                <w:sz w:val="20"/>
                <w:szCs w:val="20"/>
                <w:color w:val="auto"/>
              </w:rPr>
            </w:pPr>
            <w:r>
              <w:rPr>
                <w:rFonts w:ascii="Wingdings" w:cs="Wingdings" w:eastAsia="Wingdings" w:hAnsi="Wingdings"/>
                <w:sz w:val="18"/>
                <w:szCs w:val="18"/>
                <w:b w:val="1"/>
                <w:bCs w:val="1"/>
                <w:color w:val="00AAE5"/>
              </w:rPr>
              <w:t>l</w:t>
            </w:r>
          </w:p>
        </w:tc>
      </w:tr>
      <w:tr>
        <w:trPr>
          <w:trHeight w:val="225"/>
        </w:trPr>
        <w:tc>
          <w:tcPr>
            <w:tcW w:w="1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Female</w:t>
            </w:r>
          </w:p>
        </w:tc>
        <w:tc>
          <w:tcPr>
            <w:tcW w:w="1640" w:type="dxa"/>
            <w:vAlign w:val="bottom"/>
          </w:tcPr>
          <w:p>
            <w:pPr>
              <w:spacing w:after="0"/>
              <w:rPr>
                <w:sz w:val="19"/>
                <w:szCs w:val="19"/>
                <w:color w:val="auto"/>
              </w:rPr>
            </w:pPr>
          </w:p>
        </w:tc>
        <w:tc>
          <w:tcPr>
            <w:tcW w:w="150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2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1700" w:type="dxa"/>
            <w:vAlign w:val="bottom"/>
          </w:tcPr>
          <w:p>
            <w:pPr>
              <w:ind w:left="1140"/>
              <w:spacing w:after="0"/>
              <w:rPr>
                <w:sz w:val="20"/>
                <w:szCs w:val="20"/>
                <w:color w:val="auto"/>
              </w:rPr>
            </w:pPr>
            <w:r>
              <w:rPr>
                <w:rFonts w:ascii="Wingdings" w:cs="Wingdings" w:eastAsia="Wingdings" w:hAnsi="Wingdings"/>
                <w:sz w:val="18"/>
                <w:szCs w:val="18"/>
                <w:b w:val="1"/>
                <w:bCs w:val="1"/>
                <w:color w:val="00AAE5"/>
              </w:rPr>
              <w:t>l</w:t>
            </w:r>
          </w:p>
        </w:tc>
      </w:tr>
    </w:tbl>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Race/Ethnicity</w:t>
      </w:r>
    </w:p>
    <w:p>
      <w:pPr>
        <w:spacing w:after="0" w:line="52"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250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700" w:type="dxa"/>
            <w:vAlign w:val="bottom"/>
            <w:tcBorders>
              <w:bottom w:val="single" w:sz="8" w:color="DBDBDB"/>
            </w:tcBorders>
            <w:shd w:val="clear" w:color="auto" w:fill="DBDBDB"/>
          </w:tcPr>
          <w:p>
            <w:pPr>
              <w:ind w:left="1280"/>
              <w:spacing w:after="0"/>
              <w:rPr>
                <w:sz w:val="20"/>
                <w:szCs w:val="20"/>
                <w:color w:val="auto"/>
              </w:rPr>
            </w:pPr>
            <w:r>
              <w:rPr>
                <w:rFonts w:ascii="Wingdings" w:cs="Wingdings" w:eastAsia="Wingdings" w:hAnsi="Wingdings"/>
                <w:sz w:val="18"/>
                <w:szCs w:val="18"/>
                <w:b w:val="1"/>
                <w:bCs w:val="1"/>
                <w:color w:val="00AAE5"/>
              </w:rPr>
              <w:t>l</w:t>
            </w:r>
          </w:p>
        </w:tc>
        <w:tc>
          <w:tcPr>
            <w:tcW w:w="1600" w:type="dxa"/>
            <w:vAlign w:val="bottom"/>
            <w:tcBorders>
              <w:bottom w:val="single" w:sz="8" w:color="DBDBDB"/>
            </w:tcBorders>
            <w:shd w:val="clear" w:color="auto" w:fill="DBDBDB"/>
          </w:tcPr>
          <w:p>
            <w:pPr>
              <w:spacing w:after="0"/>
              <w:rPr>
                <w:sz w:val="20"/>
                <w:szCs w:val="20"/>
                <w:color w:val="auto"/>
              </w:rPr>
            </w:pPr>
          </w:p>
        </w:tc>
        <w:tc>
          <w:tcPr>
            <w:tcW w:w="780" w:type="dxa"/>
            <w:vAlign w:val="bottom"/>
            <w:tcBorders>
              <w:bottom w:val="single" w:sz="8" w:color="DBDBDB"/>
            </w:tcBorders>
            <w:shd w:val="clear" w:color="auto" w:fill="DBDBDB"/>
          </w:tcPr>
          <w:p>
            <w:pPr>
              <w:spacing w:after="0"/>
              <w:rPr>
                <w:sz w:val="20"/>
                <w:szCs w:val="20"/>
                <w:color w:val="auto"/>
              </w:rPr>
            </w:pPr>
          </w:p>
        </w:tc>
        <w:tc>
          <w:tcPr>
            <w:tcW w:w="740" w:type="dxa"/>
            <w:vAlign w:val="bottom"/>
            <w:tcBorders>
              <w:bottom w:val="single" w:sz="8" w:color="DBDBDB"/>
            </w:tcBorders>
            <w:shd w:val="clear" w:color="auto" w:fill="DBDBDB"/>
          </w:tcPr>
          <w:p>
            <w:pPr>
              <w:spacing w:after="0"/>
              <w:rPr>
                <w:sz w:val="20"/>
                <w:szCs w:val="20"/>
                <w:color w:val="auto"/>
              </w:rPr>
            </w:pPr>
          </w:p>
        </w:tc>
        <w:tc>
          <w:tcPr>
            <w:tcW w:w="720" w:type="dxa"/>
            <w:vAlign w:val="bottom"/>
            <w:tcBorders>
              <w:bottom w:val="single" w:sz="8" w:color="DBDBDB"/>
            </w:tcBorders>
            <w:shd w:val="clear" w:color="auto" w:fill="DBDBDB"/>
          </w:tcPr>
          <w:p>
            <w:pPr>
              <w:spacing w:after="0"/>
              <w:rPr>
                <w:sz w:val="20"/>
                <w:szCs w:val="20"/>
                <w:color w:val="auto"/>
              </w:rPr>
            </w:pPr>
          </w:p>
        </w:tc>
        <w:tc>
          <w:tcPr>
            <w:tcW w:w="1700" w:type="dxa"/>
            <w:vAlign w:val="bottom"/>
            <w:tcBorders>
              <w:bottom w:val="single" w:sz="8" w:color="DBDBDB"/>
            </w:tcBorders>
            <w:shd w:val="clear" w:color="auto" w:fill="DBDBDB"/>
          </w:tcPr>
          <w:p>
            <w:pPr>
              <w:ind w:left="1140"/>
              <w:spacing w:after="0"/>
              <w:rPr>
                <w:sz w:val="20"/>
                <w:szCs w:val="20"/>
                <w:color w:val="auto"/>
              </w:rPr>
            </w:pPr>
            <w:r>
              <w:rPr>
                <w:rFonts w:ascii="Wingdings" w:cs="Wingdings" w:eastAsia="Wingdings" w:hAnsi="Wingdings"/>
                <w:sz w:val="18"/>
                <w:szCs w:val="18"/>
                <w:b w:val="1"/>
                <w:bCs w:val="1"/>
                <w:color w:val="00AAE5"/>
              </w:rPr>
              <w:t>l</w:t>
            </w:r>
          </w:p>
        </w:tc>
      </w:tr>
      <w:tr>
        <w:trPr>
          <w:trHeight w:val="225"/>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White</w:t>
            </w:r>
          </w:p>
        </w:tc>
        <w:tc>
          <w:tcPr>
            <w:tcW w:w="1700" w:type="dxa"/>
            <w:vAlign w:val="bottom"/>
          </w:tcPr>
          <w:p>
            <w:pPr>
              <w:ind w:left="540"/>
              <w:spacing w:after="0"/>
              <w:rPr>
                <w:sz w:val="20"/>
                <w:szCs w:val="20"/>
                <w:color w:val="auto"/>
              </w:rPr>
            </w:pPr>
            <w:r>
              <w:rPr>
                <w:rFonts w:ascii="Wingdings" w:cs="Wingdings" w:eastAsia="Wingdings" w:hAnsi="Wingdings"/>
                <w:sz w:val="18"/>
                <w:szCs w:val="18"/>
                <w:b w:val="1"/>
                <w:bCs w:val="1"/>
                <w:color w:val="00AAE5"/>
              </w:rPr>
              <w:t>l</w:t>
            </w:r>
          </w:p>
        </w:tc>
        <w:tc>
          <w:tcPr>
            <w:tcW w:w="1600" w:type="dxa"/>
            <w:vAlign w:val="bottom"/>
          </w:tcPr>
          <w:p>
            <w:pPr>
              <w:ind w:left="112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00AAE5"/>
              </w:rPr>
              <w:t>l</w:t>
            </w:r>
          </w:p>
        </w:tc>
        <w:tc>
          <w:tcPr>
            <w:tcW w:w="74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20" w:type="dxa"/>
            <w:vAlign w:val="bottom"/>
          </w:tcPr>
          <w:p>
            <w:pPr>
              <w:ind w:left="280"/>
              <w:spacing w:after="0"/>
              <w:rPr>
                <w:sz w:val="20"/>
                <w:szCs w:val="20"/>
                <w:color w:val="auto"/>
              </w:rPr>
            </w:pPr>
            <w:r>
              <w:rPr>
                <w:rFonts w:ascii="Wingdings" w:cs="Wingdings" w:eastAsia="Wingdings" w:hAnsi="Wingdings"/>
                <w:sz w:val="18"/>
                <w:szCs w:val="18"/>
                <w:b w:val="1"/>
                <w:bCs w:val="1"/>
                <w:color w:val="00AAE5"/>
              </w:rPr>
              <w:t>l</w:t>
            </w:r>
          </w:p>
        </w:tc>
        <w:tc>
          <w:tcPr>
            <w:tcW w:w="1700" w:type="dxa"/>
            <w:vAlign w:val="bottom"/>
          </w:tcPr>
          <w:p>
            <w:pPr>
              <w:ind w:left="300"/>
              <w:spacing w:after="0"/>
              <w:rPr>
                <w:sz w:val="20"/>
                <w:szCs w:val="20"/>
                <w:color w:val="auto"/>
              </w:rPr>
            </w:pPr>
            <w:r>
              <w:rPr>
                <w:rFonts w:ascii="Wingdings" w:cs="Wingdings" w:eastAsia="Wingdings" w:hAnsi="Wingdings"/>
                <w:sz w:val="18"/>
                <w:szCs w:val="18"/>
                <w:b w:val="1"/>
                <w:bCs w:val="1"/>
                <w:color w:val="00AAE5"/>
              </w:rPr>
              <w:t>l</w:t>
            </w:r>
          </w:p>
        </w:tc>
      </w:tr>
      <w:tr>
        <w:trPr>
          <w:trHeight w:val="45"/>
        </w:trPr>
        <w:tc>
          <w:tcPr>
            <w:tcW w:w="25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25"/>
        </w:trPr>
        <w:tc>
          <w:tcPr>
            <w:tcW w:w="250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6"/>
                <w:szCs w:val="16"/>
                <w:color w:val="auto"/>
              </w:rPr>
              <w:t>Asian</w:t>
            </w:r>
          </w:p>
        </w:tc>
        <w:tc>
          <w:tcPr>
            <w:tcW w:w="1700" w:type="dxa"/>
            <w:vAlign w:val="bottom"/>
            <w:shd w:val="clear" w:color="auto" w:fill="DBDBDB"/>
          </w:tcPr>
          <w:p>
            <w:pPr>
              <w:spacing w:after="0"/>
              <w:rPr>
                <w:sz w:val="19"/>
                <w:szCs w:val="19"/>
                <w:color w:val="auto"/>
              </w:rPr>
            </w:pPr>
          </w:p>
        </w:tc>
        <w:tc>
          <w:tcPr>
            <w:tcW w:w="1600" w:type="dxa"/>
            <w:vAlign w:val="bottom"/>
            <w:shd w:val="clear" w:color="auto" w:fill="DBDBDB"/>
          </w:tcPr>
          <w:p>
            <w:pPr>
              <w:ind w:left="300"/>
              <w:spacing w:after="0"/>
              <w:rPr>
                <w:sz w:val="20"/>
                <w:szCs w:val="20"/>
                <w:color w:val="auto"/>
              </w:rPr>
            </w:pPr>
            <w:r>
              <w:rPr>
                <w:rFonts w:ascii="Wingdings" w:cs="Wingdings" w:eastAsia="Wingdings" w:hAnsi="Wingdings"/>
                <w:sz w:val="18"/>
                <w:szCs w:val="18"/>
                <w:b w:val="1"/>
                <w:bCs w:val="1"/>
                <w:color w:val="00AAE5"/>
              </w:rPr>
              <w:t>l</w:t>
            </w:r>
          </w:p>
        </w:tc>
        <w:tc>
          <w:tcPr>
            <w:tcW w:w="7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1700" w:type="dxa"/>
            <w:vAlign w:val="bottom"/>
            <w:shd w:val="clear" w:color="auto" w:fill="DBDBDB"/>
          </w:tcPr>
          <w:p>
            <w:pPr>
              <w:spacing w:after="0"/>
              <w:rPr>
                <w:sz w:val="19"/>
                <w:szCs w:val="19"/>
                <w:color w:val="auto"/>
              </w:rPr>
            </w:pPr>
          </w:p>
        </w:tc>
      </w:tr>
      <w:tr>
        <w:trPr>
          <w:trHeight w:val="45"/>
        </w:trPr>
        <w:tc>
          <w:tcPr>
            <w:tcW w:w="2500" w:type="dxa"/>
            <w:vAlign w:val="bottom"/>
            <w:shd w:val="clear" w:color="auto" w:fill="DBDBDB"/>
          </w:tcPr>
          <w:p>
            <w:pPr>
              <w:spacing w:after="0"/>
              <w:rPr>
                <w:sz w:val="3"/>
                <w:szCs w:val="3"/>
                <w:color w:val="auto"/>
              </w:rPr>
            </w:pPr>
          </w:p>
        </w:tc>
        <w:tc>
          <w:tcPr>
            <w:tcW w:w="1700" w:type="dxa"/>
            <w:vAlign w:val="bottom"/>
            <w:shd w:val="clear" w:color="auto" w:fill="DBDBDB"/>
          </w:tcPr>
          <w:p>
            <w:pPr>
              <w:spacing w:after="0"/>
              <w:rPr>
                <w:sz w:val="3"/>
                <w:szCs w:val="3"/>
                <w:color w:val="auto"/>
              </w:rPr>
            </w:pPr>
          </w:p>
        </w:tc>
        <w:tc>
          <w:tcPr>
            <w:tcW w:w="1600" w:type="dxa"/>
            <w:vAlign w:val="bottom"/>
            <w:shd w:val="clear" w:color="auto" w:fill="DBDBDB"/>
          </w:tcPr>
          <w:p>
            <w:pPr>
              <w:spacing w:after="0"/>
              <w:rPr>
                <w:sz w:val="3"/>
                <w:szCs w:val="3"/>
                <w:color w:val="auto"/>
              </w:rPr>
            </w:pPr>
          </w:p>
        </w:tc>
        <w:tc>
          <w:tcPr>
            <w:tcW w:w="780" w:type="dxa"/>
            <w:vAlign w:val="bottom"/>
            <w:shd w:val="clear" w:color="auto" w:fill="DBDBDB"/>
          </w:tcPr>
          <w:p>
            <w:pPr>
              <w:spacing w:after="0"/>
              <w:rPr>
                <w:sz w:val="3"/>
                <w:szCs w:val="3"/>
                <w:color w:val="auto"/>
              </w:rPr>
            </w:pPr>
          </w:p>
        </w:tc>
        <w:tc>
          <w:tcPr>
            <w:tcW w:w="740" w:type="dxa"/>
            <w:vAlign w:val="bottom"/>
            <w:shd w:val="clear" w:color="auto" w:fill="DBDBDB"/>
          </w:tcPr>
          <w:p>
            <w:pPr>
              <w:spacing w:after="0"/>
              <w:rPr>
                <w:sz w:val="3"/>
                <w:szCs w:val="3"/>
                <w:color w:val="auto"/>
              </w:rPr>
            </w:pPr>
          </w:p>
        </w:tc>
        <w:tc>
          <w:tcPr>
            <w:tcW w:w="720" w:type="dxa"/>
            <w:vAlign w:val="bottom"/>
            <w:shd w:val="clear" w:color="auto" w:fill="DBDBDB"/>
          </w:tcPr>
          <w:p>
            <w:pPr>
              <w:spacing w:after="0"/>
              <w:rPr>
                <w:sz w:val="3"/>
                <w:szCs w:val="3"/>
                <w:color w:val="auto"/>
              </w:rPr>
            </w:pPr>
          </w:p>
        </w:tc>
        <w:tc>
          <w:tcPr>
            <w:tcW w:w="1700" w:type="dxa"/>
            <w:vAlign w:val="bottom"/>
            <w:shd w:val="clear" w:color="auto" w:fill="DBDBDB"/>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51435</wp:posOffset>
            </wp:positionV>
            <wp:extent cx="6103620" cy="16287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03620" cy="1628775"/>
                    </a:xfrm>
                    <a:prstGeom prst="rect">
                      <a:avLst/>
                    </a:prstGeom>
                    <a:noFill/>
                  </pic:spPr>
                </pic:pic>
              </a:graphicData>
            </a:graphic>
          </wp:anchor>
        </w:drawing>
      </w:r>
    </w:p>
    <w:p>
      <w:pPr>
        <w:spacing w:after="0" w:line="23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20"/>
          <w:szCs w:val="20"/>
          <w:b w:val="1"/>
          <w:bCs w:val="1"/>
          <w:color w:val="FFFFFF"/>
        </w:rPr>
        <w:t>Average Tenure in Years</w:t>
      </w:r>
    </w:p>
    <w:p>
      <w:pPr>
        <w:spacing w:after="0" w:line="18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20"/>
          <w:szCs w:val="20"/>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256540</wp:posOffset>
            </wp:positionV>
            <wp:extent cx="1474470" cy="557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74470" cy="5575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20"/>
          <w:szCs w:val="20"/>
          <w:b w:val="1"/>
          <w:bCs w:val="1"/>
          <w:color w:val="FFFFFF"/>
        </w:rPr>
        <w:t>Average Age</w:t>
      </w:r>
    </w:p>
    <w:p>
      <w:pPr>
        <w:spacing w:after="0" w:line="18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20"/>
          <w:szCs w:val="20"/>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334010</wp:posOffset>
            </wp:positionV>
            <wp:extent cx="240030" cy="2311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234950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460" w:top="338" w:right="699" w:bottom="1440" w:gutter="0" w:footer="0" w:header="0"/>
          <w:type w:val="continuous"/>
        </w:sectPr>
      </w:pPr>
    </w:p>
    <w:bookmarkStart w:id="15" w:name="page16"/>
    <w:bookmarkEnd w:id="1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94615</wp:posOffset>
            </wp:positionV>
            <wp:extent cx="908685" cy="8229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0868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Chad Collins</w:t>
      </w:r>
    </w:p>
    <w:p>
      <w:pPr>
        <w:spacing w:after="0" w:line="6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October 2023</w:t>
      </w:r>
    </w:p>
    <w:p>
      <w:pPr>
        <w:ind w:left="1600"/>
        <w:spacing w:after="0"/>
        <w:rPr>
          <w:sz w:val="20"/>
          <w:szCs w:val="20"/>
          <w:color w:val="auto"/>
        </w:rPr>
      </w:pPr>
      <w:r>
        <w:rPr>
          <w:rFonts w:ascii="Times New Roman" w:cs="Times New Roman" w:eastAsia="Times New Roman" w:hAnsi="Times New Roman"/>
          <w:sz w:val="21"/>
          <w:szCs w:val="21"/>
          <w:color w:val="auto"/>
        </w:rPr>
        <w:t>Chief Executive Officer,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53"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386" w:lineRule="exact"/>
        <w:rPr>
          <w:sz w:val="20"/>
          <w:szCs w:val="20"/>
          <w:color w:val="auto"/>
        </w:rPr>
      </w:pPr>
    </w:p>
    <w:p>
      <w:pPr>
        <w:ind w:left="380" w:hanging="282"/>
        <w:spacing w:after="0"/>
        <w:tabs>
          <w:tab w:leader="none" w:pos="38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SPS Commerce, Inc., CEO, October 2023–present</w:t>
      </w:r>
    </w:p>
    <w:p>
      <w:pPr>
        <w:spacing w:after="0" w:line="13" w:lineRule="exact"/>
        <w:rPr>
          <w:rFonts w:ascii="Courier New" w:cs="Courier New" w:eastAsia="Courier New" w:hAnsi="Courier New"/>
          <w:sz w:val="18"/>
          <w:szCs w:val="18"/>
          <w:color w:val="auto"/>
        </w:rPr>
      </w:pPr>
    </w:p>
    <w:p>
      <w:pPr>
        <w:ind w:left="380" w:hanging="282"/>
        <w:spacing w:after="0" w:line="218" w:lineRule="auto"/>
        <w:tabs>
          <w:tab w:leader="none" w:pos="38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Körber Supply Chain, CEO - Software, 2020–September 2023</w:t>
      </w:r>
    </w:p>
    <w:p>
      <w:pPr>
        <w:ind w:left="600"/>
        <w:spacing w:after="0" w:line="220" w:lineRule="auto"/>
        <w:rPr>
          <w:sz w:val="20"/>
          <w:szCs w:val="20"/>
          <w:color w:val="auto"/>
        </w:rPr>
      </w:pPr>
      <w:r>
        <w:rPr>
          <w:rFonts w:ascii="Times New Roman" w:cs="Times New Roman" w:eastAsia="Times New Roman" w:hAnsi="Times New Roman"/>
          <w:sz w:val="18"/>
          <w:szCs w:val="18"/>
          <w:i w:val="1"/>
          <w:iCs w:val="1"/>
          <w:color w:val="auto"/>
        </w:rPr>
        <w:t>Global provider of a wide range of end-to-end supply chain solutions</w:t>
      </w:r>
    </w:p>
    <w:p>
      <w:pPr>
        <w:ind w:left="400" w:right="1520" w:hanging="302"/>
        <w:spacing w:after="0" w:line="226" w:lineRule="auto"/>
        <w:tabs>
          <w:tab w:leader="none" w:pos="334" w:val="left"/>
        </w:tabs>
        <w:numPr>
          <w:ilvl w:val="0"/>
          <w:numId w:val="2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Highjump Software (and parent company, Accellos), various leadership roles, 2002–2020, including President, 2015–2017, and CEO, 2017–2020</w:t>
      </w:r>
    </w:p>
    <w:p>
      <w:pPr>
        <w:ind w:left="640" w:right="1460" w:hanging="45"/>
        <w:spacing w:after="0" w:line="219"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Global provider of supply chain management software and trading partner software</w:t>
      </w:r>
    </w:p>
    <w:p>
      <w:pPr>
        <w:ind w:left="300" w:hanging="202"/>
        <w:spacing w:after="0" w:line="231" w:lineRule="auto"/>
        <w:tabs>
          <w:tab w:leader="none" w:pos="300" w:val="left"/>
        </w:tabs>
        <w:numPr>
          <w:ilvl w:val="0"/>
          <w:numId w:val="2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Cap Gemini Ernst &amp; Young, Supply Chain Consultant, 1998–2002</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50800</wp:posOffset>
            </wp:positionV>
            <wp:extent cx="514350"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 cy="257175"/>
                    </a:xfrm>
                    <a:prstGeom prst="rect">
                      <a:avLst/>
                    </a:prstGeom>
                    <a:noFill/>
                  </pic:spPr>
                </pic:pic>
              </a:graphicData>
            </a:graphic>
          </wp:anchor>
        </w:drawing>
      </w:r>
    </w:p>
    <w:p>
      <w:pPr>
        <w:spacing w:after="0" w:line="204" w:lineRule="exact"/>
        <w:rPr>
          <w:sz w:val="20"/>
          <w:szCs w:val="20"/>
          <w:color w:val="auto"/>
        </w:rPr>
      </w:pPr>
    </w:p>
    <w:p>
      <w:pPr>
        <w:ind w:left="520" w:hanging="318"/>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15"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34"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hanging="318"/>
        <w:spacing w:after="0" w:line="219"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Market</w:t>
      </w:r>
    </w:p>
    <w:p>
      <w:pPr>
        <w:ind w:left="520" w:right="380" w:hanging="318"/>
        <w:spacing w:after="0" w:line="234" w:lineRule="auto"/>
        <w:tabs>
          <w:tab w:leader="none" w:pos="5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line="234"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-1169035</wp:posOffset>
            </wp:positionV>
            <wp:extent cx="539750" cy="257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-852170</wp:posOffset>
            </wp:positionV>
            <wp:extent cx="539750" cy="257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-526415</wp:posOffset>
            </wp:positionV>
            <wp:extent cx="539750"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9750" cy="25717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-208915</wp:posOffset>
            </wp:positionV>
            <wp:extent cx="257175"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Extensive management and operational experience in supply chain technology, as well as</w:t>
            </w:r>
          </w:p>
        </w:tc>
      </w:tr>
      <w:tr>
        <w:trPr>
          <w:trHeight w:val="255"/>
        </w:trPr>
        <w:tc>
          <w:tcPr>
            <w:tcW w:w="2400" w:type="dxa"/>
            <w:vAlign w:val="bottom"/>
            <w:tcBorders>
              <w:left w:val="single" w:sz="8" w:color="00AAE5"/>
              <w:bottom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his role with our Company.</w:t>
            </w:r>
          </w:p>
        </w:tc>
      </w:tr>
      <w:tr>
        <w:trPr>
          <w:trHeight w:val="490"/>
        </w:trPr>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11</w:t>
            </w:r>
          </w:p>
        </w:tc>
        <w:tc>
          <w:tcPr>
            <w:tcW w:w="10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Proxy Statement for the 2026 Annual Meeting of Stockholders</w:t>
            </w:r>
          </w:p>
        </w:tc>
      </w:tr>
      <w:tr>
        <w:trPr>
          <w:trHeight w:val="368"/>
        </w:trPr>
        <w:tc>
          <w:tcPr>
            <w:tcW w:w="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-436880</wp:posOffset>
            </wp:positionV>
            <wp:extent cx="240030" cy="231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6" w:name="page17"/>
    <w:bookmarkEnd w:id="16"/>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17780</wp:posOffset>
            </wp:positionV>
            <wp:extent cx="899795" cy="7200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99795" cy="7200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5"/>
          <w:szCs w:val="25"/>
          <w:b w:val="1"/>
          <w:bCs w:val="1"/>
          <w:color w:val="00B0F0"/>
        </w:rPr>
        <w:t>Fumbi Chima</w:t>
      </w:r>
    </w:p>
    <w:p>
      <w:pPr>
        <w:spacing w:after="0" w:line="92" w:lineRule="exact"/>
        <w:rPr>
          <w:sz w:val="20"/>
          <w:szCs w:val="20"/>
          <w:color w:val="auto"/>
        </w:rPr>
      </w:pPr>
    </w:p>
    <w:p>
      <w:pPr>
        <w:jc w:val="right"/>
        <w:ind w:right="7080"/>
        <w:spacing w:after="0"/>
        <w:rPr>
          <w:sz w:val="20"/>
          <w:szCs w:val="20"/>
          <w:color w:val="auto"/>
        </w:rPr>
      </w:pPr>
      <w:r>
        <w:rPr>
          <w:rFonts w:ascii="Times New Roman" w:cs="Times New Roman" w:eastAsia="Times New Roman" w:hAnsi="Times New Roman"/>
          <w:sz w:val="22"/>
          <w:szCs w:val="22"/>
          <w:color w:val="auto"/>
        </w:rPr>
        <w:t>Director since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208280</wp:posOffset>
            </wp:positionV>
            <wp:extent cx="706374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63740" cy="18859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96520</wp:posOffset>
            </wp:positionV>
            <wp:extent cx="706374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63740" cy="3429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p>
      <w:pPr>
        <w:spacing w:after="0" w:line="365"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60" w:hanging="313"/>
        <w:spacing w:after="0"/>
        <w:tabs>
          <w:tab w:leader="none" w:pos="460"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ind w:left="720"/>
        <w:spacing w:after="0" w:line="219" w:lineRule="auto"/>
        <w:rPr>
          <w:sz w:val="20"/>
          <w:szCs w:val="20"/>
          <w:color w:val="auto"/>
        </w:rPr>
      </w:pPr>
      <w:r>
        <w:rPr>
          <w:rFonts w:ascii="Times New Roman" w:cs="Times New Roman" w:eastAsia="Times New Roman" w:hAnsi="Times New Roman"/>
          <w:sz w:val="18"/>
          <w:szCs w:val="18"/>
          <w:color w:val="auto"/>
        </w:rPr>
        <w:t>Willis Towers Watson Public Limited Company (Nasdaq: WTW),</w:t>
      </w:r>
    </w:p>
    <w:p>
      <w:pPr>
        <w:spacing w:after="0" w:line="1" w:lineRule="exact"/>
        <w:rPr>
          <w:sz w:val="20"/>
          <w:szCs w:val="20"/>
          <w:color w:val="auto"/>
        </w:rPr>
      </w:pPr>
    </w:p>
    <w:p>
      <w:pPr>
        <w:ind w:left="780" w:right="940" w:firstLine="8"/>
        <w:spacing w:after="0" w:line="226" w:lineRule="auto"/>
        <w:rPr>
          <w:sz w:val="20"/>
          <w:szCs w:val="20"/>
          <w:color w:val="auto"/>
        </w:rPr>
      </w:pPr>
      <w:r>
        <w:rPr>
          <w:rFonts w:ascii="Times New Roman" w:cs="Times New Roman" w:eastAsia="Times New Roman" w:hAnsi="Times New Roman"/>
          <w:sz w:val="18"/>
          <w:szCs w:val="18"/>
          <w:color w:val="auto"/>
        </w:rPr>
        <w:t>April 2022–present, Audit Committee Member and Corporate Governance and Nominating Committee Chair</w:t>
      </w:r>
    </w:p>
    <w:p>
      <w:pPr>
        <w:ind w:left="1140"/>
        <w:spacing w:after="0" w:line="221" w:lineRule="auto"/>
        <w:rPr>
          <w:sz w:val="20"/>
          <w:szCs w:val="20"/>
          <w:color w:val="auto"/>
        </w:rPr>
      </w:pPr>
      <w:r>
        <w:rPr>
          <w:rFonts w:ascii="Times New Roman" w:cs="Times New Roman" w:eastAsia="Times New Roman" w:hAnsi="Times New Roman"/>
          <w:sz w:val="18"/>
          <w:szCs w:val="18"/>
          <w:i w:val="1"/>
          <w:iCs w:val="1"/>
          <w:color w:val="auto"/>
        </w:rPr>
        <w:t>Financial services company</w:t>
      </w:r>
    </w:p>
    <w:p>
      <w:pPr>
        <w:ind w:left="720"/>
        <w:spacing w:after="0" w:line="234" w:lineRule="auto"/>
        <w:rPr>
          <w:sz w:val="20"/>
          <w:szCs w:val="20"/>
          <w:color w:val="auto"/>
        </w:rPr>
      </w:pPr>
      <w:r>
        <w:rPr>
          <w:rFonts w:ascii="Times New Roman" w:cs="Times New Roman" w:eastAsia="Times New Roman" w:hAnsi="Times New Roman"/>
          <w:sz w:val="18"/>
          <w:szCs w:val="18"/>
          <w:color w:val="auto"/>
        </w:rPr>
        <w:t>Heirs Technologies, Chair of the Board of Directors, January 2024–present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7175"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1120"/>
        <w:spacing w:after="0" w:line="220" w:lineRule="auto"/>
        <w:rPr>
          <w:sz w:val="20"/>
          <w:szCs w:val="20"/>
          <w:color w:val="auto"/>
        </w:rPr>
      </w:pPr>
      <w:r>
        <w:rPr>
          <w:rFonts w:ascii="Times New Roman" w:cs="Times New Roman" w:eastAsia="Times New Roman" w:hAnsi="Times New Roman"/>
          <w:sz w:val="18"/>
          <w:szCs w:val="18"/>
          <w:i w:val="1"/>
          <w:iCs w:val="1"/>
          <w:color w:val="auto"/>
        </w:rPr>
        <w:t>Technology company</w:t>
      </w:r>
    </w:p>
    <w:p>
      <w:pPr>
        <w:ind w:left="780" w:right="700" w:hanging="71"/>
        <w:spacing w:after="0" w:line="226" w:lineRule="auto"/>
        <w:rPr>
          <w:sz w:val="20"/>
          <w:szCs w:val="20"/>
          <w:color w:val="auto"/>
        </w:rPr>
      </w:pPr>
      <w:r>
        <w:rPr>
          <w:rFonts w:ascii="Times New Roman" w:cs="Times New Roman" w:eastAsia="Times New Roman" w:hAnsi="Times New Roman"/>
          <w:sz w:val="18"/>
          <w:szCs w:val="18"/>
          <w:color w:val="auto"/>
        </w:rPr>
        <w:t>Past service on public and private company boards and in advisory roles in the U.S. and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-76200</wp:posOffset>
            </wp:positionV>
            <wp:extent cx="257175"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460" w:hanging="313"/>
        <w:spacing w:after="0" w:line="220" w:lineRule="auto"/>
        <w:tabs>
          <w:tab w:leader="none" w:pos="460" w:val="left"/>
        </w:tabs>
        <w:numPr>
          <w:ilvl w:val="0"/>
          <w:numId w:val="2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Executive and Technology Roles</w:t>
      </w:r>
    </w:p>
    <w:p>
      <w:pPr>
        <w:spacing w:after="0" w:line="1" w:lineRule="exact"/>
        <w:rPr>
          <w:sz w:val="20"/>
          <w:szCs w:val="20"/>
          <w:color w:val="auto"/>
        </w:rPr>
      </w:pPr>
    </w:p>
    <w:p>
      <w:pPr>
        <w:ind w:left="780" w:right="1140" w:hanging="71"/>
        <w:spacing w:after="0" w:line="219" w:lineRule="auto"/>
        <w:rPr>
          <w:sz w:val="20"/>
          <w:szCs w:val="20"/>
          <w:color w:val="auto"/>
        </w:rPr>
      </w:pPr>
      <w:r>
        <w:rPr>
          <w:rFonts w:ascii="Times New Roman" w:cs="Times New Roman" w:eastAsia="Times New Roman" w:hAnsi="Times New Roman"/>
          <w:sz w:val="18"/>
          <w:szCs w:val="18"/>
          <w:color w:val="auto"/>
        </w:rPr>
        <w:t>Boeing Credit Union, Chief Technology, Digital, and Transformation Officer, September 2020–November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-128905</wp:posOffset>
            </wp:positionV>
            <wp:extent cx="257175"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1280"/>
        <w:spacing w:after="0" w:line="235" w:lineRule="auto"/>
        <w:rPr>
          <w:sz w:val="20"/>
          <w:szCs w:val="20"/>
          <w:color w:val="auto"/>
        </w:rPr>
      </w:pPr>
      <w:r>
        <w:rPr>
          <w:rFonts w:ascii="Times New Roman" w:cs="Times New Roman" w:eastAsia="Times New Roman" w:hAnsi="Times New Roman"/>
          <w:sz w:val="18"/>
          <w:szCs w:val="18"/>
          <w:i w:val="1"/>
          <w:iCs w:val="1"/>
          <w:color w:val="auto"/>
        </w:rPr>
        <w:t>Non-profit financial cooperative</w:t>
      </w:r>
    </w:p>
    <w:p>
      <w:pPr>
        <w:ind w:left="780" w:right="520" w:hanging="81"/>
        <w:spacing w:after="0" w:line="219" w:lineRule="auto"/>
        <w:rPr>
          <w:sz w:val="20"/>
          <w:szCs w:val="20"/>
          <w:color w:val="auto"/>
        </w:rPr>
      </w:pPr>
      <w:r>
        <w:rPr>
          <w:rFonts w:ascii="Times New Roman" w:cs="Times New Roman" w:eastAsia="Times New Roman" w:hAnsi="Times New Roman"/>
          <w:sz w:val="18"/>
          <w:szCs w:val="18"/>
          <w:color w:val="auto"/>
        </w:rPr>
        <w:t>Adidas AG (Deutsche Börse: ADS.DE), Chief Information and Digital Officer, 2019–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-171450</wp:posOffset>
            </wp:positionV>
            <wp:extent cx="257175"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1280"/>
        <w:spacing w:after="0" w:line="219" w:lineRule="auto"/>
        <w:rPr>
          <w:sz w:val="20"/>
          <w:szCs w:val="20"/>
          <w:color w:val="auto"/>
        </w:rPr>
      </w:pPr>
      <w:r>
        <w:rPr>
          <w:rFonts w:ascii="Times New Roman" w:cs="Times New Roman" w:eastAsia="Times New Roman" w:hAnsi="Times New Roman"/>
          <w:sz w:val="18"/>
          <w:szCs w:val="18"/>
          <w:i w:val="1"/>
          <w:iCs w:val="1"/>
          <w:color w:val="auto"/>
        </w:rPr>
        <w:t>German sportswear manufacturing company</w:t>
      </w:r>
    </w:p>
    <w:p>
      <w:pPr>
        <w:ind w:left="780" w:right="760" w:hanging="74"/>
        <w:spacing w:after="0" w:line="225" w:lineRule="auto"/>
        <w:rPr>
          <w:sz w:val="20"/>
          <w:szCs w:val="20"/>
          <w:color w:val="auto"/>
        </w:rPr>
      </w:pPr>
      <w:r>
        <w:rPr>
          <w:rFonts w:ascii="Times New Roman" w:cs="Times New Roman" w:eastAsia="Times New Roman" w:hAnsi="Times New Roman"/>
          <w:sz w:val="18"/>
          <w:szCs w:val="18"/>
          <w:color w:val="auto"/>
        </w:rPr>
        <w:t>Various technology roles including executive roles at Fox Networks Group (2017– 2019), Burberry Group plc (LSE: BRBY, 2015–2017), Walmart (NYSE: WMT, 2010–2015), American Express Company (NYSE: AXP, 2006–2010), JPMorgan Chase &amp; Co. (NYSE: JPM, 2004–2006) and TXU Energy Retail Co LLC (2000– 2004)</w:t>
      </w:r>
    </w:p>
    <w:p>
      <w:pPr>
        <w:ind w:left="460" w:hanging="313"/>
        <w:spacing w:after="0" w:line="233" w:lineRule="auto"/>
        <w:tabs>
          <w:tab w:leader="none" w:pos="460" w:val="left"/>
        </w:tabs>
        <w:numPr>
          <w:ilvl w:val="0"/>
          <w:numId w:val="2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PricewaterhouseCoopers LLP, Auditor and Senior Consultant, 1993–2000</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i w:val="1"/>
          <w:iCs w:val="1"/>
          <w:color w:val="auto"/>
        </w:rPr>
        <w:t>Skills and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 w:hanging="329"/>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540" w:hanging="329"/>
        <w:spacing w:after="0" w:line="23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40" w:hanging="329"/>
        <w:spacing w:after="0" w:line="219"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40" w:hanging="329"/>
        <w:spacing w:after="0" w:line="23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Market</w:t>
      </w:r>
    </w:p>
    <w:p>
      <w:pPr>
        <w:ind w:left="540" w:right="400" w:hanging="329"/>
        <w:spacing w:after="0" w:line="226" w:lineRule="auto"/>
        <w:tabs>
          <w:tab w:leader="none" w:pos="5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40" w:right="460" w:hanging="329"/>
        <w:spacing w:after="0" w:line="226" w:lineRule="auto"/>
        <w:tabs>
          <w:tab w:leader="none" w:pos="5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40" w:hanging="329"/>
        <w:spacing w:after="0" w:line="23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40" w:hanging="329"/>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-1186180</wp:posOffset>
            </wp:positionV>
            <wp:extent cx="257175"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-877570</wp:posOffset>
            </wp:positionV>
            <wp:extent cx="257175"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-560705</wp:posOffset>
            </wp:positionV>
            <wp:extent cx="257175"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-234950</wp:posOffset>
            </wp:positionV>
            <wp:extent cx="257175"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1390" w:lineRule="exact"/>
        <w:rPr>
          <w:sz w:val="20"/>
          <w:szCs w:val="20"/>
          <w:color w:val="auto"/>
        </w:rPr>
      </w:pPr>
    </w:p>
    <w:p>
      <w:pPr>
        <w:sectPr>
          <w:pgSz w:w="11900" w:h="16838" w:orient="portrait"/>
          <w:cols w:equalWidth="0" w:num="2">
            <w:col w:w="7420" w:space="720"/>
            <w:col w:w="3100"/>
          </w:cols>
          <w:pgMar w:left="320" w:top="338" w:right="3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80" w:type="dxa"/>
            <w:vAlign w:val="bottom"/>
            <w:tcBorders>
              <w:right w:val="single" w:sz="8" w:color="00AAE5"/>
            </w:tcBorders>
          </w:tcPr>
          <w:p>
            <w:pPr>
              <w:spacing w:after="0"/>
              <w:rPr>
                <w:sz w:val="20"/>
                <w:szCs w:val="20"/>
                <w:color w:val="auto"/>
              </w:rPr>
            </w:pPr>
          </w:p>
        </w:tc>
        <w:tc>
          <w:tcPr>
            <w:tcW w:w="2340" w:type="dxa"/>
            <w:vAlign w:val="bottom"/>
            <w:tcBorders>
              <w:top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78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Broad range of experience in public and private company leadership positions and directorships</w:t>
            </w:r>
          </w:p>
        </w:tc>
        <w:tc>
          <w:tcPr>
            <w:tcW w:w="40" w:type="dxa"/>
            <w:vAlign w:val="bottom"/>
          </w:tcPr>
          <w:p>
            <w:pPr>
              <w:spacing w:after="0"/>
              <w:rPr>
                <w:sz w:val="20"/>
                <w:szCs w:val="20"/>
                <w:color w:val="auto"/>
              </w:rPr>
            </w:pPr>
          </w:p>
        </w:tc>
      </w:tr>
      <w:tr>
        <w:trPr>
          <w:trHeight w:val="253"/>
        </w:trPr>
        <w:tc>
          <w:tcPr>
            <w:tcW w:w="80" w:type="dxa"/>
            <w:vAlign w:val="bottom"/>
            <w:tcBorders>
              <w:right w:val="single" w:sz="8" w:color="00AAE5"/>
            </w:tcBorders>
          </w:tcPr>
          <w:p>
            <w:pPr>
              <w:spacing w:after="0"/>
              <w:rPr>
                <w:sz w:val="22"/>
                <w:szCs w:val="22"/>
                <w:color w:val="auto"/>
              </w:rPr>
            </w:pPr>
          </w:p>
        </w:tc>
        <w:tc>
          <w:tcPr>
            <w:tcW w:w="2340" w:type="dxa"/>
            <w:vAlign w:val="bottom"/>
            <w:tcBorders>
              <w:bottom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Qualifications</w:t>
            </w:r>
          </w:p>
        </w:tc>
        <w:tc>
          <w:tcPr>
            <w:tcW w:w="878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with a focus on retail, technology and digital transformation.</w:t>
            </w:r>
          </w:p>
        </w:tc>
        <w:tc>
          <w:tcPr>
            <w:tcW w:w="40" w:type="dxa"/>
            <w:vAlign w:val="bottom"/>
          </w:tcPr>
          <w:p>
            <w:pPr>
              <w:spacing w:after="0"/>
              <w:rPr>
                <w:sz w:val="22"/>
                <w:szCs w:val="22"/>
                <w:color w:val="auto"/>
              </w:rPr>
            </w:pPr>
          </w:p>
        </w:tc>
      </w:tr>
      <w:tr>
        <w:trPr>
          <w:trHeight w:val="490"/>
        </w:trPr>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12</w:t>
            </w:r>
          </w:p>
        </w:tc>
        <w:tc>
          <w:tcPr>
            <w:tcW w:w="102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Proxy Statement for the 2026 Annual Meeting of Stockholders</w:t>
            </w:r>
          </w:p>
        </w:tc>
      </w:tr>
      <w:tr>
        <w:trPr>
          <w:trHeight w:val="368"/>
        </w:trPr>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-436245</wp:posOffset>
            </wp:positionV>
            <wp:extent cx="240030" cy="2317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7" w:name="page18"/>
    <w:bookmarkEnd w:id="1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899795" cy="8572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9979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Razat Gaurav</w:t>
      </w:r>
    </w:p>
    <w:p>
      <w:pPr>
        <w:spacing w:after="0" w:line="119" w:lineRule="exact"/>
        <w:rPr>
          <w:sz w:val="20"/>
          <w:szCs w:val="20"/>
          <w:color w:val="auto"/>
        </w:rPr>
      </w:pPr>
    </w:p>
    <w:p>
      <w:pPr>
        <w:jc w:val="right"/>
        <w:ind w:right="7340"/>
        <w:spacing w:after="0"/>
        <w:rPr>
          <w:sz w:val="20"/>
          <w:szCs w:val="20"/>
          <w:color w:val="auto"/>
        </w:rPr>
      </w:pPr>
      <w:r>
        <w:rPr>
          <w:rFonts w:ascii="Times New Roman" w:cs="Times New Roman" w:eastAsia="Times New Roman" w:hAnsi="Times New Roman"/>
          <w:sz w:val="22"/>
          <w:szCs w:val="22"/>
          <w:color w:val="auto"/>
        </w:rPr>
        <w:t>Director since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52"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00" w:hanging="302"/>
        <w:spacing w:after="0"/>
        <w:tabs>
          <w:tab w:leader="none" w:pos="400" w:val="left"/>
        </w:tabs>
        <w:numPr>
          <w:ilvl w:val="0"/>
          <w:numId w:val="2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Kinaxis Inc. (TSX: KSX), CEO and Director, January 2026</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present</w:t>
      </w:r>
    </w:p>
    <w:p>
      <w:pPr>
        <w:ind w:left="740" w:right="1222"/>
        <w:spacing w:after="0" w:line="211" w:lineRule="auto"/>
        <w:rPr>
          <w:sz w:val="20"/>
          <w:szCs w:val="20"/>
          <w:color w:val="auto"/>
        </w:rPr>
      </w:pPr>
      <w:r>
        <w:rPr>
          <w:rFonts w:ascii="Times New Roman" w:cs="Times New Roman" w:eastAsia="Times New Roman" w:hAnsi="Times New Roman"/>
          <w:sz w:val="18"/>
          <w:szCs w:val="18"/>
          <w:i w:val="1"/>
          <w:iCs w:val="1"/>
          <w:color w:val="auto"/>
        </w:rPr>
        <w:t>Supply chain management company and provider of AI-supported supply chain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-111760</wp:posOffset>
            </wp:positionV>
            <wp:extent cx="257175" cy="257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400" w:hanging="302"/>
        <w:spacing w:after="0" w:line="219" w:lineRule="auto"/>
        <w:tabs>
          <w:tab w:leader="none" w:pos="400" w:val="left"/>
        </w:tabs>
        <w:numPr>
          <w:ilvl w:val="0"/>
          <w:numId w:val="3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Planview, Inc., CEO and Director, May 2021</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January 2026</w:t>
      </w:r>
    </w:p>
    <w:p>
      <w:pPr>
        <w:ind w:left="740" w:right="1602"/>
        <w:spacing w:after="0" w:line="211" w:lineRule="auto"/>
        <w:rPr>
          <w:sz w:val="20"/>
          <w:szCs w:val="20"/>
          <w:color w:val="auto"/>
        </w:rPr>
      </w:pPr>
      <w:r>
        <w:rPr>
          <w:rFonts w:ascii="Times New Roman" w:cs="Times New Roman" w:eastAsia="Times New Roman" w:hAnsi="Times New Roman"/>
          <w:sz w:val="18"/>
          <w:szCs w:val="18"/>
          <w:i w:val="1"/>
          <w:iCs w:val="1"/>
          <w:color w:val="auto"/>
        </w:rPr>
        <w:t>Enterprise software provider of portfolio management and digital product development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-154305</wp:posOffset>
            </wp:positionV>
            <wp:extent cx="257175" cy="257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40" w:right="1222" w:hanging="642"/>
        <w:spacing w:after="0" w:line="211" w:lineRule="auto"/>
        <w:tabs>
          <w:tab w:leader="none" w:pos="462" w:val="left"/>
        </w:tabs>
        <w:numPr>
          <w:ilvl w:val="0"/>
          <w:numId w:val="3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LLamasoft, Inc. (acquired by Coupa in 2020), CEO and Director, 2018</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April 2021 </w:t>
      </w:r>
      <w:r>
        <w:rPr>
          <w:rFonts w:ascii="Times New Roman" w:cs="Times New Roman" w:eastAsia="Times New Roman" w:hAnsi="Times New Roman"/>
          <w:sz w:val="18"/>
          <w:szCs w:val="18"/>
          <w:i w:val="1"/>
          <w:iCs w:val="1"/>
          <w:color w:val="auto"/>
        </w:rPr>
        <w:t>AI-based supply chain design and planning solutions provider</w:t>
      </w:r>
    </w:p>
    <w:p>
      <w:pPr>
        <w:ind w:left="420" w:right="882" w:hanging="322"/>
        <w:spacing w:after="0" w:line="224" w:lineRule="auto"/>
        <w:tabs>
          <w:tab w:leader="none" w:pos="381" w:val="left"/>
        </w:tabs>
        <w:numPr>
          <w:ilvl w:val="0"/>
          <w:numId w:val="3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Blue Yonder, various leadership roles, 2010</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2017, including Executive Vice President &amp; General Manager, Chief Revenue Officer (2015</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2017), EVP &amp; GM (2014</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2015), and SVP International and Strategic Initiatives (2013</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2014)</w:t>
      </w:r>
    </w:p>
    <w:p>
      <w:pPr>
        <w:ind w:left="740"/>
        <w:spacing w:after="0" w:line="219"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Supply chain management software provider</w:t>
      </w:r>
    </w:p>
    <w:p>
      <w:pPr>
        <w:ind w:left="420" w:right="842" w:hanging="322"/>
        <w:spacing w:after="0" w:line="219" w:lineRule="auto"/>
        <w:tabs>
          <w:tab w:leader="none" w:pos="401" w:val="left"/>
        </w:tabs>
        <w:numPr>
          <w:ilvl w:val="0"/>
          <w:numId w:val="3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i2 Technologies (acquired by Blue Yonder in 2010), various leadership roles, 1999</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2010, including Senior Vice President, Head of Sales (2009</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2010) and SVP, Global Logistics Business Unit (2005</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2008)</w:t>
      </w:r>
    </w:p>
    <w:p>
      <w:pPr>
        <w:ind w:left="740"/>
        <w:spacing w:after="0" w:line="234"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Supply chain management software provider</w:t>
      </w:r>
    </w:p>
    <w:p>
      <w:pPr>
        <w:ind w:left="400" w:hanging="302"/>
        <w:spacing w:after="0" w:line="231" w:lineRule="auto"/>
        <w:tabs>
          <w:tab w:leader="none" w:pos="400" w:val="left"/>
        </w:tabs>
        <w:numPr>
          <w:ilvl w:val="0"/>
          <w:numId w:val="3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Ernst &amp; Young, Management Consultant, 1997</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-1207770</wp:posOffset>
            </wp:positionV>
            <wp:extent cx="257175" cy="2571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-890270</wp:posOffset>
            </wp:positionV>
            <wp:extent cx="257175"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8" w:hanging="318"/>
        <w:spacing w:after="0"/>
        <w:tabs>
          <w:tab w:leader="none" w:pos="3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15" w:lineRule="exact"/>
        <w:rPr>
          <w:rFonts w:ascii="Times New Roman" w:cs="Times New Roman" w:eastAsia="Times New Roman" w:hAnsi="Times New Roman"/>
          <w:sz w:val="18"/>
          <w:szCs w:val="18"/>
          <w:color w:val="auto"/>
        </w:rPr>
      </w:pPr>
    </w:p>
    <w:p>
      <w:pPr>
        <w:ind w:left="318" w:hanging="318"/>
        <w:spacing w:after="0" w:line="219" w:lineRule="auto"/>
        <w:tabs>
          <w:tab w:leader="none" w:pos="3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318" w:hanging="318"/>
        <w:spacing w:after="0" w:line="234" w:lineRule="auto"/>
        <w:tabs>
          <w:tab w:leader="none" w:pos="3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318" w:hanging="318"/>
        <w:spacing w:after="0" w:line="219" w:lineRule="auto"/>
        <w:tabs>
          <w:tab w:leader="none" w:pos="3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Market</w:t>
      </w:r>
    </w:p>
    <w:p>
      <w:pPr>
        <w:ind w:left="318" w:right="380" w:hanging="318"/>
        <w:spacing w:after="0" w:line="226" w:lineRule="auto"/>
        <w:tabs>
          <w:tab w:leader="none" w:pos="3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318" w:right="460" w:hanging="318"/>
        <w:spacing w:after="0" w:line="226" w:lineRule="auto"/>
        <w:tabs>
          <w:tab w:leader="none" w:pos="3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318" w:hanging="318"/>
        <w:spacing w:after="0" w:line="234" w:lineRule="auto"/>
        <w:tabs>
          <w:tab w:leader="none" w:pos="3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318" w:hanging="318"/>
        <w:spacing w:after="0" w:line="219" w:lineRule="auto"/>
        <w:tabs>
          <w:tab w:leader="none" w:pos="3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318" w:hanging="318"/>
        <w:spacing w:after="0"/>
        <w:tabs>
          <w:tab w:leader="none" w:pos="3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-1400810</wp:posOffset>
            </wp:positionV>
            <wp:extent cx="257175" cy="257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-1083310</wp:posOffset>
            </wp:positionV>
            <wp:extent cx="257175" cy="257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-766445</wp:posOffset>
            </wp:positionV>
            <wp:extent cx="257175" cy="2571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-448945</wp:posOffset>
            </wp:positionV>
            <wp:extent cx="257175"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-123190</wp:posOffset>
            </wp:positionV>
            <wp:extent cx="257175"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824" w:lineRule="exact"/>
        <w:rPr>
          <w:sz w:val="20"/>
          <w:szCs w:val="20"/>
          <w:color w:val="auto"/>
        </w:rPr>
      </w:pPr>
    </w:p>
    <w:p>
      <w:pPr>
        <w:sectPr>
          <w:pgSz w:w="11900" w:h="16838" w:orient="portrait"/>
          <w:cols w:equalWidth="0" w:num="2">
            <w:col w:w="7662" w:space="720"/>
            <w:col w:w="2878"/>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Experience as a chief executive officer and sales leader in the evolving enterprise and</w:t>
            </w:r>
          </w:p>
        </w:tc>
      </w:tr>
      <w:tr>
        <w:trPr>
          <w:trHeight w:val="255"/>
        </w:trPr>
        <w:tc>
          <w:tcPr>
            <w:tcW w:w="2400" w:type="dxa"/>
            <w:vAlign w:val="bottom"/>
            <w:tcBorders>
              <w:left w:val="single" w:sz="8" w:color="00AAE5"/>
              <w:bottom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supply chain management software services industries.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582930</wp:posOffset>
            </wp:positionV>
            <wp:extent cx="240030" cy="2317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8" w:name="page19"/>
    <w:bookmarkEnd w:id="1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172085</wp:posOffset>
            </wp:positionV>
            <wp:extent cx="899795" cy="7200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997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Michael McConnell</w:t>
      </w:r>
    </w:p>
    <w:p>
      <w:pPr>
        <w:spacing w:after="0" w:line="92" w:lineRule="exact"/>
        <w:rPr>
          <w:sz w:val="20"/>
          <w:szCs w:val="20"/>
          <w:color w:val="auto"/>
        </w:rPr>
      </w:pPr>
    </w:p>
    <w:p>
      <w:pPr>
        <w:jc w:val="right"/>
        <w:ind w:right="4020"/>
        <w:spacing w:after="0"/>
        <w:rPr>
          <w:sz w:val="20"/>
          <w:szCs w:val="20"/>
          <w:color w:val="auto"/>
        </w:rPr>
      </w:pPr>
      <w:r>
        <w:rPr>
          <w:rFonts w:ascii="Times New Roman" w:cs="Times New Roman" w:eastAsia="Times New Roman" w:hAnsi="Times New Roman"/>
          <w:sz w:val="22"/>
          <w:szCs w:val="22"/>
          <w:color w:val="auto"/>
        </w:rPr>
        <w:t>Director since February 2026 and from March 2018 to May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00" w:hanging="302"/>
        <w:spacing w:after="0"/>
        <w:tabs>
          <w:tab w:leader="none" w:pos="400" w:val="left"/>
        </w:tabs>
        <w:numPr>
          <w:ilvl w:val="0"/>
          <w:numId w:val="3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ind w:left="660"/>
        <w:spacing w:after="0" w:line="235" w:lineRule="auto"/>
        <w:rPr>
          <w:sz w:val="20"/>
          <w:szCs w:val="20"/>
          <w:color w:val="auto"/>
        </w:rPr>
      </w:pPr>
      <w:r>
        <w:rPr>
          <w:rFonts w:ascii="Times New Roman" w:cs="Times New Roman" w:eastAsia="Times New Roman" w:hAnsi="Times New Roman"/>
          <w:sz w:val="18"/>
          <w:szCs w:val="18"/>
          <w:color w:val="auto"/>
        </w:rPr>
        <w:t>OneSpan Inc. (Nasdaq: OSPN), June 2021–present, Audit Committee Member</w:t>
      </w:r>
    </w:p>
    <w:p>
      <w:pPr>
        <w:ind w:left="660" w:right="960" w:firstLine="415"/>
        <w:spacing w:after="0" w:line="232" w:lineRule="auto"/>
        <w:rPr>
          <w:sz w:val="20"/>
          <w:szCs w:val="20"/>
          <w:color w:val="auto"/>
        </w:rPr>
      </w:pPr>
      <w:r>
        <w:rPr>
          <w:rFonts w:ascii="Times New Roman" w:cs="Times New Roman" w:eastAsia="Times New Roman" w:hAnsi="Times New Roman"/>
          <w:sz w:val="17"/>
          <w:szCs w:val="17"/>
          <w:i w:val="1"/>
          <w:iCs w:val="1"/>
          <w:color w:val="auto"/>
        </w:rPr>
        <w:t xml:space="preserve">Provider of digital identity and anti-fraud solutions for virtual transactions </w:t>
      </w:r>
      <w:r>
        <w:rPr>
          <w:rFonts w:ascii="Times New Roman" w:cs="Times New Roman" w:eastAsia="Times New Roman" w:hAnsi="Times New Roman"/>
          <w:sz w:val="17"/>
          <w:szCs w:val="17"/>
          <w:color w:val="auto"/>
        </w:rPr>
        <w:t>Powerfleet, Inc. (Nasdaq: AIOT), April 2024–present,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-231775</wp:posOffset>
            </wp:positionV>
            <wp:extent cx="257175"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1080" w:right="940"/>
        <w:spacing w:after="0" w:line="226" w:lineRule="auto"/>
        <w:rPr>
          <w:sz w:val="20"/>
          <w:szCs w:val="20"/>
          <w:color w:val="auto"/>
        </w:rPr>
      </w:pPr>
      <w:r>
        <w:rPr>
          <w:rFonts w:ascii="Times New Roman" w:cs="Times New Roman" w:eastAsia="Times New Roman" w:hAnsi="Times New Roman"/>
          <w:sz w:val="18"/>
          <w:szCs w:val="18"/>
          <w:i w:val="1"/>
          <w:iCs w:val="1"/>
          <w:color w:val="auto"/>
        </w:rPr>
        <w:t>Provider in the artificial intelligence of things (AIoT) software-as-a-service mobile asset industry</w:t>
      </w:r>
    </w:p>
    <w:p>
      <w:pPr>
        <w:spacing w:after="0" w:line="2" w:lineRule="exact"/>
        <w:rPr>
          <w:sz w:val="20"/>
          <w:szCs w:val="20"/>
          <w:color w:val="auto"/>
        </w:rPr>
      </w:pPr>
    </w:p>
    <w:p>
      <w:pPr>
        <w:ind w:left="1080" w:right="660" w:hanging="414"/>
        <w:spacing w:after="0"/>
        <w:rPr>
          <w:sz w:val="20"/>
          <w:szCs w:val="20"/>
          <w:color w:val="auto"/>
        </w:rPr>
      </w:pPr>
      <w:r>
        <w:rPr>
          <w:rFonts w:ascii="Times New Roman" w:cs="Times New Roman" w:eastAsia="Times New Roman" w:hAnsi="Times New Roman"/>
          <w:sz w:val="17"/>
          <w:szCs w:val="17"/>
          <w:color w:val="auto"/>
        </w:rPr>
        <w:t xml:space="preserve">QuickFee (ASX: QFE), March 2022–present, Compensation Committee Member </w:t>
      </w:r>
      <w:r>
        <w:rPr>
          <w:rFonts w:ascii="Times New Roman" w:cs="Times New Roman" w:eastAsia="Times New Roman" w:hAnsi="Times New Roman"/>
          <w:sz w:val="17"/>
          <w:szCs w:val="17"/>
          <w:i w:val="1"/>
          <w:iCs w:val="1"/>
          <w:color w:val="auto"/>
        </w:rPr>
        <w:t>Provider of online payment and lending solutions for professional service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-102870</wp:posOffset>
            </wp:positionV>
            <wp:extent cx="257175"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660"/>
        <w:spacing w:after="0" w:line="219" w:lineRule="auto"/>
        <w:rPr>
          <w:sz w:val="20"/>
          <w:szCs w:val="20"/>
          <w:color w:val="auto"/>
        </w:rPr>
      </w:pPr>
      <w:r>
        <w:rPr>
          <w:rFonts w:ascii="Times New Roman" w:cs="Times New Roman" w:eastAsia="Times New Roman" w:hAnsi="Times New Roman"/>
          <w:sz w:val="18"/>
          <w:szCs w:val="18"/>
          <w:color w:val="auto"/>
        </w:rPr>
        <w:t>Beonic (ASX: BEO), June 2024–present, Chairman of the Board</w:t>
      </w:r>
    </w:p>
    <w:p>
      <w:pPr>
        <w:spacing w:after="0" w:line="1" w:lineRule="exact"/>
        <w:rPr>
          <w:sz w:val="20"/>
          <w:szCs w:val="20"/>
          <w:color w:val="auto"/>
        </w:rPr>
      </w:pPr>
    </w:p>
    <w:p>
      <w:pPr>
        <w:ind w:left="1080" w:right="860"/>
        <w:spacing w:after="0" w:line="226" w:lineRule="auto"/>
        <w:rPr>
          <w:sz w:val="20"/>
          <w:szCs w:val="20"/>
          <w:color w:val="auto"/>
        </w:rPr>
      </w:pPr>
      <w:r>
        <w:rPr>
          <w:rFonts w:ascii="Times New Roman" w:cs="Times New Roman" w:eastAsia="Times New Roman" w:hAnsi="Times New Roman"/>
          <w:sz w:val="18"/>
          <w:szCs w:val="18"/>
          <w:i w:val="1"/>
          <w:iCs w:val="1"/>
          <w:color w:val="auto"/>
        </w:rPr>
        <w:t>Provider of AI platform and consulting and data analytics services for venue operators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-144780</wp:posOffset>
            </wp:positionV>
            <wp:extent cx="257175"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680"/>
        <w:spacing w:after="0" w:line="221" w:lineRule="auto"/>
        <w:rPr>
          <w:sz w:val="20"/>
          <w:szCs w:val="20"/>
          <w:color w:val="auto"/>
        </w:rPr>
      </w:pPr>
      <w:r>
        <w:rPr>
          <w:rFonts w:ascii="Times New Roman" w:cs="Times New Roman" w:eastAsia="Times New Roman" w:hAnsi="Times New Roman"/>
          <w:sz w:val="18"/>
          <w:szCs w:val="18"/>
          <w:color w:val="auto"/>
        </w:rPr>
        <w:t>Adacel, June 2017–present</w:t>
      </w:r>
    </w:p>
    <w:p>
      <w:pPr>
        <w:ind w:left="660" w:right="680" w:firstLine="415"/>
        <w:spacing w:after="0"/>
        <w:rPr>
          <w:sz w:val="20"/>
          <w:szCs w:val="20"/>
          <w:color w:val="auto"/>
        </w:rPr>
      </w:pPr>
      <w:r>
        <w:rPr>
          <w:rFonts w:ascii="Times New Roman" w:cs="Times New Roman" w:eastAsia="Times New Roman" w:hAnsi="Times New Roman"/>
          <w:sz w:val="17"/>
          <w:szCs w:val="17"/>
          <w:i w:val="1"/>
          <w:iCs w:val="1"/>
          <w:color w:val="auto"/>
        </w:rPr>
        <w:t xml:space="preserve">Provider of air traffic management and air traffic simulation training solutions </w:t>
      </w:r>
      <w:r>
        <w:rPr>
          <w:rFonts w:ascii="Times New Roman" w:cs="Times New Roman" w:eastAsia="Times New Roman" w:hAnsi="Times New Roman"/>
          <w:sz w:val="17"/>
          <w:szCs w:val="17"/>
          <w:color w:val="auto"/>
        </w:rPr>
        <w:t>Past service on numerous public and private company boards in the U.S., Israel,</w:t>
      </w:r>
    </w:p>
    <w:p>
      <w:pPr>
        <w:ind w:left="740"/>
        <w:spacing w:after="0" w:line="219" w:lineRule="auto"/>
        <w:rPr>
          <w:sz w:val="20"/>
          <w:szCs w:val="20"/>
          <w:color w:val="auto"/>
        </w:rPr>
      </w:pPr>
      <w:r>
        <w:rPr>
          <w:rFonts w:ascii="Times New Roman" w:cs="Times New Roman" w:eastAsia="Times New Roman" w:hAnsi="Times New Roman"/>
          <w:sz w:val="18"/>
          <w:szCs w:val="18"/>
          <w:color w:val="auto"/>
        </w:rPr>
        <w:t>Ireland, Australia and New Zealand</w:t>
      </w:r>
    </w:p>
    <w:p>
      <w:pPr>
        <w:spacing w:after="0" w:line="1" w:lineRule="exact"/>
        <w:rPr>
          <w:sz w:val="20"/>
          <w:szCs w:val="20"/>
          <w:color w:val="auto"/>
        </w:rPr>
      </w:pPr>
    </w:p>
    <w:p>
      <w:pPr>
        <w:ind w:left="1080" w:right="2660" w:hanging="982"/>
        <w:spacing w:after="0" w:line="233" w:lineRule="auto"/>
        <w:tabs>
          <w:tab w:leader="none" w:pos="449" w:val="left"/>
        </w:tabs>
        <w:numPr>
          <w:ilvl w:val="0"/>
          <w:numId w:val="3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Managing Director, Shamrock Capital Advisors, 1994–2008 </w:t>
      </w:r>
      <w:r>
        <w:rPr>
          <w:rFonts w:ascii="Times New Roman" w:cs="Times New Roman" w:eastAsia="Times New Roman" w:hAnsi="Times New Roman"/>
          <w:sz w:val="18"/>
          <w:szCs w:val="18"/>
          <w:i w:val="1"/>
          <w:iCs w:val="1"/>
          <w:color w:val="auto"/>
        </w:rPr>
        <w:t>Private investment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307975</wp:posOffset>
            </wp:positionV>
            <wp:extent cx="257175"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 w:hanging="318"/>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15"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34"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right="380" w:hanging="318"/>
        <w:spacing w:after="0" w:line="226" w:lineRule="auto"/>
        <w:tabs>
          <w:tab w:leader="none" w:pos="5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line="234"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-1100455</wp:posOffset>
            </wp:positionV>
            <wp:extent cx="394335" cy="12172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94335" cy="121729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-1100455</wp:posOffset>
            </wp:positionV>
            <wp:extent cx="394335" cy="12172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94335" cy="1217295"/>
                    </a:xfrm>
                    <a:prstGeom prst="rect">
                      <a:avLst/>
                    </a:prstGeom>
                    <a:noFill/>
                  </pic:spPr>
                </pic:pic>
              </a:graphicData>
            </a:graphic>
          </wp:anchor>
        </w:drawing>
      </w:r>
    </w:p>
    <w:p>
      <w:pPr>
        <w:spacing w:after="0" w:line="811"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Extensive experience as a non-executive director at public and private companies in the U.S. and internationally, having</w:t>
            </w:r>
          </w:p>
        </w:tc>
        <w:tc>
          <w:tcPr>
            <w:tcW w:w="0" w:type="dxa"/>
            <w:vAlign w:val="bottom"/>
          </w:tcPr>
          <w:p>
            <w:pPr>
              <w:spacing w:after="0"/>
              <w:rPr>
                <w:sz w:val="1"/>
                <w:szCs w:val="1"/>
                <w:color w:val="auto"/>
              </w:rPr>
            </w:pPr>
          </w:p>
        </w:tc>
      </w:tr>
      <w:tr>
        <w:trPr>
          <w:trHeight w:val="109"/>
        </w:trPr>
        <w:tc>
          <w:tcPr>
            <w:tcW w:w="2400" w:type="dxa"/>
            <w:vAlign w:val="bottom"/>
            <w:tcBorders>
              <w:left w:val="single" w:sz="8" w:color="00AAE5"/>
              <w:right w:val="single" w:sz="8" w:color="00AAE5"/>
            </w:tcBorders>
            <w:vMerge w:val="continue"/>
            <w:shd w:val="clear" w:color="auto" w:fill="F2F2F2"/>
          </w:tcPr>
          <w:p>
            <w:pPr>
              <w:spacing w:after="0"/>
              <w:rPr>
                <w:sz w:val="9"/>
                <w:szCs w:val="9"/>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served in multiple board capacities, including board chair and chair of the audit, nominating/governance, compensation</w:t>
            </w:r>
          </w:p>
        </w:tc>
        <w:tc>
          <w:tcPr>
            <w:tcW w:w="0" w:type="dxa"/>
            <w:vAlign w:val="bottom"/>
          </w:tcPr>
          <w:p>
            <w:pPr>
              <w:spacing w:after="0"/>
              <w:rPr>
                <w:sz w:val="1"/>
                <w:szCs w:val="1"/>
                <w:color w:val="auto"/>
              </w:rPr>
            </w:pPr>
          </w:p>
        </w:tc>
      </w:tr>
      <w:tr>
        <w:trPr>
          <w:trHeight w:val="107"/>
        </w:trPr>
        <w:tc>
          <w:tcPr>
            <w:tcW w:w="2400" w:type="dxa"/>
            <w:vAlign w:val="bottom"/>
            <w:tcBorders>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00AAE5"/>
              <w:right w:val="single" w:sz="8" w:color="00AAE5"/>
            </w:tcBorders>
            <w:vMerge w:val="continue"/>
            <w:shd w:val="clear" w:color="auto" w:fill="F2F2F2"/>
          </w:tcPr>
          <w:p>
            <w:pPr>
              <w:spacing w:after="0"/>
              <w:rPr>
                <w:sz w:val="12"/>
                <w:szCs w:val="12"/>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 strategy committees.</w:t>
            </w:r>
          </w:p>
        </w:tc>
        <w:tc>
          <w:tcPr>
            <w:tcW w:w="0" w:type="dxa"/>
            <w:vAlign w:val="bottom"/>
          </w:tcPr>
          <w:p>
            <w:pPr>
              <w:spacing w:after="0"/>
              <w:rPr>
                <w:sz w:val="1"/>
                <w:szCs w:val="1"/>
                <w:color w:val="auto"/>
              </w:rPr>
            </w:pPr>
          </w:p>
        </w:tc>
      </w:tr>
      <w:tr>
        <w:trPr>
          <w:trHeight w:val="103"/>
        </w:trPr>
        <w:tc>
          <w:tcPr>
            <w:tcW w:w="2400" w:type="dxa"/>
            <w:vAlign w:val="bottom"/>
            <w:tcBorders>
              <w:left w:val="single" w:sz="8" w:color="00AAE5"/>
              <w:bottom w:val="single" w:sz="8" w:color="F2F2F2"/>
              <w:right w:val="single" w:sz="8" w:color="00AAE5"/>
            </w:tcBorders>
            <w:shd w:val="clear" w:color="auto" w:fill="F2F2F2"/>
          </w:tcPr>
          <w:p>
            <w:pPr>
              <w:spacing w:after="0"/>
              <w:rPr>
                <w:sz w:val="8"/>
                <w:szCs w:val="8"/>
                <w:color w:val="auto"/>
              </w:rPr>
            </w:pPr>
          </w:p>
        </w:tc>
        <w:tc>
          <w:tcPr>
            <w:tcW w:w="8860" w:type="dxa"/>
            <w:vAlign w:val="bottom"/>
            <w:tcBorders>
              <w:right w:val="single" w:sz="8" w:color="00AA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00AAE5"/>
              <w:right w:val="single" w:sz="8" w:color="00AAE5"/>
            </w:tcBorders>
            <w:shd w:val="clear" w:color="auto" w:fill="00AAE5"/>
          </w:tcPr>
          <w:p>
            <w:pPr>
              <w:spacing w:after="0" w:line="20" w:lineRule="exact"/>
              <w:rPr>
                <w:sz w:val="1"/>
                <w:szCs w:val="1"/>
                <w:color w:val="auto"/>
              </w:rPr>
            </w:pPr>
          </w:p>
        </w:tc>
        <w:tc>
          <w:tcPr>
            <w:tcW w:w="8860" w:type="dxa"/>
            <w:vAlign w:val="bottom"/>
            <w:tcBorders>
              <w:right w:val="single" w:sz="8" w:color="00AAE5"/>
            </w:tcBorders>
            <w:shd w:val="clear" w:color="auto" w:fill="00AA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274320</wp:posOffset>
            </wp:positionV>
            <wp:extent cx="240030" cy="2317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9" w:name="page20"/>
    <w:bookmarkEnd w:id="1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899795" cy="7200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99795" cy="7200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Mark Partin</w:t>
      </w:r>
    </w:p>
    <w:p>
      <w:pPr>
        <w:spacing w:after="0" w:line="92" w:lineRule="exact"/>
        <w:rPr>
          <w:sz w:val="20"/>
          <w:szCs w:val="20"/>
          <w:color w:val="auto"/>
        </w:rPr>
      </w:pPr>
    </w:p>
    <w:p>
      <w:pPr>
        <w:jc w:val="right"/>
        <w:ind w:right="7280"/>
        <w:spacing w:after="0"/>
        <w:rPr>
          <w:sz w:val="20"/>
          <w:szCs w:val="20"/>
          <w:color w:val="auto"/>
        </w:rPr>
      </w:pPr>
      <w:r>
        <w:rPr>
          <w:rFonts w:ascii="Times New Roman" w:cs="Times New Roman" w:eastAsia="Times New Roman" w:hAnsi="Times New Roman"/>
          <w:sz w:val="22"/>
          <w:szCs w:val="22"/>
          <w:color w:val="auto"/>
        </w:rPr>
        <w:t>Director since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680" w:right="540" w:hanging="582"/>
        <w:spacing w:after="0" w:line="225" w:lineRule="auto"/>
        <w:tabs>
          <w:tab w:leader="none" w:pos="391" w:val="left"/>
        </w:tabs>
        <w:numPr>
          <w:ilvl w:val="0"/>
          <w:numId w:val="36"/>
        </w:numPr>
        <w:rPr>
          <w:rFonts w:ascii="Courier New" w:cs="Courier New" w:eastAsia="Courier New" w:hAnsi="Courier New"/>
          <w:sz w:val="16"/>
          <w:szCs w:val="16"/>
          <w:color w:val="auto"/>
        </w:rPr>
      </w:pPr>
      <w:r>
        <w:rPr>
          <w:rFonts w:ascii="Times New Roman" w:cs="Times New Roman" w:eastAsia="Times New Roman" w:hAnsi="Times New Roman"/>
          <w:sz w:val="18"/>
          <w:szCs w:val="18"/>
          <w:color w:val="auto"/>
        </w:rPr>
        <w:t xml:space="preserve">BlackLine, Inc. (Nasdaq: BL), Chief Financial Officer and Treasurer, 2015–February 2025 </w:t>
      </w:r>
      <w:r>
        <w:rPr>
          <w:rFonts w:ascii="Times New Roman" w:cs="Times New Roman" w:eastAsia="Times New Roman" w:hAnsi="Times New Roman"/>
          <w:sz w:val="18"/>
          <w:szCs w:val="18"/>
          <w:i w:val="1"/>
          <w:iCs w:val="1"/>
          <w:color w:val="auto"/>
        </w:rPr>
        <w:t>Cloud-based financial automation software provider</w:t>
      </w:r>
    </w:p>
    <w:p>
      <w:pPr>
        <w:spacing w:after="0" w:line="1" w:lineRule="exact"/>
        <w:rPr>
          <w:rFonts w:ascii="Courier New" w:cs="Courier New" w:eastAsia="Courier New" w:hAnsi="Courier New"/>
          <w:sz w:val="16"/>
          <w:szCs w:val="16"/>
          <w:color w:val="auto"/>
        </w:rPr>
      </w:pPr>
    </w:p>
    <w:p>
      <w:pPr>
        <w:ind w:left="420" w:right="640" w:hanging="322"/>
        <w:spacing w:after="0" w:line="226" w:lineRule="auto"/>
        <w:tabs>
          <w:tab w:leader="none" w:pos="401" w:val="left"/>
        </w:tabs>
        <w:numPr>
          <w:ilvl w:val="0"/>
          <w:numId w:val="3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Director, CircleCi, May 2021–present, </w:t>
      </w:r>
      <w:r>
        <w:rPr>
          <w:rFonts w:ascii="Times New Roman" w:cs="Times New Roman" w:eastAsia="Times New Roman" w:hAnsi="Times New Roman"/>
          <w:sz w:val="18"/>
          <w:szCs w:val="18"/>
          <w:i w:val="1"/>
          <w:iCs w:val="1"/>
          <w:color w:val="auto"/>
        </w:rPr>
        <w:t>a software development platform</w:t>
      </w:r>
      <w:r>
        <w:rPr>
          <w:rFonts w:ascii="Times New Roman" w:cs="Times New Roman" w:eastAsia="Times New Roman" w:hAnsi="Times New Roman"/>
          <w:sz w:val="18"/>
          <w:szCs w:val="18"/>
          <w:color w:val="auto"/>
        </w:rPr>
        <w:t xml:space="preserve">, and Meaningful Partners, 2017–present, </w:t>
      </w:r>
      <w:r>
        <w:rPr>
          <w:rFonts w:ascii="Times New Roman" w:cs="Times New Roman" w:eastAsia="Times New Roman" w:hAnsi="Times New Roman"/>
          <w:sz w:val="18"/>
          <w:szCs w:val="18"/>
          <w:i w:val="1"/>
          <w:iCs w:val="1"/>
          <w:color w:val="auto"/>
        </w:rPr>
        <w:t>an investment company</w:t>
      </w:r>
    </w:p>
    <w:p>
      <w:pPr>
        <w:ind w:left="400" w:hanging="302"/>
        <w:spacing w:after="0" w:line="218" w:lineRule="auto"/>
        <w:tabs>
          <w:tab w:leader="none" w:pos="400" w:val="left"/>
        </w:tabs>
        <w:numPr>
          <w:ilvl w:val="0"/>
          <w:numId w:val="3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Chief Financial Officer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-531495</wp:posOffset>
            </wp:positionV>
            <wp:extent cx="257175" cy="2571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40" w:right="900" w:hanging="161"/>
        <w:spacing w:after="0" w:line="226" w:lineRule="auto"/>
        <w:rPr>
          <w:sz w:val="20"/>
          <w:szCs w:val="20"/>
          <w:color w:val="auto"/>
        </w:rPr>
      </w:pPr>
      <w:r>
        <w:rPr>
          <w:rFonts w:ascii="Times New Roman" w:cs="Times New Roman" w:eastAsia="Times New Roman" w:hAnsi="Times New Roman"/>
          <w:sz w:val="18"/>
          <w:szCs w:val="18"/>
          <w:color w:val="auto"/>
        </w:rPr>
        <w:t xml:space="preserve">Fiberlink Communications Corporation (now MaaS360, an IBM Company), 2005– 2015, </w:t>
      </w:r>
      <w:r>
        <w:rPr>
          <w:rFonts w:ascii="Times New Roman" w:cs="Times New Roman" w:eastAsia="Times New Roman" w:hAnsi="Times New Roman"/>
          <w:sz w:val="18"/>
          <w:szCs w:val="18"/>
          <w:i w:val="1"/>
          <w:iCs w:val="1"/>
          <w:color w:val="auto"/>
        </w:rPr>
        <w:t>enterprise mobility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-153670</wp:posOffset>
            </wp:positionV>
            <wp:extent cx="257175" cy="257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580"/>
        <w:spacing w:after="0" w:line="236" w:lineRule="auto"/>
        <w:rPr>
          <w:sz w:val="20"/>
          <w:szCs w:val="20"/>
          <w:color w:val="auto"/>
        </w:rPr>
      </w:pPr>
      <w:r>
        <w:rPr>
          <w:rFonts w:ascii="Times New Roman" w:cs="Times New Roman" w:eastAsia="Times New Roman" w:hAnsi="Times New Roman"/>
          <w:sz w:val="18"/>
          <w:szCs w:val="18"/>
          <w:color w:val="auto"/>
        </w:rPr>
        <w:t xml:space="preserve">American Health Imaging, 2003–2005, </w:t>
      </w:r>
      <w:r>
        <w:rPr>
          <w:rFonts w:ascii="Times New Roman" w:cs="Times New Roman" w:eastAsia="Times New Roman" w:hAnsi="Times New Roman"/>
          <w:sz w:val="18"/>
          <w:szCs w:val="18"/>
          <w:i w:val="1"/>
          <w:iCs w:val="1"/>
          <w:color w:val="auto"/>
        </w:rPr>
        <w:t>healthcare imaging services provider</w:t>
      </w:r>
    </w:p>
    <w:p>
      <w:pPr>
        <w:ind w:left="580"/>
        <w:spacing w:after="0" w:line="235" w:lineRule="auto"/>
        <w:rPr>
          <w:sz w:val="20"/>
          <w:szCs w:val="20"/>
          <w:color w:val="auto"/>
        </w:rPr>
      </w:pPr>
      <w:r>
        <w:rPr>
          <w:rFonts w:ascii="Times New Roman" w:cs="Times New Roman" w:eastAsia="Times New Roman" w:hAnsi="Times New Roman"/>
          <w:sz w:val="18"/>
          <w:szCs w:val="18"/>
          <w:color w:val="auto"/>
        </w:rPr>
        <w:t>HealthHeadhunter.net (now CareerBuilder.com), 1999–2001,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-85725</wp:posOffset>
            </wp:positionV>
            <wp:extent cx="257175"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680"/>
        <w:spacing w:after="0" w:line="219" w:lineRule="auto"/>
        <w:rPr>
          <w:sz w:val="20"/>
          <w:szCs w:val="20"/>
          <w:color w:val="auto"/>
        </w:rPr>
      </w:pPr>
      <w:r>
        <w:rPr>
          <w:rFonts w:ascii="Times New Roman" w:cs="Times New Roman" w:eastAsia="Times New Roman" w:hAnsi="Times New Roman"/>
          <w:sz w:val="18"/>
          <w:szCs w:val="18"/>
          <w:i w:val="1"/>
          <w:iCs w:val="1"/>
          <w:color w:val="auto"/>
        </w:rPr>
        <w:t>online recruitment services company</w:t>
      </w:r>
    </w:p>
    <w:p>
      <w:pPr>
        <w:spacing w:after="0" w:line="1" w:lineRule="exact"/>
        <w:rPr>
          <w:sz w:val="20"/>
          <w:szCs w:val="20"/>
          <w:color w:val="auto"/>
        </w:rPr>
      </w:pPr>
    </w:p>
    <w:p>
      <w:pPr>
        <w:ind w:left="740" w:right="520" w:hanging="161"/>
        <w:spacing w:after="0" w:line="226" w:lineRule="auto"/>
        <w:rPr>
          <w:sz w:val="20"/>
          <w:szCs w:val="20"/>
          <w:color w:val="auto"/>
        </w:rPr>
      </w:pPr>
      <w:r>
        <w:rPr>
          <w:rFonts w:ascii="Times New Roman" w:cs="Times New Roman" w:eastAsia="Times New Roman" w:hAnsi="Times New Roman"/>
          <w:sz w:val="18"/>
          <w:szCs w:val="18"/>
          <w:color w:val="auto"/>
        </w:rPr>
        <w:t xml:space="preserve">Contour Medical, Inc. (acquired by Sun Healthcare Group, Inc.), 1997–1999, </w:t>
      </w:r>
      <w:r>
        <w:rPr>
          <w:rFonts w:ascii="Times New Roman" w:cs="Times New Roman" w:eastAsia="Times New Roman" w:hAnsi="Times New Roman"/>
          <w:sz w:val="18"/>
          <w:szCs w:val="18"/>
          <w:i w:val="1"/>
          <w:iCs w:val="1"/>
          <w:color w:val="auto"/>
        </w:rPr>
        <w:t>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p>
    <w:p>
      <w:pPr>
        <w:ind w:left="400" w:hanging="302"/>
        <w:spacing w:after="0" w:line="220" w:lineRule="auto"/>
        <w:tabs>
          <w:tab w:leader="none" w:pos="400" w:val="left"/>
        </w:tabs>
        <w:numPr>
          <w:ilvl w:val="0"/>
          <w:numId w:val="3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Williams Group International, Controller, 1995–1997</w:t>
      </w:r>
    </w:p>
    <w:p>
      <w:pPr>
        <w:ind w:left="400" w:hanging="302"/>
        <w:spacing w:after="0" w:line="231" w:lineRule="auto"/>
        <w:tabs>
          <w:tab w:leader="none" w:pos="400" w:val="left"/>
        </w:tabs>
        <w:numPr>
          <w:ilvl w:val="0"/>
          <w:numId w:val="3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Arthur Andersen &amp; Co., CPA and Auditor, 1991–1995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140"/>
        <w:spacing w:after="0"/>
        <w:rPr>
          <w:sz w:val="20"/>
          <w:szCs w:val="20"/>
          <w:color w:val="auto"/>
        </w:rPr>
      </w:pPr>
      <w:r>
        <w:rPr>
          <w:rFonts w:ascii="Arial" w:cs="Arial" w:eastAsia="Arial" w:hAnsi="Arial"/>
          <w:sz w:val="17"/>
          <w:szCs w:val="17"/>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143510</wp:posOffset>
            </wp:positionV>
            <wp:extent cx="257175" cy="2571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20" w:hanging="318"/>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15"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34"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right="380" w:hanging="318"/>
        <w:spacing w:after="0" w:line="226" w:lineRule="auto"/>
        <w:tabs>
          <w:tab w:leader="none" w:pos="5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line="234"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-1100455</wp:posOffset>
            </wp:positionV>
            <wp:extent cx="394335" cy="12172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4335" cy="121729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-1100455</wp:posOffset>
            </wp:positionV>
            <wp:extent cx="394335" cy="12172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94335" cy="1217295"/>
                    </a:xfrm>
                    <a:prstGeom prst="rect">
                      <a:avLst/>
                    </a:prstGeom>
                    <a:noFill/>
                  </pic:spPr>
                </pic:pic>
              </a:graphicData>
            </a:graphic>
          </wp:anchor>
        </w:drawing>
      </w:r>
    </w:p>
    <w:p>
      <w:pPr>
        <w:spacing w:after="0" w:line="527"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Experience as a chief financial officer of publicly traded and high-growth technology companies with extensive financial</w:t>
            </w:r>
          </w:p>
        </w:tc>
      </w:tr>
      <w:tr>
        <w:trPr>
          <w:trHeight w:val="255"/>
        </w:trPr>
        <w:tc>
          <w:tcPr>
            <w:tcW w:w="2400" w:type="dxa"/>
            <w:vAlign w:val="bottom"/>
            <w:tcBorders>
              <w:left w:val="single" w:sz="8" w:color="00AAE5"/>
              <w:bottom w:val="single" w:sz="8" w:color="00AAE5"/>
              <w:right w:val="single" w:sz="8" w:color="00AAE5"/>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and global operations experience as well as strategic and go-to-market leadership.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240030" cy="2317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20" w:name="page21"/>
    <w:bookmarkEnd w:id="20"/>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17780</wp:posOffset>
            </wp:positionV>
            <wp:extent cx="822960" cy="8229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Marty Réaume</w:t>
      </w:r>
    </w:p>
    <w:p>
      <w:pPr>
        <w:spacing w:after="0" w:line="92" w:lineRule="exact"/>
        <w:rPr>
          <w:sz w:val="20"/>
          <w:szCs w:val="20"/>
          <w:color w:val="auto"/>
        </w:rPr>
      </w:pPr>
    </w:p>
    <w:p>
      <w:pPr>
        <w:jc w:val="right"/>
        <w:ind w:right="7340"/>
        <w:spacing w:after="0"/>
        <w:rPr>
          <w:sz w:val="20"/>
          <w:szCs w:val="20"/>
          <w:color w:val="auto"/>
        </w:rPr>
      </w:pPr>
      <w:r>
        <w:rPr>
          <w:rFonts w:ascii="Times New Roman" w:cs="Times New Roman" w:eastAsia="Times New Roman" w:hAnsi="Times New Roman"/>
          <w:sz w:val="22"/>
          <w:szCs w:val="22"/>
          <w:color w:val="auto"/>
        </w:rPr>
        <w:t>Director since March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65"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660" w:right="1900" w:hanging="562"/>
        <w:spacing w:after="0" w:line="225" w:lineRule="auto"/>
        <w:tabs>
          <w:tab w:leader="none" w:pos="386" w:val="left"/>
        </w:tabs>
        <w:numPr>
          <w:ilvl w:val="0"/>
          <w:numId w:val="39"/>
        </w:numPr>
        <w:rPr>
          <w:rFonts w:ascii="Courier New" w:cs="Courier New" w:eastAsia="Courier New" w:hAnsi="Courier New"/>
          <w:sz w:val="16"/>
          <w:szCs w:val="16"/>
          <w:color w:val="auto"/>
        </w:rPr>
      </w:pPr>
      <w:r>
        <w:rPr>
          <w:rFonts w:ascii="Times New Roman" w:cs="Times New Roman" w:eastAsia="Times New Roman" w:hAnsi="Times New Roman"/>
          <w:sz w:val="18"/>
          <w:szCs w:val="18"/>
          <w:color w:val="auto"/>
        </w:rPr>
        <w:t xml:space="preserve">SemperVirens Venture Capital, HR Venture Advisor, June 2020–present </w:t>
      </w:r>
      <w:r>
        <w:rPr>
          <w:rFonts w:ascii="Times New Roman" w:cs="Times New Roman" w:eastAsia="Times New Roman" w:hAnsi="Times New Roman"/>
          <w:sz w:val="18"/>
          <w:szCs w:val="18"/>
          <w:i w:val="1"/>
          <w:iCs w:val="1"/>
          <w:color w:val="auto"/>
        </w:rPr>
        <w:t>Early stage venture capital fund</w:t>
      </w:r>
    </w:p>
    <w:p>
      <w:pPr>
        <w:spacing w:after="0" w:line="1" w:lineRule="exact"/>
        <w:rPr>
          <w:rFonts w:ascii="Courier New" w:cs="Courier New" w:eastAsia="Courier New" w:hAnsi="Courier New"/>
          <w:sz w:val="16"/>
          <w:szCs w:val="16"/>
          <w:color w:val="auto"/>
        </w:rPr>
      </w:pPr>
    </w:p>
    <w:p>
      <w:pPr>
        <w:ind w:left="420" w:right="1060" w:hanging="322"/>
        <w:spacing w:after="0" w:line="231" w:lineRule="auto"/>
        <w:tabs>
          <w:tab w:leader="none" w:pos="401" w:val="left"/>
        </w:tabs>
        <w:numPr>
          <w:ilvl w:val="0"/>
          <w:numId w:val="39"/>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 xml:space="preserve">Director, Wisdom Labs, </w:t>
      </w:r>
      <w:r>
        <w:rPr>
          <w:rFonts w:ascii="Times New Roman" w:cs="Times New Roman" w:eastAsia="Times New Roman" w:hAnsi="Times New Roman"/>
          <w:sz w:val="17"/>
          <w:szCs w:val="17"/>
          <w:i w:val="1"/>
          <w:iCs w:val="1"/>
          <w:color w:val="auto"/>
        </w:rPr>
        <w:t>a workplace wellbeing technology company</w:t>
      </w:r>
      <w:r>
        <w:rPr>
          <w:rFonts w:ascii="Times New Roman" w:cs="Times New Roman" w:eastAsia="Times New Roman" w:hAnsi="Times New Roman"/>
          <w:sz w:val="17"/>
          <w:szCs w:val="17"/>
          <w:color w:val="auto"/>
        </w:rPr>
        <w:t xml:space="preserve">, and Canadian Mental Health Association, Ontario, </w:t>
      </w:r>
      <w:r>
        <w:rPr>
          <w:rFonts w:ascii="Times New Roman" w:cs="Times New Roman" w:eastAsia="Times New Roman" w:hAnsi="Times New Roman"/>
          <w:sz w:val="17"/>
          <w:szCs w:val="17"/>
          <w:i w:val="1"/>
          <w:iCs w:val="1"/>
          <w:color w:val="auto"/>
        </w:rPr>
        <w:t>a non-profit mental health association</w:t>
      </w:r>
    </w:p>
    <w:p>
      <w:pPr>
        <w:spacing w:after="0" w:line="1" w:lineRule="exact"/>
        <w:rPr>
          <w:rFonts w:ascii="Courier New" w:cs="Courier New" w:eastAsia="Courier New" w:hAnsi="Courier New"/>
          <w:sz w:val="17"/>
          <w:szCs w:val="17"/>
          <w:color w:val="auto"/>
        </w:rPr>
      </w:pPr>
    </w:p>
    <w:p>
      <w:pPr>
        <w:ind w:left="380" w:hanging="282"/>
        <w:spacing w:after="0" w:line="231" w:lineRule="auto"/>
        <w:tabs>
          <w:tab w:leader="none" w:pos="380" w:val="left"/>
        </w:tabs>
        <w:numPr>
          <w:ilvl w:val="0"/>
          <w:numId w:val="3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Advisory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-110490</wp:posOffset>
            </wp:positionV>
            <wp:extent cx="257175" cy="257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580"/>
        <w:spacing w:after="0" w:line="221" w:lineRule="auto"/>
        <w:rPr>
          <w:sz w:val="20"/>
          <w:szCs w:val="20"/>
          <w:color w:val="auto"/>
        </w:rPr>
      </w:pPr>
      <w:r>
        <w:rPr>
          <w:rFonts w:ascii="Times New Roman" w:cs="Times New Roman" w:eastAsia="Times New Roman" w:hAnsi="Times New Roman"/>
          <w:sz w:val="18"/>
          <w:szCs w:val="18"/>
          <w:color w:val="auto"/>
        </w:rPr>
        <w:t xml:space="preserve">Atrium, </w:t>
      </w:r>
      <w:r>
        <w:rPr>
          <w:rFonts w:ascii="Times New Roman" w:cs="Times New Roman" w:eastAsia="Times New Roman" w:hAnsi="Times New Roman"/>
          <w:sz w:val="18"/>
          <w:szCs w:val="18"/>
          <w:i w:val="1"/>
          <w:iCs w:val="1"/>
          <w:color w:val="auto"/>
        </w:rPr>
        <w:t>executive coaching platform</w:t>
      </w:r>
    </w:p>
    <w:p>
      <w:pPr>
        <w:spacing w:after="0" w:line="1" w:lineRule="exact"/>
        <w:rPr>
          <w:sz w:val="20"/>
          <w:szCs w:val="20"/>
          <w:color w:val="auto"/>
        </w:rPr>
      </w:pPr>
    </w:p>
    <w:p>
      <w:pPr>
        <w:ind w:left="580" w:right="2760"/>
        <w:spacing w:after="0" w:line="226" w:lineRule="auto"/>
        <w:rPr>
          <w:sz w:val="20"/>
          <w:szCs w:val="20"/>
          <w:color w:val="auto"/>
        </w:rPr>
      </w:pPr>
      <w:r>
        <w:rPr>
          <w:rFonts w:ascii="Times New Roman" w:cs="Times New Roman" w:eastAsia="Times New Roman" w:hAnsi="Times New Roman"/>
          <w:sz w:val="18"/>
          <w:szCs w:val="18"/>
          <w:color w:val="auto"/>
        </w:rPr>
        <w:t xml:space="preserve">OpenClassrooms, </w:t>
      </w:r>
      <w:r>
        <w:rPr>
          <w:rFonts w:ascii="Times New Roman" w:cs="Times New Roman" w:eastAsia="Times New Roman" w:hAnsi="Times New Roman"/>
          <w:sz w:val="18"/>
          <w:szCs w:val="18"/>
          <w:i w:val="1"/>
          <w:iCs w:val="1"/>
          <w:color w:val="auto"/>
        </w:rPr>
        <w:t>online education and training platform</w:t>
      </w:r>
      <w:r>
        <w:rPr>
          <w:rFonts w:ascii="Times New Roman" w:cs="Times New Roman" w:eastAsia="Times New Roman" w:hAnsi="Times New Roman"/>
          <w:sz w:val="18"/>
          <w:szCs w:val="18"/>
          <w:color w:val="auto"/>
        </w:rPr>
        <w:t xml:space="preserve"> Informed, </w:t>
      </w:r>
      <w:r>
        <w:rPr>
          <w:rFonts w:ascii="Times New Roman" w:cs="Times New Roman" w:eastAsia="Times New Roman" w:hAnsi="Times New Roman"/>
          <w:sz w:val="18"/>
          <w:szCs w:val="18"/>
          <w:i w:val="1"/>
          <w:iCs w:val="1"/>
          <w:color w:val="auto"/>
        </w:rPr>
        <w:t>consumer auto-financing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-153670</wp:posOffset>
            </wp:positionV>
            <wp:extent cx="257175"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580" w:right="1820"/>
        <w:spacing w:after="0" w:line="219" w:lineRule="auto"/>
        <w:rPr>
          <w:sz w:val="20"/>
          <w:szCs w:val="20"/>
          <w:color w:val="auto"/>
        </w:rPr>
      </w:pPr>
      <w:r>
        <w:rPr>
          <w:rFonts w:ascii="Times New Roman" w:cs="Times New Roman" w:eastAsia="Times New Roman" w:hAnsi="Times New Roman"/>
          <w:sz w:val="18"/>
          <w:szCs w:val="18"/>
          <w:color w:val="auto"/>
        </w:rPr>
        <w:t xml:space="preserve">Tigerhall, </w:t>
      </w:r>
      <w:r>
        <w:rPr>
          <w:rFonts w:ascii="Times New Roman" w:cs="Times New Roman" w:eastAsia="Times New Roman" w:hAnsi="Times New Roman"/>
          <w:sz w:val="18"/>
          <w:szCs w:val="18"/>
          <w:i w:val="1"/>
          <w:iCs w:val="1"/>
          <w:color w:val="auto"/>
        </w:rPr>
        <w:t>platform to help drive change and transformation initiatives</w:t>
      </w:r>
      <w:r>
        <w:rPr>
          <w:rFonts w:ascii="Times New Roman" w:cs="Times New Roman" w:eastAsia="Times New Roman" w:hAnsi="Times New Roman"/>
          <w:sz w:val="18"/>
          <w:szCs w:val="18"/>
          <w:color w:val="auto"/>
        </w:rPr>
        <w:t xml:space="preserve"> HR.com, </w:t>
      </w:r>
      <w:r>
        <w:rPr>
          <w:rFonts w:ascii="Times New Roman" w:cs="Times New Roman" w:eastAsia="Times New Roman" w:hAnsi="Times New Roman"/>
          <w:sz w:val="18"/>
          <w:szCs w:val="18"/>
          <w:i w:val="1"/>
          <w:iCs w:val="1"/>
          <w:color w:val="auto"/>
        </w:rPr>
        <w:t>HR networking platform</w:t>
      </w:r>
    </w:p>
    <w:p>
      <w:pPr>
        <w:ind w:left="400" w:hanging="302"/>
        <w:spacing w:after="0" w:line="219" w:lineRule="auto"/>
        <w:tabs>
          <w:tab w:leader="none" w:pos="400" w:val="left"/>
        </w:tabs>
        <w:numPr>
          <w:ilvl w:val="0"/>
          <w:numId w:val="4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Twilio Inc., Chief People Officer, 2017–2019</w:t>
      </w:r>
    </w:p>
    <w:p>
      <w:pPr>
        <w:ind w:left="660"/>
        <w:spacing w:after="0" w:line="219" w:lineRule="auto"/>
        <w:rPr>
          <w:sz w:val="20"/>
          <w:szCs w:val="20"/>
          <w:color w:val="auto"/>
        </w:rPr>
      </w:pPr>
      <w:r>
        <w:rPr>
          <w:rFonts w:ascii="Times New Roman" w:cs="Times New Roman" w:eastAsia="Times New Roman" w:hAnsi="Times New Roman"/>
          <w:sz w:val="18"/>
          <w:szCs w:val="18"/>
          <w:i w:val="1"/>
          <w:iCs w:val="1"/>
          <w:color w:val="auto"/>
        </w:rPr>
        <w:t>Publicly traded developer and provider of a communication cloud-based platform</w:t>
      </w:r>
    </w:p>
    <w:p>
      <w:pPr>
        <w:ind w:left="400" w:hanging="302"/>
        <w:spacing w:after="0" w:line="219" w:lineRule="auto"/>
        <w:tabs>
          <w:tab w:leader="none" w:pos="400" w:val="left"/>
        </w:tabs>
        <w:numPr>
          <w:ilvl w:val="0"/>
          <w:numId w:val="4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Fitbit, Inc., Chief People Officer, 2015–2017</w:t>
      </w:r>
    </w:p>
    <w:p>
      <w:pPr>
        <w:ind w:left="660"/>
        <w:spacing w:after="0" w:line="203" w:lineRule="auto"/>
        <w:rPr>
          <w:sz w:val="20"/>
          <w:szCs w:val="20"/>
          <w:color w:val="auto"/>
        </w:rPr>
      </w:pPr>
      <w:r>
        <w:rPr>
          <w:rFonts w:ascii="Times New Roman" w:cs="Times New Roman" w:eastAsia="Times New Roman" w:hAnsi="Times New Roman"/>
          <w:sz w:val="18"/>
          <w:szCs w:val="18"/>
          <w:i w:val="1"/>
          <w:iCs w:val="1"/>
          <w:color w:val="auto"/>
        </w:rPr>
        <w:t>Publicly traded health solution technology provider</w:t>
      </w:r>
    </w:p>
    <w:p>
      <w:pPr>
        <w:ind w:left="660" w:right="660" w:hanging="562"/>
        <w:spacing w:after="0" w:line="241" w:lineRule="auto"/>
        <w:tabs>
          <w:tab w:leader="none" w:pos="404" w:val="left"/>
        </w:tabs>
        <w:numPr>
          <w:ilvl w:val="0"/>
          <w:numId w:val="4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NetSuite, Inc., Chief People Officer, 2009–2014; Head of Human Resources, 2006–2009 </w:t>
      </w:r>
      <w:r>
        <w:rPr>
          <w:rFonts w:ascii="Times New Roman" w:cs="Times New Roman" w:eastAsia="Times New Roman" w:hAnsi="Times New Roman"/>
          <w:sz w:val="18"/>
          <w:szCs w:val="18"/>
          <w:i w:val="1"/>
          <w:iCs w:val="1"/>
          <w:color w:val="auto"/>
        </w:rPr>
        <w:t>Publicly traded provider of cloud-based business management software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 w:hanging="318"/>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spacing w:after="0" w:line="2" w:lineRule="exact"/>
        <w:rPr>
          <w:rFonts w:ascii="Times New Roman" w:cs="Times New Roman" w:eastAsia="Times New Roman" w:hAnsi="Times New Roman"/>
          <w:sz w:val="18"/>
          <w:szCs w:val="18"/>
          <w:color w:val="auto"/>
        </w:rPr>
      </w:pPr>
    </w:p>
    <w:p>
      <w:pPr>
        <w:ind w:left="520" w:right="380" w:hanging="318"/>
        <w:spacing w:after="0" w:line="226" w:lineRule="auto"/>
        <w:tabs>
          <w:tab w:leader="none" w:pos="5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-835025</wp:posOffset>
            </wp:positionV>
            <wp:extent cx="257175" cy="2571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-509270</wp:posOffset>
            </wp:positionV>
            <wp:extent cx="257175" cy="2571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-191770</wp:posOffset>
            </wp:positionV>
            <wp:extent cx="248920" cy="2489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1121"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Strong expertise in human resources, executive compensation, talent acquisition and development,</w:t>
            </w:r>
          </w:p>
        </w:tc>
      </w:tr>
      <w:tr>
        <w:trPr>
          <w:trHeight w:val="255"/>
        </w:trPr>
        <w:tc>
          <w:tcPr>
            <w:tcW w:w="2400" w:type="dxa"/>
            <w:vAlign w:val="bottom"/>
            <w:tcBorders>
              <w:left w:val="single" w:sz="8" w:color="00AAE5"/>
              <w:bottom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mergers and acquisitions, and geographic expansion.</w:t>
            </w:r>
          </w:p>
        </w:tc>
      </w:tr>
      <w:tr>
        <w:trPr>
          <w:trHeight w:val="733"/>
        </w:trPr>
        <w:tc>
          <w:tcPr>
            <w:tcW w:w="9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16</w:t>
            </w:r>
          </w:p>
        </w:tc>
        <w:tc>
          <w:tcPr>
            <w:tcW w:w="10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Proxy Statement for the 2026 Annual Meeting of Stockholders</w:t>
            </w:r>
          </w:p>
        </w:tc>
      </w:tr>
      <w:tr>
        <w:trPr>
          <w:trHeight w:val="354"/>
        </w:trPr>
        <w:tc>
          <w:tcPr>
            <w:tcW w:w="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-427990</wp:posOffset>
            </wp:positionV>
            <wp:extent cx="240030" cy="2311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21" w:name="page22"/>
    <w:bookmarkEnd w:id="21"/>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17780</wp:posOffset>
            </wp:positionV>
            <wp:extent cx="822960" cy="8229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Tami Reller</w:t>
      </w:r>
    </w:p>
    <w:p>
      <w:pPr>
        <w:spacing w:after="0" w:line="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May 2016</w:t>
      </w:r>
    </w:p>
    <w:p>
      <w:pPr>
        <w:ind w:left="1600"/>
        <w:spacing w:after="0"/>
        <w:rPr>
          <w:sz w:val="20"/>
          <w:szCs w:val="20"/>
          <w:color w:val="auto"/>
        </w:rPr>
      </w:pPr>
      <w:r>
        <w:rPr>
          <w:rFonts w:ascii="Times New Roman" w:cs="Times New Roman" w:eastAsia="Times New Roman" w:hAnsi="Times New Roman"/>
          <w:sz w:val="21"/>
          <w:szCs w:val="21"/>
          <w:color w:val="auto"/>
        </w:rPr>
        <w:t>Chair of the Board, May 2018</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May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53"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57" w:lineRule="exact"/>
        <w:rPr>
          <w:sz w:val="20"/>
          <w:szCs w:val="20"/>
          <w:color w:val="auto"/>
        </w:rPr>
      </w:pPr>
    </w:p>
    <w:p>
      <w:pPr>
        <w:ind w:left="660" w:right="3000" w:hanging="562"/>
        <w:spacing w:after="0" w:line="264" w:lineRule="auto"/>
        <w:tabs>
          <w:tab w:leader="none" w:pos="3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Fairview Health Services, August 2024</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present </w:t>
      </w:r>
      <w:r>
        <w:rPr>
          <w:rFonts w:ascii="Times New Roman" w:cs="Times New Roman" w:eastAsia="Times New Roman" w:hAnsi="Times New Roman"/>
          <w:sz w:val="18"/>
          <w:szCs w:val="18"/>
          <w:i w:val="1"/>
          <w:iCs w:val="1"/>
          <w:color w:val="auto"/>
        </w:rPr>
        <w:t>Non-profit healthcare services network</w:t>
      </w:r>
    </w:p>
    <w:p>
      <w:pPr>
        <w:ind w:left="420" w:right="900" w:hanging="322"/>
        <w:spacing w:after="0" w:line="262" w:lineRule="auto"/>
        <w:tabs>
          <w:tab w:leader="none" w:pos="32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Health and Care, Executive Chair, June 2023</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September 2024; CEO, September 2022</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June 2023; President, May 2021</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September 2022</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Multi-specialty health care group</w:t>
      </w:r>
    </w:p>
    <w:p>
      <w:pPr>
        <w:spacing w:after="0" w:line="16" w:lineRule="exact"/>
        <w:rPr>
          <w:rFonts w:ascii="Times New Roman" w:cs="Times New Roman" w:eastAsia="Times New Roman" w:hAnsi="Times New Roman"/>
          <w:sz w:val="18"/>
          <w:szCs w:val="18"/>
          <w:color w:val="auto"/>
        </w:rPr>
      </w:pPr>
    </w:p>
    <w:p>
      <w:pPr>
        <w:ind w:left="420" w:right="800" w:hanging="322"/>
        <w:spacing w:after="0" w:line="252" w:lineRule="auto"/>
        <w:tabs>
          <w:tab w:leader="none" w:pos="32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UnitedHealth Group (NYSE: UNH), Executive Vice President and Chief Marketing and Experience Officer of UnitedHealthcare, 2017</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May 2021</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benefits platform</w:t>
      </w:r>
    </w:p>
    <w:p>
      <w:pPr>
        <w:spacing w:after="0" w:line="7" w:lineRule="exact"/>
        <w:rPr>
          <w:rFonts w:ascii="Times New Roman" w:cs="Times New Roman" w:eastAsia="Times New Roman" w:hAnsi="Times New Roman"/>
          <w:sz w:val="18"/>
          <w:szCs w:val="18"/>
          <w:color w:val="auto"/>
        </w:rPr>
      </w:pPr>
    </w:p>
    <w:p>
      <w:pPr>
        <w:ind w:left="420" w:right="580" w:hanging="322"/>
        <w:spacing w:after="0" w:line="254" w:lineRule="auto"/>
        <w:tabs>
          <w:tab w:leader="none" w:pos="32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Optum (subsidiary of UnitedHealth Group), Chief Growth Officer, Chief Financial Officer, 2016</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2017; Chief Marketing Officer, 2014</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2016</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Healthcare services provider</w:t>
      </w:r>
    </w:p>
    <w:p>
      <w:pPr>
        <w:spacing w:after="0" w:line="16" w:lineRule="exact"/>
        <w:rPr>
          <w:rFonts w:ascii="Times New Roman" w:cs="Times New Roman" w:eastAsia="Times New Roman" w:hAnsi="Times New Roman"/>
          <w:sz w:val="18"/>
          <w:szCs w:val="18"/>
          <w:color w:val="auto"/>
        </w:rPr>
      </w:pPr>
    </w:p>
    <w:p>
      <w:pPr>
        <w:ind w:left="420" w:right="1020" w:hanging="322"/>
        <w:spacing w:after="0" w:line="269" w:lineRule="auto"/>
        <w:tabs>
          <w:tab w:leader="none" w:pos="32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Microsoft Corporation, several executive roles including Executive Vice President of Marketing, Divisional Chief Financial Officer and Marketing Officer, 2001</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2014</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Publicly traded software and technology company</w:t>
      </w:r>
    </w:p>
    <w:p>
      <w:pPr>
        <w:spacing w:after="0" w:line="16" w:lineRule="exact"/>
        <w:rPr>
          <w:rFonts w:ascii="Times New Roman" w:cs="Times New Roman" w:eastAsia="Times New Roman" w:hAnsi="Times New Roman"/>
          <w:sz w:val="17"/>
          <w:szCs w:val="17"/>
          <w:color w:val="auto"/>
        </w:rPr>
      </w:pPr>
    </w:p>
    <w:p>
      <w:pPr>
        <w:ind w:left="320" w:hanging="22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Plains Software, Chief Financial Officer, 1999</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-1792605</wp:posOffset>
            </wp:positionV>
            <wp:extent cx="257175" cy="2571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-1166495</wp:posOffset>
            </wp:positionV>
            <wp:extent cx="257175" cy="257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-840740</wp:posOffset>
            </wp:positionV>
            <wp:extent cx="257175" cy="2571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i w:val="1"/>
          <w:iCs w:val="1"/>
          <w:color w:val="auto"/>
        </w:rPr>
        <w:t>Publicly traded accounting and ERP software provider</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401955</wp:posOffset>
            </wp:positionV>
            <wp:extent cx="257175" cy="2571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hanging="318"/>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15"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34"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right="380" w:hanging="318"/>
        <w:spacing w:after="0" w:line="226" w:lineRule="auto"/>
        <w:tabs>
          <w:tab w:leader="none" w:pos="5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line="219"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ind w:left="520" w:hanging="318"/>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-1100455</wp:posOffset>
            </wp:positionV>
            <wp:extent cx="394335" cy="12172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4335" cy="121729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-1100455</wp:posOffset>
            </wp:positionV>
            <wp:extent cx="394335" cy="12172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94335" cy="1217295"/>
                    </a:xfrm>
                    <a:prstGeom prst="rect">
                      <a:avLst/>
                    </a:prstGeom>
                    <a:noFill/>
                  </pic:spPr>
                </pic:pic>
              </a:graphicData>
            </a:graphic>
          </wp:anchor>
        </w:drawing>
      </w:r>
    </w:p>
    <w:p>
      <w:pPr>
        <w:spacing w:after="0" w:line="946"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0" w:type="dxa"/>
            <w:vAlign w:val="bottom"/>
            <w:tcBorders>
              <w:right w:val="single" w:sz="8" w:color="00AAE5"/>
            </w:tcBorders>
          </w:tcPr>
          <w:p>
            <w:pPr>
              <w:spacing w:after="0"/>
              <w:rPr>
                <w:sz w:val="20"/>
                <w:szCs w:val="20"/>
                <w:color w:val="auto"/>
              </w:rPr>
            </w:pPr>
          </w:p>
        </w:tc>
        <w:tc>
          <w:tcPr>
            <w:tcW w:w="2360" w:type="dxa"/>
            <w:vAlign w:val="bottom"/>
            <w:tcBorders>
              <w:top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Extensive experience leading software companies, financial understanding and auditing review, and</w:t>
            </w:r>
          </w:p>
        </w:tc>
      </w:tr>
      <w:tr>
        <w:trPr>
          <w:trHeight w:val="255"/>
        </w:trPr>
        <w:tc>
          <w:tcPr>
            <w:tcW w:w="40" w:type="dxa"/>
            <w:vAlign w:val="bottom"/>
            <w:tcBorders>
              <w:right w:val="single" w:sz="8" w:color="00AAE5"/>
            </w:tcBorders>
          </w:tcPr>
          <w:p>
            <w:pPr>
              <w:spacing w:after="0"/>
              <w:rPr>
                <w:sz w:val="22"/>
                <w:szCs w:val="22"/>
                <w:color w:val="auto"/>
              </w:rPr>
            </w:pPr>
          </w:p>
        </w:tc>
        <w:tc>
          <w:tcPr>
            <w:tcW w:w="2360" w:type="dxa"/>
            <w:vAlign w:val="bottom"/>
            <w:tcBorders>
              <w:bottom w:val="single" w:sz="8" w:color="00AAE5"/>
              <w:right w:val="single" w:sz="8" w:color="00AAE5"/>
            </w:tcBorders>
            <w:gridSpan w:val="2"/>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bottom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general business knowledge.</w:t>
            </w:r>
          </w:p>
        </w:tc>
      </w:tr>
      <w:tr>
        <w:trPr>
          <w:trHeight w:val="733"/>
        </w:trPr>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17</w:t>
            </w:r>
          </w:p>
        </w:tc>
        <w:tc>
          <w:tcPr>
            <w:tcW w:w="10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Proxy Statement for the 2026 Annual Meeting of Stockholders</w:t>
            </w:r>
          </w:p>
        </w:tc>
      </w:tr>
      <w:tr>
        <w:trPr>
          <w:trHeight w:val="368"/>
        </w:trPr>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-436880</wp:posOffset>
            </wp:positionV>
            <wp:extent cx="240030" cy="2311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22" w:name="page23"/>
    <w:bookmarkEnd w:id="2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17780</wp:posOffset>
            </wp:positionV>
            <wp:extent cx="822960" cy="8229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30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Philip Soran</w:t>
      </w:r>
    </w:p>
    <w:p>
      <w:pPr>
        <w:spacing w:after="0" w:line="7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Director since July 2010</w:t>
      </w:r>
    </w:p>
    <w:p>
      <w:pPr>
        <w:ind w:left="1600"/>
        <w:spacing w:after="0" w:line="214" w:lineRule="auto"/>
        <w:rPr>
          <w:sz w:val="20"/>
          <w:szCs w:val="20"/>
          <w:color w:val="auto"/>
        </w:rPr>
      </w:pPr>
      <w:r>
        <w:rPr>
          <w:rFonts w:ascii="Times New Roman" w:cs="Times New Roman" w:eastAsia="Times New Roman" w:hAnsi="Times New Roman"/>
          <w:sz w:val="21"/>
          <w:szCs w:val="21"/>
          <w:color w:val="auto"/>
        </w:rPr>
        <w:t>Chair of the Board: May 2014</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May 2017, May 2022</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October 2023, May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Present</w:t>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Lead Independent Director: October 2023</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May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41"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00" w:hanging="302"/>
        <w:spacing w:after="0"/>
        <w:tabs>
          <w:tab w:leader="none" w:pos="400" w:val="left"/>
        </w:tabs>
        <w:numPr>
          <w:ilvl w:val="0"/>
          <w:numId w:val="4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spacing w:after="0" w:line="14" w:lineRule="exact"/>
        <w:rPr>
          <w:sz w:val="20"/>
          <w:szCs w:val="20"/>
          <w:color w:val="auto"/>
        </w:rPr>
      </w:pPr>
    </w:p>
    <w:p>
      <w:pPr>
        <w:ind w:left="840" w:right="1700" w:hanging="107"/>
        <w:spacing w:after="0" w:line="249" w:lineRule="auto"/>
        <w:rPr>
          <w:sz w:val="20"/>
          <w:szCs w:val="20"/>
          <w:color w:val="auto"/>
        </w:rPr>
      </w:pPr>
      <w:r>
        <w:rPr>
          <w:rFonts w:ascii="Times New Roman" w:cs="Times New Roman" w:eastAsia="Times New Roman" w:hAnsi="Times New Roman"/>
          <w:sz w:val="18"/>
          <w:szCs w:val="18"/>
          <w:color w:val="auto"/>
        </w:rPr>
        <w:t>Piper Sandler Companies (NYSE: PIPR), 2013</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present, lead director, 2018</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May 2024</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Investment bank and asset management firm</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Origina, April 2022</w:t>
      </w:r>
      <w:r>
        <w:rPr>
          <w:rFonts w:ascii="Times New Roman" w:cs="Times New Roman" w:eastAsia="Times New Roman" w:hAnsi="Times New Roman"/>
          <w:sz w:val="16"/>
          <w:szCs w:val="16"/>
          <w:color w:val="auto"/>
        </w:rPr>
        <w:t>–May</w:t>
      </w:r>
      <w:r>
        <w:rPr>
          <w:rFonts w:ascii="Times New Roman" w:cs="Times New Roman" w:eastAsia="Times New Roman" w:hAnsi="Times New Roman"/>
          <w:sz w:val="18"/>
          <w:szCs w:val="18"/>
          <w:color w:val="auto"/>
        </w:rPr>
        <w:t xml:space="preserve"> 2025</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Technology services company</w:t>
      </w:r>
    </w:p>
    <w:p>
      <w:pPr>
        <w:ind w:left="700"/>
        <w:spacing w:after="0" w:line="234" w:lineRule="auto"/>
        <w:rPr>
          <w:sz w:val="20"/>
          <w:szCs w:val="20"/>
          <w:color w:val="auto"/>
        </w:rPr>
      </w:pPr>
      <w:r>
        <w:rPr>
          <w:rFonts w:ascii="Times New Roman" w:cs="Times New Roman" w:eastAsia="Times New Roman" w:hAnsi="Times New Roman"/>
          <w:sz w:val="18"/>
          <w:szCs w:val="18"/>
          <w:color w:val="auto"/>
        </w:rPr>
        <w:t>Foodsby, 2017</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2024</w:t>
      </w:r>
    </w:p>
    <w:p>
      <w:pPr>
        <w:ind w:left="1100"/>
        <w:spacing w:after="0" w:line="235" w:lineRule="auto"/>
        <w:rPr>
          <w:sz w:val="20"/>
          <w:szCs w:val="20"/>
          <w:color w:val="auto"/>
        </w:rPr>
      </w:pPr>
      <w:r>
        <w:rPr>
          <w:rFonts w:ascii="Times New Roman" w:cs="Times New Roman" w:eastAsia="Times New Roman" w:hAnsi="Times New Roman"/>
          <w:sz w:val="18"/>
          <w:szCs w:val="18"/>
          <w:i w:val="1"/>
          <w:iCs w:val="1"/>
          <w:color w:val="auto"/>
        </w:rPr>
        <w:t>Food delivery service</w:t>
      </w:r>
    </w:p>
    <w:p>
      <w:pPr>
        <w:ind w:left="700"/>
        <w:spacing w:after="0" w:line="235" w:lineRule="auto"/>
        <w:rPr>
          <w:sz w:val="20"/>
          <w:szCs w:val="20"/>
          <w:color w:val="auto"/>
        </w:rPr>
      </w:pPr>
      <w:r>
        <w:rPr>
          <w:rFonts w:ascii="Times New Roman" w:cs="Times New Roman" w:eastAsia="Times New Roman" w:hAnsi="Times New Roman"/>
          <w:sz w:val="18"/>
          <w:szCs w:val="18"/>
          <w:color w:val="auto"/>
        </w:rPr>
        <w:t>Spineology Inc., November 2018</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2024</w:t>
      </w:r>
    </w:p>
    <w:p>
      <w:pPr>
        <w:ind w:left="1100"/>
        <w:spacing w:after="0"/>
        <w:rPr>
          <w:sz w:val="20"/>
          <w:szCs w:val="20"/>
          <w:color w:val="auto"/>
        </w:rPr>
      </w:pPr>
      <w:r>
        <w:rPr>
          <w:rFonts w:ascii="Times New Roman" w:cs="Times New Roman" w:eastAsia="Times New Roman" w:hAnsi="Times New Roman"/>
          <w:sz w:val="18"/>
          <w:szCs w:val="18"/>
          <w:i w:val="1"/>
          <w:iCs w:val="1"/>
          <w:color w:val="auto"/>
        </w:rPr>
        <w:t>Medical technology company</w:t>
      </w:r>
    </w:p>
    <w:p>
      <w:pPr>
        <w:spacing w:after="0" w:line="7" w:lineRule="exact"/>
        <w:rPr>
          <w:sz w:val="20"/>
          <w:szCs w:val="20"/>
          <w:color w:val="auto"/>
        </w:rPr>
      </w:pPr>
    </w:p>
    <w:p>
      <w:pPr>
        <w:ind w:left="740" w:right="3660" w:hanging="642"/>
        <w:spacing w:after="0" w:line="232" w:lineRule="auto"/>
        <w:tabs>
          <w:tab w:leader="none" w:pos="407" w:val="left"/>
        </w:tabs>
        <w:numPr>
          <w:ilvl w:val="0"/>
          <w:numId w:val="4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Flipgrid, Inc., Executive Chairman, 2015</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2018 </w:t>
      </w:r>
      <w:r>
        <w:rPr>
          <w:rFonts w:ascii="Times New Roman" w:cs="Times New Roman" w:eastAsia="Times New Roman" w:hAnsi="Times New Roman"/>
          <w:sz w:val="17"/>
          <w:szCs w:val="17"/>
          <w:i w:val="1"/>
          <w:iCs w:val="1"/>
          <w:color w:val="auto"/>
        </w:rPr>
        <w:t>Education technology software company</w:t>
      </w:r>
    </w:p>
    <w:p>
      <w:pPr>
        <w:spacing w:after="0" w:line="1" w:lineRule="exact"/>
        <w:rPr>
          <w:rFonts w:ascii="Courier New" w:cs="Courier New" w:eastAsia="Courier New" w:hAnsi="Courier New"/>
          <w:sz w:val="17"/>
          <w:szCs w:val="17"/>
          <w:color w:val="auto"/>
        </w:rPr>
      </w:pPr>
    </w:p>
    <w:p>
      <w:pPr>
        <w:ind w:left="740" w:right="2060" w:hanging="642"/>
        <w:spacing w:after="0" w:line="226" w:lineRule="auto"/>
        <w:tabs>
          <w:tab w:leader="none" w:pos="407" w:val="left"/>
        </w:tabs>
        <w:numPr>
          <w:ilvl w:val="0"/>
          <w:numId w:val="4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Compellent Technologies, Inc., President, CEO, Director, 2002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2012 </w:t>
      </w:r>
      <w:r>
        <w:rPr>
          <w:rFonts w:ascii="Times New Roman" w:cs="Times New Roman" w:eastAsia="Times New Roman" w:hAnsi="Times New Roman"/>
          <w:sz w:val="18"/>
          <w:szCs w:val="18"/>
          <w:i w:val="1"/>
          <w:iCs w:val="1"/>
          <w:color w:val="auto"/>
        </w:rPr>
        <w:t>Co-founded publicly traded software company</w:t>
      </w:r>
    </w:p>
    <w:p>
      <w:pPr>
        <w:ind w:left="400" w:hanging="302"/>
        <w:spacing w:after="0" w:line="218" w:lineRule="auto"/>
        <w:tabs>
          <w:tab w:leader="none" w:pos="400" w:val="left"/>
        </w:tabs>
        <w:numPr>
          <w:ilvl w:val="0"/>
          <w:numId w:val="4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Xiotech, President, CEO, Director, 1995</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2001</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Co-founded network storage business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376555</wp:posOffset>
            </wp:positionV>
            <wp:extent cx="514350" cy="2571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318"/>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w:t>
      </w:r>
    </w:p>
    <w:p>
      <w:pPr>
        <w:ind w:left="520" w:hanging="318"/>
        <w:spacing w:after="0" w:line="219"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ind w:left="520" w:right="380" w:hanging="318"/>
        <w:spacing w:after="0" w:line="234" w:lineRule="auto"/>
        <w:tabs>
          <w:tab w:leader="none" w:pos="5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19"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-955040</wp:posOffset>
            </wp:positionV>
            <wp:extent cx="539750" cy="8915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9750" cy="891540"/>
                    </a:xfrm>
                    <a:prstGeom prst="rect">
                      <a:avLst/>
                    </a:prstGeom>
                    <a:noFill/>
                  </pic:spPr>
                </pic:pic>
              </a:graphicData>
            </a:graphic>
          </wp:anchor>
        </w:drawing>
      </w:r>
    </w:p>
    <w:p>
      <w:pPr>
        <w:spacing w:after="0" w:line="905"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w w:val="99"/>
              </w:rPr>
              <w:t>Experience as a chief executive officer of a publicly traded company, service on a variety of public and private</w:t>
            </w:r>
          </w:p>
        </w:tc>
        <w:tc>
          <w:tcPr>
            <w:tcW w:w="0" w:type="dxa"/>
            <w:vAlign w:val="bottom"/>
          </w:tcPr>
          <w:p>
            <w:pPr>
              <w:spacing w:after="0"/>
              <w:rPr>
                <w:sz w:val="1"/>
                <w:szCs w:val="1"/>
                <w:color w:val="auto"/>
              </w:rPr>
            </w:pPr>
          </w:p>
        </w:tc>
      </w:tr>
      <w:tr>
        <w:trPr>
          <w:trHeight w:val="109"/>
        </w:trPr>
        <w:tc>
          <w:tcPr>
            <w:tcW w:w="2400" w:type="dxa"/>
            <w:vAlign w:val="bottom"/>
            <w:tcBorders>
              <w:left w:val="single" w:sz="8" w:color="00AAE5"/>
              <w:right w:val="single" w:sz="8" w:color="00AAE5"/>
            </w:tcBorders>
            <w:vMerge w:val="continue"/>
            <w:shd w:val="clear" w:color="auto" w:fill="F2F2F2"/>
          </w:tcPr>
          <w:p>
            <w:pPr>
              <w:spacing w:after="0"/>
              <w:rPr>
                <w:sz w:val="9"/>
                <w:szCs w:val="9"/>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technology-related company boards, and experience in founding and building technology companies as well as corporate</w:t>
            </w:r>
          </w:p>
        </w:tc>
        <w:tc>
          <w:tcPr>
            <w:tcW w:w="0" w:type="dxa"/>
            <w:vAlign w:val="bottom"/>
          </w:tcPr>
          <w:p>
            <w:pPr>
              <w:spacing w:after="0"/>
              <w:rPr>
                <w:sz w:val="1"/>
                <w:szCs w:val="1"/>
                <w:color w:val="auto"/>
              </w:rPr>
            </w:pPr>
          </w:p>
        </w:tc>
      </w:tr>
      <w:tr>
        <w:trPr>
          <w:trHeight w:val="107"/>
        </w:trPr>
        <w:tc>
          <w:tcPr>
            <w:tcW w:w="2400" w:type="dxa"/>
            <w:vAlign w:val="bottom"/>
            <w:tcBorders>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00AAE5"/>
              <w:right w:val="single" w:sz="8" w:color="00AAE5"/>
            </w:tcBorders>
            <w:vMerge w:val="continue"/>
            <w:shd w:val="clear" w:color="auto" w:fill="F2F2F2"/>
          </w:tcPr>
          <w:p>
            <w:pPr>
              <w:spacing w:after="0"/>
              <w:rPr>
                <w:sz w:val="12"/>
                <w:szCs w:val="12"/>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vision and operational knowledge.</w:t>
            </w:r>
          </w:p>
        </w:tc>
        <w:tc>
          <w:tcPr>
            <w:tcW w:w="0" w:type="dxa"/>
            <w:vAlign w:val="bottom"/>
          </w:tcPr>
          <w:p>
            <w:pPr>
              <w:spacing w:after="0"/>
              <w:rPr>
                <w:sz w:val="1"/>
                <w:szCs w:val="1"/>
                <w:color w:val="auto"/>
              </w:rPr>
            </w:pPr>
          </w:p>
        </w:tc>
      </w:tr>
      <w:tr>
        <w:trPr>
          <w:trHeight w:val="103"/>
        </w:trPr>
        <w:tc>
          <w:tcPr>
            <w:tcW w:w="2400" w:type="dxa"/>
            <w:vAlign w:val="bottom"/>
            <w:tcBorders>
              <w:left w:val="single" w:sz="8" w:color="00AAE5"/>
              <w:bottom w:val="single" w:sz="8" w:color="F2F2F2"/>
              <w:right w:val="single" w:sz="8" w:color="00AAE5"/>
            </w:tcBorders>
            <w:shd w:val="clear" w:color="auto" w:fill="F2F2F2"/>
          </w:tcPr>
          <w:p>
            <w:pPr>
              <w:spacing w:after="0"/>
              <w:rPr>
                <w:sz w:val="8"/>
                <w:szCs w:val="8"/>
                <w:color w:val="auto"/>
              </w:rPr>
            </w:pPr>
          </w:p>
        </w:tc>
        <w:tc>
          <w:tcPr>
            <w:tcW w:w="8860" w:type="dxa"/>
            <w:vAlign w:val="bottom"/>
            <w:tcBorders>
              <w:right w:val="single" w:sz="8" w:color="00AA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00AAE5"/>
              <w:right w:val="single" w:sz="8" w:color="00AAE5"/>
            </w:tcBorders>
            <w:shd w:val="clear" w:color="auto" w:fill="00AAE5"/>
          </w:tcPr>
          <w:p>
            <w:pPr>
              <w:spacing w:after="0" w:line="20" w:lineRule="exact"/>
              <w:rPr>
                <w:sz w:val="1"/>
                <w:szCs w:val="1"/>
                <w:color w:val="auto"/>
              </w:rPr>
            </w:pPr>
          </w:p>
        </w:tc>
        <w:tc>
          <w:tcPr>
            <w:tcW w:w="8860" w:type="dxa"/>
            <w:vAlign w:val="bottom"/>
            <w:tcBorders>
              <w:right w:val="single" w:sz="8" w:color="00AAE5"/>
            </w:tcBorders>
            <w:shd w:val="clear" w:color="auto" w:fill="00AA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274320</wp:posOffset>
            </wp:positionV>
            <wp:extent cx="240030" cy="2317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18</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23" w:name="page24"/>
    <w:bookmarkEnd w:id="2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1 – ELECTION OF DIRECTORS</w:t>
      </w: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17780</wp:posOffset>
            </wp:positionV>
            <wp:extent cx="822960" cy="8229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5"/>
          <w:szCs w:val="25"/>
          <w:b w:val="1"/>
          <w:bCs w:val="1"/>
          <w:color w:val="00B0F0"/>
        </w:rPr>
        <w:t>Anne Sempowski Ward</w:t>
      </w:r>
    </w:p>
    <w:p>
      <w:pPr>
        <w:spacing w:after="0" w:line="92" w:lineRule="exact"/>
        <w:rPr>
          <w:sz w:val="20"/>
          <w:szCs w:val="20"/>
          <w:color w:val="auto"/>
        </w:rPr>
      </w:pPr>
    </w:p>
    <w:p>
      <w:pPr>
        <w:jc w:val="right"/>
        <w:ind w:right="6980"/>
        <w:spacing w:after="0"/>
        <w:rPr>
          <w:sz w:val="20"/>
          <w:szCs w:val="20"/>
          <w:color w:val="auto"/>
        </w:rPr>
      </w:pPr>
      <w:r>
        <w:rPr>
          <w:rFonts w:ascii="Times New Roman" w:cs="Times New Roman" w:eastAsia="Times New Roman" w:hAnsi="Times New Roman"/>
          <w:sz w:val="22"/>
          <w:szCs w:val="22"/>
          <w:color w:val="auto"/>
        </w:rPr>
        <w:t>Director since November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p>
      <w:pPr>
        <w:spacing w:after="0" w:line="365" w:lineRule="exact"/>
        <w:rPr>
          <w:sz w:val="20"/>
          <w:szCs w:val="20"/>
          <w:color w:val="auto"/>
        </w:rPr>
      </w:pPr>
    </w:p>
    <w:p>
      <w:pPr>
        <w:ind w:left="2480"/>
        <w:spacing w:after="0"/>
        <w:rPr>
          <w:sz w:val="20"/>
          <w:szCs w:val="20"/>
          <w:color w:val="auto"/>
        </w:rPr>
      </w:pPr>
      <w:r>
        <w:rPr>
          <w:rFonts w:ascii="Arial" w:cs="Arial" w:eastAsia="Arial" w:hAnsi="Arial"/>
          <w:sz w:val="18"/>
          <w:szCs w:val="18"/>
          <w:b w:val="1"/>
          <w:bCs w:val="1"/>
          <w:i w:val="1"/>
          <w:iCs w:val="1"/>
          <w:color w:val="auto"/>
        </w:rPr>
        <w:t>Professional Highlights</w:t>
      </w:r>
    </w:p>
    <w:p>
      <w:pPr>
        <w:spacing w:after="0" w:line="48" w:lineRule="exact"/>
        <w:rPr>
          <w:sz w:val="20"/>
          <w:szCs w:val="20"/>
          <w:color w:val="auto"/>
        </w:rPr>
      </w:pPr>
    </w:p>
    <w:p>
      <w:pPr>
        <w:ind w:left="420" w:right="780" w:hanging="322"/>
        <w:spacing w:after="0" w:line="230" w:lineRule="auto"/>
        <w:tabs>
          <w:tab w:leader="none" w:pos="401" w:val="left"/>
        </w:tabs>
        <w:numPr>
          <w:ilvl w:val="0"/>
          <w:numId w:val="4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CURiO Brands (formerly The Thymes, LLC), Chair, July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present, CEO &amp; Chair, 2012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July 2024</w:t>
      </w:r>
    </w:p>
    <w:p>
      <w:pPr>
        <w:ind w:left="740"/>
        <w:spacing w:after="0" w:line="219" w:lineRule="auto"/>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Consumer goods provider</w:t>
      </w:r>
    </w:p>
    <w:p>
      <w:pPr>
        <w:ind w:left="460" w:hanging="362"/>
        <w:spacing w:after="0" w:line="218" w:lineRule="auto"/>
        <w:tabs>
          <w:tab w:leader="none" w:pos="460" w:val="left"/>
        </w:tabs>
        <w:numPr>
          <w:ilvl w:val="0"/>
          <w:numId w:val="4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-51435</wp:posOffset>
            </wp:positionV>
            <wp:extent cx="257175" cy="2571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00"/>
        <w:spacing w:after="0" w:line="204" w:lineRule="auto"/>
        <w:rPr>
          <w:sz w:val="20"/>
          <w:szCs w:val="20"/>
          <w:color w:val="auto"/>
        </w:rPr>
      </w:pPr>
      <w:r>
        <w:rPr>
          <w:rFonts w:ascii="Times New Roman" w:cs="Times New Roman" w:eastAsia="Times New Roman" w:hAnsi="Times New Roman"/>
          <w:sz w:val="18"/>
          <w:szCs w:val="18"/>
          <w:color w:val="auto"/>
        </w:rPr>
        <w:t xml:space="preserve">Vanda Pharmaceuticals (Nasdaq: VNDA), </w:t>
      </w:r>
      <w:r>
        <w:rPr>
          <w:rFonts w:ascii="Times New Roman" w:cs="Times New Roman" w:eastAsia="Times New Roman" w:hAnsi="Times New Roman"/>
          <w:sz w:val="18"/>
          <w:szCs w:val="18"/>
          <w:i w:val="1"/>
          <w:iCs w:val="1"/>
          <w:color w:val="auto"/>
        </w:rPr>
        <w:t>biopharma company</w:t>
      </w:r>
    </w:p>
    <w:p>
      <w:pPr>
        <w:ind w:left="700"/>
        <w:spacing w:after="0" w:line="235" w:lineRule="auto"/>
        <w:rPr>
          <w:sz w:val="20"/>
          <w:szCs w:val="20"/>
          <w:color w:val="auto"/>
        </w:rPr>
      </w:pPr>
      <w:r>
        <w:rPr>
          <w:rFonts w:ascii="Times New Roman" w:cs="Times New Roman" w:eastAsia="Times New Roman" w:hAnsi="Times New Roman"/>
          <w:sz w:val="18"/>
          <w:szCs w:val="18"/>
          <w:color w:val="auto"/>
        </w:rPr>
        <w:t xml:space="preserve">Spectrum Brands (NYSE: SPB), </w:t>
      </w:r>
      <w:r>
        <w:rPr>
          <w:rFonts w:ascii="Times New Roman" w:cs="Times New Roman" w:eastAsia="Times New Roman" w:hAnsi="Times New Roman"/>
          <w:sz w:val="18"/>
          <w:szCs w:val="18"/>
          <w:i w:val="1"/>
          <w:iCs w:val="1"/>
          <w:color w:val="auto"/>
        </w:rPr>
        <w:t>consumer goods provider (through 2021)</w:t>
      </w:r>
    </w:p>
    <w:p>
      <w:pPr>
        <w:ind w:left="700"/>
        <w:spacing w:after="0" w:line="234" w:lineRule="auto"/>
        <w:rPr>
          <w:sz w:val="20"/>
          <w:szCs w:val="20"/>
          <w:color w:val="auto"/>
        </w:rPr>
      </w:pPr>
      <w:r>
        <w:rPr>
          <w:rFonts w:ascii="Times New Roman" w:cs="Times New Roman" w:eastAsia="Times New Roman" w:hAnsi="Times New Roman"/>
          <w:sz w:val="18"/>
          <w:szCs w:val="18"/>
          <w:color w:val="auto"/>
        </w:rPr>
        <w:t xml:space="preserve">The Lip Bar, Inc., </w:t>
      </w:r>
      <w:r>
        <w:rPr>
          <w:rFonts w:ascii="Times New Roman" w:cs="Times New Roman" w:eastAsia="Times New Roman" w:hAnsi="Times New Roman"/>
          <w:sz w:val="18"/>
          <w:szCs w:val="18"/>
          <w:i w:val="1"/>
          <w:iCs w:val="1"/>
          <w:color w:val="auto"/>
        </w:rPr>
        <w:t>cosmetics and beauty products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-93980</wp:posOffset>
            </wp:positionV>
            <wp:extent cx="257175" cy="2571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40" w:right="3960" w:hanging="642"/>
        <w:spacing w:after="0" w:line="223" w:lineRule="auto"/>
        <w:tabs>
          <w:tab w:leader="none" w:pos="307" w:val="left"/>
        </w:tabs>
        <w:numPr>
          <w:ilvl w:val="0"/>
          <w:numId w:val="5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The FORWARD Group, CEO, 2010</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2012 </w:t>
      </w:r>
      <w:r>
        <w:rPr>
          <w:rFonts w:ascii="Times New Roman" w:cs="Times New Roman" w:eastAsia="Times New Roman" w:hAnsi="Times New Roman"/>
          <w:sz w:val="17"/>
          <w:szCs w:val="17"/>
          <w:i w:val="1"/>
          <w:iCs w:val="1"/>
          <w:color w:val="auto"/>
        </w:rPr>
        <w:t>Co-founded business consulting group</w:t>
      </w:r>
    </w:p>
    <w:p>
      <w:pPr>
        <w:spacing w:after="0" w:line="1" w:lineRule="exact"/>
        <w:rPr>
          <w:rFonts w:ascii="Courier New" w:cs="Courier New" w:eastAsia="Courier New" w:hAnsi="Courier New"/>
          <w:sz w:val="17"/>
          <w:szCs w:val="17"/>
          <w:color w:val="auto"/>
        </w:rPr>
      </w:pPr>
    </w:p>
    <w:p>
      <w:pPr>
        <w:ind w:left="420" w:hanging="322"/>
        <w:spacing w:after="0" w:line="231" w:lineRule="auto"/>
        <w:tabs>
          <w:tab w:leader="none" w:pos="420" w:val="left"/>
        </w:tabs>
        <w:numPr>
          <w:ilvl w:val="0"/>
          <w:numId w:val="5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Johnson Publishing Company, President &amp; Chief Operating Officer, 2007</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-144780</wp:posOffset>
            </wp:positionV>
            <wp:extent cx="257175" cy="2571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740"/>
        <w:spacing w:after="0" w:line="206" w:lineRule="auto"/>
        <w:rPr>
          <w:sz w:val="20"/>
          <w:szCs w:val="20"/>
          <w:color w:val="auto"/>
        </w:rPr>
      </w:pPr>
      <w:r>
        <w:rPr>
          <w:rFonts w:ascii="Times New Roman" w:cs="Times New Roman" w:eastAsia="Times New Roman" w:hAnsi="Times New Roman"/>
          <w:sz w:val="18"/>
          <w:szCs w:val="18"/>
          <w:i w:val="1"/>
          <w:iCs w:val="1"/>
          <w:color w:val="auto"/>
        </w:rPr>
        <w:t>Media and beauty company</w:t>
      </w:r>
    </w:p>
    <w:p>
      <w:pPr>
        <w:ind w:left="740" w:right="2500" w:hanging="642"/>
        <w:spacing w:after="0" w:line="239" w:lineRule="auto"/>
        <w:tabs>
          <w:tab w:leader="none" w:pos="407" w:val="left"/>
        </w:tabs>
        <w:numPr>
          <w:ilvl w:val="0"/>
          <w:numId w:val="51"/>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The Coca-Cola Company, Assistant Vice President, 2006</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2007 </w:t>
      </w:r>
      <w:r>
        <w:rPr>
          <w:rFonts w:ascii="Times New Roman" w:cs="Times New Roman" w:eastAsia="Times New Roman" w:hAnsi="Times New Roman"/>
          <w:sz w:val="17"/>
          <w:szCs w:val="17"/>
          <w:i w:val="1"/>
          <w:iCs w:val="1"/>
          <w:color w:val="auto"/>
        </w:rPr>
        <w:t>Publicly traded multinational consumer goods provider</w:t>
      </w:r>
    </w:p>
    <w:p>
      <w:pPr>
        <w:spacing w:after="0" w:line="1" w:lineRule="exact"/>
        <w:rPr>
          <w:rFonts w:ascii="Courier New" w:cs="Courier New" w:eastAsia="Courier New" w:hAnsi="Courier New"/>
          <w:sz w:val="17"/>
          <w:szCs w:val="17"/>
          <w:color w:val="auto"/>
        </w:rPr>
      </w:pPr>
    </w:p>
    <w:p>
      <w:pPr>
        <w:ind w:left="740" w:right="2620" w:hanging="642"/>
        <w:spacing w:after="0" w:line="254" w:lineRule="auto"/>
        <w:tabs>
          <w:tab w:leader="none" w:pos="407" w:val="left"/>
        </w:tabs>
        <w:numPr>
          <w:ilvl w:val="0"/>
          <w:numId w:val="51"/>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Procter &amp; Gamble, Associate Marketing Director, 1994</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2006 </w:t>
      </w:r>
      <w:r>
        <w:rPr>
          <w:rFonts w:ascii="Times New Roman" w:cs="Times New Roman" w:eastAsia="Times New Roman" w:hAnsi="Times New Roman"/>
          <w:sz w:val="17"/>
          <w:szCs w:val="17"/>
          <w:i w:val="1"/>
          <w:iCs w:val="1"/>
          <w:color w:val="auto"/>
        </w:rPr>
        <w:t>Publicly traded multinational consumer goods provider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 and Experiences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 w:hanging="318"/>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Literacy</w:t>
      </w:r>
    </w:p>
    <w:p>
      <w:pPr>
        <w:spacing w:after="0" w:line="2"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Market</w:t>
      </w:r>
    </w:p>
    <w:p>
      <w:pPr>
        <w:ind w:left="520" w:right="380" w:hanging="318"/>
        <w:spacing w:after="0" w:line="226" w:lineRule="auto"/>
        <w:tabs>
          <w:tab w:leader="none" w:pos="5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Leadership / Corporate Governance</w:t>
      </w:r>
    </w:p>
    <w:p>
      <w:pPr>
        <w:spacing w:after="0" w:line="1" w:lineRule="exact"/>
        <w:rPr>
          <w:rFonts w:ascii="Times New Roman" w:cs="Times New Roman" w:eastAsia="Times New Roman" w:hAnsi="Times New Roman"/>
          <w:sz w:val="18"/>
          <w:szCs w:val="18"/>
          <w:color w:val="auto"/>
        </w:rPr>
      </w:pPr>
    </w:p>
    <w:p>
      <w:pPr>
        <w:ind w:left="520" w:right="460" w:hanging="318"/>
        <w:spacing w:after="0" w:line="226" w:lineRule="auto"/>
        <w:tabs>
          <w:tab w:leader="none" w:pos="5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Human Resources</w:t>
      </w:r>
    </w:p>
    <w:p>
      <w:pPr>
        <w:spacing w:after="0" w:line="1" w:lineRule="exact"/>
        <w:rPr>
          <w:rFonts w:ascii="Times New Roman" w:cs="Times New Roman" w:eastAsia="Times New Roman" w:hAnsi="Times New Roman"/>
          <w:sz w:val="18"/>
          <w:szCs w:val="18"/>
          <w:color w:val="auto"/>
        </w:rPr>
      </w:pPr>
    </w:p>
    <w:p>
      <w:pPr>
        <w:ind w:left="520" w:hanging="318"/>
        <w:spacing w:after="0" w:line="234"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Customer Engagement</w:t>
      </w:r>
    </w:p>
    <w:p>
      <w:pPr>
        <w:ind w:left="520" w:hanging="318"/>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-989330</wp:posOffset>
            </wp:positionV>
            <wp:extent cx="257175"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-663575</wp:posOffset>
            </wp:positionV>
            <wp:extent cx="257175" cy="2571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-337820</wp:posOffset>
            </wp:positionV>
            <wp:extent cx="257175" cy="2571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907" w:lineRule="exact"/>
        <w:rPr>
          <w:sz w:val="20"/>
          <w:szCs w:val="20"/>
          <w:color w:val="auto"/>
        </w:rPr>
      </w:pPr>
    </w:p>
    <w:p>
      <w:pPr>
        <w:sectPr>
          <w:pgSz w:w="11900" w:h="16838" w:orient="portrait"/>
          <w:cols w:equalWidth="0" w:num="2">
            <w:col w:w="7460" w:space="720"/>
            <w:col w:w="3080"/>
          </w:cols>
          <w:pgMar w:left="320" w:top="338" w:right="319" w:bottom="1440" w:gutter="0" w:footer="0" w:header="0"/>
          <w:type w:val="continuous"/>
        </w:sectPr>
      </w:pP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00AAE5"/>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w w:val="99"/>
              </w:rPr>
              <w:t>Primary Nominee</w:t>
            </w:r>
          </w:p>
        </w:tc>
        <w:tc>
          <w:tcPr>
            <w:tcW w:w="8860" w:type="dxa"/>
            <w:vAlign w:val="bottom"/>
            <w:tcBorders>
              <w:top w:val="single" w:sz="8" w:color="00AAE5"/>
              <w:right w:val="single" w:sz="8" w:color="00AAE5"/>
            </w:tcBorders>
          </w:tcPr>
          <w:p>
            <w:pPr>
              <w:jc w:val="center"/>
              <w:spacing w:after="0"/>
              <w:rPr>
                <w:sz w:val="20"/>
                <w:szCs w:val="20"/>
                <w:color w:val="auto"/>
              </w:rPr>
            </w:pPr>
            <w:r>
              <w:rPr>
                <w:rFonts w:ascii="Times New Roman" w:cs="Times New Roman" w:eastAsia="Times New Roman" w:hAnsi="Times New Roman"/>
                <w:sz w:val="18"/>
                <w:szCs w:val="18"/>
                <w:color w:val="auto"/>
              </w:rPr>
              <w:t>Experience as a chief executive officer and brand builder in the high-growth consumer and retail environment, executive</w:t>
            </w:r>
          </w:p>
        </w:tc>
        <w:tc>
          <w:tcPr>
            <w:tcW w:w="0" w:type="dxa"/>
            <w:vAlign w:val="bottom"/>
          </w:tcPr>
          <w:p>
            <w:pPr>
              <w:spacing w:after="0"/>
              <w:rPr>
                <w:sz w:val="1"/>
                <w:szCs w:val="1"/>
                <w:color w:val="auto"/>
              </w:rPr>
            </w:pPr>
          </w:p>
        </w:tc>
      </w:tr>
      <w:tr>
        <w:trPr>
          <w:trHeight w:val="109"/>
        </w:trPr>
        <w:tc>
          <w:tcPr>
            <w:tcW w:w="2400" w:type="dxa"/>
            <w:vAlign w:val="bottom"/>
            <w:tcBorders>
              <w:left w:val="single" w:sz="8" w:color="00AAE5"/>
              <w:right w:val="single" w:sz="8" w:color="00AAE5"/>
            </w:tcBorders>
            <w:vMerge w:val="continue"/>
            <w:shd w:val="clear" w:color="auto" w:fill="F2F2F2"/>
          </w:tcPr>
          <w:p>
            <w:pPr>
              <w:spacing w:after="0"/>
              <w:rPr>
                <w:sz w:val="9"/>
                <w:szCs w:val="9"/>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experience with consumer goods companies and extensive marketing, brand management, and operational leadership for</w:t>
            </w:r>
          </w:p>
        </w:tc>
        <w:tc>
          <w:tcPr>
            <w:tcW w:w="0" w:type="dxa"/>
            <w:vAlign w:val="bottom"/>
          </w:tcPr>
          <w:p>
            <w:pPr>
              <w:spacing w:after="0"/>
              <w:rPr>
                <w:sz w:val="1"/>
                <w:szCs w:val="1"/>
                <w:color w:val="auto"/>
              </w:rPr>
            </w:pPr>
          </w:p>
        </w:tc>
      </w:tr>
      <w:tr>
        <w:trPr>
          <w:trHeight w:val="107"/>
        </w:trPr>
        <w:tc>
          <w:tcPr>
            <w:tcW w:w="2400" w:type="dxa"/>
            <w:vAlign w:val="bottom"/>
            <w:tcBorders>
              <w:left w:val="single" w:sz="8" w:color="00AAE5"/>
              <w:right w:val="single" w:sz="8" w:color="00AAE5"/>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i w:val="1"/>
                <w:iCs w:val="1"/>
                <w:color w:val="auto"/>
              </w:rPr>
              <w:t>Qualifications</w:t>
            </w:r>
          </w:p>
        </w:tc>
        <w:tc>
          <w:tcPr>
            <w:tcW w:w="8860" w:type="dxa"/>
            <w:vAlign w:val="bottom"/>
            <w:tcBorders>
              <w:right w:val="single" w:sz="8" w:color="00AAE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00" w:type="dxa"/>
            <w:vAlign w:val="bottom"/>
            <w:tcBorders>
              <w:left w:val="single" w:sz="8" w:color="00AAE5"/>
              <w:right w:val="single" w:sz="8" w:color="00AAE5"/>
            </w:tcBorders>
            <w:vMerge w:val="continue"/>
            <w:shd w:val="clear" w:color="auto" w:fill="F2F2F2"/>
          </w:tcPr>
          <w:p>
            <w:pPr>
              <w:spacing w:after="0"/>
              <w:rPr>
                <w:sz w:val="12"/>
                <w:szCs w:val="12"/>
                <w:color w:val="auto"/>
              </w:rPr>
            </w:pPr>
          </w:p>
        </w:tc>
        <w:tc>
          <w:tcPr>
            <w:tcW w:w="8860" w:type="dxa"/>
            <w:vAlign w:val="bottom"/>
            <w:tcBorders>
              <w:right w:val="single" w:sz="8" w:color="00AAE5"/>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companies across multiple sectors.</w:t>
            </w:r>
          </w:p>
        </w:tc>
        <w:tc>
          <w:tcPr>
            <w:tcW w:w="0" w:type="dxa"/>
            <w:vAlign w:val="bottom"/>
          </w:tcPr>
          <w:p>
            <w:pPr>
              <w:spacing w:after="0"/>
              <w:rPr>
                <w:sz w:val="1"/>
                <w:szCs w:val="1"/>
                <w:color w:val="auto"/>
              </w:rPr>
            </w:pPr>
          </w:p>
        </w:tc>
      </w:tr>
      <w:tr>
        <w:trPr>
          <w:trHeight w:val="103"/>
        </w:trPr>
        <w:tc>
          <w:tcPr>
            <w:tcW w:w="2400" w:type="dxa"/>
            <w:vAlign w:val="bottom"/>
            <w:tcBorders>
              <w:left w:val="single" w:sz="8" w:color="00AAE5"/>
              <w:bottom w:val="single" w:sz="8" w:color="F2F2F2"/>
              <w:right w:val="single" w:sz="8" w:color="00AAE5"/>
            </w:tcBorders>
            <w:shd w:val="clear" w:color="auto" w:fill="F2F2F2"/>
          </w:tcPr>
          <w:p>
            <w:pPr>
              <w:spacing w:after="0"/>
              <w:rPr>
                <w:sz w:val="8"/>
                <w:szCs w:val="8"/>
                <w:color w:val="auto"/>
              </w:rPr>
            </w:pPr>
          </w:p>
        </w:tc>
        <w:tc>
          <w:tcPr>
            <w:tcW w:w="8860" w:type="dxa"/>
            <w:vAlign w:val="bottom"/>
            <w:tcBorders>
              <w:right w:val="single" w:sz="8" w:color="00AA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00AAE5"/>
              <w:right w:val="single" w:sz="8" w:color="00AAE5"/>
            </w:tcBorders>
            <w:shd w:val="clear" w:color="auto" w:fill="00AAE5"/>
          </w:tcPr>
          <w:p>
            <w:pPr>
              <w:spacing w:after="0" w:line="20" w:lineRule="exact"/>
              <w:rPr>
                <w:sz w:val="1"/>
                <w:szCs w:val="1"/>
                <w:color w:val="auto"/>
              </w:rPr>
            </w:pPr>
          </w:p>
        </w:tc>
        <w:tc>
          <w:tcPr>
            <w:tcW w:w="8860" w:type="dxa"/>
            <w:vAlign w:val="bottom"/>
            <w:tcBorders>
              <w:right w:val="single" w:sz="8" w:color="00AAE5"/>
            </w:tcBorders>
            <w:shd w:val="clear" w:color="auto" w:fill="00AA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428625</wp:posOffset>
            </wp:positionV>
            <wp:extent cx="240030" cy="2317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19</w:t>
      </w:r>
      <w:r>
        <w:rPr>
          <w:sz w:val="20"/>
          <w:szCs w:val="20"/>
          <w:color w:val="auto"/>
        </w:rPr>
        <w:tab/>
      </w:r>
      <w:r>
        <w:rPr>
          <w:rFonts w:ascii="Times New Roman" w:cs="Times New Roman" w:eastAsia="Times New Roman" w:hAnsi="Times New Roman"/>
          <w:sz w:val="14"/>
          <w:szCs w:val="14"/>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24" w:name="page25"/>
    <w:bookmarkEnd w:id="2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60" w:right="220"/>
        <w:spacing w:after="0" w:line="242" w:lineRule="auto"/>
        <w:rPr>
          <w:sz w:val="20"/>
          <w:szCs w:val="20"/>
          <w:color w:val="auto"/>
        </w:rPr>
      </w:pPr>
      <w:r>
        <w:rPr>
          <w:rFonts w:ascii="Arial" w:cs="Arial" w:eastAsia="Arial" w:hAnsi="Arial"/>
          <w:sz w:val="36"/>
          <w:szCs w:val="36"/>
          <w:b w:val="1"/>
          <w:bCs w:val="1"/>
          <w:color w:val="00AAE5"/>
        </w:rPr>
        <w:t>INFORMATION REGARDING THE BOARD OF DIRECTORS AND CORPORATE GOVERNANCE</w:t>
      </w:r>
    </w:p>
    <w:p>
      <w:pPr>
        <w:spacing w:after="0" w:line="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Board conducts its business through meetings of established standing committees. Each of the standing committees has adopted and operates under a written charter, all of which are available within our corporate governance section of our investor relations portion of our website at </w:t>
      </w:r>
      <w:r>
        <w:rPr>
          <w:rFonts w:ascii="Times New Roman" w:cs="Times New Roman" w:eastAsia="Times New Roman" w:hAnsi="Times New Roman"/>
          <w:sz w:val="18"/>
          <w:szCs w:val="18"/>
          <w:i w:val="1"/>
          <w:iCs w:val="1"/>
          <w:color w:val="auto"/>
        </w:rPr>
        <w:t>www.spscommerce.com</w:t>
      </w:r>
      <w:r>
        <w:rPr>
          <w:rFonts w:ascii="Times New Roman" w:cs="Times New Roman" w:eastAsia="Times New Roman" w:hAnsi="Times New Roman"/>
          <w:sz w:val="18"/>
          <w:szCs w:val="18"/>
          <w:color w:val="auto"/>
        </w:rPr>
        <w:t>. We have adopted a code of business conduct and ethics relating to the conduct of our business by our directors, officers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PEO and principal financial and accounting officer), and employees (our “Code of Conduct”), that can also be found in the same section on our website. We plan to post on our website at the address described above any future amendments or waivers of our Code of Conduct applicable to our PEO or principal financial and accounting officer. Additionally, our Corporate Governance Guidelines are available in the same section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Leadership Structure</w:t>
      </w:r>
    </w:p>
    <w:p>
      <w:pPr>
        <w:spacing w:after="0" w:line="11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One of the key responsibilities of the Board is to have a leadership structure that allows it to provide effective oversight of management and maximize the contributions of its members. The Board evaluates its leadership structure on an ongoing basis. The Board does not have a policy as to whether the position of the chair of the Board (the “Chair”) and the position of the CEO or other executive position should be separate. Rather, the Board believes it should retain the flexibility to decide what is in the best interest of the Company at any point in time. If the position of Chair is held by a director who is not independent, the Board will appoint a Lead Independent Director from among its members using criteria the Board deems appropriate. If the Chair is an independent director, then the duties of the Lead Independent Director described below shall be part of the duties of the Chair.</w:t>
      </w:r>
    </w:p>
    <w:p>
      <w:pPr>
        <w:spacing w:after="0" w:line="1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that in the absence of an independent Chair, a Lead Independent Director is an integral part of a governance structure that promotes strong, independent oversight of the Company’s management and affairs. In fulfilling his or her responsibilities, the Lead Independent Director, if any, will: preside at all meetings of the Board when the Chair is not present; convene and preside at meetings of the independent directors, including executive sessions; review and provide input on meeting agendas for the Board and its committees; and perform such other duties as may be requested by the Board.</w:t>
      </w:r>
    </w:p>
    <w:p>
      <w:pPr>
        <w:spacing w:after="0" w:line="1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Currently, the positions of CEO and Chair are separate. Chad Collins has served as our CEO and as a member of our Board since October 2, 2023. Philip Soran has served as the independent Chair since May 16, 2024. Anne Sempowski Ward has been appointed to serve as the independent Chair beginning on the date of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620395</wp:posOffset>
            </wp:positionV>
            <wp:extent cx="240030" cy="2311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20</w:t>
      </w:r>
      <w:r>
        <w:rPr>
          <w:sz w:val="20"/>
          <w:szCs w:val="20"/>
          <w:color w:val="auto"/>
        </w:rPr>
        <w:tab/>
      </w:r>
      <w:r>
        <w:rPr>
          <w:rFonts w:ascii="Times New Roman" w:cs="Times New Roman" w:eastAsia="Times New Roman" w:hAnsi="Times New Roman"/>
          <w:sz w:val="12"/>
          <w:szCs w:val="12"/>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25" w:name="page26"/>
    <w:bookmarkEnd w:id="2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Committees</w:t>
      </w:r>
    </w:p>
    <w:p>
      <w:pPr>
        <w:spacing w:after="0" w:line="167" w:lineRule="exact"/>
        <w:rPr>
          <w:sz w:val="20"/>
          <w:szCs w:val="20"/>
          <w:color w:val="auto"/>
        </w:rPr>
      </w:pPr>
    </w:p>
    <w:p>
      <w:pPr>
        <w:ind w:right="100" w:firstLine="648"/>
        <w:spacing w:after="0" w:line="279" w:lineRule="auto"/>
        <w:rPr>
          <w:sz w:val="20"/>
          <w:szCs w:val="20"/>
          <w:color w:val="auto"/>
        </w:rPr>
      </w:pPr>
      <w:r>
        <w:rPr>
          <w:rFonts w:ascii="Times New Roman" w:cs="Times New Roman" w:eastAsia="Times New Roman" w:hAnsi="Times New Roman"/>
          <w:sz w:val="18"/>
          <w:szCs w:val="18"/>
          <w:color w:val="auto"/>
        </w:rPr>
        <w:t>The Board has established an Audit Committee, a Compensation &amp; Talent Committee, a Governance &amp; Nominating Committee, and a Finance &amp; Strategy Committee. The following sets forth the membership of each of our committees as of April 1, 2026.</w:t>
      </w: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4"/>
          </w:tcPr>
          <w:p>
            <w:pPr>
              <w:ind w:left="940"/>
              <w:spacing w:after="0"/>
              <w:rPr>
                <w:sz w:val="20"/>
                <w:szCs w:val="20"/>
                <w:color w:val="auto"/>
              </w:rPr>
            </w:pPr>
            <w:r>
              <w:rPr>
                <w:rFonts w:ascii="Times New Roman" w:cs="Times New Roman" w:eastAsia="Times New Roman" w:hAnsi="Times New Roman"/>
                <w:sz w:val="14"/>
                <w:szCs w:val="14"/>
                <w:color w:val="auto"/>
              </w:rPr>
              <w:t>BOARD COMMITTEES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Borders>
              <w:bottom w:val="single" w:sz="8" w:color="7C7C7C"/>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r>
              <w:rPr>
                <w:rFonts w:ascii="Times New Roman" w:cs="Times New Roman" w:eastAsia="Times New Roman" w:hAnsi="Times New Roman"/>
                <w:sz w:val="18"/>
                <w:szCs w:val="18"/>
                <w:color w:val="auto"/>
                <w:vertAlign w:val="superscript"/>
              </w:rPr>
              <w:t>(1)</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Finance &amp;</w:t>
            </w:r>
          </w:p>
        </w:tc>
        <w:tc>
          <w:tcPr>
            <w:tcW w:w="0" w:type="dxa"/>
            <w:vAlign w:val="bottom"/>
          </w:tcPr>
          <w:p>
            <w:pPr>
              <w:spacing w:after="0"/>
              <w:rPr>
                <w:sz w:val="1"/>
                <w:szCs w:val="1"/>
                <w:color w:val="auto"/>
              </w:rPr>
            </w:pPr>
          </w:p>
        </w:tc>
      </w:tr>
      <w:tr>
        <w:trPr>
          <w:trHeight w:val="236"/>
        </w:trPr>
        <w:tc>
          <w:tcPr>
            <w:tcW w:w="4280" w:type="dxa"/>
            <w:vAlign w:val="bottom"/>
            <w:gridSpan w:val="2"/>
            <w:vMerge w:val="continue"/>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Audit</w:t>
            </w:r>
          </w:p>
        </w:tc>
        <w:tc>
          <w:tcPr>
            <w:tcW w:w="80" w:type="dxa"/>
            <w:vAlign w:val="bottom"/>
          </w:tcPr>
          <w:p>
            <w:pPr>
              <w:spacing w:after="0"/>
              <w:rPr>
                <w:sz w:val="20"/>
                <w:szCs w:val="20"/>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Compensation &amp; Talent</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Governance &amp; Nominating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Strategy</w:t>
            </w:r>
          </w:p>
        </w:tc>
        <w:tc>
          <w:tcPr>
            <w:tcW w:w="0" w:type="dxa"/>
            <w:vAlign w:val="bottom"/>
          </w:tcPr>
          <w:p>
            <w:pPr>
              <w:spacing w:after="0"/>
              <w:rPr>
                <w:sz w:val="1"/>
                <w:szCs w:val="1"/>
                <w:color w:val="auto"/>
              </w:rPr>
            </w:pPr>
          </w:p>
        </w:tc>
      </w:tr>
      <w:tr>
        <w:trPr>
          <w:trHeight w:val="21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Fumbi Chima</w:t>
            </w:r>
          </w:p>
        </w:tc>
        <w:tc>
          <w:tcPr>
            <w:tcW w:w="1660" w:type="dxa"/>
            <w:vAlign w:val="bottom"/>
          </w:tcPr>
          <w:p>
            <w:pPr>
              <w:jc w:val="center"/>
              <w:spacing w:after="0" w:line="218" w:lineRule="exact"/>
              <w:rPr>
                <w:sz w:val="20"/>
                <w:szCs w:val="20"/>
                <w:color w:val="auto"/>
              </w:rPr>
            </w:pPr>
            <w:r>
              <w:rPr>
                <w:rFonts w:ascii="Wingdings" w:cs="Wingdings" w:eastAsia="Wingdings" w:hAnsi="Wingdings"/>
                <w:sz w:val="20"/>
                <w:szCs w:val="20"/>
                <w:b w:val="1"/>
                <w:bCs w:val="1"/>
                <w:color w:val="6D6D6D"/>
                <w:w w:val="93"/>
              </w:rPr>
              <w:t>l</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Razat Gaurav</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6D6D6D"/>
              </w:rPr>
              <w:t>l</w:t>
            </w:r>
          </w:p>
        </w:tc>
        <w:tc>
          <w:tcPr>
            <w:tcW w:w="0" w:type="dxa"/>
            <w:vAlign w:val="bottom"/>
          </w:tcPr>
          <w:p>
            <w:pPr>
              <w:spacing w:after="0"/>
              <w:rPr>
                <w:sz w:val="1"/>
                <w:szCs w:val="1"/>
                <w:color w:val="auto"/>
              </w:rPr>
            </w:pP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McConnell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6D6D6D"/>
              </w:rPr>
              <w:t>l</w:t>
            </w:r>
          </w:p>
        </w:tc>
        <w:tc>
          <w:tcPr>
            <w:tcW w:w="0" w:type="dxa"/>
            <w:vAlign w:val="bottom"/>
          </w:tcPr>
          <w:p>
            <w:pPr>
              <w:spacing w:after="0"/>
              <w:rPr>
                <w:sz w:val="1"/>
                <w:szCs w:val="1"/>
                <w:color w:val="auto"/>
              </w:rPr>
            </w:pP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 Partin</w:t>
            </w:r>
          </w:p>
        </w:tc>
        <w:tc>
          <w:tcPr>
            <w:tcW w:w="1660" w:type="dxa"/>
            <w:vAlign w:val="bottom"/>
          </w:tcPr>
          <w:p>
            <w:pPr>
              <w:jc w:val="center"/>
              <w:spacing w:after="0"/>
              <w:rPr>
                <w:sz w:val="20"/>
                <w:szCs w:val="20"/>
                <w:color w:val="auto"/>
              </w:rPr>
            </w:pPr>
            <w:r>
              <w:rPr>
                <w:rFonts w:ascii="Wingdings" w:cs="Wingdings" w:eastAsia="Wingdings" w:hAnsi="Wingdings"/>
                <w:sz w:val="20"/>
                <w:szCs w:val="20"/>
                <w:b w:val="1"/>
                <w:bCs w:val="1"/>
                <w:color w:val="00AAE5"/>
              </w:rPr>
              <w:t>u</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4140" w:type="dxa"/>
            <w:vAlign w:val="bottom"/>
            <w:tcBorders>
              <w:bottom w:val="single" w:sz="8" w:color="7C7C7C"/>
            </w:tcBorders>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Marty Réaume</w:t>
            </w: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gridSpan w:val="2"/>
          </w:tcPr>
          <w:p>
            <w:pPr>
              <w:jc w:val="center"/>
              <w:ind w:right="100"/>
              <w:spacing w:after="0"/>
              <w:rPr>
                <w:sz w:val="20"/>
                <w:szCs w:val="20"/>
                <w:color w:val="auto"/>
              </w:rPr>
            </w:pPr>
            <w:r>
              <w:rPr>
                <w:rFonts w:ascii="Wingdings" w:cs="Wingdings" w:eastAsia="Wingdings" w:hAnsi="Wingdings"/>
                <w:sz w:val="20"/>
                <w:szCs w:val="20"/>
                <w:b w:val="1"/>
                <w:bCs w:val="1"/>
                <w:color w:val="00AAE5"/>
              </w:rPr>
              <w:t>u</w:t>
            </w:r>
          </w:p>
        </w:tc>
        <w:tc>
          <w:tcPr>
            <w:tcW w:w="1760" w:type="dxa"/>
            <w:vAlign w:val="bottom"/>
            <w:gridSpan w:val="2"/>
          </w:tcPr>
          <w:p>
            <w:pPr>
              <w:jc w:val="center"/>
              <w:ind w:right="10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4140" w:type="dxa"/>
            <w:vAlign w:val="bottom"/>
            <w:tcBorders>
              <w:bottom w:val="single" w:sz="8" w:color="7C7C7C"/>
            </w:tcBorders>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Tami Reller</w:t>
            </w:r>
          </w:p>
        </w:tc>
        <w:tc>
          <w:tcPr>
            <w:tcW w:w="1660" w:type="dxa"/>
            <w:vAlign w:val="bottom"/>
          </w:tcPr>
          <w:p>
            <w:pPr>
              <w:jc w:val="center"/>
              <w:spacing w:after="0"/>
              <w:rPr>
                <w:sz w:val="20"/>
                <w:szCs w:val="20"/>
                <w:color w:val="auto"/>
              </w:rPr>
            </w:pPr>
            <w:r>
              <w:rPr>
                <w:rFonts w:ascii="Wingdings" w:cs="Wingdings" w:eastAsia="Wingdings" w:hAnsi="Wingdings"/>
                <w:sz w:val="20"/>
                <w:szCs w:val="20"/>
                <w:b w:val="1"/>
                <w:bCs w:val="1"/>
                <w:color w:val="6D6D6D"/>
                <w:w w:val="93"/>
              </w:rPr>
              <w:t>l</w:t>
            </w:r>
          </w:p>
        </w:tc>
        <w:tc>
          <w:tcPr>
            <w:tcW w:w="80" w:type="dxa"/>
            <w:vAlign w:val="bottom"/>
          </w:tcPr>
          <w:p>
            <w:pPr>
              <w:spacing w:after="0"/>
              <w:rPr>
                <w:sz w:val="19"/>
                <w:szCs w:val="19"/>
                <w:color w:val="auto"/>
              </w:rPr>
            </w:pPr>
          </w:p>
        </w:tc>
        <w:tc>
          <w:tcPr>
            <w:tcW w:w="1780" w:type="dxa"/>
            <w:vAlign w:val="bottom"/>
            <w:gridSpan w:val="2"/>
          </w:tcPr>
          <w:p>
            <w:pPr>
              <w:jc w:val="center"/>
              <w:ind w:right="8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140" w:type="dxa"/>
            <w:vAlign w:val="bottom"/>
            <w:tcBorders>
              <w:bottom w:val="single" w:sz="8" w:color="7C7C7C"/>
            </w:tcBorders>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808080"/>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10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Philip Soran</w:t>
            </w: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gridSpan w:val="2"/>
          </w:tcPr>
          <w:p>
            <w:pPr>
              <w:jc w:val="center"/>
              <w:ind w:right="8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Wingdings" w:cs="Wingdings" w:eastAsia="Wingdings" w:hAnsi="Wingdings"/>
                <w:sz w:val="20"/>
                <w:szCs w:val="20"/>
                <w:b w:val="1"/>
                <w:bCs w:val="1"/>
                <w:color w:val="00AAE5"/>
              </w:rPr>
              <w:t>u</w:t>
            </w:r>
          </w:p>
        </w:tc>
        <w:tc>
          <w:tcPr>
            <w:tcW w:w="0" w:type="dxa"/>
            <w:vAlign w:val="bottom"/>
          </w:tcPr>
          <w:p>
            <w:pPr>
              <w:spacing w:after="0"/>
              <w:rPr>
                <w:sz w:val="1"/>
                <w:szCs w:val="1"/>
                <w:color w:val="auto"/>
              </w:rPr>
            </w:pPr>
          </w:p>
        </w:tc>
      </w:tr>
      <w:tr>
        <w:trPr>
          <w:trHeight w:val="37"/>
        </w:trPr>
        <w:tc>
          <w:tcPr>
            <w:tcW w:w="4140" w:type="dxa"/>
            <w:vAlign w:val="bottom"/>
            <w:tcBorders>
              <w:bottom w:val="single" w:sz="8" w:color="7C7C7C"/>
            </w:tcBorders>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Anne Sempowski Ward</w:t>
            </w: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center"/>
              <w:ind w:right="80"/>
              <w:spacing w:after="0"/>
              <w:rPr>
                <w:sz w:val="20"/>
                <w:szCs w:val="20"/>
                <w:color w:val="auto"/>
              </w:rPr>
            </w:pPr>
            <w:r>
              <w:rPr>
                <w:rFonts w:ascii="Wingdings" w:cs="Wingdings" w:eastAsia="Wingdings" w:hAnsi="Wingdings"/>
                <w:sz w:val="20"/>
                <w:szCs w:val="20"/>
                <w:b w:val="1"/>
                <w:bCs w:val="1"/>
                <w:color w:val="00AAE5"/>
              </w:rPr>
              <w:t>u</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4140" w:type="dxa"/>
            <w:vAlign w:val="bottom"/>
            <w:tcBorders>
              <w:bottom w:val="single" w:sz="8" w:color="7C7C7C"/>
            </w:tcBorders>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10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80" w:type="dxa"/>
            <w:vAlign w:val="bottom"/>
            <w:tcBorders>
              <w:bottom w:val="single" w:sz="8" w:color="7C7C7C"/>
            </w:tcBorders>
          </w:tcPr>
          <w:p>
            <w:pPr>
              <w:spacing w:after="0"/>
              <w:rPr>
                <w:sz w:val="3"/>
                <w:szCs w:val="3"/>
                <w:color w:val="auto"/>
              </w:rPr>
            </w:pPr>
          </w:p>
        </w:tc>
        <w:tc>
          <w:tcPr>
            <w:tcW w:w="1680" w:type="dxa"/>
            <w:vAlign w:val="bottom"/>
            <w:tcBorders>
              <w:bottom w:val="single" w:sz="8" w:color="7C7C7C"/>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Sven Wehrwein</w:t>
            </w:r>
          </w:p>
        </w:tc>
        <w:tc>
          <w:tcPr>
            <w:tcW w:w="1660" w:type="dxa"/>
            <w:vAlign w:val="bottom"/>
          </w:tcPr>
          <w:p>
            <w:pPr>
              <w:jc w:val="center"/>
              <w:spacing w:after="0"/>
              <w:rPr>
                <w:sz w:val="20"/>
                <w:szCs w:val="20"/>
                <w:color w:val="auto"/>
              </w:rPr>
            </w:pPr>
            <w:r>
              <w:rPr>
                <w:rFonts w:ascii="Wingdings" w:cs="Wingdings" w:eastAsia="Wingdings" w:hAnsi="Wingdings"/>
                <w:sz w:val="20"/>
                <w:szCs w:val="20"/>
                <w:b w:val="1"/>
                <w:bCs w:val="1"/>
                <w:color w:val="6D6D6D"/>
                <w:w w:val="93"/>
              </w:rPr>
              <w:t>l</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Wingdings" w:cs="Wingdings" w:eastAsia="Wingdings" w:hAnsi="Wingdings"/>
                <w:sz w:val="20"/>
                <w:szCs w:val="20"/>
                <w:b w:val="1"/>
                <w:bCs w:val="1"/>
                <w:color w:val="6D6D6D"/>
                <w:w w:val="93"/>
              </w:rPr>
              <w:t>l</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1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1660" w:type="dxa"/>
            <w:vAlign w:val="bottom"/>
            <w:tcBorders>
              <w:bottom w:val="single" w:sz="8" w:color="7C7C7C"/>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68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6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68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280" w:type="dxa"/>
            <w:vAlign w:val="bottom"/>
            <w:gridSpan w:val="2"/>
          </w:tcPr>
          <w:p>
            <w:pPr>
              <w:ind w:left="20"/>
              <w:spacing w:after="0"/>
              <w:rPr>
                <w:sz w:val="20"/>
                <w:szCs w:val="20"/>
                <w:color w:val="auto"/>
              </w:rPr>
            </w:pPr>
            <w:r>
              <w:rPr>
                <w:rFonts w:ascii="Wingdings" w:cs="Wingdings" w:eastAsia="Wingdings" w:hAnsi="Wingdings"/>
                <w:sz w:val="14"/>
                <w:szCs w:val="14"/>
                <w:b w:val="1"/>
                <w:bCs w:val="1"/>
                <w:color w:val="00AAE5"/>
              </w:rPr>
              <w:t xml:space="preserve">u </w:t>
            </w:r>
            <w:r>
              <w:rPr>
                <w:rFonts w:ascii="Times New Roman" w:cs="Times New Roman" w:eastAsia="Times New Roman" w:hAnsi="Times New Roman"/>
                <w:sz w:val="14"/>
                <w:szCs w:val="14"/>
                <w:color w:val="000000"/>
              </w:rPr>
              <w:t>Chair</w:t>
            </w:r>
            <w:r>
              <w:rPr>
                <w:rFonts w:ascii="Wingdings" w:cs="Wingdings" w:eastAsia="Wingdings" w:hAnsi="Wingdings"/>
                <w:sz w:val="14"/>
                <w:szCs w:val="14"/>
                <w:b w:val="1"/>
                <w:bCs w:val="1"/>
                <w:color w:val="00AAE5"/>
              </w:rPr>
              <w:t xml:space="preserve">  </w:t>
            </w:r>
            <w:r>
              <w:rPr>
                <w:rFonts w:ascii="Wingdings" w:cs="Wingdings" w:eastAsia="Wingdings" w:hAnsi="Wingdings"/>
                <w:sz w:val="14"/>
                <w:szCs w:val="14"/>
                <w:b w:val="1"/>
                <w:bCs w:val="1"/>
                <w:color w:val="6D6D6D"/>
              </w:rPr>
              <w:t>l</w:t>
            </w:r>
            <w:r>
              <w:rPr>
                <w:rFonts w:ascii="Wingdings" w:cs="Wingdings" w:eastAsia="Wingdings" w:hAnsi="Wingdings"/>
                <w:sz w:val="14"/>
                <w:szCs w:val="14"/>
                <w:b w:val="1"/>
                <w:bCs w:val="1"/>
                <w:color w:val="00AAE5"/>
              </w:rPr>
              <w:t xml:space="preserve"> </w:t>
            </w:r>
            <w:r>
              <w:rPr>
                <w:rFonts w:ascii="Times New Roman" w:cs="Times New Roman" w:eastAsia="Times New Roman" w:hAnsi="Times New Roman"/>
                <w:sz w:val="14"/>
                <w:szCs w:val="14"/>
                <w:color w:val="000000"/>
              </w:rPr>
              <w:t>Member</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20" w:right="60" w:hanging="6"/>
        <w:spacing w:after="0" w:line="229" w:lineRule="auto"/>
        <w:tabs>
          <w:tab w:leader="none" w:pos="107"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Collins does not serve on a committee. Mr. Partin became the Chair of the Audit Committee effective as of April 1, 2026, and Mr. Wehrwein, the prior Chair of the Audit Committee, continues to serve on the Audit Committee as a member. For the reason that Mr. Wehrwein is not standing for re-election as a director at the 2026 Annual Meeting, he will no longer serve on any committees as of that date. In addition, effective as of the date of the 2026 Annual Meeting: Mr. Gaurav will also serve on the Compensation &amp; Talent Committee, and Ms. Reller will no longer serve on this Committee; and Ms. Reller will become Chair of the Governance &amp; Nominating Committee, and Ms. Ward will continue to serve on this Committee as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478790</wp:posOffset>
            </wp:positionV>
            <wp:extent cx="240030" cy="2317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21</w:t>
      </w:r>
      <w:r>
        <w:rPr>
          <w:sz w:val="20"/>
          <w:szCs w:val="20"/>
          <w:color w:val="auto"/>
        </w:rPr>
        <w:tab/>
      </w:r>
      <w:r>
        <w:rPr>
          <w:rFonts w:ascii="Times New Roman" w:cs="Times New Roman" w:eastAsia="Times New Roman" w:hAnsi="Times New Roman"/>
          <w:sz w:val="12"/>
          <w:szCs w:val="12"/>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6" w:name="page27"/>
    <w:bookmarkEnd w:id="2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responsibilities, current members, and number of meetings in 2025 of each Board committee are discussed in turn below.</w:t>
      </w:r>
    </w:p>
    <w:p>
      <w:pPr>
        <w:sectPr>
          <w:pgSz w:w="11900" w:h="16838" w:orient="portrait"/>
          <w:cols w:equalWidth="0" w:num="1">
            <w:col w:w="11220"/>
          </w:cols>
          <w:pgMar w:left="320" w:top="338" w:right="359" w:bottom="1440" w:gutter="0" w:footer="0" w:header="0"/>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AAE5"/>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637030" cy="13627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37030" cy="136271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Mark Partin</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Fumbi Chima</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Tami Reller</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FFFFFF"/>
        </w:rPr>
        <w:t>Sven Wehrwein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37030" cy="643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309" w:lineRule="exact"/>
        <w:rPr>
          <w:sz w:val="20"/>
          <w:szCs w:val="20"/>
          <w:color w:val="auto"/>
        </w:rPr>
      </w:pPr>
    </w:p>
    <w:p>
      <w:pPr>
        <w:ind w:left="20" w:right="100"/>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2025:</w:t>
      </w:r>
    </w:p>
    <w:p>
      <w:pPr>
        <w:ind w:left="240"/>
        <w:spacing w:after="0"/>
        <w:rPr>
          <w:sz w:val="20"/>
          <w:szCs w:val="20"/>
          <w:color w:val="auto"/>
        </w:rPr>
      </w:pPr>
      <w:r>
        <w:rPr>
          <w:rFonts w:ascii="Times New Roman" w:cs="Times New Roman" w:eastAsia="Times New Roman" w:hAnsi="Times New Roman"/>
          <w:sz w:val="18"/>
          <w:szCs w:val="18"/>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37030" cy="3086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37030" cy="308610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3823335</wp:posOffset>
            </wp:positionV>
            <wp:extent cx="240030" cy="2317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494655" cy="51092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94655" cy="5109210"/>
                    </a:xfrm>
                    <a:prstGeom prst="rect">
                      <a:avLst/>
                    </a:prstGeom>
                    <a:noFill/>
                  </pic:spPr>
                </pic:pic>
              </a:graphicData>
            </a:graphic>
          </wp:anchor>
        </w:drawing>
      </w:r>
    </w:p>
    <w:p>
      <w:pPr>
        <w:spacing w:after="0" w:line="43" w:lineRule="exact"/>
        <w:rPr>
          <w:sz w:val="20"/>
          <w:szCs w:val="20"/>
          <w:color w:val="auto"/>
        </w:rPr>
      </w:pPr>
    </w:p>
    <w:p>
      <w:pPr>
        <w:ind w:left="760" w:right="140" w:hanging="315"/>
        <w:spacing w:after="0" w:line="266" w:lineRule="auto"/>
        <w:tabs>
          <w:tab w:leader="none" w:pos="7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management’s processes for ensuring the quality and integrity of the Company’s financial statements through oversight of the accounting and financial reporting processes and audits of the financial statements;</w:t>
      </w:r>
    </w:p>
    <w:p>
      <w:pPr>
        <w:spacing w:after="0" w:line="67" w:lineRule="exact"/>
        <w:rPr>
          <w:rFonts w:ascii="Times New Roman" w:cs="Times New Roman" w:eastAsia="Times New Roman" w:hAnsi="Times New Roman"/>
          <w:sz w:val="18"/>
          <w:szCs w:val="18"/>
          <w:color w:val="auto"/>
        </w:rPr>
      </w:pPr>
    </w:p>
    <w:p>
      <w:pPr>
        <w:ind w:left="760" w:right="380" w:hanging="315"/>
        <w:spacing w:after="0" w:line="282" w:lineRule="auto"/>
        <w:tabs>
          <w:tab w:leader="none" w:pos="7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qualifications, performance and independence of our independent auditor and reviews and approves both auditing and non-audit services to be provided by the independent auditor;</w:t>
      </w:r>
    </w:p>
    <w:p>
      <w:pPr>
        <w:spacing w:after="0" w:line="53" w:lineRule="exact"/>
        <w:rPr>
          <w:rFonts w:ascii="Times New Roman" w:cs="Times New Roman" w:eastAsia="Times New Roman" w:hAnsi="Times New Roman"/>
          <w:sz w:val="18"/>
          <w:szCs w:val="18"/>
          <w:color w:val="auto"/>
        </w:rPr>
      </w:pPr>
    </w:p>
    <w:p>
      <w:pPr>
        <w:ind w:left="760" w:right="40" w:hanging="315"/>
        <w:spacing w:after="0" w:line="266" w:lineRule="auto"/>
        <w:tabs>
          <w:tab w:leader="none" w:pos="7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6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legal and regulatory compliance process;</w:t>
      </w:r>
    </w:p>
    <w:p>
      <w:pPr>
        <w:spacing w:after="0" w:line="11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management’s processes to monitor, control, and report on significant corporate risk exposures;</w:t>
      </w:r>
    </w:p>
    <w:p>
      <w:pPr>
        <w:spacing w:after="0" w:line="117" w:lineRule="exact"/>
        <w:rPr>
          <w:rFonts w:ascii="Times New Roman" w:cs="Times New Roman" w:eastAsia="Times New Roman" w:hAnsi="Times New Roman"/>
          <w:sz w:val="18"/>
          <w:szCs w:val="18"/>
          <w:color w:val="auto"/>
        </w:rPr>
      </w:pPr>
    </w:p>
    <w:p>
      <w:pPr>
        <w:jc w:val="both"/>
        <w:ind w:left="760" w:right="80" w:hanging="315"/>
        <w:spacing w:after="0" w:line="266" w:lineRule="auto"/>
        <w:tabs>
          <w:tab w:leader="none" w:pos="7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6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investment and cash management policies;</w:t>
      </w:r>
    </w:p>
    <w:p>
      <w:pPr>
        <w:spacing w:after="0" w:line="117" w:lineRule="exact"/>
        <w:rPr>
          <w:rFonts w:ascii="Times New Roman" w:cs="Times New Roman" w:eastAsia="Times New Roman" w:hAnsi="Times New Roman"/>
          <w:sz w:val="18"/>
          <w:szCs w:val="18"/>
          <w:color w:val="auto"/>
        </w:rPr>
      </w:pPr>
    </w:p>
    <w:p>
      <w:pPr>
        <w:ind w:left="760" w:hanging="315"/>
        <w:spacing w:after="0" w:line="261" w:lineRule="auto"/>
        <w:tabs>
          <w:tab w:leader="none" w:pos="7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reviews and discusses with management: the Company’s cybersecurity, information technology and data security risks and threats; the potential impact of those risks and threats on the Company’s business, operations and reputation; and management’s processes, procedures and actions to identify, assess, monitor, mitigate and remediate such risks and threats; and</w:t>
      </w:r>
    </w:p>
    <w:p>
      <w:pPr>
        <w:spacing w:after="0" w:line="71" w:lineRule="exact"/>
        <w:rPr>
          <w:rFonts w:ascii="Times New Roman" w:cs="Times New Roman" w:eastAsia="Times New Roman" w:hAnsi="Times New Roman"/>
          <w:sz w:val="18"/>
          <w:szCs w:val="18"/>
          <w:color w:val="auto"/>
        </w:rPr>
      </w:pPr>
    </w:p>
    <w:p>
      <w:pPr>
        <w:ind w:left="760" w:right="280" w:hanging="315"/>
        <w:spacing w:after="0" w:line="282" w:lineRule="auto"/>
        <w:tabs>
          <w:tab w:leader="none" w:pos="7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Audit Committee report required by the rules of the SEC to be included in our annual proxy statement.</w:t>
      </w:r>
    </w:p>
    <w:p>
      <w:pPr>
        <w:spacing w:after="0" w:line="5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of the members of our Audit Committee meets the requirements for financial literacy under the applicable rules and regulations of the SEC and Nasdaq. Our Board has determined that each of Mr. Partin, Ms. Chima, Ms. Reller, and Mr. Wehrwein is an Audit Committee financial expert, as defined under the applicable rules of the SEC. Each member of our Audit Committee satisfies the Nasdaq independence standards and the independence standards of Rule 10A-3(b)(1) of the Securities Exchange Act of 1934, as amended (the “Exchange Act”).</w:t>
      </w:r>
    </w:p>
    <w:p>
      <w:pPr>
        <w:spacing w:after="0" w:line="200" w:lineRule="exact"/>
        <w:rPr>
          <w:sz w:val="20"/>
          <w:szCs w:val="20"/>
          <w:color w:val="auto"/>
        </w:rPr>
      </w:pPr>
    </w:p>
    <w:p>
      <w:pPr>
        <w:sectPr>
          <w:pgSz w:w="11900" w:h="16838" w:orient="portrait"/>
          <w:cols w:equalWidth="0" w:num="2">
            <w:col w:w="2320" w:space="280"/>
            <w:col w:w="8620"/>
          </w:cols>
          <w:pgMar w:left="320" w:top="3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22  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27" w:name="page28"/>
    <w:bookmarkEnd w:id="27"/>
    <w:p>
      <w:pPr>
        <w:ind w:left="12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00AAE5"/>
        </w:rPr>
        <w:t>Compensation &amp;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32320" cy="25031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Marty Réaume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Tami Reller</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FFFFFF"/>
        </w:rPr>
        <w:t>Philip Soran</w:t>
      </w:r>
    </w:p>
    <w:p>
      <w:pPr>
        <w:spacing w:after="0" w:line="26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2025:</w:t>
      </w:r>
    </w:p>
    <w:p>
      <w:pPr>
        <w:ind w:left="220"/>
        <w:spacing w:after="0"/>
        <w:rPr>
          <w:sz w:val="20"/>
          <w:szCs w:val="20"/>
          <w:color w:val="auto"/>
        </w:rPr>
      </w:pPr>
      <w:r>
        <w:rPr>
          <w:rFonts w:ascii="Times New Roman" w:cs="Times New Roman" w:eastAsia="Times New Roman" w:hAnsi="Times New Roman"/>
          <w:sz w:val="18"/>
          <w:szCs w:val="18"/>
          <w:color w:val="FFFFFF"/>
        </w:rPr>
        <w:t>5</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our Compensation &amp; Talent Committee:</w:t>
      </w:r>
    </w:p>
    <w:p>
      <w:pPr>
        <w:spacing w:after="0" w:line="117" w:lineRule="exact"/>
        <w:rPr>
          <w:sz w:val="20"/>
          <w:szCs w:val="20"/>
          <w:color w:val="auto"/>
        </w:rPr>
      </w:pPr>
    </w:p>
    <w:p>
      <w:pPr>
        <w:ind w:left="760" w:right="700" w:hanging="321"/>
        <w:spacing w:after="0" w:line="282" w:lineRule="auto"/>
        <w:tabs>
          <w:tab w:leader="none" w:pos="7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on an annual basis, the goals and objectives relevant to our CEO’s and other executive officers’ compensation;</w:t>
      </w:r>
    </w:p>
    <w:p>
      <w:pPr>
        <w:spacing w:after="0" w:line="53" w:lineRule="exact"/>
        <w:rPr>
          <w:rFonts w:ascii="Times New Roman" w:cs="Times New Roman" w:eastAsia="Times New Roman" w:hAnsi="Times New Roman"/>
          <w:sz w:val="18"/>
          <w:szCs w:val="18"/>
          <w:color w:val="auto"/>
        </w:rPr>
      </w:pPr>
    </w:p>
    <w:p>
      <w:pPr>
        <w:ind w:left="760" w:right="480" w:hanging="321"/>
        <w:spacing w:after="0" w:line="289" w:lineRule="auto"/>
        <w:tabs>
          <w:tab w:leader="none" w:pos="75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assesses and approves our CEO’s and other executive officers’ annual compensation, including salary, bonus, incentive and equity-based compensation, based on a review of executive officer performance evaluations, a review of peer company compensation programs, and external consultations;</w:t>
      </w:r>
    </w:p>
    <w:p>
      <w:pPr>
        <w:spacing w:after="0" w:line="49" w:lineRule="exact"/>
        <w:rPr>
          <w:rFonts w:ascii="Times New Roman" w:cs="Times New Roman" w:eastAsia="Times New Roman" w:hAnsi="Times New Roman"/>
          <w:sz w:val="17"/>
          <w:szCs w:val="17"/>
          <w:color w:val="auto"/>
        </w:rPr>
      </w:pPr>
    </w:p>
    <w:p>
      <w:pPr>
        <w:ind w:left="760" w:hanging="321"/>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equity compensation plans;</w:t>
      </w:r>
    </w:p>
    <w:p>
      <w:pPr>
        <w:spacing w:after="0" w:line="117" w:lineRule="exact"/>
        <w:rPr>
          <w:rFonts w:ascii="Times New Roman" w:cs="Times New Roman" w:eastAsia="Times New Roman" w:hAnsi="Times New Roman"/>
          <w:sz w:val="18"/>
          <w:szCs w:val="18"/>
          <w:color w:val="auto"/>
        </w:rPr>
      </w:pPr>
    </w:p>
    <w:p>
      <w:pPr>
        <w:ind w:left="760" w:hanging="321"/>
        <w:spacing w:after="0" w:line="282" w:lineRule="auto"/>
        <w:tabs>
          <w:tab w:leader="none" w:pos="7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compensation paid to our non-employee directors and recommends any adjustments in director compensation to our Board;</w:t>
      </w:r>
    </w:p>
    <w:p>
      <w:pPr>
        <w:spacing w:after="0" w:line="53"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and administers our incentive compensation recovery policies; and</w:t>
      </w:r>
    </w:p>
    <w:p>
      <w:pPr>
        <w:spacing w:after="0" w:line="117" w:lineRule="exact"/>
        <w:rPr>
          <w:rFonts w:ascii="Times New Roman" w:cs="Times New Roman" w:eastAsia="Times New Roman" w:hAnsi="Times New Roman"/>
          <w:sz w:val="18"/>
          <w:szCs w:val="18"/>
          <w:color w:val="auto"/>
        </w:rPr>
      </w:pPr>
    </w:p>
    <w:p>
      <w:pPr>
        <w:ind w:left="760" w:right="240" w:hanging="321"/>
        <w:spacing w:after="0" w:line="266" w:lineRule="auto"/>
        <w:tabs>
          <w:tab w:leader="none" w:pos="7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provides guidance to management with respect to our human capital management policies, programs and strategies, including but not limited to those regarding talent recruitment, development and retention, health and safety, organizational culture, belonging, and compensation and benefits.</w:t>
      </w:r>
    </w:p>
    <w:p>
      <w:pPr>
        <w:spacing w:after="0" w:line="200" w:lineRule="exact"/>
        <w:rPr>
          <w:sz w:val="20"/>
          <w:szCs w:val="20"/>
          <w:color w:val="auto"/>
        </w:rPr>
      </w:pPr>
    </w:p>
    <w:p>
      <w:pPr>
        <w:sectPr>
          <w:pgSz w:w="11900" w:h="16838" w:orient="portrait"/>
          <w:cols w:equalWidth="0" w:num="2">
            <w:col w:w="2200" w:space="400"/>
            <w:col w:w="8580"/>
          </w:cols>
          <w:pgMar w:left="340" w:top="338" w:right="37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8"/>
          <w:szCs w:val="28"/>
          <w:b w:val="1"/>
          <w:bCs w:val="1"/>
          <w:color w:val="00AAE5"/>
        </w:rPr>
        <w:t>Governance &amp;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1645920" cy="1937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45920" cy="1937385"/>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Anne Sempowski 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Marty Réaume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Sven Wehrwein</w:t>
      </w:r>
    </w:p>
    <w:p>
      <w:pPr>
        <w:spacing w:after="0" w:line="26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2025:</w:t>
      </w:r>
    </w:p>
    <w:p>
      <w:pPr>
        <w:ind w:left="220"/>
        <w:spacing w:after="0"/>
        <w:rPr>
          <w:sz w:val="20"/>
          <w:szCs w:val="20"/>
          <w:color w:val="auto"/>
        </w:rPr>
      </w:pPr>
      <w:r>
        <w:rPr>
          <w:rFonts w:ascii="Times New Roman" w:cs="Times New Roman" w:eastAsia="Times New Roman" w:hAnsi="Times New Roman"/>
          <w:sz w:val="18"/>
          <w:szCs w:val="18"/>
          <w:color w:val="FFFFFF"/>
        </w:rPr>
        <w:t>7</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our Governance &amp; Nominating Committee:</w:t>
      </w:r>
    </w:p>
    <w:p>
      <w:pPr>
        <w:spacing w:after="0" w:line="117" w:lineRule="exact"/>
        <w:rPr>
          <w:sz w:val="20"/>
          <w:szCs w:val="20"/>
          <w:color w:val="auto"/>
        </w:rPr>
      </w:pPr>
    </w:p>
    <w:p>
      <w:pPr>
        <w:ind w:left="760" w:hanging="321"/>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recommends individuals qualified to become members of the Board;</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Board and its committees;</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evaluation of our Board and individual directors;</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any modifications to our Corporate Governance Guidelines; and</w:t>
      </w:r>
    </w:p>
    <w:p>
      <w:pPr>
        <w:spacing w:after="0" w:line="117" w:lineRule="exact"/>
        <w:rPr>
          <w:rFonts w:ascii="Times New Roman" w:cs="Times New Roman" w:eastAsia="Times New Roman" w:hAnsi="Times New Roman"/>
          <w:sz w:val="18"/>
          <w:szCs w:val="18"/>
          <w:color w:val="auto"/>
        </w:rPr>
      </w:pPr>
    </w:p>
    <w:p>
      <w:pPr>
        <w:ind w:left="760" w:right="40" w:hanging="321"/>
        <w:spacing w:after="0" w:line="261" w:lineRule="auto"/>
        <w:tabs>
          <w:tab w:leader="none" w:pos="7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oversight of, and periodically discusses with management, the Company’s objectives, policies, and efforts related to environmental, social and governance (“ESG”) matters and other corporate responsibility matters, including with respect to sustainability, environmental, corporate citizenship, social, governance, political, and public policy matters.</w:t>
      </w:r>
    </w:p>
    <w:p>
      <w:pPr>
        <w:spacing w:after="0" w:line="200" w:lineRule="exact"/>
        <w:rPr>
          <w:sz w:val="20"/>
          <w:szCs w:val="20"/>
          <w:color w:val="auto"/>
        </w:rPr>
      </w:pPr>
    </w:p>
    <w:p>
      <w:pPr>
        <w:sectPr>
          <w:pgSz w:w="11900" w:h="16838" w:orient="portrait"/>
          <w:cols w:equalWidth="0" w:num="2">
            <w:col w:w="2200" w:space="400"/>
            <w:col w:w="8580"/>
          </w:cols>
          <w:pgMar w:left="340" w:top="338" w:right="37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8"/>
          <w:szCs w:val="28"/>
          <w:b w:val="1"/>
          <w:bCs w:val="1"/>
          <w:color w:val="00AAE5"/>
        </w:rPr>
        <w:t>Finance &amp; 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15175" cy="1568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5175" cy="1568450"/>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Chair:</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Philip Soran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Members:</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FFFFFF"/>
        </w:rPr>
        <w:t>Razat Gaurav</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Michael McConnell</w:t>
      </w:r>
    </w:p>
    <w:p>
      <w:pPr>
        <w:spacing w:after="0" w:line="2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FFFFFF"/>
        </w:rPr>
        <w:t>Number of Meetings Held in 2025:</w:t>
      </w:r>
    </w:p>
    <w:p>
      <w:pPr>
        <w:ind w:left="220"/>
        <w:spacing w:after="0"/>
        <w:rPr>
          <w:sz w:val="20"/>
          <w:szCs w:val="20"/>
          <w:color w:val="auto"/>
        </w:rPr>
      </w:pPr>
      <w:r>
        <w:rPr>
          <w:rFonts w:ascii="Times New Roman" w:cs="Times New Roman" w:eastAsia="Times New Roman" w:hAnsi="Times New Roman"/>
          <w:sz w:val="18"/>
          <w:szCs w:val="18"/>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557530</wp:posOffset>
            </wp:positionV>
            <wp:extent cx="240030" cy="2317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Among other matters, our Finance &amp; Strategy Committee assists the Board in matters involving certain finance and strategic matters, including:</w:t>
      </w:r>
    </w:p>
    <w:p>
      <w:pPr>
        <w:spacing w:after="0" w:line="108" w:lineRule="exact"/>
        <w:rPr>
          <w:sz w:val="20"/>
          <w:szCs w:val="20"/>
          <w:color w:val="auto"/>
        </w:rPr>
      </w:pPr>
    </w:p>
    <w:p>
      <w:pPr>
        <w:ind w:left="760" w:hanging="321"/>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policies regarding capital structure and leverage levels;</w:t>
      </w:r>
    </w:p>
    <w:p>
      <w:pPr>
        <w:spacing w:after="0" w:line="171"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dividend and share repurchase policies and practices; and</w:t>
      </w:r>
    </w:p>
    <w:p>
      <w:pPr>
        <w:spacing w:after="0" w:line="171" w:lineRule="exact"/>
        <w:rPr>
          <w:rFonts w:ascii="Times New Roman" w:cs="Times New Roman" w:eastAsia="Times New Roman" w:hAnsi="Times New Roman"/>
          <w:sz w:val="18"/>
          <w:szCs w:val="18"/>
          <w:color w:val="auto"/>
        </w:rPr>
      </w:pPr>
    </w:p>
    <w:p>
      <w:pPr>
        <w:ind w:left="760" w:right="480" w:hanging="321"/>
        <w:spacing w:after="0" w:line="282" w:lineRule="auto"/>
        <w:tabs>
          <w:tab w:leader="none" w:pos="7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merger, acquisition, disposition, distribution, recapitalization, financing and other similar transactions.</w:t>
      </w:r>
    </w:p>
    <w:p>
      <w:pPr>
        <w:spacing w:after="0" w:line="609" w:lineRule="exact"/>
        <w:rPr>
          <w:sz w:val="20"/>
          <w:szCs w:val="20"/>
          <w:color w:val="auto"/>
        </w:rPr>
      </w:pPr>
    </w:p>
    <w:p>
      <w:pPr>
        <w:sectPr>
          <w:pgSz w:w="11900" w:h="16838" w:orient="portrait"/>
          <w:cols w:equalWidth="0" w:num="2">
            <w:col w:w="2200" w:space="400"/>
            <w:col w:w="8580"/>
          </w:cols>
          <w:pgMar w:left="340" w:top="3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23  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8" w:right="379" w:bottom="1440" w:gutter="0" w:footer="0" w:header="0"/>
          <w:type w:val="continuous"/>
        </w:sectPr>
      </w:pPr>
    </w:p>
    <w:bookmarkStart w:id="28" w:name="page29"/>
    <w:bookmarkEnd w:id="2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Meetings and Attendance</w:t>
      </w:r>
    </w:p>
    <w:p>
      <w:pPr>
        <w:spacing w:after="0" w:line="131" w:lineRule="exact"/>
        <w:rPr>
          <w:sz w:val="20"/>
          <w:szCs w:val="20"/>
          <w:color w:val="auto"/>
        </w:rPr>
      </w:pPr>
    </w:p>
    <w:p>
      <w:pPr>
        <w:ind w:right="340" w:firstLine="648"/>
        <w:spacing w:after="0" w:line="272" w:lineRule="auto"/>
        <w:rPr>
          <w:sz w:val="20"/>
          <w:szCs w:val="20"/>
          <w:color w:val="auto"/>
        </w:rPr>
      </w:pPr>
      <w:r>
        <w:rPr>
          <w:rFonts w:ascii="Times New Roman" w:cs="Times New Roman" w:eastAsia="Times New Roman" w:hAnsi="Times New Roman"/>
          <w:sz w:val="17"/>
          <w:szCs w:val="17"/>
          <w:color w:val="auto"/>
        </w:rPr>
        <w:t>Our Board held seven meetings during 2025. Each of our incumbent directors attended at least 75% of the meetings of the Board and the committees on which they served during 2025. Our Corporate Governance Guidelines provide that our directors are expected to make every reasonable effort to attend our annual meeting of stockholders, and each of our incumbent director nominees attended our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Involvement in Risk Oversight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Responsibility of Management</w:t>
            </w: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management is responsible for identifying the various risks facing us, formulating risk management policies</w:t>
            </w:r>
          </w:p>
        </w:tc>
        <w:tc>
          <w:tcPr>
            <w:tcW w:w="0" w:type="dxa"/>
            <w:vAlign w:val="bottom"/>
          </w:tcPr>
          <w:p>
            <w:pPr>
              <w:spacing w:after="0"/>
              <w:rPr>
                <w:sz w:val="1"/>
                <w:szCs w:val="1"/>
                <w:color w:val="auto"/>
              </w:rPr>
            </w:pPr>
          </w:p>
        </w:tc>
      </w:tr>
      <w:tr>
        <w:trPr>
          <w:trHeight w:val="126"/>
        </w:trPr>
        <w:tc>
          <w:tcPr>
            <w:tcW w:w="2800" w:type="dxa"/>
            <w:vAlign w:val="bottom"/>
            <w:vMerge w:val="continue"/>
            <w:shd w:val="clear" w:color="auto" w:fill="D9F2FB"/>
          </w:tcPr>
          <w:p>
            <w:pPr>
              <w:spacing w:after="0"/>
              <w:rPr>
                <w:sz w:val="10"/>
                <w:szCs w:val="10"/>
                <w:color w:val="auto"/>
              </w:rPr>
            </w:pPr>
          </w:p>
        </w:tc>
        <w:tc>
          <w:tcPr>
            <w:tcW w:w="8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and procedures, and managing our risk exposures on a day-to-day basis.</w:t>
            </w:r>
          </w:p>
        </w:tc>
        <w:tc>
          <w:tcPr>
            <w:tcW w:w="0" w:type="dxa"/>
            <w:vAlign w:val="bottom"/>
          </w:tcPr>
          <w:p>
            <w:pPr>
              <w:spacing w:after="0"/>
              <w:rPr>
                <w:sz w:val="1"/>
                <w:szCs w:val="1"/>
                <w:color w:val="auto"/>
              </w:rPr>
            </w:pPr>
          </w:p>
        </w:tc>
      </w:tr>
      <w:tr>
        <w:trPr>
          <w:trHeight w:val="169"/>
        </w:trPr>
        <w:tc>
          <w:tcPr>
            <w:tcW w:w="2800" w:type="dxa"/>
            <w:vAlign w:val="bottom"/>
            <w:tcBorders>
              <w:bottom w:val="single" w:sz="8" w:color="D9F2FB"/>
            </w:tcBorders>
            <w:shd w:val="clear" w:color="auto" w:fill="D9F2FB"/>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00" w:type="dxa"/>
            <w:vAlign w:val="bottom"/>
            <w:tcBorders>
              <w:top w:val="single" w:sz="8" w:color="0079A5"/>
            </w:tcBorders>
          </w:tcPr>
          <w:p>
            <w:pPr>
              <w:spacing w:after="0"/>
              <w:rPr>
                <w:sz w:val="4"/>
                <w:szCs w:val="4"/>
                <w:color w:val="auto"/>
              </w:rPr>
            </w:pPr>
          </w:p>
        </w:tc>
        <w:tc>
          <w:tcPr>
            <w:tcW w:w="8440" w:type="dxa"/>
            <w:vAlign w:val="bottom"/>
            <w:tcBorders>
              <w:top w:val="single" w:sz="8" w:color="0079A5"/>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Board is responsible for monitoring our risk management processes by informing itself concerning our</w:t>
            </w:r>
          </w:p>
        </w:tc>
        <w:tc>
          <w:tcPr>
            <w:tcW w:w="0" w:type="dxa"/>
            <w:vAlign w:val="bottom"/>
          </w:tcPr>
          <w:p>
            <w:pPr>
              <w:spacing w:after="0"/>
              <w:rPr>
                <w:sz w:val="1"/>
                <w:szCs w:val="1"/>
                <w:color w:val="auto"/>
              </w:rPr>
            </w:pPr>
          </w:p>
        </w:tc>
      </w:tr>
      <w:tr>
        <w:trPr>
          <w:trHeight w:val="225"/>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rPr>
              <w:t>Responsibility of the Board</w:t>
            </w:r>
          </w:p>
        </w:tc>
        <w:tc>
          <w:tcPr>
            <w:tcW w:w="8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vMerge w:val="continue"/>
            <w:shd w:val="clear" w:color="auto" w:fill="D9F2FB"/>
          </w:tcPr>
          <w:p>
            <w:pPr>
              <w:spacing w:after="0"/>
              <w:rPr>
                <w:sz w:val="18"/>
                <w:szCs w:val="18"/>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risks and evaluating whether management has reasonable controls in place to address the material risks;</w:t>
            </w:r>
          </w:p>
        </w:tc>
        <w:tc>
          <w:tcPr>
            <w:tcW w:w="0" w:type="dxa"/>
            <w:vAlign w:val="bottom"/>
          </w:tcPr>
          <w:p>
            <w:pPr>
              <w:spacing w:after="0"/>
              <w:rPr>
                <w:sz w:val="1"/>
                <w:szCs w:val="1"/>
                <w:color w:val="auto"/>
              </w:rPr>
            </w:pPr>
          </w:p>
        </w:tc>
      </w:tr>
      <w:tr>
        <w:trPr>
          <w:trHeight w:val="295"/>
        </w:trPr>
        <w:tc>
          <w:tcPr>
            <w:tcW w:w="2800" w:type="dxa"/>
            <w:vAlign w:val="bottom"/>
            <w:tcBorders>
              <w:bottom w:val="single" w:sz="8" w:color="D9F2FB"/>
            </w:tcBorders>
            <w:shd w:val="clear" w:color="auto" w:fill="D9F2FB"/>
          </w:tcPr>
          <w:p>
            <w:pPr>
              <w:spacing w:after="0"/>
              <w:rPr>
                <w:sz w:val="24"/>
                <w:szCs w:val="24"/>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Board is not responsible, however, for identifying or managing our various risks.</w:t>
            </w:r>
          </w:p>
        </w:tc>
        <w:tc>
          <w:tcPr>
            <w:tcW w:w="0" w:type="dxa"/>
            <w:vAlign w:val="bottom"/>
          </w:tcPr>
          <w:p>
            <w:pPr>
              <w:spacing w:after="0"/>
              <w:rPr>
                <w:sz w:val="1"/>
                <w:szCs w:val="1"/>
                <w:color w:val="auto"/>
              </w:rPr>
            </w:pPr>
          </w:p>
        </w:tc>
      </w:tr>
      <w:tr>
        <w:trPr>
          <w:trHeight w:val="54"/>
        </w:trPr>
        <w:tc>
          <w:tcPr>
            <w:tcW w:w="2800" w:type="dxa"/>
            <w:vAlign w:val="bottom"/>
            <w:tcBorders>
              <w:top w:val="single" w:sz="8" w:color="0079A5"/>
            </w:tcBorders>
          </w:tcPr>
          <w:p>
            <w:pPr>
              <w:spacing w:after="0"/>
              <w:rPr>
                <w:sz w:val="4"/>
                <w:szCs w:val="4"/>
                <w:color w:val="auto"/>
              </w:rPr>
            </w:pPr>
          </w:p>
        </w:tc>
        <w:tc>
          <w:tcPr>
            <w:tcW w:w="8440" w:type="dxa"/>
            <w:vAlign w:val="bottom"/>
            <w:tcBorders>
              <w:top w:val="single" w:sz="8" w:color="0079A5"/>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Audit Committee is primarily responsible for providing oversight in the areas of financial risk, legal and</w:t>
            </w:r>
          </w:p>
        </w:tc>
        <w:tc>
          <w:tcPr>
            <w:tcW w:w="0" w:type="dxa"/>
            <w:vAlign w:val="bottom"/>
          </w:tcPr>
          <w:p>
            <w:pPr>
              <w:spacing w:after="0"/>
              <w:rPr>
                <w:sz w:val="1"/>
                <w:szCs w:val="1"/>
                <w:color w:val="auto"/>
              </w:rPr>
            </w:pPr>
          </w:p>
        </w:tc>
      </w:tr>
      <w:tr>
        <w:trPr>
          <w:trHeight w:val="225"/>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rPr>
              <w:t>Responsibility of the Audit</w:t>
            </w:r>
          </w:p>
        </w:tc>
        <w:tc>
          <w:tcPr>
            <w:tcW w:w="8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800" w:type="dxa"/>
            <w:vAlign w:val="bottom"/>
            <w:vMerge w:val="continue"/>
            <w:shd w:val="clear" w:color="auto" w:fill="D9F2FB"/>
          </w:tcPr>
          <w:p>
            <w:pPr>
              <w:spacing w:after="0"/>
              <w:rPr>
                <w:sz w:val="9"/>
                <w:szCs w:val="9"/>
                <w:color w:val="auto"/>
              </w:rPr>
            </w:pPr>
          </w:p>
        </w:tc>
        <w:tc>
          <w:tcPr>
            <w:tcW w:w="8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regulatory compliance, and cybersecurity risk. The Board, with assistance from the Audit Committee, is primarily</w:t>
            </w:r>
          </w:p>
        </w:tc>
        <w:tc>
          <w:tcPr>
            <w:tcW w:w="0" w:type="dxa"/>
            <w:vAlign w:val="bottom"/>
          </w:tcPr>
          <w:p>
            <w:pPr>
              <w:spacing w:after="0"/>
              <w:rPr>
                <w:sz w:val="1"/>
                <w:szCs w:val="1"/>
                <w:color w:val="auto"/>
              </w:rPr>
            </w:pPr>
          </w:p>
        </w:tc>
      </w:tr>
      <w:tr>
        <w:trPr>
          <w:trHeight w:val="112"/>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8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00" w:type="dxa"/>
            <w:vAlign w:val="bottom"/>
            <w:vMerge w:val="continue"/>
            <w:shd w:val="clear" w:color="auto" w:fill="D9F2FB"/>
          </w:tcPr>
          <w:p>
            <w:pPr>
              <w:spacing w:after="0"/>
              <w:rPr>
                <w:sz w:val="10"/>
                <w:szCs w:val="10"/>
                <w:color w:val="auto"/>
              </w:rPr>
            </w:pPr>
          </w:p>
        </w:tc>
        <w:tc>
          <w:tcPr>
            <w:tcW w:w="8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responsible for monitoring management’s responsibility in all other areas of risk management for the Company.</w:t>
            </w:r>
          </w:p>
        </w:tc>
        <w:tc>
          <w:tcPr>
            <w:tcW w:w="0" w:type="dxa"/>
            <w:vAlign w:val="bottom"/>
          </w:tcPr>
          <w:p>
            <w:pPr>
              <w:spacing w:after="0"/>
              <w:rPr>
                <w:sz w:val="1"/>
                <w:szCs w:val="1"/>
                <w:color w:val="auto"/>
              </w:rPr>
            </w:pPr>
          </w:p>
        </w:tc>
      </w:tr>
      <w:tr>
        <w:trPr>
          <w:trHeight w:val="169"/>
        </w:trPr>
        <w:tc>
          <w:tcPr>
            <w:tcW w:w="2800" w:type="dxa"/>
            <w:vAlign w:val="bottom"/>
            <w:tcBorders>
              <w:bottom w:val="single" w:sz="8" w:color="D9F2FB"/>
            </w:tcBorders>
            <w:shd w:val="clear" w:color="auto" w:fill="D9F2FB"/>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00" w:type="dxa"/>
            <w:vAlign w:val="bottom"/>
            <w:tcBorders>
              <w:top w:val="single" w:sz="8" w:color="0079A5"/>
            </w:tcBorders>
          </w:tcPr>
          <w:p>
            <w:pPr>
              <w:spacing w:after="0"/>
              <w:rPr>
                <w:sz w:val="4"/>
                <w:szCs w:val="4"/>
                <w:color w:val="auto"/>
              </w:rPr>
            </w:pPr>
          </w:p>
        </w:tc>
        <w:tc>
          <w:tcPr>
            <w:tcW w:w="8440" w:type="dxa"/>
            <w:vAlign w:val="bottom"/>
            <w:tcBorders>
              <w:top w:val="single" w:sz="8" w:color="0079A5"/>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Compensation &amp; Talent Committee is charged with overseeing risks associated with our variable</w:t>
            </w:r>
          </w:p>
        </w:tc>
        <w:tc>
          <w:tcPr>
            <w:tcW w:w="0" w:type="dxa"/>
            <w:vAlign w:val="bottom"/>
          </w:tcPr>
          <w:p>
            <w:pPr>
              <w:spacing w:after="0"/>
              <w:rPr>
                <w:sz w:val="1"/>
                <w:szCs w:val="1"/>
                <w:color w:val="auto"/>
              </w:rPr>
            </w:pPr>
          </w:p>
        </w:tc>
      </w:tr>
      <w:tr>
        <w:trPr>
          <w:trHeight w:val="297"/>
        </w:trPr>
        <w:tc>
          <w:tcPr>
            <w:tcW w:w="2800" w:type="dxa"/>
            <w:vAlign w:val="bottom"/>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Responsibility of the Compensation</w:t>
            </w:r>
          </w:p>
        </w:tc>
        <w:tc>
          <w:tcPr>
            <w:tcW w:w="8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00" w:type="dxa"/>
            <w:vAlign w:val="bottom"/>
            <w:vMerge w:val="restart"/>
            <w:shd w:val="clear" w:color="auto" w:fill="D9F2F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&amp; Talent Committee</w:t>
            </w:r>
          </w:p>
        </w:tc>
        <w:tc>
          <w:tcPr>
            <w:tcW w:w="8440" w:type="dxa"/>
            <w:vAlign w:val="bottom"/>
          </w:tcPr>
          <w:p>
            <w:pPr>
              <w:ind w:left="120"/>
              <w:spacing w:after="0" w:line="144" w:lineRule="exact"/>
              <w:rPr>
                <w:sz w:val="20"/>
                <w:szCs w:val="20"/>
                <w:color w:val="auto"/>
              </w:rPr>
            </w:pPr>
            <w:r>
              <w:rPr>
                <w:rFonts w:ascii="Times New Roman" w:cs="Times New Roman" w:eastAsia="Times New Roman" w:hAnsi="Times New Roman"/>
                <w:sz w:val="16"/>
                <w:szCs w:val="16"/>
                <w:color w:val="auto"/>
              </w:rPr>
              <w:t>compensation policies and practices and annually reviews whether risks arising from our compensation policies</w:t>
            </w:r>
          </w:p>
        </w:tc>
        <w:tc>
          <w:tcPr>
            <w:tcW w:w="0" w:type="dxa"/>
            <w:vAlign w:val="bottom"/>
          </w:tcPr>
          <w:p>
            <w:pPr>
              <w:spacing w:after="0"/>
              <w:rPr>
                <w:sz w:val="1"/>
                <w:szCs w:val="1"/>
                <w:color w:val="auto"/>
              </w:rPr>
            </w:pPr>
          </w:p>
        </w:tc>
      </w:tr>
      <w:tr>
        <w:trPr>
          <w:trHeight w:val="126"/>
        </w:trPr>
        <w:tc>
          <w:tcPr>
            <w:tcW w:w="2800" w:type="dxa"/>
            <w:vAlign w:val="bottom"/>
            <w:vMerge w:val="continue"/>
            <w:shd w:val="clear" w:color="auto" w:fill="D9F2FB"/>
          </w:tcPr>
          <w:p>
            <w:pPr>
              <w:spacing w:after="0"/>
              <w:rPr>
                <w:sz w:val="10"/>
                <w:szCs w:val="10"/>
                <w:color w:val="auto"/>
              </w:rPr>
            </w:pPr>
          </w:p>
        </w:tc>
        <w:tc>
          <w:tcPr>
            <w:tcW w:w="8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and practices for our employees are reasonably likely to have a material adverse effect on SPS.</w:t>
            </w:r>
          </w:p>
        </w:tc>
        <w:tc>
          <w:tcPr>
            <w:tcW w:w="0" w:type="dxa"/>
            <w:vAlign w:val="bottom"/>
          </w:tcPr>
          <w:p>
            <w:pPr>
              <w:spacing w:after="0"/>
              <w:rPr>
                <w:sz w:val="1"/>
                <w:szCs w:val="1"/>
                <w:color w:val="auto"/>
              </w:rPr>
            </w:pPr>
          </w:p>
        </w:tc>
      </w:tr>
      <w:tr>
        <w:trPr>
          <w:trHeight w:val="115"/>
        </w:trPr>
        <w:tc>
          <w:tcPr>
            <w:tcW w:w="2800" w:type="dxa"/>
            <w:vAlign w:val="bottom"/>
            <w:tcBorders>
              <w:bottom w:val="single" w:sz="8" w:color="D9F2FB"/>
            </w:tcBorders>
            <w:shd w:val="clear" w:color="auto" w:fill="D9F2FB"/>
          </w:tcPr>
          <w:p>
            <w:pPr>
              <w:spacing w:after="0"/>
              <w:rPr>
                <w:sz w:val="10"/>
                <w:szCs w:val="10"/>
                <w:color w:val="auto"/>
              </w:rPr>
            </w:pPr>
          </w:p>
        </w:tc>
        <w:tc>
          <w:tcPr>
            <w:tcW w:w="8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00" w:type="dxa"/>
            <w:vAlign w:val="bottom"/>
            <w:shd w:val="clear" w:color="auto" w:fill="0079A5"/>
          </w:tcPr>
          <w:p>
            <w:pPr>
              <w:spacing w:after="0"/>
              <w:rPr>
                <w:sz w:val="4"/>
                <w:szCs w:val="4"/>
                <w:color w:val="auto"/>
              </w:rPr>
            </w:pPr>
          </w:p>
        </w:tc>
        <w:tc>
          <w:tcPr>
            <w:tcW w:w="8440" w:type="dxa"/>
            <w:vAlign w:val="bottom"/>
            <w:shd w:val="clear" w:color="auto" w:fill="0079A5"/>
          </w:tcPr>
          <w:p>
            <w:pPr>
              <w:spacing w:after="0"/>
              <w:rPr>
                <w:sz w:val="4"/>
                <w:szCs w:val="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and the full Board focus on the material risks facing us, including financial, operational, market, geographic, liquidity, legal and regulatory, and cybersecurity, information technology and data security risks, to assess whether management has reasonable controls in place to address these risks. Accordingly, management regularly reported to the Audit Committee and the Board on the risks described above and related risk management during 2025. The Board believes this division of responsibilities provides an effective and efficient approach for addressing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Succession Planning</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reviews and maintains succession plans for the CEO and other, critical senior management positions based on input from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Procedures for Contacting the Company, including the Board</w:t>
      </w:r>
    </w:p>
    <w:p>
      <w:pPr>
        <w:spacing w:after="0" w:line="16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Throughout this Proxy Statement, we identify reasons stockholders may need or wish to contact the Company. All of those communications should be directed to the title of the person indicated at the address below.</w:t>
      </w:r>
    </w:p>
    <w:p>
      <w:pPr>
        <w:spacing w:after="0" w:line="10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Stockholders who wish to communicate with the Board may do so by writing to the Board or a particular director in care of the Secretary of the Company. Communications should be delivered to the address below, with attention to “Corporate Secretary”.</w:t>
      </w:r>
    </w:p>
    <w:p>
      <w:pPr>
        <w:ind w:left="4880"/>
        <w:spacing w:after="0"/>
        <w:rPr>
          <w:sz w:val="20"/>
          <w:szCs w:val="20"/>
          <w:color w:val="auto"/>
        </w:rPr>
      </w:pPr>
      <w:r>
        <w:rPr>
          <w:rFonts w:ascii="Times New Roman" w:cs="Times New Roman" w:eastAsia="Times New Roman" w:hAnsi="Times New Roman"/>
          <w:sz w:val="18"/>
          <w:szCs w:val="18"/>
          <w:color w:val="auto"/>
        </w:rPr>
        <w:t>SPS Commerce,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333 South Seventh Street, Suite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477520</wp:posOffset>
            </wp:positionV>
            <wp:extent cx="240030" cy="2311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24</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9" w:name="page30"/>
    <w:bookmarkEnd w:id="2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17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All communications addressed to the Board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will respond to communications if and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Director Independence</w:t>
      </w:r>
    </w:p>
    <w:p>
      <w:pPr>
        <w:spacing w:after="0" w:line="11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required under Nasdaq rules and regulations, a majority of the members of a listed company’s board of directors must qualify as “independent,” as affirmatively determined by the board. The Board consults with our counsel to ensure that the Board’s determinations are consistent with all relevant securities and other laws and regulations regarding the definition of “independent,” including those set forth in pertinent listing standards of Nasdaq, as in effect from time to time. Among other things, Nasdaq rules require the Board to determine that an individual is free of any relationship that would interfere with the exercise of independent judgment in carrying out the responsibilities of a director.</w:t>
      </w:r>
    </w:p>
    <w:p>
      <w:pPr>
        <w:spacing w:after="0" w:line="1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our Board has undertaken a review of the independence of each current director and each director who served during 2025. Based on information provided by the directors concerning their background, employment, and affiliations, and after reviewing transactions or relationships deemed relevant by the Board, the Board has affirmatively determined that all such directors are independent directors within the meaning of the applicable Nasdaq listing standards, except for Mr. Collins, our CEO.</w:t>
      </w:r>
    </w:p>
    <w:p>
      <w:pPr>
        <w:spacing w:after="0" w:line="126" w:lineRule="exact"/>
        <w:rPr>
          <w:sz w:val="20"/>
          <w:szCs w:val="20"/>
          <w:color w:val="auto"/>
        </w:rPr>
      </w:pPr>
    </w:p>
    <w:p>
      <w:pPr>
        <w:ind w:right="460" w:firstLine="648"/>
        <w:spacing w:after="0" w:line="289" w:lineRule="auto"/>
        <w:rPr>
          <w:sz w:val="20"/>
          <w:szCs w:val="20"/>
          <w:color w:val="auto"/>
        </w:rPr>
      </w:pPr>
      <w:r>
        <w:rPr>
          <w:rFonts w:ascii="Times New Roman" w:cs="Times New Roman" w:eastAsia="Times New Roman" w:hAnsi="Times New Roman"/>
          <w:sz w:val="17"/>
          <w:szCs w:val="17"/>
          <w:color w:val="auto"/>
        </w:rPr>
        <w:t>As required under Nasdaq rules and regulations, our independent directors meet in regularly scheduled executive sessions at which only independent directors are present. All members of each of the Audit Committee, Compensation &amp; Talent Committee, and Governance &amp; Nominating Committee have been determined by the Board to be independent within the meaning of Nasdaq rules and regulations and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Procedures for Selecting and Nominating Director Candidates</w:t>
      </w:r>
    </w:p>
    <w:p>
      <w:pPr>
        <w:spacing w:after="0" w:line="1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Stockholders may directly nominate a person for election to our Board by complying with the procedures set forth in Article II, Section 2.4(a)(2) of our bylaws, and with the rules and regulations of the SEC. Under our bylaws, only persons nominated in accordance with the procedures set forth in the bylaws will be eligible to serve as directors. In order to nominate an individual for service as a director, you must be a stockholder of record at the time you give notice of your nomination, and you must be entitled to vote for the election of directors at the annual meeting of stockholders at which your nominee will be considered.</w:t>
      </w:r>
    </w:p>
    <w:p>
      <w:pPr>
        <w:spacing w:after="0" w:line="17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our bylaws, director nominations generally must be made pursuant to notice delivered to, or mailed to and received by, our Secretary at the principal executive offices at the address above and in accordance with the deadlines summarized below in the section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 for the 2027 Annual Meeting of Stockholders</w:t>
      </w:r>
      <w:r>
        <w:rPr>
          <w:rFonts w:ascii="Times New Roman" w:cs="Times New Roman" w:eastAsia="Times New Roman" w:hAnsi="Times New Roman"/>
          <w:sz w:val="18"/>
          <w:szCs w:val="18"/>
          <w:color w:val="auto"/>
        </w:rPr>
        <w:t>.” Your notice must set forth all information relating to the nominee that is required to be disclosed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solicitations of proxies for the election of directors in an election contest, or is otherwise required, in each case pursuant to Regulation 14A under the Exchange Act (including the nominee’s written consent to being named in the proxy statement as a nominee and to serving as a director if elected). Your notice also must set forth certain information as set forth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464820</wp:posOffset>
            </wp:positionV>
            <wp:extent cx="240030" cy="2317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25</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30" w:name="page31"/>
    <w:bookmarkEnd w:id="30"/>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stockholder who intends to solicit proxies in support of director nominees other than the Company’s director nominees and who has delivered a notice of nomination pursuant to our bylaws shall promptly certify to the Company, and notify the Company in writing, that it has complied with or will comply with the requirements of Rule 14a-19 under the Exchange Act, and upon request of the Company, shall, not later than five business days prior to the date of the applicable meeting of stockholders, deliver to the Company reasonable evidence of such compliance.</w:t>
      </w:r>
    </w:p>
    <w:p>
      <w:pPr>
        <w:spacing w:after="0" w:line="12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satisfying the foregoing requirements, in order to comply with the universal proxy rules, a stockholder who intends to solicit proxies in support of director nominees for election at the 2027 annual meeting of stockholders, other than the Company’s nominees, must provide notice that sets forth the information required by Rule 14a-19 under the Exchange Act no later than March 29, 2027. If the date of the 2027 annual meeting of stockholders is more than 30 days before or after the first anniversary of the 2026 Annual Meeting, then such notice must be provided by the later of 60 days prior to the date of such meeting or the tenth day following the day on which public announcement of the date of such meeting is first made.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related to director nominations must also comply with the requirements of applicable law and the provisions set forth in our bylaws.</w:t>
      </w:r>
    </w:p>
    <w:p>
      <w:pPr>
        <w:spacing w:after="0" w:line="17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a stockholder desires to recommend a candidate for consideration by the Governance &amp; Nominating Committee, instead of nominating that director for election by stockholders, the Governance &amp; Nominating Committee will consider such director candidates recommended to it by stockholders in the same manner that it considers all director candidates. Stockholders who wish to suggest qualified candidates should write to the Company at the address listed above, to the Chair of the Governance &amp; Nominating Committee, in care of the Corporate Secretary, stating in detail the characteristics that make the candidate a suitable person to serve on our Board in light of our Corporate Governance Guidelines.</w:t>
      </w:r>
    </w:p>
    <w:p>
      <w:pPr>
        <w:spacing w:after="0" w:line="1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required by our Corporate Governance Guidelines, when evaluating the appropriate characteristics of candidates for service as a director, the Governance &amp; Nominating Committee takes into account many factors. The Board selects and recommends qualified individuals to stockholders who, if added to the Board, would provide the appropriate mix of director characteristics and diverse experiences, perspectives, and skills.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at the particular point in time. We do not have a policy with respect to Board diversity, however, the Board seeks to have a Board that represents diversity as to gender, race, ethnicity, and background experiences. We are committed to inclusiveness and as such, when searching for director nominees, the Governance &amp; Nominating Committee endeavors to include highly qualified diverse candidates in the pool from which nominees are chosen. Directors must be willing and able to devote sufficient time to carrying out their duties and responsibilities effectively and should be committed to serving on the Board for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623570</wp:posOffset>
            </wp:positionV>
            <wp:extent cx="240030" cy="2317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26</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31" w:name="page32"/>
    <w:bookmarkEnd w:id="31"/>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Diversity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14, 2026, the diversity of our Board was as follows: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38" w:lineRule="exact"/>
        <w:rPr>
          <w:sz w:val="20"/>
          <w:szCs w:val="20"/>
          <w:color w:val="auto"/>
        </w:rPr>
      </w:pPr>
    </w:p>
    <w:tbl>
      <w:tblPr>
        <w:tblLayout w:type="fixed"/>
        <w:tblInd w:w="1340" w:type="dxa"/>
        <w:tblCellMar>
          <w:top w:w="0" w:type="dxa"/>
          <w:left w:w="0" w:type="dxa"/>
          <w:bottom w:w="0" w:type="dxa"/>
          <w:right w:w="0" w:type="dxa"/>
        </w:tblCellMar>
      </w:tblPr>
      <w:tr>
        <w:trPr>
          <w:trHeight w:val="264"/>
        </w:trPr>
        <w:tc>
          <w:tcPr>
            <w:tcW w:w="6020" w:type="dxa"/>
            <w:vAlign w:val="bottom"/>
            <w:tcBorders>
              <w:top w:val="single" w:sz="8" w:color="auto"/>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020" w:type="dxa"/>
            <w:vAlign w:val="bottom"/>
            <w:tcBorders>
              <w:top w:val="single" w:sz="8" w:color="auto"/>
              <w:bottom w:val="single" w:sz="8" w:color="DBDBDB"/>
            </w:tcBorders>
            <w:shd w:val="clear" w:color="auto" w:fill="DBDBDB"/>
          </w:tcPr>
          <w:p>
            <w:pPr>
              <w:spacing w:after="0"/>
              <w:rPr>
                <w:sz w:val="22"/>
                <w:szCs w:val="22"/>
                <w:color w:val="auto"/>
              </w:rPr>
            </w:pPr>
          </w:p>
        </w:tc>
        <w:tc>
          <w:tcPr>
            <w:tcW w:w="1540" w:type="dxa"/>
            <w:vAlign w:val="bottom"/>
            <w:tcBorders>
              <w:top w:val="single" w:sz="8" w:color="auto"/>
              <w:bottom w:val="single" w:sz="8" w:color="DBDBDB"/>
            </w:tcBorders>
            <w:gridSpan w:val="3"/>
            <w:shd w:val="clear" w:color="auto" w:fill="DBDBDB"/>
          </w:tcPr>
          <w:p>
            <w:pPr>
              <w:jc w:val="right"/>
              <w:ind w:right="1110"/>
              <w:spacing w:after="0"/>
              <w:rPr>
                <w:sz w:val="20"/>
                <w:szCs w:val="20"/>
                <w:color w:val="auto"/>
              </w:rPr>
            </w:pPr>
            <w:r>
              <w:rPr>
                <w:rFonts w:ascii="Times New Roman" w:cs="Times New Roman" w:eastAsia="Times New Roman" w:hAnsi="Times New Roman"/>
                <w:sz w:val="18"/>
                <w:szCs w:val="18"/>
                <w:color w:val="auto"/>
              </w:rPr>
              <w:t>10</w:t>
            </w:r>
          </w:p>
        </w:tc>
      </w:tr>
      <w:tr>
        <w:trPr>
          <w:trHeight w:val="47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0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7"/>
        </w:trPr>
        <w:tc>
          <w:tcPr>
            <w:tcW w:w="6020" w:type="dxa"/>
            <w:vAlign w:val="bottom"/>
            <w:tcBorders>
              <w:bottom w:val="single" w:sz="8" w:color="DBDBDB"/>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Directors</w:t>
            </w:r>
          </w:p>
        </w:tc>
        <w:tc>
          <w:tcPr>
            <w:tcW w:w="1020" w:type="dxa"/>
            <w:vAlign w:val="bottom"/>
            <w:tcBorders>
              <w:bottom w:val="single" w:sz="8" w:color="DBDBDB"/>
            </w:tcBorders>
            <w:shd w:val="clear" w:color="auto" w:fill="DBDBDB"/>
          </w:tcPr>
          <w:p>
            <w:pPr>
              <w:jc w:val="center"/>
              <w:ind w:left="90"/>
              <w:spacing w:after="0"/>
              <w:rPr>
                <w:sz w:val="20"/>
                <w:szCs w:val="20"/>
                <w:color w:val="auto"/>
              </w:rPr>
            </w:pPr>
            <w:r>
              <w:rPr>
                <w:rFonts w:ascii="Times New Roman" w:cs="Times New Roman" w:eastAsia="Times New Roman" w:hAnsi="Times New Roman"/>
                <w:sz w:val="18"/>
                <w:szCs w:val="18"/>
                <w:color w:val="auto"/>
                <w:w w:val="88"/>
              </w:rPr>
              <w:t>4</w:t>
            </w:r>
          </w:p>
        </w:tc>
        <w:tc>
          <w:tcPr>
            <w:tcW w:w="1540" w:type="dxa"/>
            <w:vAlign w:val="bottom"/>
            <w:tcBorders>
              <w:bottom w:val="single" w:sz="8" w:color="DBDBDB"/>
            </w:tcBorders>
            <w:gridSpan w:val="3"/>
            <w:shd w:val="clear" w:color="auto" w:fill="DBDBDB"/>
          </w:tcPr>
          <w:p>
            <w:pPr>
              <w:jc w:val="center"/>
              <w:ind w:left="210"/>
              <w:spacing w:after="0"/>
              <w:rPr>
                <w:sz w:val="20"/>
                <w:szCs w:val="20"/>
                <w:color w:val="auto"/>
              </w:rPr>
            </w:pPr>
            <w:r>
              <w:rPr>
                <w:rFonts w:ascii="Times New Roman" w:cs="Times New Roman" w:eastAsia="Times New Roman" w:hAnsi="Times New Roman"/>
                <w:sz w:val="18"/>
                <w:szCs w:val="18"/>
                <w:color w:val="auto"/>
                <w:w w:val="88"/>
              </w:rPr>
              <w:t>6</w:t>
            </w:r>
          </w:p>
        </w:tc>
      </w:tr>
      <w:tr>
        <w:trPr>
          <w:trHeight w:val="47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2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20" w:type="dxa"/>
            <w:vAlign w:val="bottom"/>
            <w:tcBorders>
              <w:bottom w:val="single" w:sz="8" w:color="DBDBDB"/>
            </w:tcBorders>
            <w:shd w:val="clear" w:color="auto" w:fill="DBDBDB"/>
          </w:tcPr>
          <w:p>
            <w:pPr>
              <w:jc w:val="center"/>
              <w:ind w:left="9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White</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88"/>
              </w:rPr>
              <w:t>5</w:t>
            </w:r>
          </w:p>
        </w:tc>
      </w:tr>
      <w:tr>
        <w:trPr>
          <w:trHeight w:val="27"/>
        </w:trPr>
        <w:tc>
          <w:tcPr>
            <w:tcW w:w="6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02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1020" w:type="dxa"/>
            <w:vAlign w:val="bottom"/>
            <w:shd w:val="clear" w:color="auto" w:fill="DBDBDB"/>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3"/>
            <w:shd w:val="clear" w:color="auto" w:fill="DBDBDB"/>
          </w:tcPr>
          <w:p>
            <w:pPr>
              <w:jc w:val="center"/>
              <w:ind w:left="210"/>
              <w:spacing w:after="0"/>
              <w:rPr>
                <w:sz w:val="20"/>
                <w:szCs w:val="20"/>
                <w:color w:val="auto"/>
              </w:rPr>
            </w:pPr>
            <w:r>
              <w:rPr>
                <w:rFonts w:ascii="Times New Roman" w:cs="Times New Roman" w:eastAsia="Times New Roman" w:hAnsi="Times New Roman"/>
                <w:sz w:val="18"/>
                <w:szCs w:val="18"/>
                <w:color w:val="auto"/>
                <w:w w:val="88"/>
              </w:rPr>
              <w:t>1</w:t>
            </w:r>
          </w:p>
        </w:tc>
      </w:tr>
      <w:tr>
        <w:trPr>
          <w:trHeight w:val="27"/>
        </w:trPr>
        <w:tc>
          <w:tcPr>
            <w:tcW w:w="602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Director Compensation</w:t>
      </w:r>
    </w:p>
    <w:p>
      <w:pPr>
        <w:spacing w:after="0" w:line="15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director compensation program is designed to compensate our non-employee directors fairly for work required for a company of our size and scope and to align their interests with the long-term interests of our stockholders. Director compensation reflects our desire to attract, retain, and use the expertise of highly qualified individuals serving on our Board. The Compensation &amp; Talent Committee reviews the compensation structure and overall level of compensation arrangements for our non-employee directors every two years relative to the midpoint for non-employee directors of our peer group, as discussed in the Compensation Discussion &amp; Analysis section below, and makes recommendations to our Board.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Changes for 2025 to Non-Employee Director Compensation</w:t>
      </w:r>
    </w:p>
    <w:p>
      <w:pPr>
        <w:spacing w:after="0" w:line="27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During 2024, the Compensation &amp; Talent Committee conducted its regular review of our non-employee director compensation program in consultation with its third-party compensation consultant, Compensia, Inc. (“Compensia”), which provided compensation data and analyses. Based on its review, the Compensation &amp; Talent Committee recommended to the Board that certain changes be made to our non-employee director compensation program in order to better align non-employee director compensation with market practices. Effective beginning on the date of the 2025 annual meeting of stockholders, the Board approved changes to the non-employee director compensation program as described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Equity Awards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Effective May 13, 2025, our director compensation program provided that each non-employee director received a total annual equity grant of $200,000, compared to $182,500 in 2024. The Board approved eliminating the stock option component of the annual equity grant, and as a result the equity-based compensation was in the form of RSUs, DSUs, or a combination thereof, at the director’s election. The awards were granted on the date of the 2025 annual meeting of stockholders, calculated as the grant date fair value of the equity awards computed in accordance with Financial Accounting Standards Board Accounting Standards Codification Topic 718, Stock Compensation (“ASC Topic 718”). The RSUs and DSUs vest in four equal installments on the last day of each fiscal quarter, provided the recipient remains a member of the Board as of each of the vesting dates, with the first vesting date having occurred on June 30, 2025 and the final vesting date having occurred on March 31, 2026. Vested DSUs must be retained until completion of the director’s service on the Board, and upon completion of such service, convert into an equal number of shares of our common stock. A director may defer receipt of the shares for up to ten years after completion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465455</wp:posOffset>
            </wp:positionV>
            <wp:extent cx="240030" cy="2317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27</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32" w:name="page33"/>
    <w:bookmarkEnd w:id="32"/>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INFORMATION REGARDING THE BOARD OF DIRECTORS AND CORPORATE GOVERNANCE</w:t>
      </w:r>
    </w:p>
    <w:p>
      <w:pPr>
        <w:sectPr>
          <w:pgSz w:w="11900" w:h="16838" w:orient="portrait"/>
          <w:cols w:equalWidth="0" w:num="1">
            <w:col w:w="11160"/>
          </w:cols>
          <w:pgMar w:left="320" w:top="33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Additionally in connection with their initial appointment to the Board, effective May 13, 2025, each new non-employee director receives RSUs in the amount of $200,000 (as compared in 2024 to a stock option grant to purchase $182,500 of shares of our common stock), granted following the release of earnings for the quarter in which appointment occurs. The RSUs vest in equal monthly installments over three years commencing on the first day of the calendar month following the initial appointment or election to the Board, provided the recipient remains a member of the Board as of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758825</wp:posOffset>
            </wp:positionV>
            <wp:extent cx="240030" cy="2317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28</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type w:val="continuous"/>
        </w:sectPr>
      </w:pPr>
    </w:p>
    <w:bookmarkStart w:id="33" w:name="page34"/>
    <w:bookmarkEnd w:id="3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Cash Compensation</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receive cash fees in addition to the equity awards described above. For 2025, each non-employee director was eligible to receive the following cash retainers for roles served: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Chairperson</w:t>
            </w:r>
          </w:p>
        </w:tc>
        <w:tc>
          <w:tcPr>
            <w:tcW w:w="54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Non-Chair Member Annual</w:t>
            </w:r>
          </w:p>
        </w:tc>
        <w:tc>
          <w:tcPr>
            <w:tcW w:w="0" w:type="dxa"/>
            <w:vAlign w:val="bottom"/>
          </w:tcPr>
          <w:p>
            <w:pPr>
              <w:spacing w:after="0"/>
              <w:rPr>
                <w:sz w:val="1"/>
                <w:szCs w:val="1"/>
                <w:color w:val="auto"/>
              </w:rPr>
            </w:pPr>
          </w:p>
        </w:tc>
      </w:tr>
      <w:tr>
        <w:trPr>
          <w:trHeight w:val="146"/>
        </w:trPr>
        <w:tc>
          <w:tcPr>
            <w:tcW w:w="6560" w:type="dxa"/>
            <w:vAlign w:val="bottom"/>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Membership</w:t>
            </w:r>
          </w:p>
        </w:tc>
        <w:tc>
          <w:tcPr>
            <w:tcW w:w="80" w:type="dxa"/>
            <w:vAlign w:val="bottom"/>
            <w:vMerge w:val="restart"/>
          </w:tcPr>
          <w:p>
            <w:pPr>
              <w:spacing w:after="0"/>
              <w:rPr>
                <w:sz w:val="12"/>
                <w:szCs w:val="12"/>
                <w:color w:val="auto"/>
              </w:rPr>
            </w:pP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Annual Cash Fee</w:t>
            </w:r>
          </w:p>
        </w:tc>
        <w:tc>
          <w:tcPr>
            <w:tcW w:w="54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Cash Fee</w:t>
            </w:r>
          </w:p>
        </w:tc>
        <w:tc>
          <w:tcPr>
            <w:tcW w:w="0" w:type="dxa"/>
            <w:vAlign w:val="bottom"/>
          </w:tcPr>
          <w:p>
            <w:pPr>
              <w:spacing w:after="0"/>
              <w:rPr>
                <w:sz w:val="1"/>
                <w:szCs w:val="1"/>
                <w:color w:val="auto"/>
              </w:rPr>
            </w:pPr>
          </w:p>
        </w:tc>
      </w:tr>
      <w:tr>
        <w:trPr>
          <w:trHeight w:val="202"/>
        </w:trPr>
        <w:tc>
          <w:tcPr>
            <w:tcW w:w="6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vMerge w:val="continue"/>
          </w:tcPr>
          <w:p>
            <w:pPr>
              <w:spacing w:after="0"/>
              <w:rPr>
                <w:sz w:val="17"/>
                <w:szCs w:val="17"/>
                <w:color w:val="auto"/>
              </w:rPr>
            </w:pPr>
          </w:p>
        </w:tc>
        <w:tc>
          <w:tcPr>
            <w:tcW w:w="18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540" w:type="dxa"/>
            <w:vAlign w:val="bottom"/>
            <w:tcBorders>
              <w:bottom w:val="single" w:sz="8" w:color="DBDBDB"/>
            </w:tcBorders>
          </w:tcPr>
          <w:p>
            <w:pPr>
              <w:spacing w:after="0"/>
              <w:rPr>
                <w:sz w:val="17"/>
                <w:szCs w:val="17"/>
                <w:color w:val="auto"/>
              </w:rPr>
            </w:pPr>
          </w:p>
        </w:tc>
        <w:tc>
          <w:tcPr>
            <w:tcW w:w="20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4"/>
        </w:trPr>
        <w:tc>
          <w:tcPr>
            <w:tcW w:w="66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880" w:type="dxa"/>
            <w:vAlign w:val="bottom"/>
            <w:tcBorders>
              <w:bottom w:val="single" w:sz="8" w:color="DBDBDB"/>
            </w:tcBorders>
            <w:shd w:val="clear" w:color="auto" w:fill="DBDBDB"/>
          </w:tcPr>
          <w:p>
            <w:pPr>
              <w:jc w:val="right"/>
              <w:ind w:right="1"/>
              <w:spacing w:after="0"/>
              <w:rPr>
                <w:sz w:val="20"/>
                <w:szCs w:val="20"/>
                <w:color w:val="auto"/>
              </w:rPr>
            </w:pPr>
            <w:r>
              <w:rPr>
                <w:rFonts w:ascii="Times New Roman" w:cs="Times New Roman" w:eastAsia="Times New Roman" w:hAnsi="Times New Roman"/>
                <w:sz w:val="18"/>
                <w:szCs w:val="18"/>
                <w:color w:val="auto"/>
              </w:rPr>
              <w:t>85,000</w:t>
            </w:r>
          </w:p>
        </w:tc>
        <w:tc>
          <w:tcPr>
            <w:tcW w:w="540" w:type="dxa"/>
            <w:vAlign w:val="bottom"/>
            <w:tcBorders>
              <w:bottom w:val="single" w:sz="8" w:color="DBDBDB"/>
            </w:tcBorders>
            <w:shd w:val="clear" w:color="auto" w:fill="DBDBDB"/>
          </w:tcPr>
          <w:p>
            <w:pPr>
              <w:jc w:val="right"/>
              <w:ind w:right="346"/>
              <w:spacing w:after="0"/>
              <w:rPr>
                <w:sz w:val="20"/>
                <w:szCs w:val="20"/>
                <w:color w:val="auto"/>
              </w:rPr>
            </w:pPr>
            <w:r>
              <w:rPr>
                <w:rFonts w:ascii="Times New Roman" w:cs="Times New Roman" w:eastAsia="Times New Roman" w:hAnsi="Times New Roman"/>
                <w:sz w:val="11"/>
                <w:szCs w:val="11"/>
                <w:color w:val="auto"/>
                <w:w w:val="93"/>
              </w:rPr>
              <w:t>(2)</w:t>
            </w:r>
          </w:p>
        </w:tc>
        <w:tc>
          <w:tcPr>
            <w:tcW w:w="2040" w:type="dxa"/>
            <w:vAlign w:val="bottom"/>
            <w:tcBorders>
              <w:bottom w:val="single" w:sz="8" w:color="DBDBDB"/>
            </w:tcBorders>
            <w:shd w:val="clear" w:color="auto" w:fill="DBDBDB"/>
          </w:tcPr>
          <w:p>
            <w:pPr>
              <w:jc w:val="right"/>
              <w:ind w:right="1"/>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20,000</w:t>
            </w:r>
          </w:p>
        </w:tc>
        <w:tc>
          <w:tcPr>
            <w:tcW w:w="540" w:type="dxa"/>
            <w:vAlign w:val="bottom"/>
          </w:tcPr>
          <w:p>
            <w:pPr>
              <w:spacing w:after="0"/>
              <w:rPr>
                <w:sz w:val="21"/>
                <w:szCs w:val="21"/>
                <w:color w:val="auto"/>
              </w:rPr>
            </w:pPr>
          </w:p>
        </w:tc>
        <w:tc>
          <w:tcPr>
            <w:tcW w:w="2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Compensation &amp; Talent Committee</w:t>
            </w:r>
          </w:p>
        </w:tc>
        <w:tc>
          <w:tcPr>
            <w:tcW w:w="1880" w:type="dxa"/>
            <w:vAlign w:val="bottom"/>
            <w:tcBorders>
              <w:bottom w:val="single" w:sz="8" w:color="DBDBDB"/>
            </w:tcBorders>
            <w:shd w:val="clear" w:color="auto" w:fill="DBDBDB"/>
          </w:tcPr>
          <w:p>
            <w:pPr>
              <w:jc w:val="right"/>
              <w:ind w:right="1"/>
              <w:spacing w:after="0"/>
              <w:rPr>
                <w:sz w:val="20"/>
                <w:szCs w:val="20"/>
                <w:color w:val="auto"/>
              </w:rPr>
            </w:pPr>
            <w:r>
              <w:rPr>
                <w:rFonts w:ascii="Times New Roman" w:cs="Times New Roman" w:eastAsia="Times New Roman" w:hAnsi="Times New Roman"/>
                <w:sz w:val="18"/>
                <w:szCs w:val="18"/>
                <w:color w:val="auto"/>
              </w:rPr>
              <w:t>15,000</w:t>
            </w:r>
          </w:p>
        </w:tc>
        <w:tc>
          <w:tcPr>
            <w:tcW w:w="540" w:type="dxa"/>
            <w:vAlign w:val="bottom"/>
            <w:tcBorders>
              <w:bottom w:val="single" w:sz="8" w:color="DBDBDB"/>
            </w:tcBorders>
            <w:shd w:val="clear" w:color="auto" w:fill="DBDBDB"/>
          </w:tcPr>
          <w:p>
            <w:pPr>
              <w:spacing w:after="0"/>
              <w:rPr>
                <w:sz w:val="21"/>
                <w:szCs w:val="21"/>
                <w:color w:val="auto"/>
              </w:rPr>
            </w:pPr>
          </w:p>
        </w:tc>
        <w:tc>
          <w:tcPr>
            <w:tcW w:w="2040" w:type="dxa"/>
            <w:vAlign w:val="bottom"/>
            <w:tcBorders>
              <w:bottom w:val="single" w:sz="8" w:color="DBDBDB"/>
            </w:tcBorders>
            <w:shd w:val="clear" w:color="auto" w:fill="DBDBDB"/>
          </w:tcPr>
          <w:p>
            <w:pPr>
              <w:jc w:val="right"/>
              <w:ind w:right="1"/>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&amp; Strategy Committee</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tcPr>
          <w:p>
            <w:pPr>
              <w:spacing w:after="0"/>
              <w:rPr>
                <w:sz w:val="21"/>
                <w:szCs w:val="21"/>
                <w:color w:val="auto"/>
              </w:rPr>
            </w:pPr>
          </w:p>
        </w:tc>
        <w:tc>
          <w:tcPr>
            <w:tcW w:w="2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Governance &amp; Nominating Committee</w:t>
            </w:r>
          </w:p>
        </w:tc>
        <w:tc>
          <w:tcPr>
            <w:tcW w:w="1880" w:type="dxa"/>
            <w:vAlign w:val="bottom"/>
            <w:shd w:val="clear" w:color="auto" w:fill="DBDBDB"/>
          </w:tcPr>
          <w:p>
            <w:pPr>
              <w:jc w:val="right"/>
              <w:ind w:right="1"/>
              <w:spacing w:after="0"/>
              <w:rPr>
                <w:sz w:val="20"/>
                <w:szCs w:val="20"/>
                <w:color w:val="auto"/>
              </w:rPr>
            </w:pPr>
            <w:r>
              <w:rPr>
                <w:rFonts w:ascii="Times New Roman" w:cs="Times New Roman" w:eastAsia="Times New Roman" w:hAnsi="Times New Roman"/>
                <w:sz w:val="18"/>
                <w:szCs w:val="18"/>
                <w:color w:val="auto"/>
              </w:rPr>
              <w:t>8,500</w:t>
            </w:r>
          </w:p>
        </w:tc>
        <w:tc>
          <w:tcPr>
            <w:tcW w:w="540" w:type="dxa"/>
            <w:vAlign w:val="bottom"/>
            <w:shd w:val="clear" w:color="auto" w:fill="DBDBDB"/>
          </w:tcPr>
          <w:p>
            <w:pPr>
              <w:spacing w:after="0"/>
              <w:rPr>
                <w:sz w:val="21"/>
                <w:szCs w:val="21"/>
                <w:color w:val="auto"/>
              </w:rPr>
            </w:pPr>
          </w:p>
        </w:tc>
        <w:tc>
          <w:tcPr>
            <w:tcW w:w="2040" w:type="dxa"/>
            <w:vAlign w:val="bottom"/>
            <w:shd w:val="clear" w:color="auto" w:fill="DBDBDB"/>
          </w:tcPr>
          <w:p>
            <w:pPr>
              <w:jc w:val="right"/>
              <w:ind w:right="1"/>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7"/>
        </w:trPr>
        <w:tc>
          <w:tcPr>
            <w:tcW w:w="65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88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20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receive pro-rata cash compensation for partial year membership or service as chairperson.</w:t>
      </w:r>
    </w:p>
    <w:p>
      <w:pPr>
        <w:spacing w:after="0" w:line="27" w:lineRule="exact"/>
        <w:rPr>
          <w:rFonts w:ascii="Times New Roman" w:cs="Times New Roman" w:eastAsia="Times New Roman" w:hAnsi="Times New Roman"/>
          <w:sz w:val="18"/>
          <w:szCs w:val="18"/>
          <w:color w:val="auto"/>
        </w:rPr>
      </w:pPr>
    </w:p>
    <w:p>
      <w:pPr>
        <w:ind w:left="980" w:right="60" w:hanging="324"/>
        <w:spacing w:after="0" w:line="260" w:lineRule="auto"/>
        <w:tabs>
          <w:tab w:leader="none" w:pos="9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paid to the non-executive Chair of the Board or the Lead Independent Director, as applicable. Mr. Soran served as Chair of the Board for the entirety of 2025. Ms. Ward will serve as our Chair of the Board beginning on the date of the 2026 Annual Meeting.</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reflects increases to cash retainers approved by the Board effective May 13, 2025 to the Board Chair annual retainer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$61,000), the Governance &amp; Nominating Committee Chairperson annual retainer (from $8,000), and the Compensation &amp; Talent Committee non-chair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 annual retainer (from $7,000). We also reimburse our non-employee directors for out-of-pocket expenses incurred in connection with attending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and committee meetings.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AAE5"/>
        </w:rPr>
        <w:t>2025 Director Compensation Table</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compensation paid to our non-employee directors during 2025.</w:t>
      </w:r>
    </w:p>
    <w:tbl>
      <w:tblPr>
        <w:tblLayout w:type="fixed"/>
        <w:tblInd w:w="0" w:type="dxa"/>
        <w:tblCellMar>
          <w:top w:w="0" w:type="dxa"/>
          <w:left w:w="0" w:type="dxa"/>
          <w:bottom w:w="0" w:type="dxa"/>
          <w:right w:w="0" w:type="dxa"/>
        </w:tblCellMar>
      </w:tblPr>
      <w:tr>
        <w:trPr>
          <w:trHeight w:val="158"/>
        </w:trPr>
        <w:tc>
          <w:tcPr>
            <w:tcW w:w="454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Fees Earned or Paid</w:t>
            </w:r>
          </w:p>
        </w:tc>
        <w:tc>
          <w:tcPr>
            <w:tcW w:w="100" w:type="dxa"/>
            <w:vAlign w:val="bottom"/>
          </w:tcPr>
          <w:p>
            <w:pPr>
              <w:spacing w:after="0"/>
              <w:rPr>
                <w:sz w:val="13"/>
                <w:szCs w:val="13"/>
                <w:color w:val="auto"/>
              </w:rPr>
            </w:pPr>
          </w:p>
        </w:tc>
        <w:tc>
          <w:tcPr>
            <w:tcW w:w="16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3"/>
                <w:szCs w:val="13"/>
                <w:color w:val="auto"/>
              </w:rPr>
            </w:pPr>
          </w:p>
        </w:tc>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Pr>
          <w:p>
            <w:pPr>
              <w:spacing w:after="0"/>
              <w:rPr>
                <w:sz w:val="13"/>
                <w:szCs w:val="13"/>
                <w:color w:val="auto"/>
              </w:rPr>
            </w:pPr>
          </w:p>
        </w:tc>
        <w:tc>
          <w:tcPr>
            <w:tcW w:w="160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54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color w:val="auto"/>
                <w:vertAlign w:val="superscript"/>
              </w:rPr>
              <w:t>(2)</w:t>
            </w:r>
          </w:p>
        </w:tc>
        <w:tc>
          <w:tcPr>
            <w:tcW w:w="1700" w:type="dxa"/>
            <w:vAlign w:val="bottom"/>
            <w:gridSpan w:val="2"/>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color w:val="auto"/>
                <w:vertAlign w:val="superscript"/>
              </w:rPr>
              <w:t>(2)</w:t>
            </w:r>
          </w:p>
        </w:tc>
        <w:tc>
          <w:tcPr>
            <w:tcW w:w="1700" w:type="dxa"/>
            <w:vAlign w:val="bottom"/>
            <w:gridSpan w:val="2"/>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4540" w:type="dxa"/>
            <w:vAlign w:val="bottom"/>
            <w:tcBorders>
              <w:top w:val="single" w:sz="8" w:color="DBDBDB"/>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Razat Gaurav</w:t>
            </w:r>
          </w:p>
        </w:tc>
        <w:tc>
          <w:tcPr>
            <w:tcW w:w="15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100" w:type="dxa"/>
            <w:vAlign w:val="bottom"/>
            <w:tcBorders>
              <w:top w:val="single" w:sz="8" w:color="DBDBDB"/>
            </w:tcBorders>
            <w:shd w:val="clear" w:color="auto" w:fill="DBDBDB"/>
          </w:tcPr>
          <w:p>
            <w:pPr>
              <w:spacing w:after="0"/>
              <w:rPr>
                <w:sz w:val="21"/>
                <w:szCs w:val="21"/>
                <w:color w:val="auto"/>
              </w:rPr>
            </w:pPr>
          </w:p>
        </w:tc>
        <w:tc>
          <w:tcPr>
            <w:tcW w:w="16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199,998</w:t>
            </w:r>
          </w:p>
        </w:tc>
        <w:tc>
          <w:tcPr>
            <w:tcW w:w="100" w:type="dxa"/>
            <w:vAlign w:val="bottom"/>
            <w:tcBorders>
              <w:top w:val="single" w:sz="8" w:color="DBDBDB"/>
            </w:tcBorders>
            <w:shd w:val="clear" w:color="auto" w:fill="DBDBDB"/>
          </w:tcPr>
          <w:p>
            <w:pPr>
              <w:spacing w:after="0"/>
              <w:rPr>
                <w:sz w:val="21"/>
                <w:szCs w:val="21"/>
                <w:color w:val="auto"/>
              </w:rPr>
            </w:pPr>
          </w:p>
        </w:tc>
        <w:tc>
          <w:tcPr>
            <w:tcW w:w="16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182,488</w:t>
            </w:r>
          </w:p>
        </w:tc>
        <w:tc>
          <w:tcPr>
            <w:tcW w:w="100" w:type="dxa"/>
            <w:vAlign w:val="bottom"/>
            <w:tcBorders>
              <w:top w:val="single" w:sz="8" w:color="DBDBDB"/>
            </w:tcBorders>
            <w:shd w:val="clear" w:color="auto" w:fill="DBDBDB"/>
          </w:tcPr>
          <w:p>
            <w:pPr>
              <w:spacing w:after="0"/>
              <w:rPr>
                <w:sz w:val="21"/>
                <w:szCs w:val="21"/>
                <w:color w:val="auto"/>
              </w:rPr>
            </w:pPr>
          </w:p>
        </w:tc>
        <w:tc>
          <w:tcPr>
            <w:tcW w:w="16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414,825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Partin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216,687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James Ramsey</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Marty Réaume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253,998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Tami Reller</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52,315</w:t>
            </w:r>
          </w:p>
        </w:tc>
        <w:tc>
          <w:tcPr>
            <w:tcW w:w="17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199,998</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252,313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Philip Soran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288,544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Anne Sempowski Ward</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53,320</w:t>
            </w:r>
          </w:p>
        </w:tc>
        <w:tc>
          <w:tcPr>
            <w:tcW w:w="17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199,998</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253,318</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Sven Wehrwein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267,535</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980" w:right="140" w:hanging="324"/>
        <w:spacing w:after="0" w:line="242" w:lineRule="auto"/>
        <w:tabs>
          <w:tab w:leader="none" w:pos="9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Collins did not receive any separate compensation for his service as a director. His compensation for 2025 is included in the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Mr. Gaurav was appointed to the Board effective March 6, 2025, and Mr. Partin was appointed to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August 18, 2025. Ms. Chima and Mr. McConnell were appointed to the Board effective February 12, 2026, and therefore are not included in this table showing compensation during 2025. Mr. Ramsey’s term of service ended on the date of the 2025 annual meeting of stockholders as he did not stand for re-election.</w:t>
      </w:r>
    </w:p>
    <w:p>
      <w:pPr>
        <w:spacing w:after="0" w:line="2" w:lineRule="exact"/>
        <w:rPr>
          <w:rFonts w:ascii="Times New Roman" w:cs="Times New Roman" w:eastAsia="Times New Roman" w:hAnsi="Times New Roman"/>
          <w:sz w:val="18"/>
          <w:szCs w:val="18"/>
          <w:color w:val="auto"/>
        </w:rPr>
      </w:pPr>
    </w:p>
    <w:p>
      <w:pPr>
        <w:ind w:left="980" w:right="160" w:hanging="324"/>
        <w:spacing w:after="0" w:line="253" w:lineRule="auto"/>
        <w:tabs>
          <w:tab w:leader="none" w:pos="9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 awards granted during the year determined in accordance with ASC Topic 718. For a discussion of the relevant assumptions used to determine the valuation of our equity awards for financial reporting purposes, refer to Note A and Note K to the Notes to Consolidated Financial Statements included in our Annual Report on Form 10-K for the fiscal year ended December 31, 2025.</w:t>
      </w:r>
    </w:p>
    <w:p>
      <w:pPr>
        <w:spacing w:after="0" w:line="21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Under our stock ownership guidelines, we require our non-employee directors to beneficially own shares of our common stock with a value at least equal to five times the annual non-chair cash retainer ($175,000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448310</wp:posOffset>
            </wp:positionV>
            <wp:extent cx="240030" cy="2311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29</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INFORMATION REGARDING 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Non-employee directors must comply with the stock ownership guidelines within five years of their appointment to the Board. Until a non-employee director has achieved compliance with the ownership guidelines, the director must retain 50% of the shares acquired upon exercise, vesting or settlement of any equity award, net of shares otherwise deliverable to satisfy the payment of any applicable exercise price or tax withholding. The following shares do not count toward satisfaction of our ownership guidelines: (i) shares subject to a compensatory equity-based award of any kind that has not yet vested; and</w:t>
      </w:r>
    </w:p>
    <w:p>
      <w:pPr>
        <w:spacing w:after="0" w:line="3" w:lineRule="exact"/>
        <w:rPr>
          <w:sz w:val="20"/>
          <w:szCs w:val="20"/>
          <w:color w:val="auto"/>
        </w:rPr>
      </w:pPr>
    </w:p>
    <w:p>
      <w:pPr>
        <w:ind w:right="40" w:firstLine="8"/>
        <w:spacing w:after="0" w:line="253" w:lineRule="auto"/>
        <w:tabs>
          <w:tab w:leader="none" w:pos="2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an option, stock appreciation right, restricted stock unit, deferred stock unit or similar award that has not yet been exercised and is not in-the-money. Currently, unvested RSUs and DSUs do not count toward the ownership level, but effective January 1, 2027, unvested RSUs and DSUs with only a time-based vesting condition will count toward the ownership level. In addition, vested in-the-money options currently count toward the ownership level, but effective January 1, 2027, unexercised stock options will not count toward the ownership level. As of March 30, 2026, each of our non-employee directors had met the stock ownership requirement or had served as a director for less than five years.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non-employee directors held unvested RSUs, DSUs, options and exercisable options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gridSpan w:val="3"/>
          </w:tcPr>
          <w:p>
            <w:pPr>
              <w:jc w:val="right"/>
              <w:ind w:right="16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37"/>
        </w:trPr>
        <w:tc>
          <w:tcPr>
            <w:tcW w:w="2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Unvested RSUs</w:t>
            </w:r>
          </w:p>
        </w:tc>
        <w:tc>
          <w:tcPr>
            <w:tcW w:w="192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DSUs</w:t>
            </w: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 Outstanding</w:t>
            </w:r>
          </w:p>
        </w:tc>
        <w:tc>
          <w:tcPr>
            <w:tcW w:w="14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and Exercisable</w:t>
            </w:r>
          </w:p>
        </w:tc>
        <w:tc>
          <w:tcPr>
            <w:tcW w:w="0" w:type="dxa"/>
            <w:vAlign w:val="bottom"/>
          </w:tcPr>
          <w:p>
            <w:pPr>
              <w:spacing w:after="0"/>
              <w:rPr>
                <w:sz w:val="1"/>
                <w:szCs w:val="1"/>
                <w:color w:val="auto"/>
              </w:rPr>
            </w:pPr>
          </w:p>
        </w:tc>
      </w:tr>
      <w:tr>
        <w:trPr>
          <w:trHeight w:val="266"/>
        </w:trPr>
        <w:tc>
          <w:tcPr>
            <w:tcW w:w="28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DBDBDB"/>
            </w:tcBorders>
          </w:tcPr>
          <w:p>
            <w:pPr>
              <w:spacing w:after="0"/>
              <w:rPr>
                <w:sz w:val="23"/>
                <w:szCs w:val="23"/>
                <w:color w:val="auto"/>
              </w:rPr>
            </w:pPr>
          </w:p>
        </w:tc>
        <w:tc>
          <w:tcPr>
            <w:tcW w:w="18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DBDBDB"/>
            </w:tcBorders>
          </w:tcPr>
          <w:p>
            <w:pPr>
              <w:spacing w:after="0"/>
              <w:rPr>
                <w:sz w:val="23"/>
                <w:szCs w:val="23"/>
                <w:color w:val="auto"/>
              </w:rPr>
            </w:pPr>
          </w:p>
        </w:tc>
        <w:tc>
          <w:tcPr>
            <w:tcW w:w="19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DBDBDB"/>
            </w:tcBorders>
          </w:tcPr>
          <w:p>
            <w:pPr>
              <w:spacing w:after="0"/>
              <w:rPr>
                <w:sz w:val="23"/>
                <w:szCs w:val="23"/>
                <w:color w:val="auto"/>
              </w:rPr>
            </w:pPr>
          </w:p>
        </w:tc>
        <w:tc>
          <w:tcPr>
            <w:tcW w:w="192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DBDBDB"/>
            </w:tcBorders>
          </w:tcPr>
          <w:p>
            <w:pPr>
              <w:spacing w:after="0"/>
              <w:rPr>
                <w:sz w:val="23"/>
                <w:szCs w:val="23"/>
                <w:color w:val="auto"/>
              </w:rPr>
            </w:pPr>
          </w:p>
        </w:tc>
        <w:tc>
          <w:tcPr>
            <w:tcW w:w="192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Razat Gaurav</w:t>
            </w:r>
          </w:p>
        </w:tc>
        <w:tc>
          <w:tcPr>
            <w:tcW w:w="1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40" w:type="dxa"/>
            <w:vAlign w:val="bottom"/>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Partin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James Ramsey</w:t>
            </w:r>
          </w:p>
        </w:tc>
        <w:tc>
          <w:tcPr>
            <w:tcW w:w="198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Marty Réaume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140" w:type="dxa"/>
            <w:vAlign w:val="bottom"/>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40" w:type="dxa"/>
            <w:vAlign w:val="bottom"/>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Mr. Ramsey’s term of service ended on May 13, 2025, and he had no RSUs, DSUs or options 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Corporate Responsibility</w:t>
      </w:r>
    </w:p>
    <w:p>
      <w:pPr>
        <w:spacing w:after="0" w:line="16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SPS Commerce is committed to advancing our efforts around corporate responsibility and ESG practices. Our values shape how we connect, innovate, and give back—driving social impact, responsible growth, and sustainable practices. We continue to develop our strategies and invest in areas that help us positively impact SPS employees, customers, investors, our communities, and the many industries we serve. Together, we are creating a more connected and resilient future for all. To learn more, see our ESG Report posted in the Corporate Responsibility section of our website.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ESG Governance</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ESG efforts are overseen by the Board’s Governance &amp; Nominating Committee, which also provides guidance to the Board and management on corporate responsibility matters, including on ESG matters. In addition, the Compensation &amp; Talent Committee of the Board reviews and provides guidance to our management with respect to organizational culture and employee experience. Our ESG efforts are driven by a cross functional ESG Committee composed of leaders and subject matter experts from across our business. This group provides ESG-related reporting and metrics to help inform our decision-making and guide the important work happening across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616585</wp:posOffset>
            </wp:positionV>
            <wp:extent cx="240030" cy="2311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30</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INFORMATION REGARDING THE BOARD OF DIRECTORS AND CORPORATE GOVERNANCE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Environment</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provider of cloud-based supply chain management solutions, the majority of our environmental impacts are the result of indirect business activities in our upstream and downstream value chain. Even so, we are committed to managing our global resources responsibly. We are collaborating with a third-party consultant to advance our existing environmental efforts, gather data and insights to inform our goals and determine how we can promote positive environmental impacts through our work. For more information, see our ESG Report posted in the Corporate Responsibility section of our website.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Employee Experience</w:t>
      </w:r>
    </w:p>
    <w:p>
      <w:pPr>
        <w:spacing w:after="0" w:line="121"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At SPS Commerce, we are on a mission to power the connections that move the world of commerce forward, and we understand the significance of our culture and workplace in supporting this endeavor. We prioritize creating an environment where all employees feel they belong—one where they are accepted, valued and empowered to make meaningful contributions. Because together, we achieve more. We value our employees’ diverse backgrounds, experiences and perspectives, and we’re committed to ensuring their fair treatment and opportunities for advancement at SPS. We actively foster an environment where employees can show up as their authentic selves, respecting cultural, religious and personal differences. To learn more about how we cultivate an employee experience rooted in a sense of belonging, see our ESG Report posted in the Corporate Responsibility section of our website.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Give Back</w:t>
      </w:r>
    </w:p>
    <w:p>
      <w:pPr>
        <w:spacing w:after="0" w:line="121"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At SPS Commerce, our commitment to positive change extends well beyond advancing commerce. A key pillar of our ESG strategy is fostering a culture of giving, where employees are empowered to make meaningful contributions to their communities. One of our core values, “Give Back,” reflects our belief that generosity and compassion can create lasting impact. This is demonstrated through the work of the SPS Foundation, our corporate donations and sponsorships, and the numerous volunteer initiatives we support. Together, these efforts exemplify our dedication to making a difference in the communities where we live and work. To learn more, see our ESG report and “Giving Back” section in the Corporate Responsibility section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709930</wp:posOffset>
            </wp:positionV>
            <wp:extent cx="240030" cy="2317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31</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6" w:name="page37"/>
    <w:bookmarkEnd w:id="3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100"/>
        <w:spacing w:after="0"/>
        <w:rPr>
          <w:sz w:val="20"/>
          <w:szCs w:val="20"/>
          <w:color w:val="auto"/>
        </w:rPr>
      </w:pPr>
      <w:r>
        <w:rPr>
          <w:rFonts w:ascii="Arial" w:cs="Arial" w:eastAsia="Arial" w:hAnsi="Arial"/>
          <w:sz w:val="36"/>
          <w:szCs w:val="36"/>
          <w:b w:val="1"/>
          <w:bCs w:val="1"/>
          <w:color w:val="00AAE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12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This Compensation Discussion and Analysis (“CD&amp;A”) discusses the philosophy and objectives underlying our executive compensation policies, practices and decisions, as well as the factors considered as part of our compensation analysis and decision-making. The CD&amp;A describes the compensation of our NEOs in fiscal year 2025. In this CD&amp;A, we refer to the Compensation &amp; Talent Committee as the “Committee.”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Named Executive Officers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NEOs, who constituted all of our executive officers during 2025, are the following:</w:t>
      </w:r>
    </w:p>
    <w:p>
      <w:pPr>
        <w:spacing w:after="0" w:line="252" w:lineRule="exact"/>
        <w:rPr>
          <w:sz w:val="20"/>
          <w:szCs w:val="20"/>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Chad Collins, Chief Executive Officer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Kimberly Nelson, Former Executive Vice President &amp; Chief Financial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Eduardo Rosini, Executive Vice President &amp; Chief Commercial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Jamie Thingelstad, Executive Vice President &amp; Chief Technology Officer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 Juckniess, Former Executive Vice President &amp; Chief Revenue Officer</w:t>
      </w:r>
    </w:p>
    <w:p>
      <w:pPr>
        <w:spacing w:after="0" w:line="23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February 12, 2026, the Company announced that Ms. Nelson had provided the Company with her six months’ notice of her intent to retire from the Company and that the Board had appointed Joseph Del Preto as the Company’s Executive Vice President &amp; Chief Financial Officer effective March 16, 2026. Mr. Del Preto, age 50, joined the Company from Sprout Social, Inc., a cloud-based social media management platform for publishing analytics and listening across all social media networks, where he had served as Chief Financial Officer and Treasurer since July 2017. On March 16, 2026, Ms. Nelson transitioned out of the Chief Financial Officer role, but continues to serve as an employee of the Company to assist with the transition until her retirement date, which is still to be determined.</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as of March 1, 2026 were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188595</wp:posOffset>
            </wp:positionV>
            <wp:extent cx="7166610" cy="21513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6610" cy="2151380"/>
                    </a:xfrm>
                    <a:prstGeom prst="rect">
                      <a:avLst/>
                    </a:prstGeom>
                    <a:noFill/>
                  </pic:spPr>
                </pic:pic>
              </a:graphicData>
            </a:graphic>
          </wp:anchor>
        </w:drawing>
      </w:r>
    </w:p>
    <w:p>
      <w:pPr>
        <w:spacing w:after="0" w:line="336" w:lineRule="exact"/>
        <w:rPr>
          <w:sz w:val="20"/>
          <w:szCs w:val="20"/>
          <w:color w:val="auto"/>
        </w:rPr>
      </w:pPr>
    </w:p>
    <w:p>
      <w:pPr>
        <w:ind w:left="920"/>
        <w:spacing w:after="0"/>
        <w:tabs>
          <w:tab w:leader="none" w:pos="3540" w:val="left"/>
          <w:tab w:leader="none" w:pos="6380" w:val="left"/>
          <w:tab w:leader="none" w:pos="9080" w:val="left"/>
        </w:tabs>
        <w:rPr>
          <w:sz w:val="20"/>
          <w:szCs w:val="20"/>
          <w:color w:val="auto"/>
        </w:rPr>
      </w:pPr>
      <w:r>
        <w:rPr>
          <w:rFonts w:ascii="Times New Roman" w:cs="Times New Roman" w:eastAsia="Times New Roman" w:hAnsi="Times New Roman"/>
          <w:sz w:val="18"/>
          <w:szCs w:val="18"/>
          <w:b w:val="1"/>
          <w:bCs w:val="1"/>
          <w:i w:val="1"/>
          <w:iCs w:val="1"/>
          <w:color w:val="00AAE5"/>
        </w:rPr>
        <w:t>Chad Collins</w:t>
      </w:r>
      <w:r>
        <w:rPr>
          <w:sz w:val="20"/>
          <w:szCs w:val="20"/>
          <w:color w:val="auto"/>
        </w:rPr>
        <w:tab/>
      </w:r>
      <w:r>
        <w:rPr>
          <w:rFonts w:ascii="Times New Roman" w:cs="Times New Roman" w:eastAsia="Times New Roman" w:hAnsi="Times New Roman"/>
          <w:sz w:val="18"/>
          <w:szCs w:val="18"/>
          <w:b w:val="1"/>
          <w:bCs w:val="1"/>
          <w:i w:val="1"/>
          <w:iCs w:val="1"/>
          <w:color w:val="00AAE5"/>
        </w:rPr>
        <w:t>Kimberly Nelson</w:t>
      </w:r>
      <w:r>
        <w:rPr>
          <w:sz w:val="20"/>
          <w:szCs w:val="20"/>
          <w:color w:val="auto"/>
        </w:rPr>
        <w:tab/>
      </w:r>
      <w:r>
        <w:rPr>
          <w:rFonts w:ascii="Times New Roman" w:cs="Times New Roman" w:eastAsia="Times New Roman" w:hAnsi="Times New Roman"/>
          <w:sz w:val="18"/>
          <w:szCs w:val="18"/>
          <w:b w:val="1"/>
          <w:bCs w:val="1"/>
          <w:i w:val="1"/>
          <w:iCs w:val="1"/>
          <w:color w:val="00AAE5"/>
        </w:rPr>
        <w:t>Eduardo Rosini</w:t>
      </w:r>
      <w:r>
        <w:rPr>
          <w:sz w:val="20"/>
          <w:szCs w:val="20"/>
          <w:color w:val="auto"/>
        </w:rPr>
        <w:tab/>
      </w:r>
      <w:r>
        <w:rPr>
          <w:rFonts w:ascii="Times New Roman" w:cs="Times New Roman" w:eastAsia="Times New Roman" w:hAnsi="Times New Roman"/>
          <w:sz w:val="18"/>
          <w:szCs w:val="18"/>
          <w:b w:val="1"/>
          <w:bCs w:val="1"/>
          <w:i w:val="1"/>
          <w:iCs w:val="1"/>
          <w:color w:val="00AAE5"/>
        </w:rPr>
        <w:t>Jamie Thingelstad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0" w:type="dxa"/>
        <w:tblCellMar>
          <w:top w:w="0" w:type="dxa"/>
          <w:left w:w="0" w:type="dxa"/>
          <w:bottom w:w="0" w:type="dxa"/>
          <w:right w:w="0" w:type="dxa"/>
        </w:tblCellMar>
      </w:tblPr>
      <w:tr>
        <w:trPr>
          <w:trHeight w:val="212"/>
        </w:trPr>
        <w:tc>
          <w:tcPr>
            <w:tcW w:w="20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c>
          <w:tcPr>
            <w:tcW w:w="30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Former Executive Vice President &amp;</w:t>
            </w:r>
          </w:p>
        </w:tc>
        <w:tc>
          <w:tcPr>
            <w:tcW w:w="2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Executive Vice President &amp;</w:t>
            </w:r>
          </w:p>
        </w:tc>
        <w:tc>
          <w:tcPr>
            <w:tcW w:w="248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Executive Vice President &amp;</w:t>
            </w:r>
          </w:p>
        </w:tc>
        <w:tc>
          <w:tcPr>
            <w:tcW w:w="0" w:type="dxa"/>
            <w:vAlign w:val="bottom"/>
          </w:tcPr>
          <w:p>
            <w:pPr>
              <w:spacing w:after="0"/>
              <w:rPr>
                <w:sz w:val="1"/>
                <w:szCs w:val="1"/>
                <w:color w:val="auto"/>
              </w:rPr>
            </w:pPr>
          </w:p>
        </w:tc>
      </w:tr>
      <w:tr>
        <w:trPr>
          <w:trHeight w:val="108"/>
        </w:trPr>
        <w:tc>
          <w:tcPr>
            <w:tcW w:w="2000" w:type="dxa"/>
            <w:vAlign w:val="bottom"/>
            <w:vMerge w:val="continue"/>
          </w:tcPr>
          <w:p>
            <w:pPr>
              <w:spacing w:after="0"/>
              <w:rPr>
                <w:sz w:val="9"/>
                <w:szCs w:val="9"/>
                <w:color w:val="auto"/>
              </w:rPr>
            </w:pPr>
          </w:p>
        </w:tc>
        <w:tc>
          <w:tcPr>
            <w:tcW w:w="306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c>
          <w:tcPr>
            <w:tcW w:w="276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Chief Commercial Officer</w:t>
            </w:r>
          </w:p>
        </w:tc>
        <w:tc>
          <w:tcPr>
            <w:tcW w:w="248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Chief Technology Officer</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2760" w:type="dxa"/>
            <w:vAlign w:val="bottom"/>
            <w:vMerge w:val="continue"/>
          </w:tcPr>
          <w:p>
            <w:pPr>
              <w:spacing w:after="0"/>
              <w:rPr>
                <w:sz w:val="9"/>
                <w:szCs w:val="9"/>
                <w:color w:val="auto"/>
              </w:rPr>
            </w:pP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00" w:type="dxa"/>
            <w:vAlign w:val="bottom"/>
          </w:tcPr>
          <w:p>
            <w:pPr>
              <w:jc w:val="center"/>
              <w:ind w:right="299"/>
              <w:spacing w:after="0" w:line="235" w:lineRule="exact"/>
              <w:rPr>
                <w:sz w:val="20"/>
                <w:szCs w:val="20"/>
                <w:color w:val="auto"/>
              </w:rPr>
            </w:pPr>
            <w:r>
              <w:rPr>
                <w:rFonts w:ascii="Times New Roman" w:cs="Times New Roman" w:eastAsia="Times New Roman" w:hAnsi="Times New Roman"/>
                <w:sz w:val="16"/>
                <w:szCs w:val="16"/>
                <w:color w:val="auto"/>
                <w:w w:val="92"/>
              </w:rPr>
              <w:t>Age 50</w:t>
            </w:r>
            <w:r>
              <w:rPr>
                <w:rFonts w:ascii="Times New Roman" w:cs="Times New Roman" w:eastAsia="Times New Roman" w:hAnsi="Times New Roman"/>
                <w:sz w:val="21"/>
                <w:szCs w:val="21"/>
                <w:color w:val="auto"/>
                <w:w w:val="92"/>
                <w:vertAlign w:val="superscript"/>
              </w:rPr>
              <w:t>(1)</w:t>
            </w:r>
          </w:p>
        </w:tc>
        <w:tc>
          <w:tcPr>
            <w:tcW w:w="3060" w:type="dxa"/>
            <w:vAlign w:val="bottom"/>
          </w:tcPr>
          <w:p>
            <w:pPr>
              <w:jc w:val="center"/>
              <w:ind w:left="19"/>
              <w:spacing w:after="0" w:line="235" w:lineRule="exact"/>
              <w:rPr>
                <w:sz w:val="20"/>
                <w:szCs w:val="20"/>
                <w:color w:val="auto"/>
              </w:rPr>
            </w:pPr>
            <w:r>
              <w:rPr>
                <w:rFonts w:ascii="Times New Roman" w:cs="Times New Roman" w:eastAsia="Times New Roman" w:hAnsi="Times New Roman"/>
                <w:sz w:val="16"/>
                <w:szCs w:val="16"/>
                <w:color w:val="auto"/>
                <w:w w:val="95"/>
              </w:rPr>
              <w:t>Age 58</w:t>
            </w:r>
            <w:r>
              <w:rPr>
                <w:rFonts w:ascii="Times New Roman" w:cs="Times New Roman" w:eastAsia="Times New Roman" w:hAnsi="Times New Roman"/>
                <w:sz w:val="21"/>
                <w:szCs w:val="21"/>
                <w:color w:val="auto"/>
                <w:w w:val="95"/>
                <w:vertAlign w:val="superscript"/>
              </w:rPr>
              <w:t>(1)</w:t>
            </w:r>
          </w:p>
        </w:tc>
        <w:tc>
          <w:tcPr>
            <w:tcW w:w="2760" w:type="dxa"/>
            <w:vAlign w:val="bottom"/>
          </w:tcPr>
          <w:p>
            <w:pPr>
              <w:jc w:val="center"/>
              <w:ind w:right="39"/>
              <w:spacing w:after="0" w:line="235" w:lineRule="exact"/>
              <w:rPr>
                <w:sz w:val="20"/>
                <w:szCs w:val="20"/>
                <w:color w:val="auto"/>
              </w:rPr>
            </w:pPr>
            <w:r>
              <w:rPr>
                <w:rFonts w:ascii="Times New Roman" w:cs="Times New Roman" w:eastAsia="Times New Roman" w:hAnsi="Times New Roman"/>
                <w:sz w:val="16"/>
                <w:szCs w:val="16"/>
                <w:color w:val="auto"/>
                <w:w w:val="95"/>
              </w:rPr>
              <w:t>Age 58</w:t>
            </w:r>
            <w:r>
              <w:rPr>
                <w:rFonts w:ascii="Times New Roman" w:cs="Times New Roman" w:eastAsia="Times New Roman" w:hAnsi="Times New Roman"/>
                <w:sz w:val="21"/>
                <w:szCs w:val="21"/>
                <w:color w:val="auto"/>
                <w:w w:val="95"/>
                <w:vertAlign w:val="superscript"/>
              </w:rPr>
              <w:t>(1)</w:t>
            </w:r>
          </w:p>
        </w:tc>
        <w:tc>
          <w:tcPr>
            <w:tcW w:w="2480" w:type="dxa"/>
            <w:vAlign w:val="bottom"/>
          </w:tcPr>
          <w:p>
            <w:pPr>
              <w:jc w:val="center"/>
              <w:ind w:left="199"/>
              <w:spacing w:after="0" w:line="235" w:lineRule="exact"/>
              <w:rPr>
                <w:sz w:val="20"/>
                <w:szCs w:val="20"/>
                <w:color w:val="auto"/>
              </w:rPr>
            </w:pPr>
            <w:r>
              <w:rPr>
                <w:rFonts w:ascii="Times New Roman" w:cs="Times New Roman" w:eastAsia="Times New Roman" w:hAnsi="Times New Roman"/>
                <w:sz w:val="16"/>
                <w:szCs w:val="16"/>
                <w:color w:val="auto"/>
                <w:w w:val="95"/>
              </w:rPr>
              <w:t>Age 54</w:t>
            </w:r>
            <w:r>
              <w:rPr>
                <w:rFonts w:ascii="Times New Roman" w:cs="Times New Roman" w:eastAsia="Times New Roman" w:hAnsi="Times New Roman"/>
                <w:sz w:val="21"/>
                <w:szCs w:val="21"/>
                <w:color w:val="auto"/>
                <w:w w:val="95"/>
                <w:vertAlign w:val="superscript"/>
              </w:rPr>
              <w:t>(1)</w:t>
            </w:r>
          </w:p>
        </w:tc>
        <w:tc>
          <w:tcPr>
            <w:tcW w:w="0" w:type="dxa"/>
            <w:vAlign w:val="bottom"/>
          </w:tcPr>
          <w:p>
            <w:pPr>
              <w:spacing w:after="0"/>
              <w:rPr>
                <w:sz w:val="1"/>
                <w:szCs w:val="1"/>
                <w:color w:val="auto"/>
              </w:rPr>
            </w:pPr>
          </w:p>
        </w:tc>
      </w:tr>
      <w:tr>
        <w:trPr>
          <w:trHeight w:val="189"/>
        </w:trPr>
        <w:tc>
          <w:tcPr>
            <w:tcW w:w="20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Chief Executive Officer</w:t>
            </w:r>
          </w:p>
        </w:tc>
        <w:tc>
          <w:tcPr>
            <w:tcW w:w="30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Executive Vice President &amp;</w:t>
            </w:r>
          </w:p>
        </w:tc>
        <w:tc>
          <w:tcPr>
            <w:tcW w:w="2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Executive Vice President &amp; Chief</w:t>
            </w:r>
          </w:p>
        </w:tc>
        <w:tc>
          <w:tcPr>
            <w:tcW w:w="2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Executive Vice President &amp; Chief</w:t>
            </w:r>
          </w:p>
        </w:tc>
        <w:tc>
          <w:tcPr>
            <w:tcW w:w="0" w:type="dxa"/>
            <w:vAlign w:val="bottom"/>
          </w:tcPr>
          <w:p>
            <w:pPr>
              <w:spacing w:after="0"/>
              <w:rPr>
                <w:sz w:val="1"/>
                <w:szCs w:val="1"/>
                <w:color w:val="auto"/>
              </w:rPr>
            </w:pPr>
          </w:p>
        </w:tc>
      </w:tr>
      <w:tr>
        <w:trPr>
          <w:trHeight w:val="203"/>
        </w:trPr>
        <w:tc>
          <w:tcPr>
            <w:tcW w:w="2000" w:type="dxa"/>
            <w:vAlign w:val="bottom"/>
          </w:tcPr>
          <w:p>
            <w:pPr>
              <w:jc w:val="center"/>
              <w:ind w:right="299"/>
              <w:spacing w:after="0" w:line="203" w:lineRule="exact"/>
              <w:rPr>
                <w:sz w:val="20"/>
                <w:szCs w:val="20"/>
                <w:color w:val="auto"/>
              </w:rPr>
            </w:pPr>
            <w:r>
              <w:rPr>
                <w:rFonts w:ascii="Times New Roman" w:cs="Times New Roman" w:eastAsia="Times New Roman" w:hAnsi="Times New Roman"/>
                <w:sz w:val="16"/>
                <w:szCs w:val="16"/>
                <w:color w:val="auto"/>
                <w:w w:val="96"/>
              </w:rPr>
              <w:t>since 2023</w:t>
            </w:r>
            <w:r>
              <w:rPr>
                <w:rFonts w:ascii="Times New Roman" w:cs="Times New Roman" w:eastAsia="Times New Roman" w:hAnsi="Times New Roman"/>
                <w:sz w:val="21"/>
                <w:szCs w:val="21"/>
                <w:color w:val="auto"/>
                <w:w w:val="96"/>
                <w:vertAlign w:val="superscript"/>
              </w:rPr>
              <w:t>(2)</w:t>
            </w:r>
          </w:p>
        </w:tc>
        <w:tc>
          <w:tcPr>
            <w:tcW w:w="30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Chief Financial Officer</w:t>
            </w:r>
          </w:p>
        </w:tc>
        <w:tc>
          <w:tcPr>
            <w:tcW w:w="2760" w:type="dxa"/>
            <w:vAlign w:val="bottom"/>
          </w:tcPr>
          <w:p>
            <w:pPr>
              <w:jc w:val="center"/>
              <w:ind w:right="39"/>
              <w:spacing w:after="0" w:line="203" w:lineRule="exact"/>
              <w:rPr>
                <w:sz w:val="20"/>
                <w:szCs w:val="20"/>
                <w:color w:val="auto"/>
              </w:rPr>
            </w:pPr>
            <w:r>
              <w:rPr>
                <w:rFonts w:ascii="Times New Roman" w:cs="Times New Roman" w:eastAsia="Times New Roman" w:hAnsi="Times New Roman"/>
                <w:sz w:val="16"/>
                <w:szCs w:val="16"/>
                <w:color w:val="auto"/>
                <w:w w:val="98"/>
              </w:rPr>
              <w:t>Commercial Officer since 2025</w:t>
            </w:r>
            <w:r>
              <w:rPr>
                <w:rFonts w:ascii="Times New Roman" w:cs="Times New Roman" w:eastAsia="Times New Roman" w:hAnsi="Times New Roman"/>
                <w:sz w:val="21"/>
                <w:szCs w:val="21"/>
                <w:color w:val="auto"/>
                <w:w w:val="98"/>
                <w:vertAlign w:val="superscript"/>
              </w:rPr>
              <w:t>(3)</w:t>
            </w:r>
          </w:p>
        </w:tc>
        <w:tc>
          <w:tcPr>
            <w:tcW w:w="2480" w:type="dxa"/>
            <w:vAlign w:val="bottom"/>
          </w:tcPr>
          <w:p>
            <w:pPr>
              <w:jc w:val="center"/>
              <w:ind w:left="199"/>
              <w:spacing w:after="0" w:line="203" w:lineRule="exact"/>
              <w:rPr>
                <w:sz w:val="20"/>
                <w:szCs w:val="20"/>
                <w:color w:val="auto"/>
              </w:rPr>
            </w:pPr>
            <w:r>
              <w:rPr>
                <w:rFonts w:ascii="Times New Roman" w:cs="Times New Roman" w:eastAsia="Times New Roman" w:hAnsi="Times New Roman"/>
                <w:sz w:val="16"/>
                <w:szCs w:val="16"/>
                <w:color w:val="auto"/>
                <w:w w:val="98"/>
              </w:rPr>
              <w:t>Technology Officer since 2024</w:t>
            </w:r>
            <w:r>
              <w:rPr>
                <w:rFonts w:ascii="Times New Roman" w:cs="Times New Roman" w:eastAsia="Times New Roman" w:hAnsi="Times New Roman"/>
                <w:sz w:val="21"/>
                <w:szCs w:val="21"/>
                <w:color w:val="auto"/>
                <w:w w:val="98"/>
                <w:vertAlign w:val="superscript"/>
              </w:rPr>
              <w:t>(4)</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0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from 2007 to 2026</w:t>
            </w:r>
          </w:p>
        </w:tc>
        <w:tc>
          <w:tcPr>
            <w:tcW w:w="2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Age as of April 14, 2026.</w:t>
      </w:r>
    </w:p>
    <w:p>
      <w:pPr>
        <w:spacing w:after="0" w:line="29" w:lineRule="exact"/>
        <w:rPr>
          <w:rFonts w:ascii="Times New Roman" w:cs="Times New Roman" w:eastAsia="Times New Roman" w:hAnsi="Times New Roman"/>
          <w:sz w:val="14"/>
          <w:szCs w:val="14"/>
          <w:i w:val="1"/>
          <w:i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Information about Mr. Collins’ positions prior to joining the Company in October 2023 is set forth under “Item 1 - Election of Directors - Nominees for Director” above.</w:t>
      </w:r>
    </w:p>
    <w:p>
      <w:pPr>
        <w:spacing w:after="0" w:line="4" w:lineRule="exact"/>
        <w:rPr>
          <w:rFonts w:ascii="Times New Roman" w:cs="Times New Roman" w:eastAsia="Times New Roman" w:hAnsi="Times New Roman"/>
          <w:sz w:val="14"/>
          <w:szCs w:val="14"/>
          <w:i w:val="1"/>
          <w:iCs w:val="1"/>
          <w:color w:val="auto"/>
        </w:rPr>
      </w:pPr>
    </w:p>
    <w:p>
      <w:pPr>
        <w:ind w:left="980" w:right="40" w:hanging="324"/>
        <w:spacing w:after="0" w:line="259" w:lineRule="auto"/>
        <w:tabs>
          <w:tab w:leader="none" w:pos="972" w:val="left"/>
        </w:tabs>
        <w:numPr>
          <w:ilvl w:val="0"/>
          <w:numId w:val="6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Prior to joining the Company in December 2025, Mr. Rosini served as Chief Growth Officer (February 2024–November 2025) and EVP - Global GTM, Partners and Alliances (February 2023–February 2024) at Sage, a provider of AI-enhanced cloud accounting, payroll, and HR software, and as Vice President, Mid-Market &amp; Corporate Sales at Intuit</w:t>
      </w:r>
    </w:p>
    <w:p>
      <w:pPr>
        <w:ind w:left="98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(February 2021–February 2023).</w:t>
      </w:r>
    </w:p>
    <w:p>
      <w:pPr>
        <w:spacing w:after="0" w:line="14" w:lineRule="exact"/>
        <w:rPr>
          <w:rFonts w:ascii="Times New Roman" w:cs="Times New Roman" w:eastAsia="Times New Roman" w:hAnsi="Times New Roman"/>
          <w:sz w:val="14"/>
          <w:szCs w:val="14"/>
          <w:i w:val="1"/>
          <w:iCs w:val="1"/>
          <w:color w:val="auto"/>
        </w:rPr>
      </w:pPr>
    </w:p>
    <w:p>
      <w:pPr>
        <w:ind w:left="980" w:hanging="324"/>
        <w:spacing w:after="0"/>
        <w:tabs>
          <w:tab w:leader="none" w:pos="980" w:val="left"/>
        </w:tabs>
        <w:numPr>
          <w:ilvl w:val="0"/>
          <w:numId w:val="6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Thingelstad joined the Company in 2013 as Senior Vice President &amp; Chief Technology Officer and was promoted to his current position in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487045</wp:posOffset>
            </wp:positionV>
            <wp:extent cx="240030" cy="2317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32</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EXECUTIVE COMPENSATION</w:t>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Business Highlights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2025, we demonstrated ongoing success in expanding our network as we continued to play a key role in retailers’ and suppliers’ transformation to omnichannel retail, improving supply chain efficiencies, and enabling our customers to adapt and expand. We delivered profitable growth and continued to invest for the future to strengthen our competitive position across a large, addressable market. For selected financial performance highlights and stockholder return, 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5768975" cy="27946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6897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100</w:t>
      </w:r>
    </w:p>
    <w:p>
      <w:pPr>
        <w:spacing w:after="0" w:line="9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Quarters of Consecutive</w:t>
      </w:r>
    </w:p>
    <w:p>
      <w:pPr>
        <w:spacing w:after="0" w:line="28"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20"/>
          <w:szCs w:val="20"/>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364490</wp:posOffset>
            </wp:positionV>
            <wp:extent cx="1645920" cy="7372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645920" cy="73723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18%</w:t>
      </w:r>
    </w:p>
    <w:p>
      <w:pPr>
        <w:spacing w:after="0" w:line="9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Compound Annual Revenue</w:t>
      </w:r>
    </w:p>
    <w:p>
      <w:pPr>
        <w:spacing w:after="0" w:line="28"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20"/>
          <w:szCs w:val="20"/>
          <w:color w:val="auto"/>
        </w:rPr>
        <w:t>Growth (CAGR)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i w:val="1"/>
          <w:iCs w:val="1"/>
          <w:color w:val="auto"/>
        </w:rPr>
        <w:t>Adjusted EBITDA is a non-GAAP</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financial measure. Refer to Appendix A in this</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Proxy Statement for a 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161290</wp:posOffset>
            </wp:positionV>
            <wp:extent cx="5220335" cy="23831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2033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b w:val="1"/>
          <w:bCs w:val="1"/>
          <w:color w:val="auto"/>
        </w:rPr>
        <w:t>(18)%</w:t>
      </w:r>
    </w:p>
    <w:p>
      <w:pPr>
        <w:spacing w:after="0" w:line="98"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rPr>
        <w:t>SPS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211455</wp:posOffset>
            </wp:positionV>
            <wp:extent cx="1131570" cy="4286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31570" cy="428625"/>
                    </a:xfrm>
                    <a:prstGeom prst="rect">
                      <a:avLst/>
                    </a:prstGeom>
                    <a:noFill/>
                  </pic:spPr>
                </pic:pic>
              </a:graphicData>
            </a:graphic>
          </wp:anchor>
        </w:drawing>
      </w:r>
    </w:p>
    <w:p>
      <w:pPr>
        <w:spacing w:after="0" w:line="34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b w:val="1"/>
          <w:bCs w:val="1"/>
          <w:color w:val="auto"/>
        </w:rPr>
        <w:t>26%</w:t>
      </w:r>
    </w:p>
    <w:p>
      <w:pPr>
        <w:spacing w:after="0" w:line="98"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20"/>
          <w:szCs w:val="20"/>
          <w:color w:val="auto"/>
          <w:shd w:val="clear" w:color="auto" w:fill="D9F2FB"/>
        </w:rPr>
        <w:t>Russell 2000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760095</wp:posOffset>
            </wp:positionV>
            <wp:extent cx="26035"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Company is using the Russell 2000 index in this graph (compared to the Russell 1000 index</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used in this graph in last year’s proxy statement) to align with the index used to determine TSR performance under our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641350</wp:posOffset>
            </wp:positionV>
            <wp:extent cx="240030" cy="2311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33</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38" w:name="page39"/>
    <w:bookmarkEnd w:id="3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Summary of Compensation Program Elements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Our compensation program for our executive officers uses the following compensation elements:</w:t>
            </w:r>
          </w:p>
        </w:tc>
        <w:tc>
          <w:tcPr>
            <w:tcW w:w="3540" w:type="dxa"/>
            <w:vAlign w:val="bottom"/>
          </w:tcPr>
          <w:p>
            <w:pPr>
              <w:spacing w:after="0"/>
              <w:rPr>
                <w:sz w:val="20"/>
                <w:szCs w:val="20"/>
                <w:color w:val="auto"/>
              </w:rPr>
            </w:pPr>
          </w:p>
        </w:tc>
      </w:tr>
      <w:tr>
        <w:trPr>
          <w:trHeight w:val="51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44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What it Rewards</w:t>
            </w:r>
          </w:p>
        </w:tc>
      </w:tr>
      <w:tr>
        <w:trPr>
          <w:trHeight w:val="27"/>
        </w:trPr>
        <w:tc>
          <w:tcPr>
            <w:tcW w:w="33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18"/>
        </w:trPr>
        <w:tc>
          <w:tcPr>
            <w:tcW w:w="3300" w:type="dxa"/>
            <w:vAlign w:val="bottom"/>
            <w:shd w:val="clear" w:color="auto" w:fill="80D4F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tc>
        <w:tc>
          <w:tcPr>
            <w:tcW w:w="4400" w:type="dxa"/>
            <w:vAlign w:val="bottom"/>
            <w:shd w:val="clear" w:color="auto" w:fill="80D4F2"/>
          </w:tcPr>
          <w:p>
            <w:pPr>
              <w:ind w:left="840"/>
              <w:spacing w:after="0"/>
              <w:rPr>
                <w:sz w:val="20"/>
                <w:szCs w:val="20"/>
                <w:color w:val="auto"/>
              </w:rPr>
            </w:pPr>
            <w:r>
              <w:rPr>
                <w:rFonts w:ascii="Times New Roman" w:cs="Times New Roman" w:eastAsia="Times New Roman" w:hAnsi="Times New Roman"/>
                <w:sz w:val="18"/>
                <w:szCs w:val="18"/>
                <w:color w:val="auto"/>
              </w:rPr>
              <w:t>Attract, motivate, and retain top executive talent</w:t>
            </w:r>
          </w:p>
        </w:tc>
        <w:tc>
          <w:tcPr>
            <w:tcW w:w="3540" w:type="dxa"/>
            <w:vAlign w:val="bottom"/>
            <w:shd w:val="clear" w:color="auto" w:fill="80D4F2"/>
          </w:tcPr>
          <w:p>
            <w:pPr>
              <w:ind w:left="40"/>
              <w:spacing w:after="0"/>
              <w:rPr>
                <w:sz w:val="20"/>
                <w:szCs w:val="20"/>
                <w:color w:val="auto"/>
              </w:rPr>
            </w:pPr>
            <w:r>
              <w:rPr>
                <w:rFonts w:ascii="Times New Roman" w:cs="Times New Roman" w:eastAsia="Times New Roman" w:hAnsi="Times New Roman"/>
                <w:sz w:val="18"/>
                <w:szCs w:val="18"/>
                <w:color w:val="auto"/>
              </w:rPr>
              <w:t>Experience, skills, knowledge, responsibilities,</w:t>
            </w:r>
          </w:p>
        </w:tc>
      </w:tr>
      <w:tr>
        <w:trPr>
          <w:trHeight w:val="241"/>
        </w:trPr>
        <w:tc>
          <w:tcPr>
            <w:tcW w:w="3300" w:type="dxa"/>
            <w:vAlign w:val="bottom"/>
            <w:tcBorders>
              <w:bottom w:val="single" w:sz="8" w:color="80D4F2"/>
            </w:tcBorders>
            <w:shd w:val="clear" w:color="auto" w:fill="80D4F2"/>
          </w:tcPr>
          <w:p>
            <w:pPr>
              <w:spacing w:after="0"/>
              <w:rPr>
                <w:sz w:val="20"/>
                <w:szCs w:val="20"/>
                <w:color w:val="auto"/>
              </w:rPr>
            </w:pPr>
          </w:p>
        </w:tc>
        <w:tc>
          <w:tcPr>
            <w:tcW w:w="4400" w:type="dxa"/>
            <w:vAlign w:val="bottom"/>
            <w:tcBorders>
              <w:bottom w:val="single" w:sz="8" w:color="80D4F2"/>
            </w:tcBorders>
            <w:shd w:val="clear" w:color="auto" w:fill="80D4F2"/>
          </w:tcPr>
          <w:p>
            <w:pPr>
              <w:spacing w:after="0"/>
              <w:rPr>
                <w:sz w:val="20"/>
                <w:szCs w:val="20"/>
                <w:color w:val="auto"/>
              </w:rPr>
            </w:pPr>
          </w:p>
        </w:tc>
        <w:tc>
          <w:tcPr>
            <w:tcW w:w="3540" w:type="dxa"/>
            <w:vAlign w:val="bottom"/>
            <w:tcBorders>
              <w:bottom w:val="single" w:sz="8" w:color="80D4F2"/>
            </w:tcBorders>
            <w:shd w:val="clear" w:color="auto" w:fill="80D4F2"/>
          </w:tcPr>
          <w:p>
            <w:pPr>
              <w:ind w:left="40"/>
              <w:spacing w:after="0"/>
              <w:rPr>
                <w:sz w:val="20"/>
                <w:szCs w:val="20"/>
                <w:color w:val="auto"/>
              </w:rPr>
            </w:pPr>
            <w:r>
              <w:rPr>
                <w:rFonts w:ascii="Times New Roman" w:cs="Times New Roman" w:eastAsia="Times New Roman" w:hAnsi="Times New Roman"/>
                <w:sz w:val="18"/>
                <w:szCs w:val="18"/>
                <w:color w:val="auto"/>
              </w:rPr>
              <w:t>and individual performance</w:t>
            </w:r>
          </w:p>
        </w:tc>
      </w:tr>
      <w:tr>
        <w:trPr>
          <w:trHeight w:val="22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Management Incentive Plan</w:t>
            </w:r>
          </w:p>
        </w:tc>
        <w:tc>
          <w:tcPr>
            <w:tcW w:w="4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Motivate our executives to achieve specific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Individual and company-wide performance</w:t>
            </w:r>
          </w:p>
        </w:tc>
      </w:tr>
      <w:tr>
        <w:trPr>
          <w:trHeight w:val="234"/>
        </w:trPr>
        <w:tc>
          <w:tcPr>
            <w:tcW w:w="3300" w:type="dxa"/>
            <w:vAlign w:val="bottom"/>
          </w:tcPr>
          <w:p>
            <w:pPr>
              <w:spacing w:after="0"/>
              <w:rPr>
                <w:sz w:val="20"/>
                <w:szCs w:val="20"/>
                <w:color w:val="auto"/>
              </w:rPr>
            </w:pPr>
          </w:p>
        </w:tc>
        <w:tc>
          <w:tcPr>
            <w:tcW w:w="4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financial goals</w:t>
            </w:r>
          </w:p>
        </w:tc>
        <w:tc>
          <w:tcPr>
            <w:tcW w:w="354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5"/>
        </w:trPr>
        <w:tc>
          <w:tcPr>
            <w:tcW w:w="3300" w:type="dxa"/>
            <w:vAlign w:val="bottom"/>
            <w:shd w:val="clear" w:color="auto" w:fill="80D4F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(RSUs and PSUs)</w:t>
            </w:r>
          </w:p>
        </w:tc>
        <w:tc>
          <w:tcPr>
            <w:tcW w:w="4400" w:type="dxa"/>
            <w:vAlign w:val="bottom"/>
            <w:shd w:val="clear" w:color="auto" w:fill="80D4F2"/>
          </w:tcPr>
          <w:p>
            <w:pPr>
              <w:ind w:left="840"/>
              <w:spacing w:after="0"/>
              <w:rPr>
                <w:sz w:val="20"/>
                <w:szCs w:val="20"/>
                <w:color w:val="auto"/>
              </w:rPr>
            </w:pPr>
            <w:r>
              <w:rPr>
                <w:rFonts w:ascii="Times New Roman" w:cs="Times New Roman" w:eastAsia="Times New Roman" w:hAnsi="Times New Roman"/>
                <w:sz w:val="18"/>
                <w:szCs w:val="18"/>
                <w:color w:val="auto"/>
              </w:rPr>
              <w:t>Align long-term objectives with those of</w:t>
            </w:r>
          </w:p>
        </w:tc>
        <w:tc>
          <w:tcPr>
            <w:tcW w:w="3540" w:type="dxa"/>
            <w:vAlign w:val="bottom"/>
            <w:shd w:val="clear" w:color="auto" w:fill="80D4F2"/>
          </w:tcPr>
          <w:p>
            <w:pPr>
              <w:ind w:left="40"/>
              <w:spacing w:after="0"/>
              <w:rPr>
                <w:sz w:val="20"/>
                <w:szCs w:val="20"/>
                <w:color w:val="auto"/>
              </w:rPr>
            </w:pPr>
            <w:r>
              <w:rPr>
                <w:rFonts w:ascii="Times New Roman" w:cs="Times New Roman" w:eastAsia="Times New Roman" w:hAnsi="Times New Roman"/>
                <w:sz w:val="18"/>
                <w:szCs w:val="18"/>
                <w:color w:val="auto"/>
              </w:rPr>
              <w:t>Long-term financial and stock-price</w:t>
            </w:r>
          </w:p>
        </w:tc>
      </w:tr>
      <w:tr>
        <w:trPr>
          <w:trHeight w:val="216"/>
        </w:trPr>
        <w:tc>
          <w:tcPr>
            <w:tcW w:w="3300" w:type="dxa"/>
            <w:vAlign w:val="bottom"/>
            <w:shd w:val="clear" w:color="auto" w:fill="80D4F2"/>
          </w:tcPr>
          <w:p>
            <w:pPr>
              <w:spacing w:after="0"/>
              <w:rPr>
                <w:sz w:val="18"/>
                <w:szCs w:val="18"/>
                <w:color w:val="auto"/>
              </w:rPr>
            </w:pPr>
          </w:p>
        </w:tc>
        <w:tc>
          <w:tcPr>
            <w:tcW w:w="4400" w:type="dxa"/>
            <w:vAlign w:val="bottom"/>
            <w:shd w:val="clear" w:color="auto" w:fill="80D4F2"/>
          </w:tcPr>
          <w:p>
            <w:pPr>
              <w:ind w:left="840"/>
              <w:spacing w:after="0"/>
              <w:rPr>
                <w:sz w:val="20"/>
                <w:szCs w:val="20"/>
                <w:color w:val="auto"/>
              </w:rPr>
            </w:pPr>
            <w:r>
              <w:rPr>
                <w:rFonts w:ascii="Times New Roman" w:cs="Times New Roman" w:eastAsia="Times New Roman" w:hAnsi="Times New Roman"/>
                <w:sz w:val="18"/>
                <w:szCs w:val="18"/>
                <w:color w:val="auto"/>
              </w:rPr>
              <w:t>stockholders; motivate long-term financial</w:t>
            </w:r>
          </w:p>
        </w:tc>
        <w:tc>
          <w:tcPr>
            <w:tcW w:w="3540" w:type="dxa"/>
            <w:vAlign w:val="bottom"/>
            <w:shd w:val="clear" w:color="auto" w:fill="80D4F2"/>
          </w:tcPr>
          <w:p>
            <w:pPr>
              <w:ind w:left="40"/>
              <w:spacing w:after="0"/>
              <w:rPr>
                <w:sz w:val="20"/>
                <w:szCs w:val="20"/>
                <w:color w:val="auto"/>
              </w:rPr>
            </w:pPr>
            <w:r>
              <w:rPr>
                <w:rFonts w:ascii="Times New Roman" w:cs="Times New Roman" w:eastAsia="Times New Roman" w:hAnsi="Times New Roman"/>
                <w:sz w:val="18"/>
                <w:szCs w:val="18"/>
                <w:color w:val="auto"/>
              </w:rPr>
              <w:t>performance</w:t>
            </w:r>
          </w:p>
        </w:tc>
      </w:tr>
      <w:tr>
        <w:trPr>
          <w:trHeight w:val="234"/>
        </w:trPr>
        <w:tc>
          <w:tcPr>
            <w:tcW w:w="3300" w:type="dxa"/>
            <w:vAlign w:val="bottom"/>
            <w:shd w:val="clear" w:color="auto" w:fill="80D4F2"/>
          </w:tcPr>
          <w:p>
            <w:pPr>
              <w:spacing w:after="0"/>
              <w:rPr>
                <w:sz w:val="20"/>
                <w:szCs w:val="20"/>
                <w:color w:val="auto"/>
              </w:rPr>
            </w:pPr>
          </w:p>
        </w:tc>
        <w:tc>
          <w:tcPr>
            <w:tcW w:w="4400" w:type="dxa"/>
            <w:vAlign w:val="bottom"/>
            <w:shd w:val="clear" w:color="auto" w:fill="80D4F2"/>
          </w:tcPr>
          <w:p>
            <w:pPr>
              <w:ind w:left="840"/>
              <w:spacing w:after="0"/>
              <w:rPr>
                <w:sz w:val="20"/>
                <w:szCs w:val="20"/>
                <w:color w:val="auto"/>
              </w:rPr>
            </w:pPr>
            <w:r>
              <w:rPr>
                <w:rFonts w:ascii="Times New Roman" w:cs="Times New Roman" w:eastAsia="Times New Roman" w:hAnsi="Times New Roman"/>
                <w:sz w:val="18"/>
                <w:szCs w:val="18"/>
                <w:color w:val="auto"/>
              </w:rPr>
              <w:t>performance; and promote retention</w:t>
            </w:r>
          </w:p>
        </w:tc>
        <w:tc>
          <w:tcPr>
            <w:tcW w:w="3540" w:type="dxa"/>
            <w:vAlign w:val="bottom"/>
            <w:shd w:val="clear" w:color="auto" w:fill="80D4F2"/>
          </w:tcPr>
          <w:p>
            <w:pPr>
              <w:spacing w:after="0"/>
              <w:rPr>
                <w:sz w:val="20"/>
                <w:szCs w:val="20"/>
                <w:color w:val="auto"/>
              </w:rPr>
            </w:pPr>
          </w:p>
        </w:tc>
      </w:tr>
      <w:tr>
        <w:trPr>
          <w:trHeight w:val="27"/>
        </w:trPr>
        <w:tc>
          <w:tcPr>
            <w:tcW w:w="3300" w:type="dxa"/>
            <w:vAlign w:val="bottom"/>
            <w:shd w:val="clear" w:color="auto" w:fill="80D4F2"/>
          </w:tcPr>
          <w:p>
            <w:pPr>
              <w:spacing w:after="0"/>
              <w:rPr>
                <w:sz w:val="2"/>
                <w:szCs w:val="2"/>
                <w:color w:val="auto"/>
              </w:rPr>
            </w:pPr>
          </w:p>
        </w:tc>
        <w:tc>
          <w:tcPr>
            <w:tcW w:w="4400" w:type="dxa"/>
            <w:vAlign w:val="bottom"/>
            <w:shd w:val="clear" w:color="auto" w:fill="80D4F2"/>
          </w:tcPr>
          <w:p>
            <w:pPr>
              <w:spacing w:after="0"/>
              <w:rPr>
                <w:sz w:val="2"/>
                <w:szCs w:val="2"/>
                <w:color w:val="auto"/>
              </w:rPr>
            </w:pPr>
          </w:p>
        </w:tc>
        <w:tc>
          <w:tcPr>
            <w:tcW w:w="3540" w:type="dxa"/>
            <w:vAlign w:val="bottom"/>
            <w:shd w:val="clear" w:color="auto" w:fill="80D4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685800</wp:posOffset>
            </wp:positionV>
            <wp:extent cx="240030" cy="2311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34</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9" w:name="page40"/>
    <w:bookmarkEnd w:id="39"/>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040"/>
          </w:cols>
          <w:pgMar w:left="320" w:top="33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Summary of CEO Target Compensation</w:t>
      </w:r>
    </w:p>
    <w:p>
      <w:pPr>
        <w:spacing w:after="0" w:line="256"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8"/>
          <w:szCs w:val="18"/>
          <w:color w:val="auto"/>
        </w:rPr>
        <w:t>The graphs below illustrate the relative components of our CEO’s target total direct compensation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2025, the percentage of this amount that is performance-based compensation, and the mix of target annual equity awards between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0</wp:posOffset>
            </wp:positionV>
            <wp:extent cx="4852035" cy="2220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85203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4"/>
          <w:szCs w:val="14"/>
          <w:i w:val="1"/>
          <w:iCs w:val="1"/>
          <w:color w:val="auto"/>
        </w:rPr>
        <w:t>The target dollar amounts for each component of compensation reflected in the graphs above were approved by the Committee. The number of RSUs or PSUs granted was determined by</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dividing the target dollar amount by the closing sale price for a share of the Company’s common stock on the grant date. The grant date fair value of such equity awards, determined in accordance with applicable accounting guidance, is presented below in the 2025 Summary Compensation Table and 2025 Grants of Plan-Based Awards Table.</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Summary of Other NEO Target Compensation</w:t>
      </w:r>
    </w:p>
    <w:p>
      <w:pPr>
        <w:spacing w:after="0" w:line="256" w:lineRule="exact"/>
        <w:rPr>
          <w:sz w:val="20"/>
          <w:szCs w:val="20"/>
          <w:color w:val="auto"/>
        </w:rPr>
      </w:pPr>
    </w:p>
    <w:p>
      <w:pPr>
        <w:ind w:left="20" w:right="500" w:firstLine="648"/>
        <w:spacing w:after="0" w:line="229" w:lineRule="auto"/>
        <w:rPr>
          <w:sz w:val="20"/>
          <w:szCs w:val="20"/>
          <w:color w:val="auto"/>
        </w:rPr>
      </w:pPr>
      <w:r>
        <w:rPr>
          <w:rFonts w:ascii="Times New Roman" w:cs="Times New Roman" w:eastAsia="Times New Roman" w:hAnsi="Times New Roman"/>
          <w:sz w:val="18"/>
          <w:szCs w:val="18"/>
          <w:color w:val="auto"/>
        </w:rPr>
        <w:t>The graphs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bellow illustrate the relative components of average NEO (other than the CEO) target total direct compensation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2025, the percentage of this amount that is performance-based compensation, and the mix of target annual equity awards between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163195</wp:posOffset>
            </wp:positionV>
            <wp:extent cx="5014595" cy="22631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1459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4"/>
          <w:szCs w:val="14"/>
          <w:i w:val="1"/>
          <w:iCs w:val="1"/>
          <w:color w:val="auto"/>
        </w:rPr>
        <w:t>The graphs above do not include Mr. Rosini’s RSU grant or cash signing bonus that were awarded in 2025 in connection with his recruitment and appointment as described below in “2025</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Executive Compensation Highlights.”</w:t>
      </w:r>
    </w:p>
    <w:p>
      <w:pPr>
        <w:ind w:right="300"/>
        <w:spacing w:after="0" w:line="232" w:lineRule="auto"/>
        <w:rPr>
          <w:sz w:val="20"/>
          <w:szCs w:val="20"/>
          <w:color w:val="auto"/>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The target dollar amounts for each component of compensation reflected in the graphs above were approved by the Committee. The number of RSUs or PSUs granted was determined by dividing the target dollar amount by the closing sale price for a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478790</wp:posOffset>
            </wp:positionV>
            <wp:extent cx="240030" cy="2317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35</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8" w:right="539" w:bottom="1440" w:gutter="0" w:footer="0" w:header="0"/>
          <w:type w:val="continuous"/>
        </w:sectPr>
      </w:pPr>
    </w:p>
    <w:bookmarkStart w:id="40" w:name="page41"/>
    <w:bookmarkEnd w:id="40"/>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160"/>
          </w:cols>
          <w:pgMar w:left="320" w:top="33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4"/>
          <w:szCs w:val="14"/>
          <w:i w:val="1"/>
          <w:iCs w:val="1"/>
          <w:color w:val="auto"/>
        </w:rPr>
        <w:t>on the grant date. The grant date fair value of such equity awards, determined in accordance with applicable accounting guidance, is presented below in the 2025 Summary Compensation Table and 2025 Grants of Plan-Based Awards Table.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Policies and Practices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promote the objectives discussed above, we maintain the following policies and practices:</w:t>
      </w:r>
    </w:p>
    <w:p>
      <w:pPr>
        <w:sectPr>
          <w:pgSz w:w="11900" w:h="16838" w:orient="portrait"/>
          <w:cols w:equalWidth="0" w:num="1">
            <w:col w:w="11160"/>
          </w:cols>
          <w:pgMar w:left="320" w:top="338" w:right="419" w:bottom="1440" w:gutter="0" w:footer="0" w:header="0"/>
          <w:type w:val="continuous"/>
        </w:sectPr>
      </w:pPr>
    </w:p>
    <w:p>
      <w:pPr>
        <w:spacing w:after="0" w:line="2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240030" cy="2400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Complete an 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106045</wp:posOffset>
            </wp:positionV>
            <wp:extent cx="240030" cy="2400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61" w:lineRule="exact"/>
        <w:rPr>
          <w:sz w:val="20"/>
          <w:szCs w:val="20"/>
          <w:color w:val="auto"/>
        </w:rPr>
      </w:pPr>
    </w:p>
    <w:p>
      <w:pPr>
        <w:ind w:left="980" w:right="740"/>
        <w:spacing w:after="0" w:line="272" w:lineRule="auto"/>
        <w:rPr>
          <w:sz w:val="20"/>
          <w:szCs w:val="20"/>
          <w:color w:val="auto"/>
        </w:rPr>
      </w:pPr>
      <w:r>
        <w:rPr>
          <w:rFonts w:ascii="Times New Roman" w:cs="Times New Roman" w:eastAsia="Times New Roman" w:hAnsi="Times New Roman"/>
          <w:sz w:val="16"/>
          <w:szCs w:val="16"/>
          <w:color w:val="auto"/>
        </w:rPr>
        <w:t>Engage an independent compensation consultant, Compensia, to provide the Committee with market data and guidance 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-1905</wp:posOffset>
            </wp:positionV>
            <wp:extent cx="240030" cy="2400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ind w:left="980" w:right="600"/>
        <w:spacing w:after="0" w:line="272" w:lineRule="auto"/>
        <w:rPr>
          <w:sz w:val="20"/>
          <w:szCs w:val="20"/>
          <w:color w:val="auto"/>
        </w:rPr>
      </w:pPr>
      <w:r>
        <w:rPr>
          <w:rFonts w:ascii="Times New Roman" w:cs="Times New Roman" w:eastAsia="Times New Roman" w:hAnsi="Times New Roman"/>
          <w:sz w:val="16"/>
          <w:szCs w:val="16"/>
          <w:color w:val="auto"/>
        </w:rPr>
        <w:t>Offer a significant portion of executive compensation that is performance-based, including cash bonuses and PSUs, to align the interests of our NEOs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-1905</wp:posOffset>
            </wp:positionV>
            <wp:extent cx="240030" cy="2400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Conduct an 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106045</wp:posOffset>
            </wp:positionV>
            <wp:extent cx="240030" cy="2400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74" w:lineRule="exact"/>
        <w:rPr>
          <w:sz w:val="20"/>
          <w:szCs w:val="20"/>
          <w:color w:val="auto"/>
        </w:rPr>
      </w:pPr>
    </w:p>
    <w:p>
      <w:pPr>
        <w:ind w:left="980" w:right="520"/>
        <w:spacing w:after="0" w:line="280" w:lineRule="auto"/>
        <w:rPr>
          <w:sz w:val="20"/>
          <w:szCs w:val="20"/>
          <w:color w:val="auto"/>
        </w:rPr>
      </w:pPr>
      <w:r>
        <w:rPr>
          <w:rFonts w:ascii="Times New Roman" w:cs="Times New Roman" w:eastAsia="Times New Roman" w:hAnsi="Times New Roman"/>
          <w:sz w:val="16"/>
          <w:szCs w:val="16"/>
          <w:color w:val="auto"/>
        </w:rPr>
        <w:t>Provide PSUs that are subject to performance-based and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40030" cy="2400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3" w:lineRule="exact"/>
        <w:rPr>
          <w:sz w:val="20"/>
          <w:szCs w:val="20"/>
          <w:color w:val="auto"/>
        </w:rPr>
      </w:pPr>
    </w:p>
    <w:p>
      <w:pPr>
        <w:ind w:left="980" w:right="560"/>
        <w:spacing w:after="0" w:line="280" w:lineRule="auto"/>
        <w:rPr>
          <w:sz w:val="20"/>
          <w:szCs w:val="20"/>
          <w:color w:val="auto"/>
        </w:rPr>
      </w:pPr>
      <w:r>
        <w:rPr>
          <w:rFonts w:ascii="Times New Roman" w:cs="Times New Roman" w:eastAsia="Times New Roman" w:hAnsi="Times New Roman"/>
          <w:sz w:val="16"/>
          <w:szCs w:val="16"/>
          <w:color w:val="auto"/>
        </w:rPr>
        <w:t>Require double-trigger vesting of equity in the event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40030" cy="2400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Maintain robust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106045</wp:posOffset>
            </wp:positionV>
            <wp:extent cx="240030" cy="2400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55" w:lineRule="exact"/>
        <w:rPr>
          <w:sz w:val="20"/>
          <w:szCs w:val="20"/>
          <w:color w:val="auto"/>
        </w:rPr>
      </w:pPr>
    </w:p>
    <w:p>
      <w:pPr>
        <w:ind w:left="1000" w:right="320"/>
        <w:spacing w:after="0" w:line="263" w:lineRule="auto"/>
        <w:rPr>
          <w:sz w:val="20"/>
          <w:szCs w:val="20"/>
          <w:color w:val="auto"/>
        </w:rPr>
      </w:pPr>
      <w:r>
        <w:rPr>
          <w:rFonts w:ascii="Times New Roman" w:cs="Times New Roman" w:eastAsia="Times New Roman" w:hAnsi="Times New Roman"/>
          <w:sz w:val="16"/>
          <w:szCs w:val="16"/>
          <w:color w:val="auto"/>
        </w:rPr>
        <w:t>Maintain a required incentive recoupment (i.e., clawback) policy and a supplemental clawback policy.</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42545</wp:posOffset>
            </wp:positionV>
            <wp:extent cx="240030" cy="2400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74"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Provide for any tax gross-ups on payments made to our NEOs in connection with a severance or change in control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10795</wp:posOffset>
            </wp:positionV>
            <wp:extent cx="240030" cy="2400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0"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6"/>
          <w:szCs w:val="16"/>
          <w:color w:val="auto"/>
        </w:rPr>
        <w:t>Allow employees, including executives and directors, to engage in transactions involving short sales, publicly traded options or other derivative securities, hedging or pledging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-1905</wp:posOffset>
            </wp:positionV>
            <wp:extent cx="240030" cy="2400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37" w:lineRule="exact"/>
        <w:rPr>
          <w:sz w:val="20"/>
          <w:szCs w:val="20"/>
          <w:color w:val="auto"/>
        </w:rPr>
      </w:pPr>
    </w:p>
    <w:p>
      <w:pPr>
        <w:jc w:val="both"/>
        <w:ind w:right="220"/>
        <w:spacing w:after="0" w:line="280" w:lineRule="auto"/>
        <w:rPr>
          <w:sz w:val="20"/>
          <w:szCs w:val="20"/>
          <w:color w:val="auto"/>
        </w:rPr>
      </w:pPr>
      <w:r>
        <w:rPr>
          <w:rFonts w:ascii="Times New Roman" w:cs="Times New Roman" w:eastAsia="Times New Roman" w:hAnsi="Times New Roman"/>
          <w:sz w:val="16"/>
          <w:szCs w:val="16"/>
          <w:color w:val="auto"/>
        </w:rPr>
        <w:t>Provide perquisites or other personal benefits to our NEOs beyond what is provided to our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27940</wp:posOffset>
            </wp:positionV>
            <wp:extent cx="240030" cy="2400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Allow single-trigger vesting of our NEOs’ equity.</w:t>
      </w:r>
    </w:p>
    <w:p>
      <w:pPr>
        <w:spacing w:after="0" w:line="2279" w:lineRule="exact"/>
        <w:rPr>
          <w:sz w:val="20"/>
          <w:szCs w:val="20"/>
          <w:color w:val="auto"/>
        </w:rPr>
      </w:pPr>
    </w:p>
    <w:p>
      <w:pPr>
        <w:sectPr>
          <w:pgSz w:w="11900" w:h="16838" w:orient="portrait"/>
          <w:cols w:equalWidth="0" w:num="2">
            <w:col w:w="5900" w:space="720"/>
            <w:col w:w="4540"/>
          </w:cols>
          <w:pgMar w:left="320" w:top="338" w:right="41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“Other Compensation Policies</w:t>
      </w:r>
      <w:r>
        <w:rPr>
          <w:rFonts w:ascii="Times New Roman" w:cs="Times New Roman" w:eastAsia="Times New Roman" w:hAnsi="Times New Roman"/>
          <w:sz w:val="18"/>
          <w:szCs w:val="18"/>
          <w:color w:val="auto"/>
        </w:rPr>
        <w:t>” beginning on page 44 for more detailed information on certain of our compensation policies and practices.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2025 Executive Compensation Highlights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2025, the Committee maintained the design and elements of our executive compensation program as compared to 2024, and made certain changes to individual compensation components as discussed below. In addition, we hired a new executive officer, and one of our NEOs retired. We provide a fuller discussion below on pages 39-40 of the factors the Committee considers in making decisions with respect to the compensation of each of our NEOs, under “</w:t>
      </w:r>
      <w:r>
        <w:rPr>
          <w:rFonts w:ascii="Times New Roman" w:cs="Times New Roman" w:eastAsia="Times New Roman" w:hAnsi="Times New Roman"/>
          <w:sz w:val="18"/>
          <w:szCs w:val="18"/>
          <w:i w:val="1"/>
          <w:iCs w:val="1"/>
          <w:color w:val="auto"/>
        </w:rPr>
        <w:t>Factors Considered in Compensation Deliberations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right="40" w:hanging="328"/>
        <w:spacing w:after="0" w:line="26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Mr. Collins’ base salary for 2025 increased to $612,000 from his 2024 base salary of $525,000, which represented a 16.6%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based on performance and competitiveness with market data. We also increased Ms. Nelson’s base salary by 3.4% and Mr. Juckniess’ base salary by 2.4%, in each case based on performance and market competitiveness. Mr. Rosini’s base salary was determined in connection with his recruitment and appointment as Chief Commercial Officer effective as of December 1, 2025.</w:t>
      </w:r>
    </w:p>
    <w:p>
      <w:pPr>
        <w:spacing w:after="0" w:line="203"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Management Incentive Plan: </w:t>
      </w:r>
      <w:r>
        <w:rPr>
          <w:rFonts w:ascii="Times New Roman" w:cs="Times New Roman" w:eastAsia="Times New Roman" w:hAnsi="Times New Roman"/>
          <w:sz w:val="18"/>
          <w:szCs w:val="18"/>
          <w:color w:val="auto"/>
        </w:rPr>
        <w:t>We did not make any changes in the target bonuses of our continuing NEOs. The formula-based bonus was paid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 of target based on our 2025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609600</wp:posOffset>
            </wp:positionV>
            <wp:extent cx="240030" cy="2311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36</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8" w:right="419" w:bottom="1440" w:gutter="0" w:footer="0" w:header="0"/>
          <w:type w:val="continuous"/>
        </w:sectPr>
      </w:pPr>
    </w:p>
    <w:bookmarkStart w:id="41" w:name="page42"/>
    <w:bookmarkEnd w:id="41"/>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line="24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We approved annual time-based RSU equity awards and performance-based PSU equity awards, each representing 50% of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value of the annual equity awards for fiscal year 2025, for each of Messrs. Collins, Thingelstad and Juckniess and Ms. Nelson. Mr. Rosini did not receive annual equity awards for 2025, though he received a new hire grant as noted below. As in prior years, the number of PSUs that will be earned is based on our relative TSR performance against the Russell 2000 Index measured over a three-year period.</w:t>
      </w:r>
    </w:p>
    <w:p>
      <w:pPr>
        <w:spacing w:after="0" w:line="221" w:lineRule="exact"/>
        <w:rPr>
          <w:rFonts w:ascii="Times New Roman" w:cs="Times New Roman" w:eastAsia="Times New Roman" w:hAnsi="Times New Roman"/>
          <w:sz w:val="18"/>
          <w:szCs w:val="18"/>
          <w:color w:val="auto"/>
        </w:rPr>
      </w:pPr>
    </w:p>
    <w:p>
      <w:pPr>
        <w:ind w:left="66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Collins received an annual equity award with a target value of $10.4 million, representing a 24% increase from his 2024 total annual equity award. The annual equity award for each of Ms. Nelson, Mr. Thingelstad and Mr. Juckniess had a target value of $4.6 million, $2.7 million and $3.4 million, respectively. These amounts represented increases from 2024 target values of 2%, 8%, and 6%, respectively. The target values of the NEOs’ annual equity awards were increased to continue to provide competitive total target compensation based on the Committee’s review of the market data.</w:t>
      </w:r>
    </w:p>
    <w:p>
      <w:pPr>
        <w:spacing w:after="0" w:line="208" w:lineRule="exact"/>
        <w:rPr>
          <w:rFonts w:ascii="Times New Roman" w:cs="Times New Roman" w:eastAsia="Times New Roman" w:hAnsi="Times New Roman"/>
          <w:sz w:val="18"/>
          <w:szCs w:val="18"/>
          <w:color w:val="auto"/>
        </w:rPr>
      </w:pPr>
    </w:p>
    <w:p>
      <w:pPr>
        <w:ind w:left="660" w:right="2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more detail below under “</w:t>
      </w:r>
      <w:r>
        <w:rPr>
          <w:rFonts w:ascii="Times New Roman" w:cs="Times New Roman" w:eastAsia="Times New Roman" w:hAnsi="Times New Roman"/>
          <w:sz w:val="18"/>
          <w:szCs w:val="18"/>
          <w:i w:val="1"/>
          <w:iCs w:val="1"/>
          <w:color w:val="auto"/>
        </w:rPr>
        <w:t>Equity Awards--PSUs</w:t>
      </w:r>
      <w:r>
        <w:rPr>
          <w:rFonts w:ascii="Times New Roman" w:cs="Times New Roman" w:eastAsia="Times New Roman" w:hAnsi="Times New Roman"/>
          <w:sz w:val="18"/>
          <w:szCs w:val="18"/>
          <w:color w:val="auto"/>
        </w:rPr>
        <w:t>” on pages 43-44, in early 2026, the Committee determined that the minimum relative TSR threshold for the 2023–2025 performance period for PSUs granted in 2023 was not achieved, and accordingly none of these PSUs (which were held by Ms. Nelson and Messrs. Juckniess and Thingelstad) were earned and instead were forfeited.</w:t>
      </w:r>
    </w:p>
    <w:p>
      <w:pPr>
        <w:spacing w:after="0" w:line="198"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Executive Officer: </w:t>
      </w:r>
      <w:r>
        <w:rPr>
          <w:rFonts w:ascii="Times New Roman" w:cs="Times New Roman" w:eastAsia="Times New Roman" w:hAnsi="Times New Roman"/>
          <w:sz w:val="18"/>
          <w:szCs w:val="18"/>
          <w:color w:val="auto"/>
        </w:rPr>
        <w:t>Eduardo Rosini was appointed as Executive Vice President &amp; Chief Commercial Officer of the Company, effective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 2025. The Committee utilized market data provided by Compensia related to our compensation peer group to assess his initial compensation. The Committee considered this market data, Mr. Rosini’s prior experience, internal pay equity, and our other compensation determination factors (as described in “</w:t>
      </w:r>
      <w:r>
        <w:rPr>
          <w:rFonts w:ascii="Times New Roman" w:cs="Times New Roman" w:eastAsia="Times New Roman" w:hAnsi="Times New Roman"/>
          <w:sz w:val="18"/>
          <w:szCs w:val="18"/>
          <w:i w:val="1"/>
          <w:iCs w:val="1"/>
          <w:color w:val="auto"/>
        </w:rPr>
        <w:t>Factors Considered in Compensation Deliberations</w:t>
      </w:r>
      <w:r>
        <w:rPr>
          <w:rFonts w:ascii="Times New Roman" w:cs="Times New Roman" w:eastAsia="Times New Roman" w:hAnsi="Times New Roman"/>
          <w:sz w:val="18"/>
          <w:szCs w:val="18"/>
          <w:color w:val="auto"/>
        </w:rPr>
        <w:t>” on pages 39-40) to determine the total direct compensation that would attract, retain and motivate Mr. Rosini as our Executive Vice President &amp; Chief Commercial Officer. In addition to his total annual compensation discussed below, in order to incentivize Mr. Rosini to leave his prior employment and to help offset the value of certain compensation forfeited by Mr. Rosini in connection with his departure, in December 2025, Mr. Rosini was paid a cash signing bonus in the amount of $1 million and was granted a new hire equity award consisting of RSUs with a value of $6.5 million.</w:t>
      </w:r>
    </w:p>
    <w:p>
      <w:pPr>
        <w:spacing w:after="0" w:line="225"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Retirement of Executive Officer: </w:t>
      </w:r>
      <w:r>
        <w:rPr>
          <w:rFonts w:ascii="Times New Roman" w:cs="Times New Roman" w:eastAsia="Times New Roman" w:hAnsi="Times New Roman"/>
          <w:sz w:val="18"/>
          <w:szCs w:val="18"/>
          <w:color w:val="auto"/>
        </w:rPr>
        <w:t>Daniel Juckniess, former Executive Vice President &amp; Chief Revenue Officer, retired from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December 31, 2025. In connection with his planned retirement, Mr. Juckniess no longer served as an executive officer as of December 1, 2025, but continued to serve as an employee of the Company at the same compensation level to assist with the transition until his retirement date. The Board believed Mr. Juckniess’ continued service to the Company until his retirement and his commensurate level of compensation were important to provide for a smooth transition to Mr. Rosini.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Say-on-Pay Support and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139700</wp:posOffset>
            </wp:positionV>
            <wp:extent cx="1002665" cy="7804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02665" cy="780415"/>
                    </a:xfrm>
                    <a:prstGeom prst="rect">
                      <a:avLst/>
                    </a:prstGeom>
                    <a:noFill/>
                  </pic:spPr>
                </pic:pic>
              </a:graphicData>
            </a:graphic>
          </wp:anchor>
        </w:drawing>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96%</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2025 Say-on-Pay</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Approval</w:t>
      </w:r>
    </w:p>
    <w:p>
      <w:pPr>
        <w:spacing w:after="0" w:line="387"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We value the opinions of our stockholders. Stockholder feedback, including through direct discussions and regular attendance at investor conferences, is reported regularly to our Board throughout the year. Further, the Committee regularly considers the results of the stockholders’ advisory vote on the compensation of our NEOs. The Committee considered the results of the say-on-pay vote when evaluating our compensation practices and policies and when setting the compensation of our NEOs for 2025, and determined that our compensation program was well aligned with the interests of our stockholders. The Committee believes that the significant support for the prior year say-on-pay proposal, and historical support as shown below, demonstrates stockholders’ strong support of our compensation program, policies, and practices. Our Committee will consider the outcome of this year’s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461010</wp:posOffset>
            </wp:positionV>
            <wp:extent cx="240030" cy="2311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37</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42" w:name="page43"/>
    <w:bookmarkEnd w:id="42"/>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60"/>
        <w:spacing w:after="0" w:line="266" w:lineRule="auto"/>
        <w:rPr>
          <w:sz w:val="20"/>
          <w:szCs w:val="20"/>
          <w:color w:val="auto"/>
        </w:rPr>
      </w:pPr>
      <w:r>
        <w:rPr>
          <w:rFonts w:ascii="Times New Roman" w:cs="Times New Roman" w:eastAsia="Times New Roman" w:hAnsi="Times New Roman"/>
          <w:sz w:val="18"/>
          <w:szCs w:val="18"/>
          <w:color w:val="auto"/>
        </w:rPr>
        <w:t>vote (see Item 3 in this Proxy Statement) and future say-on-pay votes, as well as feedback received throughout the year, when making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-13335</wp:posOffset>
            </wp:positionV>
            <wp:extent cx="3291840" cy="26314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9184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Compensation Objectives</w:t>
      </w:r>
    </w:p>
    <w:p>
      <w:pPr>
        <w:spacing w:after="0" w:line="17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set the compensation of our NEOs based on their ability to create sustainable long-term stockholder value in a cost-effective manner. Our executive compensation philosophy is to align executive compensation decisions with our desired business direction, strategy, and performance. The primary objectives of our executive compensation program are the following:</w:t>
      </w:r>
    </w:p>
    <w:p>
      <w:pPr>
        <w:spacing w:after="0" w:line="118" w:lineRule="exact"/>
        <w:rPr>
          <w:sz w:val="20"/>
          <w:szCs w:val="20"/>
          <w:color w:val="auto"/>
        </w:rPr>
      </w:pPr>
    </w:p>
    <w:p>
      <w:pPr>
        <w:ind w:left="660" w:right="300" w:hanging="328"/>
        <w:spacing w:after="0" w:line="286" w:lineRule="auto"/>
        <w:tabs>
          <w:tab w:leader="none" w:pos="655"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Emphasize performance-based compensation, primarily PSUs and cash bonuses, that are tied to our financial and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performance in an effort to generate and reward superior individual and collective performance;</w:t>
      </w:r>
    </w:p>
    <w:p>
      <w:pPr>
        <w:spacing w:after="0" w:line="181" w:lineRule="exact"/>
        <w:rPr>
          <w:rFonts w:ascii="Times New Roman" w:cs="Times New Roman" w:eastAsia="Times New Roman" w:hAnsi="Times New Roman"/>
          <w:sz w:val="18"/>
          <w:szCs w:val="18"/>
          <w:i w:val="1"/>
          <w:iCs w:val="1"/>
          <w:color w:val="auto"/>
        </w:rPr>
      </w:pPr>
    </w:p>
    <w:p>
      <w:pPr>
        <w:ind w:left="660" w:right="400" w:hanging="328"/>
        <w:spacing w:after="0" w:line="28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Alignment: </w:t>
      </w:r>
      <w:r>
        <w:rPr>
          <w:rFonts w:ascii="Times New Roman" w:cs="Times New Roman" w:eastAsia="Times New Roman" w:hAnsi="Times New Roman"/>
          <w:sz w:val="18"/>
          <w:szCs w:val="18"/>
          <w:color w:val="auto"/>
        </w:rPr>
        <w:t>Link our NEOs’ incentive goals with the interests of our stockholders by providing equity-based compensation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establishing stock ownership guidelines for our NEOs;</w:t>
      </w:r>
    </w:p>
    <w:p>
      <w:pPr>
        <w:spacing w:after="0" w:line="181"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Success: </w:t>
      </w:r>
      <w:r>
        <w:rPr>
          <w:rFonts w:ascii="Times New Roman" w:cs="Times New Roman" w:eastAsia="Times New Roman" w:hAnsi="Times New Roman"/>
          <w:sz w:val="18"/>
          <w:szCs w:val="18"/>
          <w:color w:val="auto"/>
        </w:rPr>
        <w:t>Support and reward our NEOs for consistent performance over time and the achievement of our long-term strategic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align with the interests of our stockholders;</w:t>
      </w:r>
    </w:p>
    <w:p>
      <w:pPr>
        <w:spacing w:after="0" w:line="181" w:lineRule="exact"/>
        <w:rPr>
          <w:rFonts w:ascii="Times New Roman" w:cs="Times New Roman" w:eastAsia="Times New Roman" w:hAnsi="Times New Roman"/>
          <w:sz w:val="18"/>
          <w:szCs w:val="18"/>
          <w:color w:val="auto"/>
        </w:rPr>
      </w:pPr>
    </w:p>
    <w:p>
      <w:pPr>
        <w:ind w:left="660" w:right="300" w:hanging="328"/>
        <w:spacing w:after="0" w:line="28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Attraction and Retention: </w:t>
      </w:r>
      <w:r>
        <w:rPr>
          <w:rFonts w:ascii="Times New Roman" w:cs="Times New Roman" w:eastAsia="Times New Roman" w:hAnsi="Times New Roman"/>
          <w:sz w:val="18"/>
          <w:szCs w:val="18"/>
          <w:color w:val="auto"/>
        </w:rPr>
        <w:t>Attract and retain highly qualified executives whose abilities are critical to our success and competitive advantage;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181"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Promote Accountability and Discourage Excessive or Inappropriate Risk-Taking: </w:t>
      </w:r>
      <w:r>
        <w:rPr>
          <w:rFonts w:ascii="Times New Roman" w:cs="Times New Roman" w:eastAsia="Times New Roman" w:hAnsi="Times New Roman"/>
          <w:sz w:val="18"/>
          <w:szCs w:val="18"/>
          <w:color w:val="auto"/>
        </w:rPr>
        <w:t>Discourage excessive risk-taking by maintaining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guidelines, anti-hedging prohibitions, and clawback policies. The Committee also engaged Compensia to complete an executive compensation risk assessment, which has determined that our compensation programs do not create inappropriate or excessive risk that is likely to have a material adverse effect on our Company.</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 achieve these objectives, we have designed an executive compensation program that is significantly weighted towards long-term compensation; as noted above, over 80% of the 2025 total target direct executive compensation consisted of long-term equity incentives. This approach aids us in the retention of executive officers and assures that the interests of our executive officers and stockholders are 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620395</wp:posOffset>
            </wp:positionV>
            <wp:extent cx="240030" cy="2311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38</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43" w:name="page44"/>
    <w:bookmarkEnd w:id="43"/>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While we have identified particular compensation objectives that each element of executive compensation serves, our compensation program is designed to be flexible and complementary and to collectively serve all of the executive compensation objectives described above. In addition, the Committee regularly reviews the elements of executive compensation to assess whether they continue to be consistent with our compensation objectives. Accordingly, we believe that as a part of our overall executive compensation approach, each individual element, to a greater or lesser extent, serves each of our objectives.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Peer Group</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Committee determines executive compensation, in part, by reference to market data for the executives of a peer group of comparable companies. This market data from our compensation peer group is valuable to the Committee because it provides insight into competitive pay practices for each of the elements of total direct compensation as well as confirms the reasonableness of its compensation decisions. The Committee, with the assistance of Compensia, reviews and approves our compensation peer group annually to ensure it reflects industry or economic changes and our selection criteria. Our current selection criteria include U.S.-based software and internet services companies with trailing four quarters revenue between 50% and 200% of our trailing four quarters revenue and with a market capitalization between 50% and 300% of our market capitalization at the time of review.</w:t>
      </w:r>
    </w:p>
    <w:p>
      <w:pPr>
        <w:spacing w:after="0" w:line="228"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For purposes of 2025 compensation decisions, our Committee reviewed a formal compensation study and executive compensation market assessment prepared by Compensia in 2024, which included the following peer group companies:</w:t>
      </w:r>
    </w:p>
    <w:p>
      <w:pPr>
        <w:spacing w:after="0" w:line="234" w:lineRule="exact"/>
        <w:rPr>
          <w:sz w:val="20"/>
          <w:szCs w:val="20"/>
          <w:color w:val="auto"/>
        </w:rPr>
      </w:pPr>
    </w:p>
    <w:tbl>
      <w:tblPr>
        <w:tblLayout w:type="fixed"/>
        <w:tblInd w:w="2760" w:type="dxa"/>
        <w:tblCellMar>
          <w:top w:w="0" w:type="dxa"/>
          <w:left w:w="0" w:type="dxa"/>
          <w:bottom w:w="0" w:type="dxa"/>
          <w:right w:w="0" w:type="dxa"/>
        </w:tblCellMar>
      </w:tblPr>
      <w:tr>
        <w:trPr>
          <w:trHeight w:val="270"/>
        </w:trPr>
        <w:tc>
          <w:tcPr>
            <w:tcW w:w="25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Altair Engineering</w:t>
            </w:r>
          </w:p>
        </w:tc>
        <w:tc>
          <w:tcPr>
            <w:tcW w:w="3180" w:type="dxa"/>
            <w:vAlign w:val="bottom"/>
            <w:shd w:val="clear" w:color="auto" w:fill="DBDBDB"/>
          </w:tcPr>
          <w:p>
            <w:pPr>
              <w:ind w:left="320"/>
              <w:spacing w:after="0"/>
              <w:rPr>
                <w:sz w:val="20"/>
                <w:szCs w:val="20"/>
                <w:color w:val="auto"/>
              </w:rPr>
            </w:pPr>
            <w:r>
              <w:rPr>
                <w:rFonts w:ascii="Times New Roman" w:cs="Times New Roman" w:eastAsia="Times New Roman" w:hAnsi="Times New Roman"/>
                <w:sz w:val="18"/>
                <w:szCs w:val="18"/>
                <w:color w:val="auto"/>
              </w:rPr>
              <w:t>JFrog</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AppFolio</w:t>
            </w: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Manhattan Associates</w:t>
            </w:r>
          </w:p>
        </w:tc>
      </w:tr>
      <w:tr>
        <w:trPr>
          <w:trHeight w:val="27"/>
        </w:trPr>
        <w:tc>
          <w:tcPr>
            <w:tcW w:w="25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2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Appian</w:t>
            </w:r>
          </w:p>
        </w:tc>
        <w:tc>
          <w:tcPr>
            <w:tcW w:w="3180" w:type="dxa"/>
            <w:vAlign w:val="bottom"/>
            <w:tcBorders>
              <w:bottom w:val="single" w:sz="8" w:color="DBDBDB"/>
            </w:tcBorders>
            <w:shd w:val="clear" w:color="auto" w:fill="DBDBDB"/>
          </w:tcPr>
          <w:p>
            <w:pPr>
              <w:ind w:left="320"/>
              <w:spacing w:after="0"/>
              <w:rPr>
                <w:sz w:val="20"/>
                <w:szCs w:val="20"/>
                <w:color w:val="auto"/>
              </w:rPr>
            </w:pPr>
            <w:r>
              <w:rPr>
                <w:rFonts w:ascii="Times New Roman" w:cs="Times New Roman" w:eastAsia="Times New Roman" w:hAnsi="Times New Roman"/>
                <w:sz w:val="18"/>
                <w:szCs w:val="18"/>
                <w:color w:val="auto"/>
              </w:rPr>
              <w:t>nCino</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Asana</w:t>
            </w: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PagerDuty</w:t>
            </w:r>
          </w:p>
        </w:tc>
      </w:tr>
      <w:tr>
        <w:trPr>
          <w:trHeight w:val="27"/>
        </w:trPr>
        <w:tc>
          <w:tcPr>
            <w:tcW w:w="25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2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Blackline</w:t>
            </w:r>
          </w:p>
        </w:tc>
        <w:tc>
          <w:tcPr>
            <w:tcW w:w="3180" w:type="dxa"/>
            <w:vAlign w:val="bottom"/>
            <w:tcBorders>
              <w:bottom w:val="single" w:sz="8" w:color="DBDBDB"/>
            </w:tcBorders>
            <w:shd w:val="clear" w:color="auto" w:fill="DBDBDB"/>
          </w:tcPr>
          <w:p>
            <w:pPr>
              <w:ind w:left="320"/>
              <w:spacing w:after="0"/>
              <w:rPr>
                <w:sz w:val="20"/>
                <w:szCs w:val="20"/>
                <w:color w:val="auto"/>
              </w:rPr>
            </w:pPr>
            <w:r>
              <w:rPr>
                <w:rFonts w:ascii="Times New Roman" w:cs="Times New Roman" w:eastAsia="Times New Roman" w:hAnsi="Times New Roman"/>
                <w:sz w:val="18"/>
                <w:szCs w:val="18"/>
                <w:color w:val="auto"/>
              </w:rPr>
              <w:t>Paylocity Holding</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Clearwater Analytics Holdings</w:t>
            </w: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Qualys</w:t>
            </w:r>
          </w:p>
        </w:tc>
      </w:tr>
      <w:tr>
        <w:trPr>
          <w:trHeight w:val="27"/>
        </w:trPr>
        <w:tc>
          <w:tcPr>
            <w:tcW w:w="25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2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Confluent</w:t>
            </w:r>
          </w:p>
        </w:tc>
        <w:tc>
          <w:tcPr>
            <w:tcW w:w="3180" w:type="dxa"/>
            <w:vAlign w:val="bottom"/>
            <w:tcBorders>
              <w:bottom w:val="single" w:sz="8" w:color="DBDBDB"/>
            </w:tcBorders>
            <w:shd w:val="clear" w:color="auto" w:fill="DBDBDB"/>
          </w:tcPr>
          <w:p>
            <w:pPr>
              <w:ind w:left="320"/>
              <w:spacing w:after="0"/>
              <w:rPr>
                <w:sz w:val="20"/>
                <w:szCs w:val="20"/>
                <w:color w:val="auto"/>
              </w:rPr>
            </w:pPr>
            <w:r>
              <w:rPr>
                <w:rFonts w:ascii="Times New Roman" w:cs="Times New Roman" w:eastAsia="Times New Roman" w:hAnsi="Times New Roman"/>
                <w:sz w:val="18"/>
                <w:szCs w:val="18"/>
                <w:color w:val="auto"/>
              </w:rPr>
              <w:t>Smartsheet</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Doximity</w:t>
            </w: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Tenable Holdings</w:t>
            </w:r>
          </w:p>
        </w:tc>
      </w:tr>
      <w:tr>
        <w:trPr>
          <w:trHeight w:val="27"/>
        </w:trPr>
        <w:tc>
          <w:tcPr>
            <w:tcW w:w="25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2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GitLab</w:t>
            </w:r>
          </w:p>
        </w:tc>
        <w:tc>
          <w:tcPr>
            <w:tcW w:w="3180" w:type="dxa"/>
            <w:vAlign w:val="bottom"/>
            <w:tcBorders>
              <w:bottom w:val="single" w:sz="8" w:color="DBDBDB"/>
            </w:tcBorders>
            <w:shd w:val="clear" w:color="auto" w:fill="DBDBDB"/>
          </w:tcPr>
          <w:p>
            <w:pPr>
              <w:ind w:left="320"/>
              <w:spacing w:after="0"/>
              <w:rPr>
                <w:sz w:val="20"/>
                <w:szCs w:val="20"/>
                <w:color w:val="auto"/>
              </w:rPr>
            </w:pPr>
            <w:r>
              <w:rPr>
                <w:rFonts w:ascii="Times New Roman" w:cs="Times New Roman" w:eastAsia="Times New Roman" w:hAnsi="Times New Roman"/>
                <w:sz w:val="18"/>
                <w:szCs w:val="18"/>
                <w:color w:val="auto"/>
              </w:rPr>
              <w:t>Varonis Systems</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HashiCorp</w:t>
            </w: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Workiva</w:t>
            </w:r>
          </w:p>
        </w:tc>
      </w:tr>
      <w:tr>
        <w:trPr>
          <w:trHeight w:val="27"/>
        </w:trPr>
        <w:tc>
          <w:tcPr>
            <w:tcW w:w="25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43"/>
        </w:trPr>
        <w:tc>
          <w:tcPr>
            <w:tcW w:w="25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Jamf Holding</w:t>
            </w:r>
          </w:p>
        </w:tc>
        <w:tc>
          <w:tcPr>
            <w:tcW w:w="3180" w:type="dxa"/>
            <w:vAlign w:val="bottom"/>
            <w:shd w:val="clear" w:color="auto" w:fill="DBDBDB"/>
          </w:tcPr>
          <w:p>
            <w:pPr>
              <w:spacing w:after="0"/>
              <w:rPr>
                <w:sz w:val="21"/>
                <w:szCs w:val="21"/>
                <w:color w:val="auto"/>
              </w:rPr>
            </w:pPr>
          </w:p>
        </w:tc>
      </w:tr>
      <w:tr>
        <w:trPr>
          <w:trHeight w:val="27"/>
        </w:trPr>
        <w:tc>
          <w:tcPr>
            <w:tcW w:w="2560" w:type="dxa"/>
            <w:vAlign w:val="bottom"/>
            <w:shd w:val="clear" w:color="auto" w:fill="DBDBDB"/>
          </w:tcPr>
          <w:p>
            <w:pPr>
              <w:spacing w:after="0"/>
              <w:rPr>
                <w:sz w:val="2"/>
                <w:szCs w:val="2"/>
                <w:color w:val="auto"/>
              </w:rPr>
            </w:pPr>
          </w:p>
        </w:tc>
        <w:tc>
          <w:tcPr>
            <w:tcW w:w="3180" w:type="dxa"/>
            <w:vAlign w:val="bottom"/>
            <w:shd w:val="clear" w:color="auto" w:fill="DBDBDB"/>
          </w:tcPr>
          <w:p>
            <w:pPr>
              <w:spacing w:after="0"/>
              <w:rPr>
                <w:sz w:val="2"/>
                <w:szCs w:val="2"/>
                <w:color w:val="auto"/>
              </w:rPr>
            </w:pPr>
          </w:p>
        </w:tc>
      </w:tr>
    </w:tbl>
    <w:p>
      <w:pPr>
        <w:spacing w:after="0" w:line="31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comparison to the prior year peers, we added five companies and removed five companies. We removed Fastly, Q2 Holdings, Rapid7, and Zuora as those companies had market capitalization values below our comparison range, and we also removed Alteryx as the company was acquired. We added Altair Engineering, Clearwater Analytics Holdings, Confluent, JFrog, and Tenable Holdings because they met our selection criteria. We generally aim to have approximately 20 peer group members to have a sufficient number of companies for our data analysis.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Factors Considered in Compensation Deliberations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does not use a single method or measure in setting or approving the target total direct compensation opportunities for each individual compensation element for our NEOs, nor is the weighting of any one factor on the determination of pay elements and levels quantifiable in comparison to the other factors. The Committee begins with a review of the market data and then considers the factors below when selecting and setting the amount of each compensation element for our NEOs, which provides a framework for its compensation decision-making:</w:t>
      </w:r>
    </w:p>
    <w:p>
      <w:pPr>
        <w:spacing w:after="0" w:line="207"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compensation program objectives;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financial and operational goals and objectives established by the Committee and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476885</wp:posOffset>
            </wp:positionV>
            <wp:extent cx="240030" cy="2317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39</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44" w:name="page45"/>
    <w:bookmarkEnd w:id="4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600" w:hanging="328"/>
        <w:spacing w:after="0" w:line="261"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qualifications, knowledge, skills, experience, and tenure relative to other similarly situated executives at the companies in our compensation peer group;</w:t>
      </w:r>
    </w:p>
    <w:p>
      <w:pPr>
        <w:ind w:left="660" w:right="420" w:hanging="328"/>
        <w:spacing w:after="0" w:line="250"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NEO’s role and responsibilities compared to other similarly situated executives at the companies in our compensation peer group;</w:t>
      </w:r>
    </w:p>
    <w:p>
      <w:pPr>
        <w:ind w:left="660" w:right="240" w:hanging="328"/>
        <w:spacing w:after="0" w:line="250"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performance of each NEO, based on an assessment of their contributions to our overall performance, and ability to lead their business unit or function and drive company-wide strategy in collaboration with the entire executive team;</w:t>
      </w: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each NEO to contribute to our long-term financial, operational, and strategic objectives;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CEO’s compensation relative to that of our other executive officers, and compensation parity among our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relative to our peers;</w:t>
      </w:r>
    </w:p>
    <w:p>
      <w:pPr>
        <w:spacing w:after="0" w:line="9"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the positioning of each NEO’s compensation in a ranking of peer company compensation levels based on an analysis of competitive market data;</w:t>
      </w:r>
    </w:p>
    <w:p>
      <w:pPr>
        <w:ind w:left="660" w:right="140" w:hanging="328"/>
        <w:spacing w:after="0" w:line="250"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long-term incentive compensation, the value of unvested equity awards held by each of our NEOs, including the equity awards and other long-term compensation opportunities granted to each executive officer in prior years; and</w:t>
      </w: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provided by our CEO regarding the compensation of our other NEOs, as described below.</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factors provide the framework for decision-making by the Committee with respect to the compensation of each of our NEOs.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Base Salary</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Base salaries are used to recognize the experience, skills, knowledge, and responsibilities required of all our employees, including our NEOs. Initially at the time of their hire, base salaries for each of our NEOs were established based on arm’s-length negotiations between us and the executive and the other factors discussed below. Subsequently, our Committee reviews the base salaries of our NEOs annually at the end of each year for the following year, or in the case of NEOs who are promoted to an executive officer level position, at the time of their promotion. When negotiating or reviewing base salaries, the Committee considers market competitiveness based on experience, the executive’s expected future contribution to our success, the relative base salaries and responsibilities of our other executives, the executive’s prior year performance, and the market data of similarly situated roles in our compensation peer group.</w:t>
      </w:r>
    </w:p>
    <w:p>
      <w:pPr>
        <w:spacing w:after="0" w:line="225"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The Committee increased the base salaries for Mr. Collins, Ms. Nelson and Mr. Juckniess for fiscal year 2025, based on performance and competitiveness with market data. When determining Mr. Collins’ initial base salary for 2024, the Committee considered the fact that he was a first-time public company CEO as related to the market data that included more seasoned public company CEOs. Based on the Committee’s evaluation of his performance in 2024, the Committee determined that it was appropriate to increase Mr. Collins’ base salary for 2025 to an amount more closely aligned with peer group compensation. Mr. Thingelstad’s base salary remained the same for 2025 as in 2024. Mr. Rosini’s base salary was determined in connection with his recruitment and appointment as Executive Vice President &amp; Chief Commercial Officer.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 Base Salary ($)</w:t>
            </w:r>
          </w:p>
        </w:tc>
        <w:tc>
          <w:tcPr>
            <w:tcW w:w="23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2024 Base Salary ($)</w:t>
            </w:r>
          </w:p>
        </w:tc>
        <w:tc>
          <w:tcPr>
            <w:tcW w:w="180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37"/>
        </w:trPr>
        <w:tc>
          <w:tcPr>
            <w:tcW w:w="392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44"/>
        </w:trPr>
        <w:tc>
          <w:tcPr>
            <w:tcW w:w="39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3180" w:type="dxa"/>
            <w:vAlign w:val="bottom"/>
            <w:tcBorders>
              <w:bottom w:val="single" w:sz="8" w:color="DBDBDB"/>
            </w:tcBorders>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612,000</w:t>
            </w:r>
          </w:p>
        </w:tc>
        <w:tc>
          <w:tcPr>
            <w:tcW w:w="2340" w:type="dxa"/>
            <w:vAlign w:val="bottom"/>
            <w:tcBorders>
              <w:bottom w:val="single" w:sz="8" w:color="DBDBDB"/>
            </w:tcBorders>
            <w:shd w:val="clear" w:color="auto" w:fill="DBDBDB"/>
          </w:tcPr>
          <w:p>
            <w:pPr>
              <w:jc w:val="right"/>
              <w:ind w:right="433"/>
              <w:spacing w:after="0"/>
              <w:rPr>
                <w:sz w:val="20"/>
                <w:szCs w:val="20"/>
                <w:color w:val="auto"/>
              </w:rPr>
            </w:pPr>
            <w:r>
              <w:rPr>
                <w:rFonts w:ascii="Times New Roman" w:cs="Times New Roman" w:eastAsia="Times New Roman" w:hAnsi="Times New Roman"/>
                <w:sz w:val="18"/>
                <w:szCs w:val="18"/>
                <w:color w:val="auto"/>
              </w:rPr>
              <w:t>525,000</w:t>
            </w:r>
          </w:p>
        </w:tc>
        <w:tc>
          <w:tcPr>
            <w:tcW w:w="1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31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450,000</w:t>
            </w:r>
          </w:p>
        </w:tc>
        <w:tc>
          <w:tcPr>
            <w:tcW w:w="23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435,000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
        </w:trPr>
        <w:tc>
          <w:tcPr>
            <w:tcW w:w="39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9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Eduardo Rosini</w:t>
            </w:r>
          </w:p>
        </w:tc>
        <w:tc>
          <w:tcPr>
            <w:tcW w:w="3180" w:type="dxa"/>
            <w:vAlign w:val="bottom"/>
            <w:tcBorders>
              <w:bottom w:val="single" w:sz="8" w:color="DBDBDB"/>
            </w:tcBorders>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450,000</w:t>
            </w:r>
          </w:p>
        </w:tc>
        <w:tc>
          <w:tcPr>
            <w:tcW w:w="2340" w:type="dxa"/>
            <w:vAlign w:val="bottom"/>
            <w:tcBorders>
              <w:bottom w:val="single" w:sz="8" w:color="DBDBDB"/>
            </w:tcBorders>
            <w:shd w:val="clear" w:color="auto" w:fill="DBDBDB"/>
          </w:tcPr>
          <w:p>
            <w:pPr>
              <w:jc w:val="right"/>
              <w:ind w:right="373"/>
              <w:spacing w:after="0"/>
              <w:rPr>
                <w:sz w:val="20"/>
                <w:szCs w:val="20"/>
                <w:color w:val="auto"/>
              </w:rPr>
            </w:pPr>
            <w:r>
              <w:rPr>
                <w:rFonts w:ascii="Times New Roman" w:cs="Times New Roman" w:eastAsia="Times New Roman" w:hAnsi="Times New Roman"/>
                <w:sz w:val="18"/>
                <w:szCs w:val="18"/>
                <w:color w:val="auto"/>
              </w:rPr>
              <w:t>N/A</w:t>
            </w:r>
          </w:p>
        </w:tc>
        <w:tc>
          <w:tcPr>
            <w:tcW w:w="1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31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400,000</w:t>
            </w:r>
          </w:p>
        </w:tc>
        <w:tc>
          <w:tcPr>
            <w:tcW w:w="23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400,000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9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39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3180" w:type="dxa"/>
            <w:vAlign w:val="bottom"/>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435,000</w:t>
            </w:r>
          </w:p>
        </w:tc>
        <w:tc>
          <w:tcPr>
            <w:tcW w:w="2340" w:type="dxa"/>
            <w:vAlign w:val="bottom"/>
            <w:shd w:val="clear" w:color="auto" w:fill="DBDBDB"/>
          </w:tcPr>
          <w:p>
            <w:pPr>
              <w:jc w:val="right"/>
              <w:ind w:right="433"/>
              <w:spacing w:after="0"/>
              <w:rPr>
                <w:sz w:val="20"/>
                <w:szCs w:val="20"/>
                <w:color w:val="auto"/>
              </w:rPr>
            </w:pPr>
            <w:r>
              <w:rPr>
                <w:rFonts w:ascii="Times New Roman" w:cs="Times New Roman" w:eastAsia="Times New Roman" w:hAnsi="Times New Roman"/>
                <w:sz w:val="18"/>
                <w:szCs w:val="18"/>
                <w:color w:val="auto"/>
              </w:rPr>
              <w:t>425,000</w:t>
            </w:r>
          </w:p>
        </w:tc>
        <w:tc>
          <w:tcPr>
            <w:tcW w:w="1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
        </w:trPr>
        <w:tc>
          <w:tcPr>
            <w:tcW w:w="3920" w:type="dxa"/>
            <w:vAlign w:val="bottom"/>
            <w:shd w:val="clear" w:color="auto" w:fill="DBDBDB"/>
          </w:tcPr>
          <w:p>
            <w:pPr>
              <w:spacing w:after="0"/>
              <w:rPr>
                <w:sz w:val="2"/>
                <w:szCs w:val="2"/>
                <w:color w:val="auto"/>
              </w:rPr>
            </w:pPr>
          </w:p>
        </w:tc>
        <w:tc>
          <w:tcPr>
            <w:tcW w:w="3180" w:type="dxa"/>
            <w:vAlign w:val="bottom"/>
            <w:shd w:val="clear" w:color="auto" w:fill="DBDBDB"/>
          </w:tcPr>
          <w:p>
            <w:pPr>
              <w:spacing w:after="0"/>
              <w:rPr>
                <w:sz w:val="2"/>
                <w:szCs w:val="2"/>
                <w:color w:val="auto"/>
              </w:rPr>
            </w:pPr>
          </w:p>
        </w:tc>
        <w:tc>
          <w:tcPr>
            <w:tcW w:w="234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531495</wp:posOffset>
            </wp:positionV>
            <wp:extent cx="240030" cy="2311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40</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5" w:name="page46"/>
    <w:bookmarkEnd w:id="45"/>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Management Incentive Plan</w:t>
      </w:r>
    </w:p>
    <w:p>
      <w:pPr>
        <w:spacing w:after="0" w:line="14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NEOs participate in our Management Incentive Plan, which provides them with an opportunity to receive a formula-based cash bonus. The bonus is intended to motivate our executives to achieve specific financial goals that will drive the growth and success of our business.</w:t>
      </w:r>
    </w:p>
    <w:p>
      <w:pPr>
        <w:spacing w:after="0" w:line="10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formula-based bonus is determined by a target bonus opportunity (relative to the NEO’s base salary) for each NEO, which is established by the Committee at the beginning of each year. The Committee establishes the target bonus opportunity at an amount it believes is necessary to:</w:t>
      </w:r>
    </w:p>
    <w:p>
      <w:pPr>
        <w:spacing w:after="0" w:line="189"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overall total cash compensation in light of each NEO’s base salary;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to achieve an aggressive level of growth; 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our pay for performance compensation objective.</w:t>
      </w:r>
    </w:p>
    <w:p>
      <w:pPr>
        <w:spacing w:after="0" w:line="220"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For 2025, the target bonus opportunity percentages for each of Mr. Collins, Ms. Nelson, Mr. Thingelstad and Mr. Juckniess remained the same as in 2024, at 100% of base salary, 80% of base salary, 60% of base salary, and 100% of base salary, respectively. The amount of the bonus, if any, actually paid to the executives after the end of the year is determined by the matrix approved by the Committee. The matrix takes into account our revenues and earnings before interest, taxes, depreciation and amortization, stock-based compensation, and other adjustments (“Adjusted EBITDA”). Adjusted EBITDA is a non-GAAP financial measure. Refer to Appendix A in this Proxy Statement for a reconciliation of this non-GAAP financial measure to the corresponding GAAP measure.</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formula-based bonus is based on revenues and Adjusted EBITDA because our business strategy is for revenue growth and profitability of our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the Committee considers these two metrics the best way to measure our performance against our strategy. We use Adjusted EBITDA to measure our profitability because the Committee believes Adjusted EBITDA is a meaningful measure of our operating performance without regard to items such as depreciation and amortization, which can vary depending upon accounting methods and the book value of assets. The Committee annually evaluates the appropriate performance metrics that can incentivize our executive officers and drive stockholder value.</w:t>
      </w:r>
    </w:p>
    <w:p>
      <w:pPr>
        <w:spacing w:after="0" w:line="21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The matrix approved in late 2024 by the Compensation &amp; Talent Committee for 2025 provided that each executive would receive a percentage of their target formula-based bonus, between zero and 200%, based on our actual revenues and Adjusted EBITDA performance for the year, such that an executive would earn a 50% payout only when the minimum threshold of performance for each metric is achieved, a 100% payout when target level of performance for each metric is achieved, and a 200% payout only when the maximum level of performance for each metric is achieved. The weighting of the revenues and Adjusted EBITDA metrics is 50% each at the minimum threshold, target level and maximum level only, and varies at points between based on the approved matrix. In line with our pay-for-performance objective, if either the minimum revenue threshold or the minimum Adjusted EBITDA threshold was not achieved, zero bonus would be earned.</w:t>
      </w:r>
    </w:p>
    <w:p>
      <w:pPr>
        <w:spacing w:after="0" w:line="14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Per the Management Incentive Plan, the Committee has the ability to adjust the established thresholds for revenues and Adjusted EBITDA in the event we completed any acquisitions during the year to more closely reflect the Company’s actual operating performance. In 2025, the Committee adjusted thresholds for both revenue and Adjusted EBITDA based on the financial results of the Carbon6 Technologies acquisition.</w:t>
      </w:r>
    </w:p>
    <w:p>
      <w:pPr>
        <w:spacing w:after="0" w:line="189" w:lineRule="exact"/>
        <w:rPr>
          <w:sz w:val="20"/>
          <w:szCs w:val="20"/>
          <w:color w:val="auto"/>
        </w:rPr>
      </w:pPr>
    </w:p>
    <w:p>
      <w:pPr>
        <w:jc w:val="both"/>
        <w:ind w:right="140" w:firstLine="648"/>
        <w:spacing w:after="0" w:line="245" w:lineRule="auto"/>
        <w:rPr>
          <w:sz w:val="20"/>
          <w:szCs w:val="20"/>
          <w:color w:val="auto"/>
        </w:rPr>
      </w:pPr>
      <w:r>
        <w:rPr>
          <w:rFonts w:ascii="Times New Roman" w:cs="Times New Roman" w:eastAsia="Times New Roman" w:hAnsi="Times New Roman"/>
          <w:sz w:val="18"/>
          <w:szCs w:val="18"/>
          <w:color w:val="auto"/>
        </w:rPr>
        <w:t>The Committee approved the matrix with the intent that achieving 100% of an executive’s target bonus will be a difficult but achievable goal in light of the prior year’s results of operations and anticipated growth for 2025. As a result of 2025 performance, although Adjusted EBITDA was achieved at a level between the minimum and target thresholds, because the minimum revenue threshold was not met, the formula-based bonus for Messrs. Collins, Juckniess, and Thingelstad, and Ms. Nelson was determined to be earned at 0% of the target amount, and was not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469265</wp:posOffset>
            </wp:positionV>
            <wp:extent cx="240030" cy="2317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41</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46" w:name="page47"/>
    <w:bookmarkEnd w:id="4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below for the summary of the incentive factor thresholds, actual results, and corresponding earned incentive for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Incentive Factors</w:t>
            </w:r>
          </w:p>
        </w:tc>
        <w:tc>
          <w:tcPr>
            <w:tcW w:w="10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Minimum Incentive Threshold </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Target Incentive Threshold</w:t>
            </w:r>
          </w:p>
        </w:tc>
        <w:tc>
          <w:tcPr>
            <w:tcW w:w="100" w:type="dxa"/>
            <w:vAlign w:val="bottom"/>
          </w:tcPr>
          <w:p>
            <w:pPr>
              <w:spacing w:after="0"/>
              <w:rPr>
                <w:sz w:val="16"/>
                <w:szCs w:val="16"/>
                <w:color w:val="auto"/>
              </w:rPr>
            </w:pPr>
          </w:p>
        </w:tc>
        <w:tc>
          <w:tcPr>
            <w:tcW w:w="21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Maximum Incentive Threshold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Actual Results</w:t>
            </w:r>
          </w:p>
        </w:tc>
      </w:tr>
      <w:tr>
        <w:trPr>
          <w:trHeight w:val="37"/>
        </w:trPr>
        <w:tc>
          <w:tcPr>
            <w:tcW w:w="25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3"/>
        </w:trPr>
        <w:tc>
          <w:tcPr>
            <w:tcW w:w="25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bottom w:val="single" w:sz="8" w:color="DBDBDB"/>
            </w:tcBorders>
            <w:gridSpan w:val="2"/>
            <w:shd w:val="clear" w:color="auto" w:fill="DBDBDB"/>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DBDBDB"/>
            </w:tcBorders>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752,900,000</w:t>
            </w:r>
          </w:p>
        </w:tc>
        <w:tc>
          <w:tcPr>
            <w:tcW w:w="2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ind w:right="132"/>
              <w:spacing w:after="0"/>
              <w:rPr>
                <w:sz w:val="20"/>
                <w:szCs w:val="20"/>
                <w:color w:val="auto"/>
              </w:rPr>
            </w:pPr>
            <w:r>
              <w:rPr>
                <w:rFonts w:ascii="Times New Roman" w:cs="Times New Roman" w:eastAsia="Times New Roman" w:hAnsi="Times New Roman"/>
                <w:sz w:val="18"/>
                <w:szCs w:val="18"/>
                <w:color w:val="auto"/>
              </w:rPr>
              <w:t>760,900,000</w:t>
            </w:r>
          </w:p>
        </w:tc>
        <w:tc>
          <w:tcPr>
            <w:tcW w:w="420" w:type="dxa"/>
            <w:vAlign w:val="bottom"/>
            <w:tcBorders>
              <w:bottom w:val="single" w:sz="8" w:color="DBDBDB"/>
            </w:tcBorders>
            <w:gridSpan w:val="2"/>
            <w:shd w:val="clear" w:color="auto" w:fill="DBDBDB"/>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DBDBDB"/>
            </w:tcBorders>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770,900,000</w:t>
            </w:r>
          </w:p>
        </w:tc>
        <w:tc>
          <w:tcPr>
            <w:tcW w:w="360" w:type="dxa"/>
            <w:vAlign w:val="bottom"/>
            <w:tcBorders>
              <w:bottom w:val="single" w:sz="8" w:color="DBDBDB"/>
            </w:tcBorders>
            <w:gridSpan w:val="2"/>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DBDBDB"/>
            </w:tcBorders>
            <w:shd w:val="clear" w:color="auto" w:fill="DBDBDB"/>
          </w:tcPr>
          <w:p>
            <w:pPr>
              <w:jc w:val="right"/>
              <w:ind w:right="134"/>
              <w:spacing w:after="0"/>
              <w:rPr>
                <w:sz w:val="20"/>
                <w:szCs w:val="20"/>
                <w:color w:val="auto"/>
              </w:rPr>
            </w:pPr>
            <w:r>
              <w:rPr>
                <w:rFonts w:ascii="Times New Roman" w:cs="Times New Roman" w:eastAsia="Times New Roman" w:hAnsi="Times New Roman"/>
                <w:sz w:val="18"/>
                <w:szCs w:val="18"/>
                <w:color w:val="auto"/>
              </w:rPr>
              <w:t>751,504,707</w:t>
            </w:r>
          </w:p>
        </w:tc>
      </w:tr>
      <w:tr>
        <w:trPr>
          <w:trHeight w:val="32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229,600,000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231,600,000</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241,600,000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231,367,788</w:t>
            </w:r>
          </w:p>
        </w:tc>
      </w:tr>
      <w:tr>
        <w:trPr>
          <w:trHeight w:val="407"/>
        </w:trPr>
        <w:tc>
          <w:tcPr>
            <w:tcW w:w="25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Name(3)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Minimum Incentive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Target Incentive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Maximum Incentive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Earned Incentive</w:t>
            </w:r>
          </w:p>
        </w:tc>
      </w:tr>
      <w:tr>
        <w:trPr>
          <w:trHeight w:val="37"/>
        </w:trPr>
        <w:tc>
          <w:tcPr>
            <w:tcW w:w="25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3"/>
        </w:trPr>
        <w:tc>
          <w:tcPr>
            <w:tcW w:w="25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420" w:type="dxa"/>
            <w:vAlign w:val="bottom"/>
            <w:tcBorders>
              <w:bottom w:val="single" w:sz="8" w:color="DBDBDB"/>
            </w:tcBorders>
            <w:gridSpan w:val="2"/>
            <w:shd w:val="clear" w:color="auto" w:fill="DBDBDB"/>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DBDBDB"/>
            </w:tcBorders>
            <w:shd w:val="clear" w:color="auto" w:fill="DBDBDB"/>
          </w:tcPr>
          <w:p>
            <w:pPr>
              <w:jc w:val="right"/>
              <w:ind w:right="132"/>
              <w:spacing w:after="0"/>
              <w:rPr>
                <w:sz w:val="20"/>
                <w:szCs w:val="20"/>
                <w:color w:val="auto"/>
              </w:rPr>
            </w:pPr>
            <w:r>
              <w:rPr>
                <w:rFonts w:ascii="Times New Roman" w:cs="Times New Roman" w:eastAsia="Times New Roman" w:hAnsi="Times New Roman"/>
                <w:sz w:val="18"/>
                <w:szCs w:val="18"/>
                <w:color w:val="auto"/>
              </w:rPr>
              <w:t>306,000</w:t>
            </w: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DBDBDB"/>
            </w:tcBorders>
            <w:shd w:val="clear" w:color="auto" w:fill="DBDBDB"/>
          </w:tcPr>
          <w:p>
            <w:pPr>
              <w:jc w:val="right"/>
              <w:ind w:right="132"/>
              <w:spacing w:after="0"/>
              <w:rPr>
                <w:sz w:val="20"/>
                <w:szCs w:val="20"/>
                <w:color w:val="auto"/>
              </w:rPr>
            </w:pPr>
            <w:r>
              <w:rPr>
                <w:rFonts w:ascii="Times New Roman" w:cs="Times New Roman" w:eastAsia="Times New Roman" w:hAnsi="Times New Roman"/>
                <w:sz w:val="18"/>
                <w:szCs w:val="18"/>
                <w:color w:val="auto"/>
              </w:rPr>
              <w:t>612,000</w:t>
            </w:r>
          </w:p>
        </w:tc>
        <w:tc>
          <w:tcPr>
            <w:tcW w:w="420" w:type="dxa"/>
            <w:vAlign w:val="bottom"/>
            <w:tcBorders>
              <w:bottom w:val="single" w:sz="8" w:color="DBDBDB"/>
            </w:tcBorders>
            <w:gridSpan w:val="2"/>
            <w:shd w:val="clear" w:color="auto" w:fill="DBDBDB"/>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DBDBDB"/>
            </w:tcBorders>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1,224,000</w:t>
            </w:r>
          </w:p>
        </w:tc>
        <w:tc>
          <w:tcPr>
            <w:tcW w:w="360" w:type="dxa"/>
            <w:vAlign w:val="bottom"/>
            <w:tcBorders>
              <w:bottom w:val="single" w:sz="8" w:color="DBDBDB"/>
            </w:tcBorders>
            <w:gridSpan w:val="2"/>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DBDBDB"/>
            </w:tcBorders>
            <w:shd w:val="clear" w:color="auto" w:fill="DBDBDB"/>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360,000</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720,000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5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00" w:type="dxa"/>
            <w:vAlign w:val="bottom"/>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DBDBDB"/>
            </w:tcBorders>
            <w:shd w:val="clear" w:color="auto" w:fill="DBDBDB"/>
          </w:tcPr>
          <w:p>
            <w:pPr>
              <w:jc w:val="right"/>
              <w:ind w:right="132"/>
              <w:spacing w:after="0"/>
              <w:rPr>
                <w:sz w:val="20"/>
                <w:szCs w:val="20"/>
                <w:color w:val="auto"/>
              </w:rPr>
            </w:pPr>
            <w:r>
              <w:rPr>
                <w:rFonts w:ascii="Times New Roman" w:cs="Times New Roman" w:eastAsia="Times New Roman" w:hAnsi="Times New Roman"/>
                <w:sz w:val="18"/>
                <w:szCs w:val="18"/>
                <w:color w:val="auto"/>
              </w:rPr>
              <w:t>120,000</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DBDBDB"/>
            </w:tcBorders>
            <w:shd w:val="clear" w:color="auto" w:fill="DBDBDB"/>
          </w:tcPr>
          <w:p>
            <w:pPr>
              <w:jc w:val="right"/>
              <w:ind w:right="132"/>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DBDBDB"/>
            </w:tcBorders>
            <w:shd w:val="clear" w:color="auto" w:fill="DBDBDB"/>
          </w:tcPr>
          <w:p>
            <w:pPr>
              <w:jc w:val="right"/>
              <w:ind w:right="132"/>
              <w:spacing w:after="0"/>
              <w:rPr>
                <w:sz w:val="20"/>
                <w:szCs w:val="20"/>
                <w:color w:val="auto"/>
              </w:rPr>
            </w:pPr>
            <w:r>
              <w:rPr>
                <w:rFonts w:ascii="Times New Roman" w:cs="Times New Roman" w:eastAsia="Times New Roman" w:hAnsi="Times New Roman"/>
                <w:sz w:val="18"/>
                <w:szCs w:val="18"/>
                <w:color w:val="auto"/>
              </w:rPr>
              <w:t>480,000</w:t>
            </w:r>
          </w:p>
        </w:tc>
        <w:tc>
          <w:tcPr>
            <w:tcW w:w="80" w:type="dxa"/>
            <w:vAlign w:val="bottom"/>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DBDBDB"/>
            </w:tcBorders>
            <w:shd w:val="clear" w:color="auto" w:fill="DBDBDB"/>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217,500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435,000</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870,000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3"/>
        </w:trPr>
        <w:tc>
          <w:tcPr>
            <w:tcW w:w="2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2025 Proportion of Target</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7"/>
        </w:trPr>
        <w:tc>
          <w:tcPr>
            <w:tcW w:w="25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78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1680" w:type="dxa"/>
            <w:vAlign w:val="bottom"/>
            <w:shd w:val="clear" w:color="auto" w:fill="DBDBDB"/>
          </w:tcPr>
          <w:p>
            <w:pPr>
              <w:spacing w:after="0"/>
              <w:rPr>
                <w:sz w:val="2"/>
                <w:szCs w:val="2"/>
                <w:color w:val="auto"/>
              </w:rPr>
            </w:pPr>
          </w:p>
        </w:tc>
      </w:tr>
    </w:tbl>
    <w:p>
      <w:pPr>
        <w:spacing w:after="0" w:line="391" w:lineRule="exact"/>
        <w:rPr>
          <w:sz w:val="20"/>
          <w:szCs w:val="20"/>
          <w:color w:val="auto"/>
        </w:rPr>
      </w:pPr>
    </w:p>
    <w:p>
      <w:pPr>
        <w:ind w:left="340" w:right="420" w:hanging="8"/>
        <w:spacing w:after="0" w:line="281" w:lineRule="auto"/>
        <w:tabs>
          <w:tab w:leader="none" w:pos="56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either the minimum revenue threshold or the minimum Adjusted EBITDA threshold was not achieved, zero bonus would be earned. In 2025, the minimum revenue threshold for revenue was not achieved, and as a result, no incentive payout was made to the executive officers for 2025.</w:t>
      </w:r>
    </w:p>
    <w:p>
      <w:pPr>
        <w:spacing w:after="0" w:line="1" w:lineRule="exact"/>
        <w:rPr>
          <w:rFonts w:ascii="Times New Roman" w:cs="Times New Roman" w:eastAsia="Times New Roman" w:hAnsi="Times New Roman"/>
          <w:sz w:val="16"/>
          <w:szCs w:val="16"/>
          <w:color w:val="auto"/>
        </w:rPr>
      </w:pPr>
    </w:p>
    <w:p>
      <w:pPr>
        <w:ind w:left="340" w:right="80" w:hanging="8"/>
        <w:spacing w:after="0" w:line="272" w:lineRule="auto"/>
        <w:tabs>
          <w:tab w:leader="none" w:pos="56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financial measure. Refer to Appendix A in this Proxy Statement for a reconciliation of this non-GAAP financial measure to the corresponding GAAP measure.</w:t>
      </w:r>
    </w:p>
    <w:p>
      <w:pPr>
        <w:spacing w:after="0" w:line="1" w:lineRule="exact"/>
        <w:rPr>
          <w:rFonts w:ascii="Times New Roman" w:cs="Times New Roman" w:eastAsia="Times New Roman" w:hAnsi="Times New Roman"/>
          <w:sz w:val="16"/>
          <w:szCs w:val="16"/>
          <w:color w:val="auto"/>
        </w:rPr>
      </w:pPr>
    </w:p>
    <w:p>
      <w:pPr>
        <w:ind w:left="340" w:right="200" w:hanging="8"/>
        <w:spacing w:after="0" w:line="298" w:lineRule="auto"/>
        <w:tabs>
          <w:tab w:leader="none" w:pos="56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Rosini joined the Company effective as of December 1, 2025 and did not participate in the Management Incentive Plan for 2025, but received a cash signing bonus in the amount of $1 million.</w:t>
      </w:r>
    </w:p>
    <w:p>
      <w:pPr>
        <w:spacing w:after="0" w:line="1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7"/>
          <w:szCs w:val="17"/>
          <w:color w:val="auto"/>
        </w:rPr>
        <w:t>Each year, the Committee evaluates our Management Incentive Plan to assess its continued alignment with both our pay-for-performance philosophy and stockholder expectations. In 2026, the Committee will continue to utilize revenue and Adjusted EBITDA in our formula-based incentive plan. However, for 2026, the Committee has determined that the revenue and Adjusted EBITDA performance metrics will be measured separately, allocating an equal 50% weighting to each of these metrics, with a failure to achieve at least the threshold level of performance of the Adjusted EBITDA metric, but not the revenue metric, resulting in a zero bonus earned. Throughout 2026, the Committee will monitor the performance of certain additional metrics such as return on invested capital and free cash flow, to determine if those metrics are appropriate to incorporate into our plan design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Equity Awards</w:t>
      </w:r>
    </w:p>
    <w:p>
      <w:pPr>
        <w:spacing w:after="0" w:line="22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value of equity awards granted to our NEOs, when added to base salary and target bonus, reflect the total pay levels our Committee believes are appropriate based on the factors noted above, including positioning relative to the market data, each executive’s individual performance, and maintaining an overall competitive compensation package. We believe equity awards are an important element of compensation because they align our NEOs’ interests with those of our stockholders. Equity awards make up a significant portion of our NEOs’ total compensation package and we anticipate that equity compensation will remain a significant part of our executive compensation program in the future. Our equity awards will continue to be granted on an annual basis to ensure that a continued unvested equity component remains as a long-term incentive for each of our executives. When determining the size of the equity award for our NEOs, our Committee considers the executive’s position and responsibilities, internal pay equity, competitive market data, CEO recommendations for the other NEOs, and the anticipated future contribution the executive will make to our growth and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614045</wp:posOffset>
            </wp:positionV>
            <wp:extent cx="240030" cy="2311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42</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47" w:name="page48"/>
    <w:bookmarkEnd w:id="47"/>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late 2024, our Committee determined the target value of annual equity awards to be made to our NEOs in 2025, along with the other elements of 2025 compensation. Mr. Collins’ total target equity award value for 2025 was increased by 24% compared to 2024. The Committee believed his increase was appropriate to provide competitive compensation based on the significantly higher CEO compensation in our compensation peer group. For Ms. Nelson, Mr. Thingelstad and Mr. Juckniess, the Committee increased the total target value of their equity awards granted in 2025 by 2%, 8% and 6%, respectively, compared to 2024. The Committee believed these increases were appropriate based on increases in the market data for similar positions. The Committee also considered individual performance and the continued strong financial performance of the Company when determining the equity award amounts. Because Mr. Rosini joined the Company toward the end of 2025, instead of receiving an annual equity award for 2025, he received a new hire equity award of 80,525 RSUs as part of his recruitment as described above in “</w:t>
      </w:r>
      <w:r>
        <w:rPr>
          <w:rFonts w:ascii="Times New Roman" w:cs="Times New Roman" w:eastAsia="Times New Roman" w:hAnsi="Times New Roman"/>
          <w:sz w:val="18"/>
          <w:szCs w:val="18"/>
          <w:i w:val="1"/>
          <w:iCs w:val="1"/>
          <w:color w:val="auto"/>
        </w:rPr>
        <w:t>2025 Executive Compensation Highlights</w:t>
      </w:r>
      <w:r>
        <w:rPr>
          <w:rFonts w:ascii="Times New Roman" w:cs="Times New Roman" w:eastAsia="Times New Roman" w:hAnsi="Times New Roman"/>
          <w:sz w:val="18"/>
          <w:szCs w:val="18"/>
          <w:color w:val="auto"/>
        </w:rPr>
        <w:t>.” See below for the amount and mix of annual equity award types granted to our NEOs in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RSUs Granted</w:t>
      </w:r>
    </w:p>
    <w:p>
      <w:pPr>
        <w:spacing w:after="0" w:line="74"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 NEO</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 NEO Grant</w:t>
            </w:r>
          </w:p>
        </w:tc>
        <w:tc>
          <w:tcPr>
            <w:tcW w:w="100" w:type="dxa"/>
            <w:vAlign w:val="bottom"/>
          </w:tcPr>
          <w:p>
            <w:pPr>
              <w:spacing w:after="0"/>
              <w:rPr>
                <w:sz w:val="14"/>
                <w:szCs w:val="14"/>
                <w:color w:val="auto"/>
              </w:rPr>
            </w:pPr>
          </w:p>
        </w:tc>
        <w:tc>
          <w:tcPr>
            <w:tcW w:w="2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 NEO Grant</w:t>
            </w:r>
          </w:p>
        </w:tc>
        <w:tc>
          <w:tcPr>
            <w:tcW w:w="100" w:type="dxa"/>
            <w:vAlign w:val="bottom"/>
          </w:tcPr>
          <w:p>
            <w:pPr>
              <w:spacing w:after="0"/>
              <w:rPr>
                <w:sz w:val="14"/>
                <w:szCs w:val="14"/>
                <w:color w:val="auto"/>
              </w:rPr>
            </w:pPr>
          </w:p>
        </w:tc>
      </w:tr>
      <w:tr>
        <w:trPr>
          <w:trHeight w:val="204"/>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Target Value(1)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Date Value(2)</w:t>
            </w:r>
          </w:p>
        </w:tc>
        <w:tc>
          <w:tcPr>
            <w:tcW w:w="100" w:type="dxa"/>
            <w:vAlign w:val="bottom"/>
          </w:tcPr>
          <w:p>
            <w:pPr>
              <w:spacing w:after="0"/>
              <w:rPr>
                <w:sz w:val="17"/>
                <w:szCs w:val="17"/>
                <w:color w:val="auto"/>
              </w:rPr>
            </w:pPr>
          </w:p>
        </w:tc>
        <w:tc>
          <w:tcPr>
            <w:tcW w:w="2120" w:type="dxa"/>
            <w:vAlign w:val="bottom"/>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Units (#)</w:t>
            </w:r>
          </w:p>
        </w:tc>
        <w:tc>
          <w:tcPr>
            <w:tcW w:w="100" w:type="dxa"/>
            <w:vAlign w:val="bottom"/>
          </w:tcPr>
          <w:p>
            <w:pPr>
              <w:spacing w:after="0"/>
              <w:rPr>
                <w:sz w:val="17"/>
                <w:szCs w:val="17"/>
                <w:color w:val="auto"/>
              </w:rPr>
            </w:pPr>
          </w:p>
        </w:tc>
      </w:tr>
      <w:tr>
        <w:trPr>
          <w:trHeight w:val="37"/>
        </w:trPr>
        <w:tc>
          <w:tcPr>
            <w:tcW w:w="23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r>
      <w:tr>
        <w:trPr>
          <w:trHeight w:val="243"/>
        </w:trPr>
        <w:tc>
          <w:tcPr>
            <w:tcW w:w="23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00" w:type="dxa"/>
            <w:vAlign w:val="bottom"/>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5,218,500</w:t>
            </w:r>
          </w:p>
        </w:tc>
        <w:tc>
          <w:tcPr>
            <w:tcW w:w="80" w:type="dxa"/>
            <w:vAlign w:val="bottom"/>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5,218,381</w:t>
            </w:r>
          </w:p>
        </w:tc>
        <w:tc>
          <w:tcPr>
            <w:tcW w:w="100" w:type="dxa"/>
            <w:vAlign w:val="bottom"/>
            <w:shd w:val="clear" w:color="auto" w:fill="DBDBDB"/>
          </w:tcPr>
          <w:p>
            <w:pPr>
              <w:spacing w:after="0"/>
              <w:rPr>
                <w:sz w:val="21"/>
                <w:szCs w:val="21"/>
                <w:color w:val="auto"/>
              </w:rPr>
            </w:pPr>
          </w:p>
        </w:tc>
        <w:tc>
          <w:tcPr>
            <w:tcW w:w="2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35,691</w:t>
            </w:r>
          </w:p>
        </w:tc>
        <w:tc>
          <w:tcPr>
            <w:tcW w:w="100" w:type="dxa"/>
            <w:vAlign w:val="bottom"/>
            <w:shd w:val="clear" w:color="auto" w:fill="DBDBDB"/>
          </w:tcPr>
          <w:p>
            <w:pPr>
              <w:spacing w:after="0"/>
              <w:rPr>
                <w:sz w:val="21"/>
                <w:szCs w:val="21"/>
                <w:color w:val="auto"/>
              </w:rPr>
            </w:pPr>
          </w:p>
        </w:tc>
      </w:tr>
      <w:tr>
        <w:trPr>
          <w:trHeight w:val="24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2,299,883</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0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3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00" w:type="dxa"/>
            <w:vAlign w:val="bottom"/>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1,349,957</w:t>
            </w:r>
          </w:p>
        </w:tc>
        <w:tc>
          <w:tcPr>
            <w:tcW w:w="100" w:type="dxa"/>
            <w:vAlign w:val="bottom"/>
            <w:shd w:val="clear" w:color="auto" w:fill="DBDBDB"/>
          </w:tcPr>
          <w:p>
            <w:pPr>
              <w:spacing w:after="0"/>
              <w:rPr>
                <w:sz w:val="21"/>
                <w:szCs w:val="21"/>
                <w:color w:val="auto"/>
              </w:rPr>
            </w:pPr>
          </w:p>
        </w:tc>
        <w:tc>
          <w:tcPr>
            <w:tcW w:w="2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shd w:val="clear" w:color="auto" w:fill="DBDBDB"/>
          </w:tcPr>
          <w:p>
            <w:pPr>
              <w:spacing w:after="0"/>
              <w:rPr>
                <w:sz w:val="21"/>
                <w:szCs w:val="21"/>
                <w:color w:val="auto"/>
              </w:rPr>
            </w:pPr>
          </w:p>
        </w:tc>
      </w:tr>
      <w:tr>
        <w:trPr>
          <w:trHeight w:val="24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1,699,984</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00" w:type="dxa"/>
            <w:vAlign w:val="bottom"/>
          </w:tcPr>
          <w:p>
            <w:pPr>
              <w:spacing w:after="0"/>
              <w:rPr>
                <w:sz w:val="21"/>
                <w:szCs w:val="21"/>
                <w:color w:val="auto"/>
              </w:rPr>
            </w:pPr>
          </w:p>
        </w:tc>
      </w:tr>
    </w:tbl>
    <w:p>
      <w:pPr>
        <w:spacing w:after="0" w:line="94" w:lineRule="exact"/>
        <w:rPr>
          <w:sz w:val="20"/>
          <w:szCs w:val="20"/>
          <w:color w:val="auto"/>
        </w:rPr>
      </w:pPr>
    </w:p>
    <w:p>
      <w:pPr>
        <w:ind w:left="20" w:hanging="6"/>
        <w:spacing w:after="0" w:line="267" w:lineRule="auto"/>
        <w:tabs>
          <w:tab w:leader="none" w:pos="24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target dollar amounts for RSUs represent the values approved by the Committee for grant. The number of RSUs granted was determined by dividing the target dollar amount by the closing sale price for a share of the Company’s common stock on the grant date.</w:t>
      </w:r>
    </w:p>
    <w:p>
      <w:pPr>
        <w:ind w:left="20" w:right="260" w:hanging="6"/>
        <w:spacing w:after="0" w:line="260" w:lineRule="auto"/>
        <w:tabs>
          <w:tab w:leader="none" w:pos="24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fair value is as determined in accordance with ASC Topic 718. For a discussion of the relevant assumptions used to determine the valuation for financial reporting purposes, refer to Note A and Note K to the Notes to Consolidated Financial Statements included in our Annual Report on Form 10-K for the fiscal year ended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PSUs Granted</w:t>
      </w:r>
    </w:p>
    <w:p>
      <w:pPr>
        <w:spacing w:after="0" w:line="61" w:lineRule="exact"/>
        <w:rPr>
          <w:sz w:val="20"/>
          <w:szCs w:val="20"/>
          <w:color w:val="auto"/>
        </w:rPr>
      </w:pPr>
    </w:p>
    <w:tbl>
      <w:tblPr>
        <w:tblLayout w:type="fixed"/>
        <w:tblInd w:w="106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 NEO</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 NEO Grant</w:t>
            </w:r>
          </w:p>
        </w:tc>
        <w:tc>
          <w:tcPr>
            <w:tcW w:w="100" w:type="dxa"/>
            <w:vAlign w:val="bottom"/>
          </w:tcPr>
          <w:p>
            <w:pPr>
              <w:spacing w:after="0"/>
              <w:rPr>
                <w:sz w:val="15"/>
                <w:szCs w:val="15"/>
                <w:color w:val="auto"/>
              </w:rPr>
            </w:pPr>
          </w:p>
        </w:tc>
        <w:tc>
          <w:tcPr>
            <w:tcW w:w="21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 NEO Target Grant</w:t>
            </w:r>
          </w:p>
        </w:tc>
        <w:tc>
          <w:tcPr>
            <w:tcW w:w="100" w:type="dxa"/>
            <w:vAlign w:val="bottom"/>
          </w:tcPr>
          <w:p>
            <w:pPr>
              <w:spacing w:after="0"/>
              <w:rPr>
                <w:sz w:val="15"/>
                <w:szCs w:val="15"/>
                <w:color w:val="auto"/>
              </w:rPr>
            </w:pPr>
          </w:p>
        </w:tc>
      </w:tr>
      <w:tr>
        <w:trPr>
          <w:trHeight w:val="190"/>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Target Value(1)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Date Value(2)</w:t>
            </w:r>
          </w:p>
        </w:tc>
        <w:tc>
          <w:tcPr>
            <w:tcW w:w="100" w:type="dxa"/>
            <w:vAlign w:val="bottom"/>
          </w:tcPr>
          <w:p>
            <w:pPr>
              <w:spacing w:after="0"/>
              <w:rPr>
                <w:sz w:val="16"/>
                <w:szCs w:val="16"/>
                <w:color w:val="auto"/>
              </w:rPr>
            </w:pPr>
          </w:p>
        </w:tc>
        <w:tc>
          <w:tcPr>
            <w:tcW w:w="212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Units (#)</w:t>
            </w:r>
          </w:p>
        </w:tc>
        <w:tc>
          <w:tcPr>
            <w:tcW w:w="100" w:type="dxa"/>
            <w:vAlign w:val="bottom"/>
          </w:tcPr>
          <w:p>
            <w:pPr>
              <w:spacing w:after="0"/>
              <w:rPr>
                <w:sz w:val="16"/>
                <w:szCs w:val="16"/>
                <w:color w:val="auto"/>
              </w:rPr>
            </w:pPr>
          </w:p>
        </w:tc>
      </w:tr>
      <w:tr>
        <w:trPr>
          <w:trHeight w:val="37"/>
        </w:trPr>
        <w:tc>
          <w:tcPr>
            <w:tcW w:w="23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r>
      <w:tr>
        <w:trPr>
          <w:trHeight w:val="243"/>
        </w:trPr>
        <w:tc>
          <w:tcPr>
            <w:tcW w:w="23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00" w:type="dxa"/>
            <w:vAlign w:val="bottom"/>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5,218,500</w:t>
            </w:r>
          </w:p>
        </w:tc>
        <w:tc>
          <w:tcPr>
            <w:tcW w:w="80" w:type="dxa"/>
            <w:vAlign w:val="bottom"/>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5,571,323</w:t>
            </w:r>
          </w:p>
        </w:tc>
        <w:tc>
          <w:tcPr>
            <w:tcW w:w="100" w:type="dxa"/>
            <w:vAlign w:val="bottom"/>
            <w:shd w:val="clear" w:color="auto" w:fill="DBDBDB"/>
          </w:tcPr>
          <w:p>
            <w:pPr>
              <w:spacing w:after="0"/>
              <w:rPr>
                <w:sz w:val="21"/>
                <w:szCs w:val="21"/>
                <w:color w:val="auto"/>
              </w:rPr>
            </w:pPr>
          </w:p>
        </w:tc>
        <w:tc>
          <w:tcPr>
            <w:tcW w:w="2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100" w:type="dxa"/>
            <w:vAlign w:val="bottom"/>
            <w:shd w:val="clear" w:color="auto" w:fill="DBDBDB"/>
          </w:tcPr>
          <w:p>
            <w:pPr>
              <w:spacing w:after="0"/>
              <w:rPr>
                <w:sz w:val="21"/>
                <w:szCs w:val="21"/>
                <w:color w:val="auto"/>
              </w:rPr>
            </w:pPr>
          </w:p>
        </w:tc>
      </w:tr>
      <w:tr>
        <w:trPr>
          <w:trHeight w:val="24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2,455,434</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10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3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00" w:type="dxa"/>
            <w:vAlign w:val="bottom"/>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1,441,135</w:t>
            </w:r>
          </w:p>
        </w:tc>
        <w:tc>
          <w:tcPr>
            <w:tcW w:w="100" w:type="dxa"/>
            <w:vAlign w:val="bottom"/>
            <w:shd w:val="clear" w:color="auto" w:fill="DBDBDB"/>
          </w:tcPr>
          <w:p>
            <w:pPr>
              <w:spacing w:after="0"/>
              <w:rPr>
                <w:sz w:val="21"/>
                <w:szCs w:val="21"/>
                <w:color w:val="auto"/>
              </w:rPr>
            </w:pPr>
          </w:p>
        </w:tc>
        <w:tc>
          <w:tcPr>
            <w:tcW w:w="2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shd w:val="clear" w:color="auto" w:fill="DBDBDB"/>
          </w:tcPr>
          <w:p>
            <w:pPr>
              <w:spacing w:after="0"/>
              <w:rPr>
                <w:sz w:val="21"/>
                <w:szCs w:val="21"/>
                <w:color w:val="auto"/>
              </w:rPr>
            </w:pPr>
          </w:p>
        </w:tc>
      </w:tr>
      <w:tr>
        <w:trPr>
          <w:trHeight w:val="24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1,814,886</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tcPr>
          <w:p>
            <w:pPr>
              <w:spacing w:after="0"/>
              <w:rPr>
                <w:sz w:val="21"/>
                <w:szCs w:val="21"/>
                <w:color w:val="auto"/>
              </w:rPr>
            </w:pPr>
          </w:p>
        </w:tc>
      </w:tr>
    </w:tbl>
    <w:p>
      <w:pPr>
        <w:spacing w:after="0" w:line="135" w:lineRule="exact"/>
        <w:rPr>
          <w:sz w:val="20"/>
          <w:szCs w:val="20"/>
          <w:color w:val="auto"/>
        </w:rPr>
      </w:pPr>
    </w:p>
    <w:p>
      <w:pPr>
        <w:ind w:right="660" w:firstLine="8"/>
        <w:spacing w:after="0" w:line="260" w:lineRule="auto"/>
        <w:tabs>
          <w:tab w:leader="none" w:pos="22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target dollar amounts for PSUs represent the values approved by the Committee at the target level of achievement. The target number of PSUs granted was determined by dividing the target dollar amount by the closing sale price for a share of the Company’s common stock on the Nasdaq exchange on the grant date.</w:t>
      </w:r>
    </w:p>
    <w:p>
      <w:pPr>
        <w:ind w:right="280" w:firstLine="8"/>
        <w:spacing w:after="0" w:line="267" w:lineRule="auto"/>
        <w:tabs>
          <w:tab w:leader="none" w:pos="22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fair value is as determined in accordance with ASC Topic 718. For a discussion of the relevant assumptions used to determine the valuation for financial reporting purposes, refer to Note A and Note K to the Notes to Consolidated Financial Statements included in our Annual Report on Form 10-K for the fiscal year ended December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RSUs generally vest over four years and are intended to provide a strong retention component to the compensation program as they require the executives to maintain continuous employment with us in order for the awards to vest.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PSUs are earned over a three-year performance period depending on the Company’s performance during such performance period and reward the recipient’s continued employment. We believe PSUs further align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457200</wp:posOffset>
            </wp:positionV>
            <wp:extent cx="240030" cy="2311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43</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48" w:name="page49"/>
    <w:bookmarkEnd w:id="4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interests with those of our stockholders because the executives only earn the PSUs if certain performance goals are achieved.</w:t>
      </w:r>
    </w:p>
    <w:p>
      <w:pPr>
        <w:spacing w:after="0" w:line="17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PSUs granted in 2025 will be earned contingent upon successful attainment of predetermined TSR targets, relative to the Russell 2000 (the “Index”) over the course of the applicable performance period. PSUs vest in the quarter following the end of the performance period, upon the Committee’s certification of the level of performance and number of PSUs earned. The Index was selected because it is a major, broad index of stocks of which we are a component, and many members are similar in size to SPS. The three-year period was designed to provide a long-term performance period to align NEO compensation with long-term stockholder returns. The following table sets forth the TSR targets for PSUs granted to our NEOs in each of 2023, 2024, and 2025:</w:t>
      </w:r>
    </w:p>
    <w:p>
      <w:pPr>
        <w:spacing w:after="0" w:line="19" w:lineRule="exact"/>
        <w:rPr>
          <w:sz w:val="20"/>
          <w:szCs w:val="20"/>
          <w:color w:val="auto"/>
        </w:rPr>
      </w:pPr>
    </w:p>
    <w:tbl>
      <w:tblPr>
        <w:tblLayout w:type="fixed"/>
        <w:tblInd w:w="150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Percentage of Target PSUs</w:t>
            </w:r>
          </w:p>
        </w:tc>
      </w:tr>
      <w:tr>
        <w:trPr>
          <w:trHeight w:val="190"/>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TSR as Compared to Index TSR</w:t>
            </w:r>
          </w:p>
        </w:tc>
        <w:tc>
          <w:tcPr>
            <w:tcW w:w="198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Earned</w:t>
            </w:r>
          </w:p>
        </w:tc>
      </w:tr>
      <w:tr>
        <w:trPr>
          <w:trHeight w:val="37"/>
        </w:trPr>
        <w:tc>
          <w:tcPr>
            <w:tcW w:w="6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43"/>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Company TSR is more than 10% less than Index TSR</w:t>
            </w:r>
          </w:p>
        </w:tc>
        <w:tc>
          <w:tcPr>
            <w:tcW w:w="1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TSR is 10% less than Index TSR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(threshold)</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Company TSR is equal to Index TSR</w:t>
            </w:r>
          </w:p>
        </w:tc>
        <w:tc>
          <w:tcPr>
            <w:tcW w:w="1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TSR is 5% greater than Index TSR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(target)</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62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Company TSR is 30% greater than Index TSR</w:t>
            </w:r>
          </w:p>
        </w:tc>
        <w:tc>
          <w:tcPr>
            <w:tcW w:w="1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 (maximum)</w:t>
            </w:r>
          </w:p>
        </w:tc>
      </w:tr>
      <w:tr>
        <w:trPr>
          <w:trHeight w:val="27"/>
        </w:trPr>
        <w:tc>
          <w:tcPr>
            <w:tcW w:w="61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980" w:type="dxa"/>
            <w:vAlign w:val="bottom"/>
            <w:shd w:val="clear" w:color="auto" w:fill="DBDBDB"/>
          </w:tcPr>
          <w:p>
            <w:pPr>
              <w:spacing w:after="0"/>
              <w:rPr>
                <w:sz w:val="2"/>
                <w:szCs w:val="2"/>
                <w:color w:val="auto"/>
              </w:rPr>
            </w:pPr>
          </w:p>
        </w:tc>
      </w:tr>
    </w:tbl>
    <w:p>
      <w:pPr>
        <w:spacing w:after="0" w:line="23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the Company’s TSR is greater than the Index TSR but is negative, the percentage of target PSUs earned is capped at 100%. If the comparison of the Company’s TSR against the Index TSR falls between the levels specified in the above table, the corresponding PSUs earned will be determined by a linear interpolation.</w:t>
      </w:r>
    </w:p>
    <w:p>
      <w:pPr>
        <w:spacing w:after="0" w:line="12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early 2026, the Committee certified results for the 2023–2025 performance period for PSUs granted in 2023. Based on the Company’s TSR of (35)% relative to the Index TSR of 41% over the 2023–2025 performance period, the Company’s TSR was more than 10% less than the Index TSR and therefore threshold performance was not achieved. As a result, none of the PSUs granted in 2023 were earned or vested, and instead were forfeited.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The Role of the Committee, Consultants and NEOs in Determining Compensation</w:t>
      </w:r>
    </w:p>
    <w:p>
      <w:pPr>
        <w:spacing w:after="0" w:line="17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Historically and in 2025, the Committee has determined all elements of compensation for our NEOs. Generally, prior to making its compensation determinations, our CEO provides his review of the NEOs, other than himself, to the Committee. Our Committee engages Compensia, a national independent compensation consultant, to help evaluate our compensation philosophy and practices and to provide guidance in administering our compensation program. Our Committee has determined that Compensia is independent, knowledgeable and has access to a wealth of data to inform the Committee’s decisions. The Committee has not identified any conflicts of interest raised by the services provided by Compensia.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Other Compensation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75" w:lineRule="exact"/>
        <w:rPr>
          <w:sz w:val="20"/>
          <w:szCs w:val="20"/>
          <w:color w:val="auto"/>
        </w:rPr>
      </w:pPr>
    </w:p>
    <w:p>
      <w:pPr>
        <w:ind w:right="400" w:firstLine="648"/>
        <w:spacing w:after="0" w:line="278" w:lineRule="auto"/>
        <w:rPr>
          <w:sz w:val="20"/>
          <w:szCs w:val="20"/>
          <w:color w:val="auto"/>
        </w:rPr>
      </w:pPr>
      <w:r>
        <w:rPr>
          <w:rFonts w:ascii="Times New Roman" w:cs="Times New Roman" w:eastAsia="Times New Roman" w:hAnsi="Times New Roman"/>
          <w:sz w:val="18"/>
          <w:szCs w:val="18"/>
          <w:color w:val="auto"/>
        </w:rPr>
        <w:t>Under our stock ownership guidelines, we require our executive officers to beneficially own shares of our common stock with a value at least equal to the amount shown in the following schedule:</w:t>
      </w:r>
    </w:p>
    <w:tbl>
      <w:tblPr>
        <w:tblLayout w:type="fixed"/>
        <w:tblInd w:w="130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Ownership Requirement Relative to</w:t>
            </w:r>
          </w:p>
        </w:tc>
      </w:tr>
      <w:tr>
        <w:trPr>
          <w:trHeight w:val="19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r>
      <w:tr>
        <w:trPr>
          <w:trHeight w:val="37"/>
        </w:trPr>
        <w:tc>
          <w:tcPr>
            <w:tcW w:w="390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244"/>
        </w:trPr>
        <w:tc>
          <w:tcPr>
            <w:tcW w:w="398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3520" w:type="dxa"/>
            <w:vAlign w:val="bottom"/>
            <w:tcBorders>
              <w:bottom w:val="single" w:sz="8" w:color="DBDBDB"/>
            </w:tcBorders>
            <w:shd w:val="clear" w:color="auto" w:fill="DBDBDB"/>
          </w:tcPr>
          <w:p>
            <w:pPr>
              <w:ind w:left="1680"/>
              <w:spacing w:after="0"/>
              <w:rPr>
                <w:sz w:val="20"/>
                <w:szCs w:val="20"/>
                <w:color w:val="auto"/>
              </w:rPr>
            </w:pPr>
            <w:r>
              <w:rPr>
                <w:rFonts w:ascii="Times New Roman" w:cs="Times New Roman" w:eastAsia="Times New Roman" w:hAnsi="Times New Roman"/>
                <w:sz w:val="18"/>
                <w:szCs w:val="18"/>
                <w:color w:val="auto"/>
              </w:rPr>
              <w:t>3x</w:t>
            </w:r>
          </w:p>
        </w:tc>
      </w:tr>
      <w:tr>
        <w:trPr>
          <w:trHeight w:val="24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NEOs</w:t>
            </w:r>
          </w:p>
        </w:tc>
        <w:tc>
          <w:tcPr>
            <w:tcW w:w="3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1x</w:t>
            </w:r>
          </w:p>
        </w:tc>
      </w:tr>
    </w:tbl>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 executive officer has five years from the date they become subject to the ownership guidelines to achieve compliance with the guidelines. Until an executive officer has achieved compliance with the ownership guidelines, the individual must retain 50% of the shares acquired upon exercise, vesting or settlement of any equity award, net of shares otherwise deliverable to satisfy the payment of any applicable exercise price or tax withholding. The following shares do not count toward satisfaction of our ownership guidelines: (i) shares subject to a compensatory equity-based award of any kind that has not yet vested; and (ii) shares subject to an option,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471170</wp:posOffset>
            </wp:positionV>
            <wp:extent cx="240030" cy="2311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44</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9" w:name="page50"/>
    <w:bookmarkEnd w:id="49"/>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appreciation right, restricted stock unit, deferred stock unit or similar award that has not yet been exercised and is not in-the-money. Currently, unvested RSUs do not count toward the ownership level, but effective January 1, 2027, unvested RSUs with only a time-based vesting condition will count toward the ownership level. In addition, vested in-the-money options currently count toward the ownership level, but effective January 1, 2027, unexercised stock options will not count toward the ownership level. As of March 30, 2026, each of our current executive officers was in compliance with our stock ownership guidelines or had served less than five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Hedging, Pledging and Other Restricted Transactions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the Company’s securities by directors, officers and employees, that are reasonably designed to promote compliance with insider trading laws, rules and regulations, and listing standards applicable to the Company. Further, it is the Company’s policy that any transactions by the Company in its own securities will comply with applicable laws with respect to insider trading.</w:t>
      </w:r>
    </w:p>
    <w:p>
      <w:pPr>
        <w:spacing w:after="0" w:line="12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our Insider Trading Policy prohibits our directors, officers and employees and their immediate family members and others living in the same household from engaging in the following transactions with respect to our securities:</w:t>
      </w:r>
    </w:p>
    <w:p>
      <w:pPr>
        <w:spacing w:after="0" w:line="108" w:lineRule="exact"/>
        <w:rPr>
          <w:sz w:val="20"/>
          <w:szCs w:val="20"/>
          <w:color w:val="auto"/>
        </w:rPr>
      </w:pPr>
    </w:p>
    <w:p>
      <w:pPr>
        <w:ind w:left="760" w:hanging="311"/>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our securities in a margin account or pledging our securities as loan collateral;</w:t>
      </w:r>
    </w:p>
    <w:p>
      <w:pPr>
        <w:spacing w:after="0" w:line="27"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securities (selling securities not owned at the time of sale);</w:t>
      </w:r>
    </w:p>
    <w:p>
      <w:pPr>
        <w:spacing w:after="0" w:line="9"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transactions in puts, calls, or other derivative transactions relating to our securities; and</w:t>
      </w:r>
    </w:p>
    <w:p>
      <w:pPr>
        <w:spacing w:after="0" w:line="9" w:lineRule="exact"/>
        <w:rPr>
          <w:rFonts w:ascii="Times New Roman" w:cs="Times New Roman" w:eastAsia="Times New Roman" w:hAnsi="Times New Roman"/>
          <w:sz w:val="18"/>
          <w:szCs w:val="18"/>
          <w:color w:val="auto"/>
        </w:rPr>
      </w:pPr>
    </w:p>
    <w:p>
      <w:pPr>
        <w:ind w:left="780" w:right="100" w:hanging="331"/>
        <w:spacing w:after="0" w:line="260" w:lineRule="auto"/>
        <w:tabs>
          <w:tab w:leader="none" w:pos="7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any financial instruments (including prepaid variable forward contracts, equity swaps, zero cost collars and exchange funds) that are designed to hedge or offset any decrease in the market value of our securities.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Timing of Granting of Equity Awards</w:t>
      </w:r>
    </w:p>
    <w:p>
      <w:pPr>
        <w:spacing w:after="0" w:line="268" w:lineRule="exact"/>
        <w:rPr>
          <w:sz w:val="20"/>
          <w:szCs w:val="20"/>
          <w:color w:val="auto"/>
        </w:rPr>
      </w:pPr>
    </w:p>
    <w:p>
      <w:pPr>
        <w:jc w:val="both"/>
        <w:ind w:left="20" w:right="260" w:firstLine="648"/>
        <w:spacing w:after="0" w:line="261" w:lineRule="auto"/>
        <w:rPr>
          <w:sz w:val="20"/>
          <w:szCs w:val="20"/>
          <w:color w:val="auto"/>
        </w:rPr>
      </w:pPr>
      <w:r>
        <w:rPr>
          <w:rFonts w:ascii="Times New Roman" w:cs="Times New Roman" w:eastAsia="Times New Roman" w:hAnsi="Times New Roman"/>
          <w:sz w:val="18"/>
          <w:szCs w:val="18"/>
          <w:color w:val="auto"/>
        </w:rPr>
        <w:t>As discussed above under “</w:t>
      </w:r>
      <w:r>
        <w:rPr>
          <w:rFonts w:ascii="Times New Roman" w:cs="Times New Roman" w:eastAsia="Times New Roman" w:hAnsi="Times New Roman"/>
          <w:sz w:val="18"/>
          <w:szCs w:val="18"/>
          <w:i w:val="1"/>
          <w:iCs w:val="1"/>
          <w:color w:val="auto"/>
        </w:rPr>
        <w:t>Summary of Compensation Program Elements</w:t>
      </w:r>
      <w:r>
        <w:rPr>
          <w:rFonts w:ascii="Times New Roman" w:cs="Times New Roman" w:eastAsia="Times New Roman" w:hAnsi="Times New Roman"/>
          <w:sz w:val="18"/>
          <w:szCs w:val="18"/>
          <w:color w:val="auto"/>
        </w:rPr>
        <w:t>,” the Company awards equity in the form of RSUs and PSUs to our NEOs. While our 2010 Equity Incentive Plan authorizes the issuance of various equity awards, including stock options, we do not currently award stock options to our NEOs. The Company did not grant stock options to any NEO during 2025, but certain NEOs continue to hold non-qualified stock options from grants made in prior years.</w:t>
      </w:r>
    </w:p>
    <w:p>
      <w:pPr>
        <w:spacing w:after="0" w:line="195"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8"/>
          <w:szCs w:val="18"/>
          <w:color w:val="auto"/>
        </w:rPr>
        <w:t>The Committee generally follows a regular cadence for the purpose of determining annual awards. Typically in December of each year, the Committee approves the target dollar amount of the RSUs and PSUs to be granted to our executive officers, with the grant date of the RSUs to occur and the number of units to be determined following the public announcement of the fiscal year financial results. The numbers of RSUs and PSUs granted are determined by dividing the target dollar amount by the closing sale price for a share of the Company’s common stock on the grant date. RSUs that are granted on an annual basis vest 25% per year over four years on each anniversary of the grant date (for outstanding annual awards made prior to 2025, RSUs vested 25% on the first anniversary of the date of grant, and in a series of 36 equal monthly installments each month thereafter). PSUs are granted and performance thresholds are set at the beginning of each fiscal year as the start of a new three-year performance period. In addition, at the beginning of each fiscal year, the Company assesses its performance for the prior performance year. The achievement of performance levels, if any, is determined for outstanding PSUs for which the three-year performance period has concluded, and any earned PSUs vest on the date that the Committee determines the number of PSUs earned.</w:t>
      </w:r>
    </w:p>
    <w:p>
      <w:pPr>
        <w:spacing w:after="0" w:line="233" w:lineRule="exact"/>
        <w:rPr>
          <w:sz w:val="20"/>
          <w:szCs w:val="20"/>
          <w:color w:val="auto"/>
        </w:rPr>
      </w:pPr>
    </w:p>
    <w:p>
      <w:pPr>
        <w:ind w:left="20" w:right="120" w:firstLine="648"/>
        <w:spacing w:after="0" w:line="266" w:lineRule="auto"/>
        <w:rPr>
          <w:sz w:val="20"/>
          <w:szCs w:val="20"/>
          <w:color w:val="auto"/>
        </w:rPr>
      </w:pPr>
      <w:r>
        <w:rPr>
          <w:rFonts w:ascii="Times New Roman" w:cs="Times New Roman" w:eastAsia="Times New Roman" w:hAnsi="Times New Roman"/>
          <w:sz w:val="18"/>
          <w:szCs w:val="18"/>
          <w:color w:val="auto"/>
        </w:rPr>
        <w:t>As a result, in all cases, the timing of grants of equity awards occurs independent of the release of any material nonpublic information, and we do not have any program, plan, or practice to select equity award grant dates for executive officers in coordination with the release of material nonpublic information for the purpose of affecting the value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466090</wp:posOffset>
            </wp:positionV>
            <wp:extent cx="240030" cy="2311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45</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50" w:name="page51"/>
    <w:bookmarkEnd w:id="50"/>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7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maintain a clawback policy pursuant to, and in compliance with, Rule 10D-1 of the Exchange Act, SEC regulations promulgated thereunder, and applicable Nasdaq listing standards (the “Required Clawback Policy”), as well as a supplemental clawback policy (the “Supplemental Clawback Policy”).</w:t>
      </w:r>
    </w:p>
    <w:p>
      <w:pPr>
        <w:spacing w:after="0" w:line="20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 Required Clawback Policy applies to all incentive-based compensation, which is any compensation that is granted, earned, or vested based wholly or in part upon the attainment of a financial reporting measure, received by officers of the Company, as defined under Rule 16a-1(f) of the Exchange Act (“executive officers”). The Required Clawback Policy provides that, in the event of an accounting restatement due to material noncompliance of the Company with any financial reporting requirement, the Committee will determine the amount of the erroneously awarded compensation,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The Company will provide each such executive officer with a written notice of such amount and a demand for repayment or return. If such repayment or return is not made within a reasonable time, the Required Clawback Policy provides that the Company will recover the erroneously awarded compensation in a reasonable and prompt manner using any lawful method, subject to limited exceptions as permitted by Nasdaq listing standards.</w:t>
      </w:r>
    </w:p>
    <w:p>
      <w:pPr>
        <w:spacing w:after="0" w:line="2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Supplemental Clawback Policy provides that if any senior vice president or above (including all executive officers) of the Company is determined by the Committee to have engaged in misconduct, which means conduct resulting in either a violation of the law or of Company policy that has caused significant financial or reputational harm to the Company and either the individual committed the misconduct or failed in his or her responsibility to manage or monitor the applicable conduct or risks, then the Committee may determine to require recovery from such individual of any or all incentive compensation (which means any annual or long-term incentive compensation, including equity-based compensation) that was awarded, vested or paid or is scheduled to be vested or paid during any fiscal year in which the misconduct occurred. Upon the Committee determining the amount of compensation subject to recovery, the Company will provide the individual with a written notice of such amount and a demand for repayment or return. If such repayment or return is not made within a reasonable time, the Supplemental Clawback Policy provides that the Company shall recover the amount of such compensation in a reasonable and prompt manner using any lawful method determined by the Committee, subject to limited exceptions as permitted by Nasdaq listing standards.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Other Compensation</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Perquisites are not a material aspect of our executive compensation program. All of our full-time employees, including our NEOs, are eligible to participate in our 401(k) Plan and Employee Stock Purchase Plan (“ESPP”), subject to limitations established by law. In the 401(k) Plan, participants can contribute up to 80% of their compensation, subject to the limits established by law, and we match 50% of the participants’ contribution up to the first 6% of pre-tax annual compensation. A portion of our match is in Company stock, which is purchased in the open market by our plan provider and immediately deposited into the participants’ 401(k) accounts. Our ESPP allows participants to contribute up to 10% of their compensation, subject to limitations established by the law, to purchase common stock on an after-tax basis, at a price that is the lower of 85% of the fair market value of our common stock at the beginning or end of each stock purchase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465455</wp:posOffset>
            </wp:positionV>
            <wp:extent cx="240030" cy="2317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46</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51" w:name="page52"/>
    <w:bookmarkEnd w:id="51"/>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Severance, Change in Control, and Retirement Benefits</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an employment agreement with Mr. Collins, and all other current executive officers are participants in our Executive Management Team Severance Plan (“Executive Severance Plan”). Mr. Collins’ employment agreement, the Executive Severance Plan, and the terms of the applicable equity award agreements require us to provide certain payments and benefits to them in the event of specified events, including termination of employment, a change in control of the Company, and retirement, with certain conditions. We believe that these payments and benefits are necessary to both attract and retain our executives and that they are in the best interests of the Company and our stockholders as they help ensure that we will have the continued dedication and objectivity of our executives, notwithstanding the possibility or occurrence of a change in control or planned retirement. See further discussion on these agreements in the “</w:t>
      </w:r>
      <w:r>
        <w:rPr>
          <w:rFonts w:ascii="Times New Roman" w:cs="Times New Roman" w:eastAsia="Times New Roman" w:hAnsi="Times New Roman"/>
          <w:sz w:val="18"/>
          <w:szCs w:val="18"/>
          <w:i w:val="1"/>
          <w:iCs w:val="1"/>
          <w:color w:val="auto"/>
        </w:rPr>
        <w:t>Potential Payments Upon Termination, Retirement, or Change in Control</w:t>
      </w:r>
      <w:r>
        <w:rPr>
          <w:rFonts w:ascii="Times New Roman" w:cs="Times New Roman" w:eastAsia="Times New Roman" w:hAnsi="Times New Roman"/>
          <w:sz w:val="18"/>
          <w:szCs w:val="18"/>
          <w:color w:val="auto"/>
        </w:rPr>
        <w:t>”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Tax Deductibility of Compensation</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current federal tax laws, the Company expects that compensation paid to our NEOs in excess of $1 million will not be deductible. The Committee believes that stockholder interests are best served if its discretion and flexibility in structuring and awarding compensation is not restricted, even though some compensation awards result in non-deductible compensation expenses to the Company. Also, the Committee takes into account whether components of our compensation program may be subject to the penalty tax associated with Section 409A of the Internal Revenue Code and aims to structure the elements of compensation to be compliant with or exempt from Section 409A to avoid such potential adverse tax consequences.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Accounting Implications</w:t>
      </w:r>
    </w:p>
    <w:p>
      <w:pPr>
        <w:spacing w:after="0" w:line="25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Committee considers the impact of accounting treatment in developing and implementing our compensation programs, including the accounting treatment of amounts awarded or paid to our NEOs. We measure and recognize compensation expense in accordance with the corresponding accounting guidance, ASC 718, for stock-based payments, which requires that compensation expense relating to stock-based payment transactions be recognized in the financial statements based on the grant date fair value of the awards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Compensation &amp; Talent Committee Report</w:t>
      </w:r>
    </w:p>
    <w:p>
      <w:pPr>
        <w:spacing w:after="0" w:line="2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reviewed and discussed the Compensation Discussion and Analysis with management. We have recommended to the Board the inclusion of the Compensation Discussion and Analysis in the Company’s definitive Proxy Statement and incorporated by reference in the Company’s Annual Report on Form 10-K for the fiscal year ended December 31, 2025.</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&amp; Talent Committee of the Board of Directors of SPS Commerce,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Marty Réaume, </w:t>
      </w:r>
      <w:r>
        <w:rPr>
          <w:rFonts w:ascii="Times New Roman" w:cs="Times New Roman" w:eastAsia="Times New Roman" w:hAnsi="Times New Roman"/>
          <w:sz w:val="18"/>
          <w:szCs w:val="18"/>
          <w:i w:val="1"/>
          <w:iCs w:val="1"/>
          <w:color w:val="auto"/>
        </w:rPr>
        <w:t>Chair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Tami Reller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Philip 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476885</wp:posOffset>
            </wp:positionV>
            <wp:extent cx="240030" cy="2317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47</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2" w:name="page53"/>
    <w:bookmarkEnd w:id="5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2025 Summary Compensation Table*</w:t>
      </w: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to and earned by our NEOs in 2025,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00" w:type="dxa"/>
            <w:vAlign w:val="bottom"/>
          </w:tcPr>
          <w:p>
            <w:pPr>
              <w:spacing w:after="0"/>
              <w:rPr>
                <w:sz w:val="14"/>
                <w:szCs w:val="14"/>
                <w:color w:val="auto"/>
              </w:rPr>
            </w:pPr>
          </w:p>
        </w:tc>
        <w:tc>
          <w:tcPr>
            <w:tcW w:w="14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Plan Compensation ($)</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(3)</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23"/>
        </w:trPr>
        <w:tc>
          <w:tcPr>
            <w:tcW w:w="17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Chad Collins</w:t>
            </w:r>
            <w:r>
              <w:rPr>
                <w:rFonts w:ascii="Times New Roman" w:cs="Times New Roman" w:eastAsia="Times New Roman" w:hAnsi="Times New Roman"/>
                <w:sz w:val="18"/>
                <w:szCs w:val="18"/>
                <w:color w:val="auto"/>
                <w:vertAlign w:val="superscript"/>
              </w:rPr>
              <w:t>(4)</w:t>
            </w:r>
          </w:p>
        </w:tc>
        <w:tc>
          <w:tcPr>
            <w:tcW w:w="920" w:type="dxa"/>
            <w:vAlign w:val="bottom"/>
            <w:gridSpan w:val="2"/>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609,658</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10,789,704</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10,882</w:t>
            </w:r>
          </w:p>
        </w:tc>
        <w:tc>
          <w:tcPr>
            <w:tcW w:w="15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11,410,244</w:t>
            </w:r>
          </w:p>
        </w:tc>
        <w:tc>
          <w:tcPr>
            <w:tcW w:w="0" w:type="dxa"/>
            <w:vAlign w:val="bottom"/>
          </w:tcPr>
          <w:p>
            <w:pPr>
              <w:spacing w:after="0"/>
              <w:rPr>
                <w:sz w:val="1"/>
                <w:szCs w:val="1"/>
                <w:color w:val="auto"/>
              </w:rPr>
            </w:pPr>
          </w:p>
        </w:tc>
      </w:tr>
      <w:tr>
        <w:trPr>
          <w:trHeight w:val="193"/>
        </w:trPr>
        <w:tc>
          <w:tcPr>
            <w:tcW w:w="17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00" w:type="dxa"/>
            <w:vAlign w:val="bottom"/>
            <w:shd w:val="clear" w:color="auto" w:fill="DBDBDB"/>
          </w:tcPr>
          <w:p>
            <w:pPr>
              <w:spacing w:after="0"/>
              <w:rPr>
                <w:sz w:val="16"/>
                <w:szCs w:val="16"/>
                <w:color w:val="auto"/>
              </w:rPr>
            </w:pPr>
          </w:p>
        </w:tc>
        <w:tc>
          <w:tcPr>
            <w:tcW w:w="820" w:type="dxa"/>
            <w:vAlign w:val="bottom"/>
            <w:shd w:val="clear" w:color="auto" w:fill="DBDBDB"/>
          </w:tcPr>
          <w:p>
            <w:pPr>
              <w:ind w:left="26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13,239,826</w:t>
            </w:r>
          </w:p>
        </w:tc>
        <w:tc>
          <w:tcPr>
            <w:tcW w:w="16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630,000</w:t>
            </w:r>
          </w:p>
        </w:tc>
        <w:tc>
          <w:tcPr>
            <w:tcW w:w="15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15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14,405,176</w:t>
            </w:r>
          </w:p>
        </w:tc>
        <w:tc>
          <w:tcPr>
            <w:tcW w:w="0" w:type="dxa"/>
            <w:vAlign w:val="bottom"/>
          </w:tcPr>
          <w:p>
            <w:pPr>
              <w:spacing w:after="0"/>
              <w:rPr>
                <w:sz w:val="1"/>
                <w:szCs w:val="1"/>
                <w:color w:val="auto"/>
              </w:rPr>
            </w:pPr>
          </w:p>
        </w:tc>
      </w:tr>
      <w:tr>
        <w:trPr>
          <w:trHeight w:val="30"/>
        </w:trPr>
        <w:tc>
          <w:tcPr>
            <w:tcW w:w="17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20" w:type="dxa"/>
            <w:vAlign w:val="bottom"/>
            <w:vMerge w:val="restart"/>
            <w:shd w:val="clear" w:color="auto" w:fill="DBDBDB"/>
          </w:tcPr>
          <w:p>
            <w:pPr>
              <w:ind w:left="260"/>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shd w:val="clear" w:color="auto" w:fill="DBDBDB"/>
          </w:tcPr>
          <w:p>
            <w:pPr>
              <w:spacing w:after="0"/>
              <w:rPr>
                <w:sz w:val="2"/>
                <w:szCs w:val="2"/>
                <w:color w:val="auto"/>
              </w:rPr>
            </w:pPr>
          </w:p>
        </w:tc>
        <w:tc>
          <w:tcPr>
            <w:tcW w:w="10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121,000</w:t>
            </w:r>
          </w:p>
        </w:tc>
        <w:tc>
          <w:tcPr>
            <w:tcW w:w="116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131,250</w:t>
            </w:r>
          </w:p>
        </w:tc>
        <w:tc>
          <w:tcPr>
            <w:tcW w:w="152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6,499,877</w:t>
            </w:r>
          </w:p>
        </w:tc>
        <w:tc>
          <w:tcPr>
            <w:tcW w:w="100" w:type="dxa"/>
            <w:vAlign w:val="bottom"/>
            <w:shd w:val="clear" w:color="auto" w:fill="DBDBDB"/>
          </w:tcPr>
          <w:p>
            <w:pPr>
              <w:spacing w:after="0"/>
              <w:rPr>
                <w:sz w:val="2"/>
                <w:szCs w:val="2"/>
                <w:color w:val="auto"/>
              </w:rPr>
            </w:pPr>
          </w:p>
        </w:tc>
        <w:tc>
          <w:tcPr>
            <w:tcW w:w="15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2"/>
                <w:szCs w:val="2"/>
                <w:color w:val="auto"/>
              </w:rPr>
            </w:pPr>
          </w:p>
        </w:tc>
        <w:tc>
          <w:tcPr>
            <w:tcW w:w="14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6,752,127</w:t>
            </w:r>
          </w:p>
        </w:tc>
        <w:tc>
          <w:tcPr>
            <w:tcW w:w="0" w:type="dxa"/>
            <w:vAlign w:val="bottom"/>
          </w:tcPr>
          <w:p>
            <w:pPr>
              <w:spacing w:after="0" w:line="20" w:lineRule="exact"/>
              <w:rPr>
                <w:sz w:val="1"/>
                <w:szCs w:val="1"/>
                <w:color w:val="auto"/>
              </w:rPr>
            </w:pPr>
          </w:p>
        </w:tc>
      </w:tr>
      <w:tr>
        <w:trPr>
          <w:trHeight w:val="216"/>
        </w:trPr>
        <w:tc>
          <w:tcPr>
            <w:tcW w:w="17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vMerge w:val="continue"/>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vMerge w:val="continue"/>
            <w:shd w:val="clear" w:color="auto" w:fill="DBDBDB"/>
          </w:tcPr>
          <w:p>
            <w:pPr>
              <w:spacing w:after="0"/>
              <w:rPr>
                <w:sz w:val="18"/>
                <w:szCs w:val="18"/>
                <w:color w:val="auto"/>
              </w:rPr>
            </w:pPr>
          </w:p>
        </w:tc>
        <w:tc>
          <w:tcPr>
            <w:tcW w:w="1160" w:type="dxa"/>
            <w:vAlign w:val="bottom"/>
            <w:tcBorders>
              <w:bottom w:val="single" w:sz="8" w:color="DBDBDB"/>
            </w:tcBorders>
            <w:gridSpan w:val="2"/>
            <w:vMerge w:val="continue"/>
            <w:shd w:val="clear" w:color="auto" w:fill="DBDBDB"/>
          </w:tcPr>
          <w:p>
            <w:pPr>
              <w:spacing w:after="0"/>
              <w:rPr>
                <w:sz w:val="18"/>
                <w:szCs w:val="18"/>
                <w:color w:val="auto"/>
              </w:rPr>
            </w:pPr>
          </w:p>
        </w:tc>
        <w:tc>
          <w:tcPr>
            <w:tcW w:w="1520" w:type="dxa"/>
            <w:vAlign w:val="bottom"/>
            <w:tcBorders>
              <w:bottom w:val="single" w:sz="8" w:color="DBDBDB"/>
            </w:tcBorders>
            <w:gridSpan w:val="2"/>
            <w:vMerge w:val="continue"/>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540" w:type="dxa"/>
            <w:vAlign w:val="bottom"/>
            <w:tcBorders>
              <w:bottom w:val="single" w:sz="8" w:color="DBDBDB"/>
            </w:tcBorders>
            <w:vMerge w:val="continue"/>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80" w:type="dxa"/>
            <w:vAlign w:val="bottom"/>
            <w:tcBorders>
              <w:bottom w:val="single" w:sz="8" w:color="DBDBDB"/>
            </w:tcBorders>
            <w:vMerge w:val="continue"/>
            <w:shd w:val="clear" w:color="auto" w:fill="DBDBDB"/>
          </w:tcPr>
          <w:p>
            <w:pPr>
              <w:spacing w:after="0"/>
              <w:rPr>
                <w:sz w:val="18"/>
                <w:szCs w:val="18"/>
                <w:color w:val="auto"/>
              </w:rPr>
            </w:pPr>
          </w:p>
        </w:tc>
        <w:tc>
          <w:tcPr>
            <w:tcW w:w="1520" w:type="dxa"/>
            <w:vAlign w:val="bottom"/>
            <w:tcBorders>
              <w:bottom w:val="single" w:sz="8" w:color="DBDBDB"/>
            </w:tcBorders>
            <w:gridSpan w:val="2"/>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Kimberly Nelson</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449,596</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4,755,317</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5,216,127</w:t>
            </w:r>
          </w:p>
        </w:tc>
        <w:tc>
          <w:tcPr>
            <w:tcW w:w="0" w:type="dxa"/>
            <w:vAlign w:val="bottom"/>
          </w:tcPr>
          <w:p>
            <w:pPr>
              <w:spacing w:after="0"/>
              <w:rPr>
                <w:sz w:val="1"/>
                <w:szCs w:val="1"/>
                <w:color w:val="auto"/>
              </w:rPr>
            </w:pPr>
          </w:p>
        </w:tc>
      </w:tr>
      <w:tr>
        <w:trPr>
          <w:trHeight w:val="215"/>
        </w:trPr>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Former Executive Vice</w:t>
            </w:r>
          </w:p>
        </w:tc>
        <w:tc>
          <w:tcPr>
            <w:tcW w:w="9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435,000</w:t>
            </w:r>
          </w:p>
        </w:tc>
        <w:tc>
          <w:tcPr>
            <w:tcW w:w="1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4,594,234</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417,600</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5,457,184</w:t>
            </w:r>
          </w:p>
        </w:tc>
        <w:tc>
          <w:tcPr>
            <w:tcW w:w="0" w:type="dxa"/>
            <w:vAlign w:val="bottom"/>
          </w:tcPr>
          <w:p>
            <w:pPr>
              <w:spacing w:after="0"/>
              <w:rPr>
                <w:sz w:val="1"/>
                <w:szCs w:val="1"/>
                <w:color w:val="auto"/>
              </w:rPr>
            </w:pPr>
          </w:p>
        </w:tc>
      </w:tr>
      <w:tr>
        <w:trPr>
          <w:trHeight w:val="96"/>
        </w:trPr>
        <w:tc>
          <w:tcPr>
            <w:tcW w:w="17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i w:val="1"/>
                <w:iCs w:val="1"/>
                <w:color w:val="auto"/>
              </w:rPr>
              <w:t>President and</w:t>
            </w:r>
          </w:p>
        </w:tc>
        <w:tc>
          <w:tcPr>
            <w:tcW w:w="92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3,449,853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4,307,753</w:t>
            </w: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11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Eduardo Rosini</w:t>
            </w:r>
            <w:r>
              <w:rPr>
                <w:rFonts w:ascii="Times New Roman" w:cs="Times New Roman" w:eastAsia="Times New Roman" w:hAnsi="Times New Roman"/>
                <w:sz w:val="18"/>
                <w:szCs w:val="18"/>
                <w:color w:val="auto"/>
                <w:vertAlign w:val="superscript"/>
              </w:rPr>
              <w:t>(5)</w:t>
            </w:r>
          </w:p>
        </w:tc>
        <w:tc>
          <w:tcPr>
            <w:tcW w:w="920" w:type="dxa"/>
            <w:vAlign w:val="bottom"/>
            <w:gridSpan w:val="2"/>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25,962</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5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6,499,978</w:t>
            </w:r>
          </w:p>
        </w:tc>
        <w:tc>
          <w:tcPr>
            <w:tcW w:w="10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5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7,526,000</w:t>
            </w:r>
          </w:p>
        </w:tc>
        <w:tc>
          <w:tcPr>
            <w:tcW w:w="0" w:type="dxa"/>
            <w:vAlign w:val="bottom"/>
          </w:tcPr>
          <w:p>
            <w:pPr>
              <w:spacing w:after="0"/>
              <w:rPr>
                <w:sz w:val="1"/>
                <w:szCs w:val="1"/>
                <w:color w:val="auto"/>
              </w:rPr>
            </w:pPr>
          </w:p>
        </w:tc>
      </w:tr>
      <w:tr>
        <w:trPr>
          <w:trHeight w:val="191"/>
        </w:trPr>
        <w:tc>
          <w:tcPr>
            <w:tcW w:w="17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1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i w:val="1"/>
                <w:iCs w:val="1"/>
                <w:color w:val="auto"/>
              </w:rPr>
              <w:t>and</w:t>
            </w:r>
          </w:p>
        </w:tc>
        <w:tc>
          <w:tcPr>
            <w:tcW w:w="1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i w:val="1"/>
                <w:iCs w:val="1"/>
                <w:color w:val="auto"/>
              </w:rPr>
              <w:t>Chief Commercial</w:t>
            </w:r>
          </w:p>
        </w:tc>
        <w:tc>
          <w:tcPr>
            <w:tcW w:w="1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1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Borders>
              <w:bottom w:val="single" w:sz="8" w:color="DBDBDB"/>
            </w:tcBorders>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820" w:type="dxa"/>
            <w:vAlign w:val="bottom"/>
            <w:tcBorders>
              <w:bottom w:val="single" w:sz="8" w:color="DBDBDB"/>
            </w:tcBorders>
            <w:shd w:val="clear" w:color="auto" w:fill="DBDBDB"/>
          </w:tcPr>
          <w:p>
            <w:pPr>
              <w:spacing w:after="0"/>
              <w:rPr>
                <w:sz w:val="10"/>
                <w:szCs w:val="10"/>
                <w:color w:val="auto"/>
              </w:rPr>
            </w:pPr>
          </w:p>
        </w:tc>
        <w:tc>
          <w:tcPr>
            <w:tcW w:w="80" w:type="dxa"/>
            <w:vAlign w:val="bottom"/>
            <w:tcBorders>
              <w:bottom w:val="single" w:sz="8" w:color="DBDBDB"/>
            </w:tcBorders>
            <w:shd w:val="clear" w:color="auto" w:fill="DBDBDB"/>
          </w:tcPr>
          <w:p>
            <w:pPr>
              <w:spacing w:after="0"/>
              <w:rPr>
                <w:sz w:val="10"/>
                <w:szCs w:val="10"/>
                <w:color w:val="auto"/>
              </w:rPr>
            </w:pPr>
          </w:p>
        </w:tc>
        <w:tc>
          <w:tcPr>
            <w:tcW w:w="1060" w:type="dxa"/>
            <w:vAlign w:val="bottom"/>
            <w:tcBorders>
              <w:bottom w:val="single" w:sz="8" w:color="DBDBDB"/>
            </w:tcBorders>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060" w:type="dxa"/>
            <w:vAlign w:val="bottom"/>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420" w:type="dxa"/>
            <w:vAlign w:val="bottom"/>
            <w:tcBorders>
              <w:bottom w:val="single" w:sz="8" w:color="DBDBDB"/>
            </w:tcBorders>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540" w:type="dxa"/>
            <w:vAlign w:val="bottom"/>
            <w:tcBorders>
              <w:bottom w:val="single" w:sz="8" w:color="DBDBDB"/>
            </w:tcBorders>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480" w:type="dxa"/>
            <w:vAlign w:val="bottom"/>
            <w:tcBorders>
              <w:bottom w:val="single" w:sz="8" w:color="DBDBDB"/>
            </w:tcBorders>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420" w:type="dxa"/>
            <w:vAlign w:val="bottom"/>
            <w:tcBorders>
              <w:bottom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Jamie Thingelstad</w:t>
            </w:r>
            <w:r>
              <w:rPr>
                <w:rFonts w:ascii="Times New Roman" w:cs="Times New Roman" w:eastAsia="Times New Roman" w:hAnsi="Times New Roman"/>
                <w:sz w:val="18"/>
                <w:szCs w:val="18"/>
                <w:color w:val="auto"/>
                <w:vertAlign w:val="superscript"/>
              </w:rPr>
              <w:t>(6)</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2,791,092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10,778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3,201,870</w:t>
            </w:r>
          </w:p>
        </w:tc>
        <w:tc>
          <w:tcPr>
            <w:tcW w:w="0" w:type="dxa"/>
            <w:vAlign w:val="bottom"/>
          </w:tcPr>
          <w:p>
            <w:pPr>
              <w:spacing w:after="0"/>
              <w:rPr>
                <w:sz w:val="1"/>
                <w:szCs w:val="1"/>
                <w:color w:val="auto"/>
              </w:rPr>
            </w:pPr>
          </w:p>
        </w:tc>
      </w:tr>
      <w:tr>
        <w:trPr>
          <w:trHeight w:val="176"/>
        </w:trPr>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9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391,577</w:t>
            </w: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2,535,830</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285,000</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3,222,757</w:t>
            </w:r>
          </w:p>
        </w:tc>
        <w:tc>
          <w:tcPr>
            <w:tcW w:w="0" w:type="dxa"/>
            <w:vAlign w:val="bottom"/>
          </w:tcPr>
          <w:p>
            <w:pPr>
              <w:spacing w:after="0"/>
              <w:rPr>
                <w:sz w:val="1"/>
                <w:szCs w:val="1"/>
                <w:color w:val="auto"/>
              </w:rPr>
            </w:pPr>
          </w:p>
        </w:tc>
      </w:tr>
      <w:tr>
        <w:trPr>
          <w:trHeight w:val="96"/>
        </w:trPr>
        <w:tc>
          <w:tcPr>
            <w:tcW w:w="17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i w:val="1"/>
                <w:iCs w:val="1"/>
                <w:color w:val="auto"/>
              </w:rPr>
              <w:t>and</w:t>
            </w:r>
          </w:p>
        </w:tc>
        <w:tc>
          <w:tcPr>
            <w:tcW w:w="92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Chief Technology Officer</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11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80" w:type="dxa"/>
            <w:vAlign w:val="bottom"/>
            <w:gridSpan w:val="2"/>
          </w:tcPr>
          <w:p>
            <w:pPr>
              <w:spacing w:after="0"/>
              <w:rPr>
                <w:sz w:val="11"/>
                <w:szCs w:val="11"/>
                <w:color w:val="auto"/>
              </w:rPr>
            </w:pPr>
          </w:p>
        </w:tc>
        <w:tc>
          <w:tcPr>
            <w:tcW w:w="15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Dan Juckniess</w:t>
            </w:r>
            <w:r>
              <w:rPr>
                <w:rFonts w:ascii="Times New Roman" w:cs="Times New Roman" w:eastAsia="Times New Roman" w:hAnsi="Times New Roman"/>
                <w:sz w:val="18"/>
                <w:szCs w:val="18"/>
                <w:color w:val="auto"/>
                <w:vertAlign w:val="superscript"/>
              </w:rPr>
              <w:t>(6)(7)</w:t>
            </w:r>
          </w:p>
        </w:tc>
        <w:tc>
          <w:tcPr>
            <w:tcW w:w="920" w:type="dxa"/>
            <w:vAlign w:val="bottom"/>
            <w:gridSpan w:val="2"/>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434,231</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3,514,870</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1,723,223</w:t>
            </w:r>
          </w:p>
        </w:tc>
        <w:tc>
          <w:tcPr>
            <w:tcW w:w="15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5,672,324</w:t>
            </w:r>
          </w:p>
        </w:tc>
        <w:tc>
          <w:tcPr>
            <w:tcW w:w="0" w:type="dxa"/>
            <w:vAlign w:val="bottom"/>
          </w:tcPr>
          <w:p>
            <w:pPr>
              <w:spacing w:after="0"/>
              <w:rPr>
                <w:sz w:val="1"/>
                <w:szCs w:val="1"/>
                <w:color w:val="auto"/>
              </w:rPr>
            </w:pPr>
          </w:p>
        </w:tc>
      </w:tr>
      <w:tr>
        <w:trPr>
          <w:trHeight w:val="178"/>
        </w:trPr>
        <w:tc>
          <w:tcPr>
            <w:tcW w:w="174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4"/>
                <w:szCs w:val="14"/>
                <w:i w:val="1"/>
                <w:iCs w:val="1"/>
                <w:color w:val="auto"/>
              </w:rPr>
              <w:t>Former Executive Vice</w:t>
            </w:r>
          </w:p>
        </w:tc>
        <w:tc>
          <w:tcPr>
            <w:tcW w:w="10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ind w:left="26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410,000</w:t>
            </w:r>
          </w:p>
        </w:tc>
        <w:tc>
          <w:tcPr>
            <w:tcW w:w="10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5"/>
                <w:szCs w:val="15"/>
                <w:color w:val="auto"/>
              </w:rPr>
            </w:pPr>
          </w:p>
        </w:tc>
        <w:tc>
          <w:tcPr>
            <w:tcW w:w="14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3,239,221</w:t>
            </w:r>
          </w:p>
        </w:tc>
        <w:tc>
          <w:tcPr>
            <w:tcW w:w="100" w:type="dxa"/>
            <w:vAlign w:val="bottom"/>
            <w:shd w:val="clear" w:color="auto" w:fill="DBDBDB"/>
          </w:tcPr>
          <w:p>
            <w:pPr>
              <w:spacing w:after="0"/>
              <w:rPr>
                <w:sz w:val="15"/>
                <w:szCs w:val="15"/>
                <w:color w:val="auto"/>
              </w:rPr>
            </w:pPr>
          </w:p>
        </w:tc>
        <w:tc>
          <w:tcPr>
            <w:tcW w:w="15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457,500</w:t>
            </w:r>
          </w:p>
        </w:tc>
        <w:tc>
          <w:tcPr>
            <w:tcW w:w="100" w:type="dxa"/>
            <w:vAlign w:val="bottom"/>
            <w:shd w:val="clear" w:color="auto" w:fill="DBDBDB"/>
          </w:tcPr>
          <w:p>
            <w:pPr>
              <w:spacing w:after="0"/>
              <w:rPr>
                <w:sz w:val="15"/>
                <w:szCs w:val="15"/>
                <w:color w:val="auto"/>
              </w:rPr>
            </w:pPr>
          </w:p>
        </w:tc>
        <w:tc>
          <w:tcPr>
            <w:tcW w:w="14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100" w:type="dxa"/>
            <w:vAlign w:val="bottom"/>
            <w:shd w:val="clear" w:color="auto" w:fill="DBDBDB"/>
          </w:tcPr>
          <w:p>
            <w:pPr>
              <w:spacing w:after="0"/>
              <w:rPr>
                <w:sz w:val="15"/>
                <w:szCs w:val="15"/>
                <w:color w:val="auto"/>
              </w:rPr>
            </w:pPr>
          </w:p>
        </w:tc>
        <w:tc>
          <w:tcPr>
            <w:tcW w:w="14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4,117,071</w:t>
            </w:r>
          </w:p>
        </w:tc>
        <w:tc>
          <w:tcPr>
            <w:tcW w:w="0" w:type="dxa"/>
            <w:vAlign w:val="bottom"/>
          </w:tcPr>
          <w:p>
            <w:pPr>
              <w:spacing w:after="0"/>
              <w:rPr>
                <w:sz w:val="1"/>
                <w:szCs w:val="1"/>
                <w:color w:val="auto"/>
              </w:rPr>
            </w:pPr>
          </w:p>
        </w:tc>
      </w:tr>
      <w:tr>
        <w:trPr>
          <w:trHeight w:val="96"/>
        </w:trPr>
        <w:tc>
          <w:tcPr>
            <w:tcW w:w="1740" w:type="dxa"/>
            <w:vAlign w:val="bottom"/>
            <w:vMerge w:val="restart"/>
            <w:shd w:val="clear" w:color="auto" w:fill="DBDBDB"/>
          </w:tcPr>
          <w:p>
            <w:pPr>
              <w:ind w:left="200"/>
              <w:spacing w:after="0"/>
              <w:rPr>
                <w:sz w:val="20"/>
                <w:szCs w:val="20"/>
                <w:color w:val="auto"/>
              </w:rPr>
            </w:pPr>
            <w:r>
              <w:rPr>
                <w:rFonts w:ascii="Times New Roman" w:cs="Times New Roman" w:eastAsia="Times New Roman" w:hAnsi="Times New Roman"/>
                <w:sz w:val="14"/>
                <w:szCs w:val="14"/>
                <w:i w:val="1"/>
                <w:iCs w:val="1"/>
                <w:color w:val="auto"/>
              </w:rPr>
              <w:t>President and</w:t>
            </w:r>
          </w:p>
        </w:tc>
        <w:tc>
          <w:tcPr>
            <w:tcW w:w="100" w:type="dxa"/>
            <w:vAlign w:val="bottom"/>
            <w:shd w:val="clear" w:color="auto" w:fill="DBDBDB"/>
          </w:tcPr>
          <w:p>
            <w:pPr>
              <w:spacing w:after="0"/>
              <w:rPr>
                <w:sz w:val="8"/>
                <w:szCs w:val="8"/>
                <w:color w:val="auto"/>
              </w:rPr>
            </w:pPr>
          </w:p>
        </w:tc>
        <w:tc>
          <w:tcPr>
            <w:tcW w:w="820" w:type="dxa"/>
            <w:vAlign w:val="bottom"/>
            <w:vMerge w:val="continue"/>
            <w:shd w:val="clear" w:color="auto" w:fill="DBDBDB"/>
          </w:tcPr>
          <w:p>
            <w:pPr>
              <w:spacing w:after="0"/>
              <w:rPr>
                <w:sz w:val="8"/>
                <w:szCs w:val="8"/>
                <w:color w:val="auto"/>
              </w:rPr>
            </w:pPr>
          </w:p>
        </w:tc>
        <w:tc>
          <w:tcPr>
            <w:tcW w:w="1140" w:type="dxa"/>
            <w:vAlign w:val="bottom"/>
            <w:gridSpan w:val="2"/>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06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2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54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8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4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8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106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06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2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54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8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2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740" w:type="dxa"/>
            <w:vAlign w:val="bottom"/>
            <w:vMerge w:val="restart"/>
            <w:shd w:val="clear" w:color="auto" w:fill="DBDBDB"/>
          </w:tcPr>
          <w:p>
            <w:pPr>
              <w:ind w:left="200"/>
              <w:spacing w:after="0"/>
              <w:rPr>
                <w:sz w:val="20"/>
                <w:szCs w:val="20"/>
                <w:color w:val="auto"/>
              </w:rPr>
            </w:pPr>
            <w:r>
              <w:rPr>
                <w:rFonts w:ascii="Times New Roman" w:cs="Times New Roman" w:eastAsia="Times New Roman" w:hAnsi="Times New Roman"/>
                <w:sz w:val="14"/>
                <w:szCs w:val="14"/>
                <w:i w:val="1"/>
                <w:iCs w:val="1"/>
                <w:color w:val="auto"/>
              </w:rPr>
              <w:t>Chief Revenue Officer</w:t>
            </w:r>
          </w:p>
        </w:tc>
        <w:tc>
          <w:tcPr>
            <w:tcW w:w="10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7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5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4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360" w:hanging="332"/>
        <w:spacing w:after="0" w:line="257" w:lineRule="auto"/>
        <w:tabs>
          <w:tab w:leader="none" w:pos="33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for each of Mr. Collins and Mr. Rosini a cash bonus that was a component of initial compensation as reflected in his written offer letter regarding his appointment in 2023 as the Company’s Chief Executive Officer and in 2025 as the Company’s Executive Vice President &amp; Chief Commercial Officer, respectively.</w:t>
      </w:r>
    </w:p>
    <w:p>
      <w:pPr>
        <w:spacing w:after="0" w:line="1"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3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stock awards granted during the year determined in accordance with ASC Topic 718. For a discussion of the relevant assumptions used to determine the valuation for our equity awards for financial reporting purposes, refer to Note A and Note K to the Notes to Consolidated Financial Statements included in our Annual Report on Form 10-K for the fiscal year ended December 31, 2025. The grant date fair value of the stock-based awards granted in 2025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RSUs ($)</w:t>
            </w:r>
          </w:p>
        </w:tc>
        <w:tc>
          <w:tcPr>
            <w:tcW w:w="220" w:type="dxa"/>
            <w:vAlign w:val="bottom"/>
          </w:tcPr>
          <w:p>
            <w:pPr>
              <w:spacing w:after="0"/>
              <w:rPr>
                <w:sz w:val="17"/>
                <w:szCs w:val="17"/>
                <w:color w:val="auto"/>
              </w:rPr>
            </w:pPr>
          </w:p>
        </w:tc>
        <w:tc>
          <w:tcPr>
            <w:tcW w:w="200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PSUs ($)</w:t>
            </w:r>
            <w:r>
              <w:rPr>
                <w:rFonts w:ascii="Times New Roman" w:cs="Times New Roman" w:eastAsia="Times New Roman" w:hAnsi="Times New Roman"/>
                <w:sz w:val="9"/>
                <w:szCs w:val="9"/>
                <w:b w:val="1"/>
                <w:bCs w:val="1"/>
                <w:color w:val="auto"/>
              </w:rPr>
              <w:t>{A}</w:t>
            </w:r>
          </w:p>
        </w:tc>
        <w:tc>
          <w:tcPr>
            <w:tcW w:w="192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3"/>
        </w:trPr>
        <w:tc>
          <w:tcPr>
            <w:tcW w:w="51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900" w:type="dxa"/>
            <w:vAlign w:val="bottom"/>
            <w:tcBorders>
              <w:bottom w:val="single" w:sz="8" w:color="DBDBDB"/>
            </w:tcBorders>
            <w:shd w:val="clear" w:color="auto" w:fill="DBDBDB"/>
          </w:tcPr>
          <w:p>
            <w:pPr>
              <w:jc w:val="right"/>
              <w:ind w:right="153"/>
              <w:spacing w:after="0"/>
              <w:rPr>
                <w:sz w:val="20"/>
                <w:szCs w:val="20"/>
                <w:color w:val="auto"/>
              </w:rPr>
            </w:pPr>
            <w:r>
              <w:rPr>
                <w:rFonts w:ascii="Times New Roman" w:cs="Times New Roman" w:eastAsia="Times New Roman" w:hAnsi="Times New Roman"/>
                <w:sz w:val="18"/>
                <w:szCs w:val="18"/>
                <w:color w:val="auto"/>
              </w:rPr>
              <w:t>5,218,381</w:t>
            </w:r>
          </w:p>
        </w:tc>
        <w:tc>
          <w:tcPr>
            <w:tcW w:w="2120" w:type="dxa"/>
            <w:vAlign w:val="bottom"/>
            <w:tcBorders>
              <w:bottom w:val="single" w:sz="8" w:color="DBDBDB"/>
            </w:tcBorders>
            <w:gridSpan w:val="2"/>
            <w:shd w:val="clear" w:color="auto" w:fill="DBDBDB"/>
          </w:tcPr>
          <w:p>
            <w:pPr>
              <w:jc w:val="right"/>
              <w:ind w:right="139"/>
              <w:spacing w:after="0"/>
              <w:rPr>
                <w:sz w:val="20"/>
                <w:szCs w:val="20"/>
                <w:color w:val="auto"/>
              </w:rPr>
            </w:pPr>
            <w:r>
              <w:rPr>
                <w:rFonts w:ascii="Times New Roman" w:cs="Times New Roman" w:eastAsia="Times New Roman" w:hAnsi="Times New Roman"/>
                <w:sz w:val="18"/>
                <w:szCs w:val="18"/>
                <w:color w:val="auto"/>
              </w:rPr>
              <w:t>5,571,323</w:t>
            </w:r>
          </w:p>
        </w:tc>
        <w:tc>
          <w:tcPr>
            <w:tcW w:w="10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ind w:right="153"/>
              <w:spacing w:after="0"/>
              <w:rPr>
                <w:sz w:val="20"/>
                <w:szCs w:val="20"/>
                <w:color w:val="auto"/>
              </w:rPr>
            </w:pPr>
            <w:r>
              <w:rPr>
                <w:rFonts w:ascii="Times New Roman" w:cs="Times New Roman" w:eastAsia="Times New Roman" w:hAnsi="Times New Roman"/>
                <w:sz w:val="18"/>
                <w:szCs w:val="18"/>
                <w:color w:val="auto"/>
              </w:rPr>
              <w:t>10,789,704</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2,299,883</w:t>
            </w:r>
          </w:p>
        </w:tc>
        <w:tc>
          <w:tcPr>
            <w:tcW w:w="21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2,455,434</w:t>
            </w:r>
          </w:p>
        </w:tc>
        <w:tc>
          <w:tcPr>
            <w:tcW w:w="100" w:type="dxa"/>
            <w:vAlign w:val="bottom"/>
          </w:tcPr>
          <w:p>
            <w:pPr>
              <w:spacing w:after="0"/>
              <w:rPr>
                <w:sz w:val="21"/>
                <w:szCs w:val="21"/>
                <w:color w:val="auto"/>
              </w:rPr>
            </w:pPr>
          </w:p>
        </w:tc>
        <w:tc>
          <w:tcPr>
            <w:tcW w:w="19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4,755,317</w:t>
            </w: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0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Eduardo Rosini</w:t>
            </w:r>
          </w:p>
        </w:tc>
        <w:tc>
          <w:tcPr>
            <w:tcW w:w="1900" w:type="dxa"/>
            <w:vAlign w:val="bottom"/>
            <w:tcBorders>
              <w:bottom w:val="single" w:sz="8" w:color="DBDBDB"/>
            </w:tcBorders>
            <w:shd w:val="clear" w:color="auto" w:fill="DBDBDB"/>
          </w:tcPr>
          <w:p>
            <w:pPr>
              <w:jc w:val="right"/>
              <w:ind w:right="153"/>
              <w:spacing w:after="0"/>
              <w:rPr>
                <w:sz w:val="20"/>
                <w:szCs w:val="20"/>
                <w:color w:val="auto"/>
              </w:rPr>
            </w:pPr>
            <w:r>
              <w:rPr>
                <w:rFonts w:ascii="Times New Roman" w:cs="Times New Roman" w:eastAsia="Times New Roman" w:hAnsi="Times New Roman"/>
                <w:sz w:val="18"/>
                <w:szCs w:val="18"/>
                <w:color w:val="auto"/>
              </w:rPr>
              <w:t>6,499,978</w:t>
            </w:r>
          </w:p>
        </w:tc>
        <w:tc>
          <w:tcPr>
            <w:tcW w:w="220" w:type="dxa"/>
            <w:vAlign w:val="bottom"/>
            <w:shd w:val="clear" w:color="auto" w:fill="DBDBDB"/>
          </w:tcPr>
          <w:p>
            <w:pPr>
              <w:spacing w:after="0"/>
              <w:rPr>
                <w:sz w:val="21"/>
                <w:szCs w:val="21"/>
                <w:color w:val="auto"/>
              </w:rPr>
            </w:pPr>
          </w:p>
        </w:tc>
        <w:tc>
          <w:tcPr>
            <w:tcW w:w="200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DBDBDB"/>
            </w:tcBorders>
            <w:shd w:val="clear" w:color="auto" w:fill="DBDBDB"/>
          </w:tcPr>
          <w:p>
            <w:pPr>
              <w:jc w:val="right"/>
              <w:ind w:right="153"/>
              <w:spacing w:after="0"/>
              <w:rPr>
                <w:sz w:val="20"/>
                <w:szCs w:val="20"/>
                <w:color w:val="auto"/>
              </w:rPr>
            </w:pPr>
            <w:r>
              <w:rPr>
                <w:rFonts w:ascii="Times New Roman" w:cs="Times New Roman" w:eastAsia="Times New Roman" w:hAnsi="Times New Roman"/>
                <w:sz w:val="18"/>
                <w:szCs w:val="18"/>
                <w:color w:val="auto"/>
              </w:rPr>
              <w:t>6,499,978</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1,349,957</w:t>
            </w:r>
          </w:p>
        </w:tc>
        <w:tc>
          <w:tcPr>
            <w:tcW w:w="21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1,441,135</w:t>
            </w:r>
          </w:p>
        </w:tc>
        <w:tc>
          <w:tcPr>
            <w:tcW w:w="100" w:type="dxa"/>
            <w:vAlign w:val="bottom"/>
          </w:tcPr>
          <w:p>
            <w:pPr>
              <w:spacing w:after="0"/>
              <w:rPr>
                <w:sz w:val="21"/>
                <w:szCs w:val="21"/>
                <w:color w:val="auto"/>
              </w:rPr>
            </w:pPr>
          </w:p>
        </w:tc>
        <w:tc>
          <w:tcPr>
            <w:tcW w:w="19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2,791,092</w:t>
            </w: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520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900" w:type="dxa"/>
            <w:vAlign w:val="bottom"/>
            <w:shd w:val="clear" w:color="auto" w:fill="DBDBDB"/>
          </w:tcPr>
          <w:p>
            <w:pPr>
              <w:jc w:val="right"/>
              <w:ind w:right="153"/>
              <w:spacing w:after="0"/>
              <w:rPr>
                <w:sz w:val="20"/>
                <w:szCs w:val="20"/>
                <w:color w:val="auto"/>
              </w:rPr>
            </w:pPr>
            <w:r>
              <w:rPr>
                <w:rFonts w:ascii="Times New Roman" w:cs="Times New Roman" w:eastAsia="Times New Roman" w:hAnsi="Times New Roman"/>
                <w:sz w:val="18"/>
                <w:szCs w:val="18"/>
                <w:color w:val="auto"/>
              </w:rPr>
              <w:t>1,699,984</w:t>
            </w:r>
          </w:p>
        </w:tc>
        <w:tc>
          <w:tcPr>
            <w:tcW w:w="2120" w:type="dxa"/>
            <w:vAlign w:val="bottom"/>
            <w:gridSpan w:val="2"/>
            <w:shd w:val="clear" w:color="auto" w:fill="DBDBDB"/>
          </w:tcPr>
          <w:p>
            <w:pPr>
              <w:jc w:val="right"/>
              <w:ind w:right="139"/>
              <w:spacing w:after="0"/>
              <w:rPr>
                <w:sz w:val="20"/>
                <w:szCs w:val="20"/>
                <w:color w:val="auto"/>
              </w:rPr>
            </w:pPr>
            <w:r>
              <w:rPr>
                <w:rFonts w:ascii="Times New Roman" w:cs="Times New Roman" w:eastAsia="Times New Roman" w:hAnsi="Times New Roman"/>
                <w:sz w:val="18"/>
                <w:szCs w:val="18"/>
                <w:color w:val="auto"/>
              </w:rPr>
              <w:t>1,814,886</w:t>
            </w:r>
          </w:p>
        </w:tc>
        <w:tc>
          <w:tcPr>
            <w:tcW w:w="100" w:type="dxa"/>
            <w:vAlign w:val="bottom"/>
            <w:shd w:val="clear" w:color="auto" w:fill="DBDBDB"/>
          </w:tcPr>
          <w:p>
            <w:pPr>
              <w:spacing w:after="0"/>
              <w:rPr>
                <w:sz w:val="21"/>
                <w:szCs w:val="21"/>
                <w:color w:val="auto"/>
              </w:rPr>
            </w:pPr>
          </w:p>
        </w:tc>
        <w:tc>
          <w:tcPr>
            <w:tcW w:w="1920" w:type="dxa"/>
            <w:vAlign w:val="bottom"/>
            <w:shd w:val="clear" w:color="auto" w:fill="DBDBDB"/>
          </w:tcPr>
          <w:p>
            <w:pPr>
              <w:jc w:val="right"/>
              <w:ind w:right="153"/>
              <w:spacing w:after="0"/>
              <w:rPr>
                <w:sz w:val="20"/>
                <w:szCs w:val="20"/>
                <w:color w:val="auto"/>
              </w:rPr>
            </w:pPr>
            <w:r>
              <w:rPr>
                <w:rFonts w:ascii="Times New Roman" w:cs="Times New Roman" w:eastAsia="Times New Roman" w:hAnsi="Times New Roman"/>
                <w:sz w:val="18"/>
                <w:szCs w:val="18"/>
                <w:color w:val="auto"/>
              </w:rPr>
              <w:t>3,514,870</w:t>
            </w:r>
          </w:p>
        </w:tc>
      </w:tr>
      <w:tr>
        <w:trPr>
          <w:trHeight w:val="27"/>
        </w:trPr>
        <w:tc>
          <w:tcPr>
            <w:tcW w:w="51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90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9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539750</wp:posOffset>
            </wp:positionV>
            <wp:extent cx="240030" cy="2317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48</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3" w:name="page54"/>
    <w:bookmarkEnd w:id="5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right="440"/>
        <w:spacing w:after="0" w:line="278" w:lineRule="auto"/>
        <w:rPr>
          <w:sz w:val="20"/>
          <w:szCs w:val="20"/>
          <w:color w:val="auto"/>
        </w:rPr>
      </w:pPr>
      <w:r>
        <w:rPr>
          <w:rFonts w:ascii="Times New Roman" w:cs="Times New Roman" w:eastAsia="Times New Roman" w:hAnsi="Times New Roman"/>
          <w:sz w:val="18"/>
          <w:szCs w:val="18"/>
          <w:color w:val="auto"/>
        </w:rPr>
        <w:t>{A} Represents the grant date fair value of PSUs granted in 2025 at the target level. The maximum value of PSUs granted in 2025 for each NEO, defined as maximum shares at grant date share price, is as follows:</w:t>
      </w:r>
    </w:p>
    <w:tbl>
      <w:tblPr>
        <w:tblLayout w:type="fixed"/>
        <w:tblInd w:w="0" w:type="dxa"/>
        <w:tblCellMar>
          <w:top w:w="0" w:type="dxa"/>
          <w:left w:w="0" w:type="dxa"/>
          <w:bottom w:w="0" w:type="dxa"/>
          <w:right w:w="0" w:type="dxa"/>
        </w:tblCellMar>
      </w:tblP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20" w:type="dxa"/>
            <w:vAlign w:val="bottom"/>
          </w:tcPr>
          <w:p>
            <w:pPr>
              <w:jc w:val="right"/>
              <w:ind w:right="2274"/>
              <w:spacing w:after="0"/>
              <w:rPr>
                <w:sz w:val="20"/>
                <w:szCs w:val="20"/>
                <w:color w:val="auto"/>
              </w:rPr>
            </w:pPr>
            <w:r>
              <w:rPr>
                <w:rFonts w:ascii="Times New Roman" w:cs="Times New Roman" w:eastAsia="Times New Roman" w:hAnsi="Times New Roman"/>
                <w:sz w:val="14"/>
                <w:szCs w:val="14"/>
                <w:b w:val="1"/>
                <w:bCs w:val="1"/>
                <w:color w:val="auto"/>
              </w:rPr>
              <w:t>Maximum PSUs ($)</w:t>
            </w:r>
          </w:p>
        </w:tc>
      </w:tr>
      <w:tr>
        <w:trPr>
          <w:trHeight w:val="37"/>
        </w:trPr>
        <w:tc>
          <w:tcPr>
            <w:tcW w:w="524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5920" w:type="dxa"/>
            <w:vAlign w:val="bottom"/>
            <w:tcBorders>
              <w:bottom w:val="single" w:sz="8" w:color="auto"/>
            </w:tcBorders>
          </w:tcPr>
          <w:p>
            <w:pPr>
              <w:spacing w:after="0"/>
              <w:rPr>
                <w:sz w:val="3"/>
                <w:szCs w:val="3"/>
                <w:color w:val="auto"/>
              </w:rPr>
            </w:pPr>
          </w:p>
        </w:tc>
      </w:tr>
      <w:tr>
        <w:trPr>
          <w:trHeight w:val="244"/>
        </w:trPr>
        <w:tc>
          <w:tcPr>
            <w:tcW w:w="53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5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11,142,646</w:t>
            </w:r>
          </w:p>
        </w:tc>
      </w:tr>
      <w:tr>
        <w:trPr>
          <w:trHeight w:val="24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4,910,868</w:t>
            </w: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53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5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2,882,271</w:t>
            </w:r>
          </w:p>
        </w:tc>
      </w:tr>
      <w:tr>
        <w:trPr>
          <w:trHeight w:val="24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3,629,772</w:t>
            </w:r>
          </w:p>
        </w:tc>
      </w:tr>
    </w:tbl>
    <w:p>
      <w:pPr>
        <w:spacing w:after="0" w:line="346" w:lineRule="exact"/>
        <w:rPr>
          <w:sz w:val="20"/>
          <w:szCs w:val="20"/>
          <w:color w:val="auto"/>
        </w:rPr>
      </w:pPr>
    </w:p>
    <w:p>
      <w:pPr>
        <w:ind w:left="340" w:right="320" w:hanging="332"/>
        <w:spacing w:after="0" w:line="270" w:lineRule="auto"/>
        <w:tabs>
          <w:tab w:leader="none" w:pos="33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matching contributions under our 401(k) Plan and for 2025, premiums paid for basic life insurance: $382 (Collins and Thingelstad), $714 (Nelson and Juckniess), and $60 (Rosini). The amount shown for Mr. Juckniess in 2025 also includes $1,712,009, which was the value of his RSU awards that were accelerated in connection with his retirement on December 31, 2025. This amount includes $1,036,315 related to the acceleration of vesting of his RSUs granted in 2025, the grant date fair value of which ($1,699,984) is also included in the Stock Awards column.</w:t>
      </w:r>
    </w:p>
    <w:p>
      <w:pPr>
        <w:spacing w:after="0" w:line="2" w:lineRule="exact"/>
        <w:rPr>
          <w:rFonts w:ascii="Times New Roman" w:cs="Times New Roman" w:eastAsia="Times New Roman" w:hAnsi="Times New Roman"/>
          <w:sz w:val="17"/>
          <w:szCs w:val="17"/>
          <w:color w:val="auto"/>
        </w:rPr>
      </w:pPr>
    </w:p>
    <w:p>
      <w:pPr>
        <w:ind w:left="340" w:right="60" w:hanging="332"/>
        <w:spacing w:after="0" w:line="245" w:lineRule="auto"/>
        <w:tabs>
          <w:tab w:leader="none" w:pos="3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October 2, 2023, Mr. Collins was appointed our Chief Executive Officer. For 2024, Mr. Collins’ Stock Awards include a supplemental equity award of PSUs with a target value of approximately $4.5 million, as determined in connection with his recruitment and appointment as CEO in late 2023.</w:t>
      </w:r>
    </w:p>
    <w:p>
      <w:pPr>
        <w:spacing w:after="0" w:line="2" w:lineRule="exact"/>
        <w:rPr>
          <w:rFonts w:ascii="Times New Roman" w:cs="Times New Roman" w:eastAsia="Times New Roman" w:hAnsi="Times New Roman"/>
          <w:sz w:val="18"/>
          <w:szCs w:val="18"/>
          <w:color w:val="auto"/>
        </w:rPr>
      </w:pPr>
    </w:p>
    <w:p>
      <w:pPr>
        <w:ind w:left="340" w:right="120" w:hanging="332"/>
        <w:spacing w:after="0" w:line="239" w:lineRule="auto"/>
        <w:tabs>
          <w:tab w:leader="none" w:pos="3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1, 2025, Mr. Rosini was appointed our Executive Vice President &amp; Chief Commercial Officer. Mr. Rosini’s 2025 RSU award and his 2025 cash signing bonus were provided to him in order to incentivize him to leave his prior employment and to help offset the value of certain compensation forfeited by him in connection with his departure from his prior employment.</w:t>
      </w:r>
    </w:p>
    <w:p>
      <w:pPr>
        <w:ind w:left="340" w:right="200" w:hanging="332"/>
        <w:spacing w:after="0" w:line="250" w:lineRule="auto"/>
        <w:tabs>
          <w:tab w:leader="none" w:pos="3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amounts for 2023 for Mr. Thingelstad and Mr. Juckniess are not required to be disclosed because they were not NEOs in 2023. Their 2024 Salary amounts reflect their base salaries in effect for January 1 - May 31 prior to their respective promotions, and June 1 - December 31, 2024 following their promotions to become executive officers.</w:t>
      </w:r>
    </w:p>
    <w:p>
      <w:pPr>
        <w:spacing w:after="0" w:line="1" w:lineRule="exact"/>
        <w:rPr>
          <w:rFonts w:ascii="Times New Roman" w:cs="Times New Roman" w:eastAsia="Times New Roman" w:hAnsi="Times New Roman"/>
          <w:sz w:val="18"/>
          <w:szCs w:val="18"/>
          <w:color w:val="auto"/>
        </w:rPr>
      </w:pPr>
    </w:p>
    <w:p>
      <w:pPr>
        <w:ind w:left="340" w:right="460" w:hanging="332"/>
        <w:spacing w:after="0" w:line="260" w:lineRule="auto"/>
        <w:tabs>
          <w:tab w:leader="none" w:pos="3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Juckniess no longer served as an executive officer as of December 1, 2025 but remained an employee of the Company until his retirement on December 31, 2025.</w:t>
      </w:r>
    </w:p>
    <w:p>
      <w:pPr>
        <w:spacing w:after="0" w:line="206" w:lineRule="exact"/>
        <w:rPr>
          <w:sz w:val="20"/>
          <w:szCs w:val="20"/>
          <w:color w:val="auto"/>
        </w:rPr>
      </w:pPr>
    </w:p>
    <w:p>
      <w:pPr>
        <w:ind w:right="560" w:firstLine="8"/>
        <w:spacing w:after="0" w:line="284" w:lineRule="auto"/>
        <w:tabs>
          <w:tab w:leader="none" w:pos="270"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the “Compensation Discussion and Analysis” above for a description of our executive compensation criteria and decisions necessary for an understanding of the information disclosed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455930</wp:posOffset>
            </wp:positionV>
            <wp:extent cx="240030" cy="2317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49</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4" w:name="page55"/>
    <w:bookmarkEnd w:id="54"/>
    <w:p>
      <w:pPr>
        <w:ind w:left="132"/>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6866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
        <w:spacing w:after="0"/>
        <w:rPr>
          <w:sz w:val="20"/>
          <w:szCs w:val="20"/>
          <w:color w:val="auto"/>
        </w:rPr>
      </w:pPr>
      <w:r>
        <w:rPr>
          <w:rFonts w:ascii="Arial" w:cs="Arial" w:eastAsia="Arial" w:hAnsi="Arial"/>
          <w:sz w:val="20"/>
          <w:szCs w:val="20"/>
          <w:b w:val="1"/>
          <w:bCs w:val="1"/>
          <w:color w:val="auto"/>
        </w:rPr>
        <w:t>2025 Grants of Plan-Based Awards Table</w:t>
      </w:r>
    </w:p>
    <w:p>
      <w:pPr>
        <w:spacing w:after="0" w:line="26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grants of plan-based awards to our NEOs in 2025.</w:t>
      </w:r>
    </w:p>
    <w:p>
      <w:pPr>
        <w:spacing w:after="0" w:line="282" w:lineRule="exact"/>
        <w:rPr>
          <w:sz w:val="20"/>
          <w:szCs w:val="20"/>
          <w:color w:val="auto"/>
        </w:rPr>
      </w:pPr>
    </w:p>
    <w:tbl>
      <w:tblPr>
        <w:tblLayout w:type="fixed"/>
        <w:tblInd w:w="12" w:type="dxa"/>
        <w:tblCellMar>
          <w:top w:w="0" w:type="dxa"/>
          <w:left w:w="0" w:type="dxa"/>
          <w:bottom w:w="0" w:type="dxa"/>
          <w:right w:w="0" w:type="dxa"/>
        </w:tblCellMar>
      </w:tblP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 Non-Equity Incentive</w:t>
            </w:r>
          </w:p>
        </w:tc>
        <w:tc>
          <w:tcPr>
            <w:tcW w:w="100" w:type="dxa"/>
            <w:vAlign w:val="bottom"/>
          </w:tcPr>
          <w:p>
            <w:pPr>
              <w:spacing w:after="0"/>
              <w:rPr>
                <w:sz w:val="11"/>
                <w:szCs w:val="11"/>
                <w:color w:val="auto"/>
              </w:rPr>
            </w:pP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Estimated Future Payouts Under Equity Incentive Plan</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Plan Awards</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All Other Stock</w:t>
            </w: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Award: Number of</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 of Stock or</w:t>
            </w:r>
          </w:p>
        </w:tc>
        <w:tc>
          <w:tcPr>
            <w:tcW w:w="1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Grant Date Fair Value</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Borders>
              <w:bottom w:val="single" w:sz="8" w:color="DBDBDB"/>
            </w:tcBorders>
          </w:tcPr>
          <w:p>
            <w:pPr>
              <w:spacing w:after="0"/>
              <w:rPr>
                <w:sz w:val="15"/>
                <w:szCs w:val="15"/>
                <w:color w:val="auto"/>
              </w:rPr>
            </w:pPr>
          </w:p>
        </w:tc>
        <w:tc>
          <w:tcPr>
            <w:tcW w:w="8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00" w:type="dxa"/>
            <w:vAlign w:val="bottom"/>
            <w:tcBorders>
              <w:bottom w:val="single" w:sz="8" w:color="DBDBDB"/>
            </w:tcBorders>
          </w:tcPr>
          <w:p>
            <w:pPr>
              <w:spacing w:after="0"/>
              <w:rPr>
                <w:sz w:val="15"/>
                <w:szCs w:val="15"/>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100" w:type="dxa"/>
            <w:vAlign w:val="bottom"/>
            <w:tcBorders>
              <w:bottom w:val="single" w:sz="8" w:color="DBDBDB"/>
            </w:tcBorders>
          </w:tcPr>
          <w:p>
            <w:pPr>
              <w:spacing w:after="0"/>
              <w:rPr>
                <w:sz w:val="15"/>
                <w:szCs w:val="15"/>
                <w:color w:val="auto"/>
              </w:rPr>
            </w:pPr>
          </w:p>
        </w:tc>
        <w:tc>
          <w:tcPr>
            <w:tcW w:w="8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80" w:type="dxa"/>
            <w:vAlign w:val="bottom"/>
            <w:tcBorders>
              <w:bottom w:val="single" w:sz="8" w:color="DBDBDB"/>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Target ($)</w:t>
            </w:r>
          </w:p>
        </w:tc>
        <w:tc>
          <w:tcPr>
            <w:tcW w:w="80" w:type="dxa"/>
            <w:vAlign w:val="bottom"/>
            <w:tcBorders>
              <w:bottom w:val="single" w:sz="8" w:color="DBDBDB"/>
            </w:tcBorders>
          </w:tcPr>
          <w:p>
            <w:pPr>
              <w:spacing w:after="0"/>
              <w:rPr>
                <w:sz w:val="15"/>
                <w:szCs w:val="15"/>
                <w:color w:val="auto"/>
              </w:rPr>
            </w:pPr>
          </w:p>
        </w:tc>
        <w:tc>
          <w:tcPr>
            <w:tcW w:w="8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Maximum ($)</w:t>
            </w:r>
          </w:p>
        </w:tc>
        <w:tc>
          <w:tcPr>
            <w:tcW w:w="100" w:type="dxa"/>
            <w:vAlign w:val="bottom"/>
            <w:tcBorders>
              <w:bottom w:val="single" w:sz="8" w:color="DBDBDB"/>
            </w:tcBorders>
          </w:tcPr>
          <w:p>
            <w:pPr>
              <w:spacing w:after="0"/>
              <w:rPr>
                <w:sz w:val="15"/>
                <w:szCs w:val="15"/>
                <w:color w:val="auto"/>
              </w:rPr>
            </w:pPr>
          </w:p>
        </w:tc>
        <w:tc>
          <w:tcPr>
            <w:tcW w:w="8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80" w:type="dxa"/>
            <w:vAlign w:val="bottom"/>
            <w:tcBorders>
              <w:bottom w:val="single" w:sz="8" w:color="DBDBDB"/>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Target (#)</w:t>
            </w:r>
          </w:p>
        </w:tc>
        <w:tc>
          <w:tcPr>
            <w:tcW w:w="80" w:type="dxa"/>
            <w:vAlign w:val="bottom"/>
            <w:tcBorders>
              <w:bottom w:val="single" w:sz="8" w:color="DBDBDB"/>
            </w:tcBorders>
          </w:tcPr>
          <w:p>
            <w:pPr>
              <w:spacing w:after="0"/>
              <w:rPr>
                <w:sz w:val="15"/>
                <w:szCs w:val="15"/>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Maximum (#)</w:t>
            </w:r>
          </w:p>
        </w:tc>
        <w:tc>
          <w:tcPr>
            <w:tcW w:w="100" w:type="dxa"/>
            <w:vAlign w:val="bottom"/>
            <w:tcBorders>
              <w:bottom w:val="single" w:sz="8" w:color="DBDBDB"/>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Units (#)</w:t>
            </w:r>
          </w:p>
        </w:tc>
        <w:tc>
          <w:tcPr>
            <w:tcW w:w="100" w:type="dxa"/>
            <w:vAlign w:val="bottom"/>
            <w:tcBorders>
              <w:bottom w:val="single" w:sz="8" w:color="DBDBDB"/>
            </w:tcBorders>
          </w:tcPr>
          <w:p>
            <w:pPr>
              <w:spacing w:after="0"/>
              <w:rPr>
                <w:sz w:val="15"/>
                <w:szCs w:val="15"/>
                <w:color w:val="auto"/>
              </w:rPr>
            </w:pPr>
          </w:p>
        </w:tc>
        <w:tc>
          <w:tcPr>
            <w:tcW w:w="11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of Stock Awards ($)</w:t>
            </w:r>
            <w:r>
              <w:rPr>
                <w:rFonts w:ascii="Times New Roman" w:cs="Times New Roman" w:eastAsia="Times New Roman" w:hAnsi="Times New Roman"/>
                <w:sz w:val="14"/>
                <w:szCs w:val="14"/>
                <w:b w:val="1"/>
                <w:bCs w:val="1"/>
                <w:color w:val="auto"/>
                <w:w w:val="97"/>
                <w:vertAlign w:val="superscript"/>
              </w:rPr>
              <w:t>(1)</w:t>
            </w:r>
          </w:p>
        </w:tc>
        <w:tc>
          <w:tcPr>
            <w:tcW w:w="0" w:type="dxa"/>
            <w:vAlign w:val="bottom"/>
          </w:tcPr>
          <w:p>
            <w:pPr>
              <w:spacing w:after="0"/>
              <w:rPr>
                <w:sz w:val="1"/>
                <w:szCs w:val="1"/>
                <w:color w:val="auto"/>
              </w:rPr>
            </w:pPr>
          </w:p>
        </w:tc>
      </w:tr>
      <w:tr>
        <w:trPr>
          <w:trHeight w:val="147"/>
        </w:trPr>
        <w:tc>
          <w:tcPr>
            <w:tcW w:w="1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b w:val="1"/>
                <w:bCs w:val="1"/>
                <w:color w:val="auto"/>
              </w:rPr>
              <w:t>Chad Collins</w:t>
            </w:r>
          </w:p>
        </w:tc>
        <w:tc>
          <w:tcPr>
            <w:tcW w:w="8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(2)</w:t>
            </w:r>
          </w:p>
        </w:tc>
        <w:tc>
          <w:tcPr>
            <w:tcW w:w="8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306,000</w:t>
            </w:r>
          </w:p>
        </w:tc>
        <w:tc>
          <w:tcPr>
            <w:tcW w:w="9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612,000</w:t>
            </w:r>
          </w:p>
        </w:tc>
        <w:tc>
          <w:tcPr>
            <w:tcW w:w="9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1,224,000</w:t>
            </w:r>
          </w:p>
        </w:tc>
        <w:tc>
          <w:tcPr>
            <w:tcW w:w="100" w:type="dxa"/>
            <w:vAlign w:val="bottom"/>
            <w:shd w:val="clear" w:color="auto" w:fill="DBDBDB"/>
          </w:tcPr>
          <w:p>
            <w:pPr>
              <w:spacing w:after="0"/>
              <w:rPr>
                <w:sz w:val="18"/>
                <w:szCs w:val="18"/>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8"/>
                <w:szCs w:val="18"/>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8"/>
                <w:szCs w:val="18"/>
                <w:color w:val="auto"/>
              </w:rPr>
            </w:pPr>
          </w:p>
        </w:tc>
        <w:tc>
          <w:tcPr>
            <w:tcW w:w="84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(3)</w:t>
            </w:r>
          </w:p>
        </w:tc>
        <w:tc>
          <w:tcPr>
            <w:tcW w:w="8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1/2/2025</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12/3/2024</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11,418</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28,546</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57,092</w:t>
            </w:r>
          </w:p>
        </w:tc>
        <w:tc>
          <w:tcPr>
            <w:tcW w:w="100" w:type="dxa"/>
            <w:vAlign w:val="bottom"/>
            <w:shd w:val="clear" w:color="auto" w:fill="DBDBDB"/>
          </w:tcPr>
          <w:p>
            <w:pPr>
              <w:spacing w:after="0"/>
              <w:rPr>
                <w:sz w:val="16"/>
                <w:szCs w:val="16"/>
                <w:color w:val="auto"/>
              </w:rPr>
            </w:pPr>
          </w:p>
        </w:tc>
        <w:tc>
          <w:tcPr>
            <w:tcW w:w="10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5,571,323</w:t>
            </w:r>
          </w:p>
        </w:tc>
        <w:tc>
          <w:tcPr>
            <w:tcW w:w="0" w:type="dxa"/>
            <w:vAlign w:val="bottom"/>
          </w:tcPr>
          <w:p>
            <w:pPr>
              <w:spacing w:after="0"/>
              <w:rPr>
                <w:sz w:val="1"/>
                <w:szCs w:val="1"/>
                <w:color w:val="auto"/>
              </w:rPr>
            </w:pPr>
          </w:p>
        </w:tc>
      </w:tr>
      <w:tr>
        <w:trPr>
          <w:trHeight w:val="203"/>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(4)</w:t>
            </w:r>
          </w:p>
        </w:tc>
        <w:tc>
          <w:tcPr>
            <w:tcW w:w="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2/18/2025</w:t>
            </w:r>
          </w:p>
        </w:tc>
        <w:tc>
          <w:tcPr>
            <w:tcW w:w="1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12/3/2024</w:t>
            </w: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35,691</w:t>
            </w:r>
          </w:p>
        </w:tc>
        <w:tc>
          <w:tcPr>
            <w:tcW w:w="12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5,218,381</w:t>
            </w:r>
          </w:p>
        </w:tc>
        <w:tc>
          <w:tcPr>
            <w:tcW w:w="0" w:type="dxa"/>
            <w:vAlign w:val="bottom"/>
          </w:tcPr>
          <w:p>
            <w:pPr>
              <w:spacing w:after="0"/>
              <w:rPr>
                <w:sz w:val="1"/>
                <w:szCs w:val="1"/>
                <w:color w:val="auto"/>
              </w:rPr>
            </w:pPr>
          </w:p>
        </w:tc>
      </w:tr>
      <w:tr>
        <w:trPr>
          <w:trHeight w:val="153"/>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Kimberly Nelson</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(2)</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720,000</w:t>
            </w:r>
          </w:p>
        </w:tc>
        <w:tc>
          <w:tcPr>
            <w:tcW w:w="10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0"/>
                <w:szCs w:val="20"/>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12/3/2024</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5,032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12,581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25,162</w:t>
            </w:r>
          </w:p>
        </w:tc>
        <w:tc>
          <w:tcPr>
            <w:tcW w:w="100" w:type="dxa"/>
            <w:vAlign w:val="bottom"/>
          </w:tcPr>
          <w:p>
            <w:pPr>
              <w:spacing w:after="0"/>
              <w:rPr>
                <w:sz w:val="16"/>
                <w:szCs w:val="16"/>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2,455,434</w:t>
            </w:r>
          </w:p>
        </w:tc>
        <w:tc>
          <w:tcPr>
            <w:tcW w:w="0" w:type="dxa"/>
            <w:vAlign w:val="bottom"/>
          </w:tcPr>
          <w:p>
            <w:pPr>
              <w:spacing w:after="0"/>
              <w:rPr>
                <w:sz w:val="1"/>
                <w:szCs w:val="1"/>
                <w:color w:val="auto"/>
              </w:rPr>
            </w:pPr>
          </w:p>
        </w:tc>
      </w:tr>
      <w:tr>
        <w:trPr>
          <w:trHeight w:val="183"/>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2,299,883</w:t>
            </w:r>
          </w:p>
        </w:tc>
        <w:tc>
          <w:tcPr>
            <w:tcW w:w="0" w:type="dxa"/>
            <w:vAlign w:val="bottom"/>
          </w:tcPr>
          <w:p>
            <w:pPr>
              <w:spacing w:after="0"/>
              <w:rPr>
                <w:sz w:val="1"/>
                <w:szCs w:val="1"/>
                <w:color w:val="auto"/>
              </w:rPr>
            </w:pPr>
          </w:p>
        </w:tc>
      </w:tr>
      <w:tr>
        <w:trPr>
          <w:trHeight w:val="153"/>
        </w:trPr>
        <w:tc>
          <w:tcPr>
            <w:tcW w:w="1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b w:val="1"/>
                <w:bCs w:val="1"/>
                <w:color w:val="auto"/>
              </w:rPr>
              <w:t>Eduardo Rosini</w:t>
            </w:r>
          </w:p>
        </w:tc>
        <w:tc>
          <w:tcPr>
            <w:tcW w:w="8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80" w:type="dxa"/>
            <w:vAlign w:val="bottom"/>
            <w:vMerge w:val="restart"/>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(5)</w:t>
            </w:r>
          </w:p>
        </w:tc>
        <w:tc>
          <w:tcPr>
            <w:tcW w:w="8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140" w:type="dxa"/>
            <w:vAlign w:val="bottom"/>
            <w:gridSpan w:val="2"/>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vMerge w:val="continue"/>
            <w:shd w:val="clear" w:color="auto" w:fill="DBDBDB"/>
          </w:tcPr>
          <w:p>
            <w:pPr>
              <w:spacing w:after="0"/>
              <w:rPr>
                <w:sz w:val="17"/>
                <w:szCs w:val="17"/>
                <w:color w:val="auto"/>
              </w:rPr>
            </w:pPr>
          </w:p>
        </w:tc>
        <w:tc>
          <w:tcPr>
            <w:tcW w:w="9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12/1/2025</w:t>
            </w:r>
          </w:p>
        </w:tc>
        <w:tc>
          <w:tcPr>
            <w:tcW w:w="1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10/29/2025</w:t>
            </w: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80,525</w:t>
            </w:r>
          </w:p>
        </w:tc>
        <w:tc>
          <w:tcPr>
            <w:tcW w:w="1220" w:type="dxa"/>
            <w:vAlign w:val="bottom"/>
            <w:gridSpan w:val="2"/>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6,499,978</w:t>
            </w:r>
          </w:p>
        </w:tc>
        <w:tc>
          <w:tcPr>
            <w:tcW w:w="0" w:type="dxa"/>
            <w:vAlign w:val="bottom"/>
          </w:tcPr>
          <w:p>
            <w:pPr>
              <w:spacing w:after="0"/>
              <w:rPr>
                <w:sz w:val="1"/>
                <w:szCs w:val="1"/>
                <w:color w:val="auto"/>
              </w:rPr>
            </w:pPr>
          </w:p>
        </w:tc>
      </w:tr>
      <w:tr>
        <w:trPr>
          <w:trHeight w:val="153"/>
        </w:trPr>
        <w:tc>
          <w:tcPr>
            <w:tcW w:w="1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Jamie Thingelstad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(2)</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480,000</w:t>
            </w:r>
          </w:p>
        </w:tc>
        <w:tc>
          <w:tcPr>
            <w:tcW w:w="10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0"/>
                <w:szCs w:val="20"/>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12/3/2024</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7,384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14,768</w:t>
            </w:r>
          </w:p>
        </w:tc>
        <w:tc>
          <w:tcPr>
            <w:tcW w:w="100" w:type="dxa"/>
            <w:vAlign w:val="bottom"/>
          </w:tcPr>
          <w:p>
            <w:pPr>
              <w:spacing w:after="0"/>
              <w:rPr>
                <w:sz w:val="16"/>
                <w:szCs w:val="16"/>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1,441,135</w:t>
            </w:r>
          </w:p>
        </w:tc>
        <w:tc>
          <w:tcPr>
            <w:tcW w:w="0" w:type="dxa"/>
            <w:vAlign w:val="bottom"/>
          </w:tcPr>
          <w:p>
            <w:pPr>
              <w:spacing w:after="0"/>
              <w:rPr>
                <w:sz w:val="1"/>
                <w:szCs w:val="1"/>
                <w:color w:val="auto"/>
              </w:rPr>
            </w:pPr>
          </w:p>
        </w:tc>
      </w:tr>
      <w:tr>
        <w:trPr>
          <w:trHeight w:val="183"/>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12/3/2024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1,349,957</w:t>
            </w:r>
          </w:p>
        </w:tc>
        <w:tc>
          <w:tcPr>
            <w:tcW w:w="0" w:type="dxa"/>
            <w:vAlign w:val="bottom"/>
          </w:tcPr>
          <w:p>
            <w:pPr>
              <w:spacing w:after="0"/>
              <w:rPr>
                <w:sz w:val="1"/>
                <w:szCs w:val="1"/>
                <w:color w:val="auto"/>
              </w:rPr>
            </w:pPr>
          </w:p>
        </w:tc>
      </w:tr>
      <w:tr>
        <w:trPr>
          <w:trHeight w:val="153"/>
        </w:trPr>
        <w:tc>
          <w:tcPr>
            <w:tcW w:w="1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1"/>
                <w:szCs w:val="11"/>
                <w:b w:val="1"/>
                <w:bCs w:val="1"/>
                <w:color w:val="auto"/>
              </w:rPr>
              <w:t>Dan Juckniess</w:t>
            </w:r>
          </w:p>
        </w:tc>
        <w:tc>
          <w:tcPr>
            <w:tcW w:w="8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80" w:type="dxa"/>
            <w:vAlign w:val="bottom"/>
            <w:vMerge w:val="restart"/>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Annual Cash Bonus </w:t>
            </w:r>
            <w:r>
              <w:rPr>
                <w:rFonts w:ascii="Times New Roman" w:cs="Times New Roman" w:eastAsia="Times New Roman" w:hAnsi="Times New Roman"/>
                <w:sz w:val="14"/>
                <w:szCs w:val="14"/>
                <w:color w:val="auto"/>
                <w:vertAlign w:val="superscript"/>
              </w:rPr>
              <w:t>(2)</w:t>
            </w:r>
          </w:p>
        </w:tc>
        <w:tc>
          <w:tcPr>
            <w:tcW w:w="8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4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217,500</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435,000</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870,000</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5"/>
                <w:szCs w:val="15"/>
                <w:color w:val="auto"/>
              </w:rPr>
            </w:pPr>
          </w:p>
        </w:tc>
        <w:tc>
          <w:tcPr>
            <w:tcW w:w="112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9"/>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PSU Award </w:t>
            </w:r>
            <w:r>
              <w:rPr>
                <w:rFonts w:ascii="Times New Roman" w:cs="Times New Roman" w:eastAsia="Times New Roman" w:hAnsi="Times New Roman"/>
                <w:sz w:val="14"/>
                <w:szCs w:val="14"/>
                <w:color w:val="auto"/>
                <w:vertAlign w:val="superscript"/>
              </w:rPr>
              <w:t>(3)</w:t>
            </w:r>
          </w:p>
        </w:tc>
        <w:tc>
          <w:tcPr>
            <w:tcW w:w="8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1/2/2025</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12/3/2024</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3,720</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9,299</w:t>
            </w: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18,598</w:t>
            </w:r>
          </w:p>
        </w:tc>
        <w:tc>
          <w:tcPr>
            <w:tcW w:w="100" w:type="dxa"/>
            <w:vAlign w:val="bottom"/>
            <w:shd w:val="clear" w:color="auto" w:fill="DBDBDB"/>
          </w:tcPr>
          <w:p>
            <w:pPr>
              <w:spacing w:after="0"/>
              <w:rPr>
                <w:sz w:val="16"/>
                <w:szCs w:val="16"/>
                <w:color w:val="auto"/>
              </w:rPr>
            </w:pPr>
          </w:p>
        </w:tc>
        <w:tc>
          <w:tcPr>
            <w:tcW w:w="10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1,814,886</w:t>
            </w:r>
          </w:p>
        </w:tc>
        <w:tc>
          <w:tcPr>
            <w:tcW w:w="0" w:type="dxa"/>
            <w:vAlign w:val="bottom"/>
          </w:tcPr>
          <w:p>
            <w:pPr>
              <w:spacing w:after="0"/>
              <w:rPr>
                <w:sz w:val="1"/>
                <w:szCs w:val="1"/>
                <w:color w:val="auto"/>
              </w:rPr>
            </w:pPr>
          </w:p>
        </w:tc>
      </w:tr>
      <w:tr>
        <w:trPr>
          <w:trHeight w:val="203"/>
        </w:trPr>
        <w:tc>
          <w:tcPr>
            <w:tcW w:w="148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1"/>
                <w:szCs w:val="11"/>
                <w:color w:val="auto"/>
              </w:rPr>
              <w:t xml:space="preserve">RSU Award </w:t>
            </w:r>
            <w:r>
              <w:rPr>
                <w:rFonts w:ascii="Times New Roman" w:cs="Times New Roman" w:eastAsia="Times New Roman" w:hAnsi="Times New Roman"/>
                <w:sz w:val="14"/>
                <w:szCs w:val="14"/>
                <w:color w:val="auto"/>
                <w:vertAlign w:val="superscript"/>
              </w:rPr>
              <w:t>(4)</w:t>
            </w:r>
          </w:p>
        </w:tc>
        <w:tc>
          <w:tcPr>
            <w:tcW w:w="8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2/18/2025</w:t>
            </w:r>
          </w:p>
        </w:tc>
        <w:tc>
          <w:tcPr>
            <w:tcW w:w="1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12/3/2024</w:t>
            </w: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11,627</w:t>
            </w:r>
          </w:p>
        </w:tc>
        <w:tc>
          <w:tcPr>
            <w:tcW w:w="12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1,699,984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32" w:right="220" w:hanging="332"/>
        <w:spacing w:after="0" w:line="224" w:lineRule="auto"/>
        <w:tabs>
          <w:tab w:leader="none" w:pos="3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was determined in accordance with ASC Topic 718. For a discussion of the relevant assumptions used to determine the valuation for financial reporting purposes, refer to Note A and Note K to the Notes to Consolidated Financial Statements included in our Annual Report on Form 10-K for the fiscal year ended December 31, 2025. The grant date fair value of PSUs granted in 2025 reflects the value of the target number of PSUs.</w:t>
      </w:r>
    </w:p>
    <w:p>
      <w:pPr>
        <w:spacing w:after="0" w:line="50" w:lineRule="exact"/>
        <w:rPr>
          <w:rFonts w:ascii="Times New Roman" w:cs="Times New Roman" w:eastAsia="Times New Roman" w:hAnsi="Times New Roman"/>
          <w:sz w:val="18"/>
          <w:szCs w:val="18"/>
          <w:color w:val="auto"/>
        </w:rPr>
      </w:pPr>
    </w:p>
    <w:p>
      <w:pPr>
        <w:jc w:val="both"/>
        <w:ind w:left="332" w:right="420" w:hanging="332"/>
        <w:spacing w:after="0" w:line="231" w:lineRule="auto"/>
        <w:tabs>
          <w:tab w:leader="none" w:pos="3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range of annual cash incentives that could have been earned in 2025 under the 2025 Management Incentive Plan based on actual revenues and Adjusted EBITDA. However, no cash incentive bonus under the Management Incentive Plan was paid for 2025, as described under “</w:t>
      </w:r>
      <w:r>
        <w:rPr>
          <w:rFonts w:ascii="Times New Roman" w:cs="Times New Roman" w:eastAsia="Times New Roman" w:hAnsi="Times New Roman"/>
          <w:sz w:val="18"/>
          <w:szCs w:val="18"/>
          <w:i w:val="1"/>
          <w:iCs w:val="1"/>
          <w:color w:val="auto"/>
        </w:rPr>
        <w:t>Compensation Discussion and Analysis--Management Incentive Plan</w:t>
      </w:r>
      <w:r>
        <w:rPr>
          <w:rFonts w:ascii="Times New Roman" w:cs="Times New Roman" w:eastAsia="Times New Roman" w:hAnsi="Times New Roman"/>
          <w:sz w:val="18"/>
          <w:szCs w:val="18"/>
          <w:color w:val="auto"/>
        </w:rPr>
        <w:t>” on pages 41-42.</w:t>
      </w:r>
    </w:p>
    <w:p>
      <w:pPr>
        <w:spacing w:after="0" w:line="50" w:lineRule="exact"/>
        <w:rPr>
          <w:rFonts w:ascii="Times New Roman" w:cs="Times New Roman" w:eastAsia="Times New Roman" w:hAnsi="Times New Roman"/>
          <w:sz w:val="18"/>
          <w:szCs w:val="18"/>
          <w:color w:val="auto"/>
        </w:rPr>
      </w:pPr>
    </w:p>
    <w:p>
      <w:pPr>
        <w:ind w:left="332" w:right="80" w:hanging="332"/>
        <w:spacing w:after="0" w:line="231" w:lineRule="auto"/>
        <w:tabs>
          <w:tab w:leader="none" w:pos="3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number of PSUs that may be earned at threshold, target, and maximum levels. Earned PSUs will be paid out in shares of our common stock. The number of PSUs that the executive officer will receive will be determined at the conclusion of the 2025–2027 performance period and will be dependent upon the Company’s achievement of relative TSR targets.</w:t>
      </w:r>
    </w:p>
    <w:p>
      <w:pPr>
        <w:spacing w:after="0" w:line="50"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25% per year over four years on each anniversary of the grant date.</w:t>
      </w:r>
    </w:p>
    <w:p>
      <w:pPr>
        <w:spacing w:after="0" w:line="76" w:lineRule="exact"/>
        <w:rPr>
          <w:rFonts w:ascii="Times New Roman" w:cs="Times New Roman" w:eastAsia="Times New Roman" w:hAnsi="Times New Roman"/>
          <w:sz w:val="18"/>
          <w:szCs w:val="18"/>
          <w:color w:val="auto"/>
        </w:rPr>
      </w:pPr>
    </w:p>
    <w:p>
      <w:pPr>
        <w:jc w:val="both"/>
        <w:ind w:left="332" w:right="20" w:hanging="332"/>
        <w:spacing w:after="0" w:line="231" w:lineRule="auto"/>
        <w:tabs>
          <w:tab w:leader="none" w:pos="3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was granted on December 1, 2025 in connection with Mr. Rosini’s recruitment and appointment as Executive Vice President &amp; Chief Commercial Officer. The RSUs vest 50% on the first anniversary of the grant date, 30% on the second anniversary, and the remaining 20% on the third anniversary.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909320</wp:posOffset>
            </wp:positionV>
            <wp:extent cx="240030" cy="2311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52"/>
        <w:spacing w:after="0"/>
        <w:tabs>
          <w:tab w:leader="none" w:pos="1092" w:val="left"/>
        </w:tabs>
        <w:rPr>
          <w:sz w:val="20"/>
          <w:szCs w:val="20"/>
          <w:color w:val="auto"/>
        </w:rPr>
      </w:pPr>
      <w:r>
        <w:rPr>
          <w:rFonts w:ascii="Times New Roman" w:cs="Times New Roman" w:eastAsia="Times New Roman" w:hAnsi="Times New Roman"/>
          <w:sz w:val="14"/>
          <w:szCs w:val="14"/>
          <w:b w:val="1"/>
          <w:bCs w:val="1"/>
          <w:color w:val="auto"/>
        </w:rPr>
        <w:t>50</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226695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38" w:right="359" w:bottom="1440" w:gutter="0" w:footer="0" w:header="0"/>
        </w:sectPr>
      </w:pPr>
    </w:p>
    <w:bookmarkStart w:id="55" w:name="page56"/>
    <w:bookmarkEnd w:id="5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Outstanding Equity Awards at Fiscal Year-End Table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outstanding equity awards held by our NEOs as of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43"/>
        </w:trPr>
        <w:tc>
          <w:tcPr>
            <w:tcW w:w="12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33"/>
        </w:trPr>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 Incentive</w:t>
            </w:r>
          </w:p>
        </w:tc>
        <w:tc>
          <w:tcPr>
            <w:tcW w:w="110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7"/>
              </w:rPr>
              <w:t>Equity Incentive</w:t>
            </w:r>
          </w:p>
        </w:tc>
      </w:tr>
      <w:tr>
        <w:trPr>
          <w:trHeight w:val="135"/>
        </w:trPr>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Plan Awards:</w:t>
            </w:r>
          </w:p>
        </w:tc>
        <w:tc>
          <w:tcPr>
            <w:tcW w:w="110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6"/>
              </w:rPr>
              <w:t>Plan Awards:</w:t>
            </w:r>
          </w:p>
        </w:tc>
      </w:tr>
      <w:tr>
        <w:trPr>
          <w:trHeight w:val="122"/>
        </w:trPr>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0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Market Value of</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10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Market Value of</w:t>
            </w:r>
          </w:p>
        </w:tc>
      </w:tr>
      <w:tr>
        <w:trPr>
          <w:trHeight w:val="135"/>
        </w:trPr>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92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7"/>
              </w:rPr>
              <w:t>Option Exercise</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or Units of Stock</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Shares or Units of</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Unearned Shares</w:t>
            </w:r>
          </w:p>
        </w:tc>
        <w:tc>
          <w:tcPr>
            <w:tcW w:w="110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7"/>
              </w:rPr>
              <w:t>Unearned Shares or</w:t>
            </w:r>
          </w:p>
        </w:tc>
      </w:tr>
      <w:tr>
        <w:trPr>
          <w:trHeight w:val="135"/>
        </w:trPr>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Unexercised Options</w:t>
            </w:r>
          </w:p>
        </w:tc>
        <w:tc>
          <w:tcPr>
            <w:tcW w:w="920" w:type="dxa"/>
            <w:vAlign w:val="bottom"/>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8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that Have Not</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 that Have</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or Units that Have</w:t>
            </w:r>
          </w:p>
        </w:tc>
        <w:tc>
          <w:tcPr>
            <w:tcW w:w="110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8"/>
              </w:rPr>
              <w:t>Units that Have Not</w:t>
            </w:r>
          </w:p>
        </w:tc>
      </w:tr>
      <w:tr>
        <w:trPr>
          <w:trHeight w:val="142"/>
        </w:trPr>
        <w:tc>
          <w:tcPr>
            <w:tcW w:w="1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Unexercisable</w:t>
            </w:r>
          </w:p>
        </w:tc>
        <w:tc>
          <w:tcPr>
            <w:tcW w:w="92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2"/>
              </w:rPr>
              <w:t>($/Sh)</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10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4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Vested (#)</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Not Vested ($)(1)</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 Vested (#)</w:t>
            </w:r>
          </w:p>
        </w:tc>
        <w:tc>
          <w:tcPr>
            <w:tcW w:w="110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6"/>
              </w:rPr>
              <w:t>Vested ($)(1)</w:t>
            </w:r>
          </w:p>
        </w:tc>
      </w:tr>
      <w:tr>
        <w:trPr>
          <w:trHeight w:val="36"/>
        </w:trPr>
        <w:tc>
          <w:tcPr>
            <w:tcW w:w="1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3"/>
        </w:trPr>
        <w:tc>
          <w:tcPr>
            <w:tcW w:w="1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Chad Collins</w:t>
            </w: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11/2/2023</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13,215</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1,177,853</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9,156</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816,074</w:t>
            </w:r>
          </w:p>
        </w:tc>
      </w:tr>
      <w:tr>
        <w:trPr>
          <w:trHeight w:val="36"/>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(3)(4)</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9,766</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870,479</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11,619</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1,035,601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1/2/2025</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88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11,418</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1,017,722</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2/18/2025</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35,691</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3,181,139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Kimberly Nelson</w:t>
            </w: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2/16/2022</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412</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36,722</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2/16/2023</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3,183</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283,701</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4,900</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436,773</w:t>
            </w:r>
          </w:p>
        </w:tc>
      </w:tr>
      <w:tr>
        <w:trPr>
          <w:trHeight w:val="36"/>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6,219</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554,299</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1/2/2025</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5,032</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448,538</w:t>
            </w:r>
          </w:p>
        </w:tc>
      </w:tr>
      <w:tr>
        <w:trPr>
          <w:trHeight w:val="36"/>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2/18/2025</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15,730</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1,402,015</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Eduardo Rosini</w:t>
            </w: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12/1/2025</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80,525</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7,177,193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Jamie Thingelstad</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2/21/2020</w:t>
            </w:r>
          </w:p>
        </w:tc>
        <w:tc>
          <w:tcPr>
            <w:tcW w:w="1020" w:type="dxa"/>
            <w:vAlign w:val="bottom"/>
            <w:tcBorders>
              <w:bottom w:val="single" w:sz="8" w:color="DBDBDB"/>
            </w:tcBorders>
            <w:shd w:val="clear" w:color="auto" w:fill="DBDBDB"/>
          </w:tcPr>
          <w:p>
            <w:pPr>
              <w:jc w:val="right"/>
              <w:ind w:right="46"/>
              <w:spacing w:after="0"/>
              <w:rPr>
                <w:sz w:val="20"/>
                <w:szCs w:val="20"/>
                <w:color w:val="auto"/>
              </w:rPr>
            </w:pPr>
            <w:r>
              <w:rPr>
                <w:rFonts w:ascii="Times New Roman" w:cs="Times New Roman" w:eastAsia="Times New Roman" w:hAnsi="Times New Roman"/>
                <w:sz w:val="11"/>
                <w:szCs w:val="11"/>
                <w:color w:val="auto"/>
              </w:rPr>
              <w:t>11,196</w:t>
            </w:r>
          </w:p>
        </w:tc>
        <w:tc>
          <w:tcPr>
            <w:tcW w:w="1040" w:type="dxa"/>
            <w:vAlign w:val="bottom"/>
            <w:tcBorders>
              <w:bottom w:val="single" w:sz="8" w:color="DBDBDB"/>
            </w:tcBorders>
            <w:shd w:val="clear" w:color="auto" w:fill="DBDBDB"/>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56.25</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2/21/2027</w:t>
            </w: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2/16/2022</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266</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23,709</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2/16/2023</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1,741</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155,175</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2,253</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200,792</w:t>
            </w:r>
          </w:p>
        </w:tc>
      </w:tr>
      <w:tr>
        <w:trPr>
          <w:trHeight w:val="35"/>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2,859</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254,823</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8/1/2024</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1,100</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98,043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1/2/2025</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2,954</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263,254</w:t>
            </w:r>
          </w:p>
        </w:tc>
      </w:tr>
      <w:tr>
        <w:trPr>
          <w:trHeight w:val="154"/>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2/18/2025</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9,233</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822,937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Dan Juckniess</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2/21/2020</w:t>
            </w:r>
          </w:p>
        </w:tc>
        <w:tc>
          <w:tcPr>
            <w:tcW w:w="1020" w:type="dxa"/>
            <w:vAlign w:val="bottom"/>
            <w:tcBorders>
              <w:bottom w:val="single" w:sz="8" w:color="DBDBDB"/>
            </w:tcBorders>
            <w:shd w:val="clear" w:color="auto" w:fill="DBDBDB"/>
          </w:tcPr>
          <w:p>
            <w:pPr>
              <w:jc w:val="right"/>
              <w:ind w:right="46"/>
              <w:spacing w:after="0"/>
              <w:rPr>
                <w:sz w:val="20"/>
                <w:szCs w:val="20"/>
                <w:color w:val="auto"/>
              </w:rPr>
            </w:pPr>
            <w:r>
              <w:rPr>
                <w:rFonts w:ascii="Times New Roman" w:cs="Times New Roman" w:eastAsia="Times New Roman" w:hAnsi="Times New Roman"/>
                <w:sz w:val="11"/>
                <w:szCs w:val="11"/>
                <w:color w:val="auto"/>
              </w:rPr>
              <w:t>4,204</w:t>
            </w:r>
          </w:p>
        </w:tc>
        <w:tc>
          <w:tcPr>
            <w:tcW w:w="1040" w:type="dxa"/>
            <w:vAlign w:val="bottom"/>
            <w:tcBorders>
              <w:bottom w:val="single" w:sz="8" w:color="DBDBDB"/>
            </w:tcBorders>
            <w:shd w:val="clear" w:color="auto" w:fill="DBDBDB"/>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56.25</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2/21/2027</w:t>
            </w: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2/16/2022</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(5)(9)</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spacing w:after="0"/>
              <w:rPr>
                <w:sz w:val="14"/>
                <w:szCs w:val="14"/>
                <w:color w:val="auto"/>
              </w:rPr>
            </w:pP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1/3/2023</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2/16/2023</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(5)(9)</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1/2/2024</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(3)(9)</w:t>
            </w: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2,474</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220,508</w:t>
            </w:r>
          </w:p>
        </w:tc>
      </w:tr>
      <w:tr>
        <w:trPr>
          <w:trHeight w:val="35"/>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2/15/2024</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(5)(9)</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8/1/2024</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9"/>
        </w:trPr>
        <w:tc>
          <w:tcPr>
            <w:tcW w:w="124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1"/>
                <w:szCs w:val="11"/>
                <w:color w:val="auto"/>
              </w:rPr>
              <w:t>1/2/2025</w:t>
            </w:r>
          </w:p>
        </w:tc>
        <w:tc>
          <w:tcPr>
            <w:tcW w:w="4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1"/>
                <w:szCs w:val="11"/>
                <w:color w:val="auto"/>
              </w:rPr>
              <w:t>(3)(9)</w:t>
            </w:r>
          </w:p>
        </w:tc>
        <w:tc>
          <w:tcPr>
            <w:tcW w:w="88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DBDBDB"/>
            </w:tcBorders>
            <w:shd w:val="clear" w:color="auto" w:fill="DBDBDB"/>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3,720</w:t>
            </w:r>
          </w:p>
        </w:tc>
        <w:tc>
          <w:tcPr>
            <w:tcW w:w="1100" w:type="dxa"/>
            <w:vAlign w:val="bottom"/>
            <w:tcBorders>
              <w:bottom w:val="single" w:sz="8" w:color="DBDBDB"/>
            </w:tcBorders>
            <w:shd w:val="clear" w:color="auto" w:fill="DBDBDB"/>
          </w:tcPr>
          <w:p>
            <w:pPr>
              <w:jc w:val="right"/>
              <w:ind w:right="6"/>
              <w:spacing w:after="0"/>
              <w:rPr>
                <w:sz w:val="20"/>
                <w:szCs w:val="20"/>
                <w:color w:val="auto"/>
              </w:rPr>
            </w:pPr>
            <w:r>
              <w:rPr>
                <w:rFonts w:ascii="Times New Roman" w:cs="Times New Roman" w:eastAsia="Times New Roman" w:hAnsi="Times New Roman"/>
                <w:sz w:val="11"/>
                <w:szCs w:val="11"/>
                <w:color w:val="auto"/>
              </w:rPr>
              <w:t>331,528</w:t>
            </w:r>
          </w:p>
        </w:tc>
      </w:tr>
      <w:tr>
        <w:trPr>
          <w:trHeight w:val="153"/>
        </w:trPr>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2/18/2025</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bl>
    <w:p>
      <w:pPr>
        <w:spacing w:after="0" w:line="193"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are calculated using the closing sale price of a share of our common stock on Nasdaq on December 31, 2025, which was $89.13.</w:t>
      </w:r>
    </w:p>
    <w:p>
      <w:pPr>
        <w:spacing w:after="0" w:line="90" w:lineRule="exact"/>
        <w:rPr>
          <w:rFonts w:ascii="Times New Roman" w:cs="Times New Roman" w:eastAsia="Times New Roman" w:hAnsi="Times New Roman"/>
          <w:sz w:val="18"/>
          <w:szCs w:val="18"/>
          <w:color w:val="auto"/>
        </w:rPr>
      </w:pPr>
    </w:p>
    <w:p>
      <w:pPr>
        <w:ind w:left="340" w:hanging="332"/>
        <w:spacing w:after="0" w:line="224" w:lineRule="auto"/>
        <w:tabs>
          <w:tab w:leader="none" w:pos="3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supplemental RSUs that were awarded in connection with Mr. Collins’ recruitment and appointment as CEO in 2023 in order to incentivize him to leave his prior employment and to help offset the value of equity awards forfeited in connection with his departure. These RSUs vested as to one-fourth of the RSUs on November 2, 2024, the first anniversary of the grant date, with the remaining portion of such RSUs vesting pro-rata over the following 36 consecutive months.</w:t>
      </w:r>
    </w:p>
    <w:p>
      <w:pPr>
        <w:spacing w:after="0" w:line="50" w:lineRule="exact"/>
        <w:rPr>
          <w:rFonts w:ascii="Times New Roman" w:cs="Times New Roman" w:eastAsia="Times New Roman" w:hAnsi="Times New Roman"/>
          <w:sz w:val="18"/>
          <w:szCs w:val="18"/>
          <w:color w:val="auto"/>
        </w:rPr>
      </w:pPr>
    </w:p>
    <w:p>
      <w:pPr>
        <w:ind w:left="340" w:right="60" w:hanging="332"/>
        <w:spacing w:after="0" w:line="220" w:lineRule="auto"/>
        <w:tabs>
          <w:tab w:leader="none" w:pos="3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2024 and 2025 are earned in accordance with the successful attainment of predetermined TSR targets relative to the Index TSR over a three-year performance period ending on December 31, 2026 and 2027, respectively, and vest in the year subsequent to the end of the performance period upon certification by the Compensation &amp; Talent Committee. The PSUs granted in 2024 and 2025 are shown at the threshold level of performance since the estimated earned levels were 0% and 0%, respectively, based on the respective levels of TSR targets from grant date through December 31, 2025, as the applicable performance period has not concluded as of December 31, 2025.</w:t>
      </w:r>
    </w:p>
    <w:p>
      <w:pPr>
        <w:spacing w:after="0" w:line="63" w:lineRule="exact"/>
        <w:rPr>
          <w:rFonts w:ascii="Times New Roman" w:cs="Times New Roman" w:eastAsia="Times New Roman" w:hAnsi="Times New Roman"/>
          <w:sz w:val="18"/>
          <w:szCs w:val="18"/>
          <w:color w:val="auto"/>
        </w:rPr>
      </w:pPr>
    </w:p>
    <w:p>
      <w:pPr>
        <w:ind w:left="340" w:right="480" w:hanging="332"/>
        <w:spacing w:after="0" w:line="237" w:lineRule="auto"/>
        <w:tabs>
          <w:tab w:leader="none" w:pos="3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supplemental award to Mr. Collins of PSUs in order to incentivize him to leave his prior employment and to help offset the value of equity awards forfeited in connection with his departure.</w:t>
      </w:r>
    </w:p>
    <w:p>
      <w:pPr>
        <w:spacing w:after="0" w:line="50" w:lineRule="exact"/>
        <w:rPr>
          <w:rFonts w:ascii="Times New Roman" w:cs="Times New Roman" w:eastAsia="Times New Roman" w:hAnsi="Times New Roman"/>
          <w:sz w:val="18"/>
          <w:szCs w:val="18"/>
          <w:color w:val="auto"/>
        </w:rPr>
      </w:pPr>
    </w:p>
    <w:p>
      <w:pPr>
        <w:ind w:left="340" w:right="500" w:hanging="332"/>
        <w:spacing w:after="0" w:line="250" w:lineRule="auto"/>
        <w:tabs>
          <w:tab w:leader="none" w:pos="3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RSUs granted in February 2025 vest as to one-fourth of the RSUs per year over four years on each anniversary of the grant date. The annual RSUs granted in February in years prior to 2025 vest as to one-fourth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449580</wp:posOffset>
            </wp:positionV>
            <wp:extent cx="240030" cy="2311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51</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6" w:name="page57"/>
    <w:bookmarkEnd w:id="5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right="560"/>
        <w:spacing w:after="0" w:line="237" w:lineRule="auto"/>
        <w:rPr>
          <w:sz w:val="20"/>
          <w:szCs w:val="20"/>
          <w:color w:val="auto"/>
        </w:rPr>
      </w:pPr>
      <w:r>
        <w:rPr>
          <w:rFonts w:ascii="Times New Roman" w:cs="Times New Roman" w:eastAsia="Times New Roman" w:hAnsi="Times New Roman"/>
          <w:sz w:val="18"/>
          <w:szCs w:val="18"/>
          <w:color w:val="auto"/>
        </w:rPr>
        <w:t>of the RSUs on the first anniversary of the grant date, with the remaining RSUs vesting in a series of 36 equal monthly installments each month thereafter.</w:t>
      </w:r>
    </w:p>
    <w:p>
      <w:pPr>
        <w:spacing w:after="0" w:line="64" w:lineRule="exact"/>
        <w:rPr>
          <w:sz w:val="20"/>
          <w:szCs w:val="20"/>
          <w:color w:val="auto"/>
        </w:rPr>
      </w:pPr>
    </w:p>
    <w:p>
      <w:pPr>
        <w:ind w:left="340" w:right="100" w:hanging="332"/>
        <w:spacing w:after="0" w:line="237" w:lineRule="auto"/>
        <w:tabs>
          <w:tab w:leader="none" w:pos="33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2023 are reported at zero due to the minimum TSR performance not being achieved over the completed performance period of 2023– 2025, resulting in no PSUs vesting in 2026, as discussed above under “</w:t>
      </w:r>
      <w:r>
        <w:rPr>
          <w:rFonts w:ascii="Times New Roman" w:cs="Times New Roman" w:eastAsia="Times New Roman" w:hAnsi="Times New Roman"/>
          <w:sz w:val="18"/>
          <w:szCs w:val="18"/>
          <w:i w:val="1"/>
          <w:iCs w:val="1"/>
          <w:color w:val="auto"/>
        </w:rPr>
        <w:t>Compensation Discussion and Analysis - Equity Awards</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340" w:right="280" w:hanging="332"/>
        <w:spacing w:after="0" w:line="231" w:lineRule="auto"/>
        <w:tabs>
          <w:tab w:leader="none" w:pos="33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new hire equity award to Mr. Rosini of RSUs in order to incentivize him to leave his prior employment and to help offset the value of certain compensation forfeited in connection with his departure. These RSUs vest 50% on the first anniversary of the grant date, 30% on the second anniversary, and the remaining 20% on the third anniversary.</w:t>
      </w:r>
    </w:p>
    <w:p>
      <w:pPr>
        <w:spacing w:after="0" w:line="50" w:lineRule="exact"/>
        <w:rPr>
          <w:rFonts w:ascii="Times New Roman" w:cs="Times New Roman" w:eastAsia="Times New Roman" w:hAnsi="Times New Roman"/>
          <w:sz w:val="18"/>
          <w:szCs w:val="18"/>
          <w:color w:val="auto"/>
        </w:rPr>
      </w:pPr>
    </w:p>
    <w:p>
      <w:pPr>
        <w:ind w:left="340" w:right="40" w:hanging="332"/>
        <w:spacing w:after="0" w:line="231" w:lineRule="auto"/>
        <w:tabs>
          <w:tab w:leader="none" w:pos="33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granted on August 1, 2024 were awarded in connection with Mr. Thingelstad’s and Mr. Juckniess’ promotions in 2024 and vested as to 25% of the units on February 15, 2025, with the remaining units vesting in a series of 36 successive equal monthly installments upon completion of each additional month of service.</w:t>
      </w:r>
    </w:p>
    <w:p>
      <w:pPr>
        <w:spacing w:after="0" w:line="48" w:lineRule="exact"/>
        <w:rPr>
          <w:rFonts w:ascii="Times New Roman" w:cs="Times New Roman" w:eastAsia="Times New Roman" w:hAnsi="Times New Roman"/>
          <w:sz w:val="18"/>
          <w:szCs w:val="18"/>
          <w:color w:val="auto"/>
        </w:rPr>
      </w:pPr>
    </w:p>
    <w:p>
      <w:pPr>
        <w:ind w:left="340" w:right="100" w:hanging="332"/>
        <w:spacing w:after="0" w:line="225" w:lineRule="auto"/>
        <w:tabs>
          <w:tab w:leader="none" w:pos="33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Potential Payments Upon Termination, Retirement, or Change in Control; Retirement — Other NEOs</w:t>
      </w:r>
      <w:r>
        <w:rPr>
          <w:rFonts w:ascii="Times New Roman" w:cs="Times New Roman" w:eastAsia="Times New Roman" w:hAnsi="Times New Roman"/>
          <w:sz w:val="18"/>
          <w:szCs w:val="18"/>
          <w:color w:val="auto"/>
        </w:rPr>
        <w:t>” on pages 56-57, all of Mr. Juckniess’ RSUs vested in full as of his December 31, 2025 retirement date, and his PSUs will continue to vest on each originally scheduled vesting date in an amount equal to the number of units that are determined to have been earned based on actual performance against the applicable performance goal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2025 Options Exercised and Stock Vested Table</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stock option exercises and stock awards vested by our NEOs during 2025.</w:t>
      </w:r>
    </w:p>
    <w:p>
      <w:pPr>
        <w:sectPr>
          <w:pgSz w:w="11900" w:h="16838" w:orient="portrait"/>
          <w:cols w:equalWidth="0" w:num="1">
            <w:col w:w="11240"/>
          </w:cols>
          <w:pgMar w:left="320" w:top="338" w:right="339" w:bottom="1440" w:gutter="0" w:footer="0" w:header="0"/>
        </w:sectPr>
      </w:pP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37"/>
        </w:trPr>
        <w:tc>
          <w:tcPr>
            <w:tcW w:w="16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600" w:type="dxa"/>
            <w:vAlign w:val="bottom"/>
          </w:tcPr>
          <w:p>
            <w:pPr>
              <w:jc w:val="center"/>
              <w:ind w:left="368"/>
              <w:spacing w:after="0" w:line="14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60" w:type="dxa"/>
            <w:vAlign w:val="bottom"/>
            <w:gridSpan w:val="2"/>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0" w:type="dxa"/>
            <w:vAlign w:val="bottom"/>
          </w:tcPr>
          <w:p>
            <w:pPr>
              <w:spacing w:after="0"/>
              <w:rPr>
                <w:sz w:val="1"/>
                <w:szCs w:val="1"/>
                <w:color w:val="auto"/>
              </w:rPr>
            </w:pPr>
          </w:p>
        </w:tc>
      </w:tr>
      <w:tr>
        <w:trPr>
          <w:trHeight w:val="190"/>
        </w:trPr>
        <w:tc>
          <w:tcPr>
            <w:tcW w:w="1600" w:type="dxa"/>
            <w:vAlign w:val="bottom"/>
            <w:vMerge w:val="continue"/>
          </w:tcPr>
          <w:p>
            <w:pPr>
              <w:spacing w:after="0"/>
              <w:rPr>
                <w:sz w:val="16"/>
                <w:szCs w:val="16"/>
                <w:color w:val="auto"/>
              </w:rPr>
            </w:pPr>
          </w:p>
        </w:tc>
        <w:tc>
          <w:tcPr>
            <w:tcW w:w="16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5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Value Realized on Exercise ($)</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37"/>
        </w:trPr>
        <w:tc>
          <w:tcPr>
            <w:tcW w:w="164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r>
      <w:tr>
        <w:trPr>
          <w:trHeight w:val="144"/>
        </w:trPr>
        <w:tc>
          <w:tcPr>
            <w:tcW w:w="1640" w:type="dxa"/>
            <w:vAlign w:val="bottom"/>
          </w:tcPr>
          <w:p>
            <w:pPr>
              <w:jc w:val="center"/>
              <w:ind w:left="340"/>
              <w:spacing w:after="0" w:line="14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540" w:type="dxa"/>
            <w:vAlign w:val="bottom"/>
          </w:tcPr>
          <w:p>
            <w:pPr>
              <w:spacing w:after="0"/>
              <w:rPr>
                <w:sz w:val="12"/>
                <w:szCs w:val="12"/>
                <w:color w:val="auto"/>
              </w:rPr>
            </w:pPr>
          </w:p>
        </w:tc>
      </w:tr>
      <w:tr>
        <w:trPr>
          <w:trHeight w:val="214"/>
        </w:trPr>
        <w:tc>
          <w:tcPr>
            <w:tcW w:w="16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2540" w:type="dxa"/>
            <w:vAlign w:val="bottom"/>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Value Realized on Vesting ($)</w:t>
            </w:r>
            <w:r>
              <w:rPr>
                <w:rFonts w:ascii="Times New Roman" w:cs="Times New Roman" w:eastAsia="Times New Roman" w:hAnsi="Times New Roman"/>
                <w:sz w:val="9"/>
                <w:szCs w:val="9"/>
                <w:color w:val="auto"/>
              </w:rPr>
              <w:t>(2)</w:t>
            </w:r>
          </w:p>
        </w:tc>
      </w:tr>
      <w:tr>
        <w:trPr>
          <w:trHeight w:val="162"/>
        </w:trPr>
        <w:tc>
          <w:tcPr>
            <w:tcW w:w="1640" w:type="dxa"/>
            <w:vAlign w:val="bottom"/>
          </w:tcPr>
          <w:p>
            <w:pPr>
              <w:jc w:val="center"/>
              <w:ind w:right="40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color w:val="auto"/>
              </w:rPr>
              <w:t>(2)</w:t>
            </w:r>
          </w:p>
        </w:tc>
        <w:tc>
          <w:tcPr>
            <w:tcW w:w="2540" w:type="dxa"/>
            <w:vAlign w:val="bottom"/>
          </w:tcPr>
          <w:p>
            <w:pPr>
              <w:jc w:val="right"/>
              <w:ind w:right="896"/>
              <w:spacing w:after="0"/>
              <w:rPr>
                <w:sz w:val="20"/>
                <w:szCs w:val="20"/>
                <w:color w:val="auto"/>
              </w:rPr>
            </w:pPr>
            <w:r>
              <w:rPr>
                <w:rFonts w:ascii="Times New Roman" w:cs="Times New Roman" w:eastAsia="Times New Roman" w:hAnsi="Times New Roman"/>
                <w:sz w:val="9"/>
                <w:szCs w:val="9"/>
                <w:color w:val="auto"/>
              </w:rPr>
              <w:t>(3)</w:t>
            </w:r>
          </w:p>
        </w:tc>
      </w:tr>
    </w:tbl>
    <w:p>
      <w:pPr>
        <w:spacing w:after="0" w:line="1" w:lineRule="exact"/>
        <w:rPr>
          <w:sz w:val="20"/>
          <w:szCs w:val="20"/>
          <w:color w:val="auto"/>
        </w:rPr>
      </w:pPr>
    </w:p>
    <w:p>
      <w:pPr>
        <w:sectPr>
          <w:pgSz w:w="11900" w:h="16838" w:orient="portrait"/>
          <w:cols w:equalWidth="0" w:num="2">
            <w:col w:w="6900" w:space="140"/>
            <w:col w:w="4200"/>
          </w:cols>
          <w:pgMar w:left="320" w:top="338"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2740" w:type="dxa"/>
            <w:vAlign w:val="bottom"/>
            <w:tcBorders>
              <w:top w:val="single" w:sz="8" w:color="auto"/>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2020" w:type="dxa"/>
            <w:vAlign w:val="bottom"/>
            <w:tcBorders>
              <w:top w:val="single" w:sz="8" w:color="auto"/>
              <w:bottom w:val="single" w:sz="8" w:color="DBDBDB"/>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DBDBDB"/>
            </w:tcBorders>
            <w:shd w:val="clear" w:color="auto" w:fill="DBDBDB"/>
          </w:tcPr>
          <w:p>
            <w:pPr>
              <w:spacing w:after="0"/>
              <w:rPr>
                <w:sz w:val="21"/>
                <w:szCs w:val="21"/>
                <w:color w:val="auto"/>
              </w:rPr>
            </w:pPr>
          </w:p>
        </w:tc>
        <w:tc>
          <w:tcPr>
            <w:tcW w:w="2600" w:type="dxa"/>
            <w:vAlign w:val="bottom"/>
            <w:tcBorders>
              <w:top w:val="single" w:sz="8" w:color="auto"/>
              <w:bottom w:val="single" w:sz="8" w:color="DBDBDB"/>
            </w:tcBorders>
            <w:shd w:val="clear" w:color="auto" w:fill="DBDBDB"/>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DBDBDB"/>
            </w:tcBorders>
            <w:shd w:val="clear" w:color="auto" w:fill="DBDBDB"/>
          </w:tcPr>
          <w:p>
            <w:pPr>
              <w:jc w:val="right"/>
              <w:ind w:right="610"/>
              <w:spacing w:after="0"/>
              <w:rPr>
                <w:sz w:val="20"/>
                <w:szCs w:val="20"/>
                <w:color w:val="auto"/>
              </w:rPr>
            </w:pPr>
            <w:r>
              <w:rPr>
                <w:rFonts w:ascii="Times New Roman" w:cs="Times New Roman" w:eastAsia="Times New Roman" w:hAnsi="Times New Roman"/>
                <w:sz w:val="18"/>
                <w:szCs w:val="18"/>
                <w:color w:val="auto"/>
              </w:rPr>
              <w:t>22,343</w:t>
            </w:r>
          </w:p>
        </w:tc>
        <w:tc>
          <w:tcPr>
            <w:tcW w:w="1680" w:type="dxa"/>
            <w:vAlign w:val="bottom"/>
            <w:tcBorders>
              <w:top w:val="single" w:sz="8" w:color="auto"/>
              <w:bottom w:val="single" w:sz="8" w:color="DBDBDB"/>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2,936,239</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29,526</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4,930,898</w:t>
            </w:r>
          </w:p>
        </w:tc>
      </w:tr>
      <w:tr>
        <w:trPr>
          <w:trHeight w:val="27"/>
        </w:trPr>
        <w:tc>
          <w:tcPr>
            <w:tcW w:w="2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7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Eduardo Rosini</w:t>
            </w:r>
          </w:p>
        </w:tc>
        <w:tc>
          <w:tcPr>
            <w:tcW w:w="2020" w:type="dxa"/>
            <w:vAlign w:val="bottom"/>
            <w:tcBorders>
              <w:bottom w:val="single" w:sz="8" w:color="DBDBDB"/>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BDBDB"/>
            </w:tcBorders>
            <w:shd w:val="clear" w:color="auto" w:fill="DBDBDB"/>
          </w:tcPr>
          <w:p>
            <w:pPr>
              <w:spacing w:after="0"/>
              <w:rPr>
                <w:sz w:val="21"/>
                <w:szCs w:val="21"/>
                <w:color w:val="auto"/>
              </w:rPr>
            </w:pPr>
          </w:p>
        </w:tc>
        <w:tc>
          <w:tcPr>
            <w:tcW w:w="2600" w:type="dxa"/>
            <w:vAlign w:val="bottom"/>
            <w:tcBorders>
              <w:bottom w:val="single" w:sz="8" w:color="DBDBDB"/>
            </w:tcBorders>
            <w:shd w:val="clear" w:color="auto" w:fill="DBDBDB"/>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DBDBDB"/>
            </w:tcBorders>
            <w:shd w:val="clear" w:color="auto" w:fill="DBDBDB"/>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DBDBDB"/>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2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8,118</w:t>
            </w:r>
          </w:p>
        </w:tc>
        <w:tc>
          <w:tcPr>
            <w:tcW w:w="27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227,223</w:t>
            </w:r>
          </w:p>
        </w:tc>
        <w:tc>
          <w:tcPr>
            <w:tcW w:w="20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18,678</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3,131,268</w:t>
            </w:r>
          </w:p>
        </w:tc>
      </w:tr>
      <w:tr>
        <w:trPr>
          <w:trHeight w:val="27"/>
        </w:trPr>
        <w:tc>
          <w:tcPr>
            <w:tcW w:w="2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202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DBDB"/>
          </w:tcPr>
          <w:p>
            <w:pPr>
              <w:spacing w:after="0"/>
              <w:rPr>
                <w:sz w:val="21"/>
                <w:szCs w:val="21"/>
                <w:color w:val="auto"/>
              </w:rPr>
            </w:pPr>
          </w:p>
        </w:tc>
        <w:tc>
          <w:tcPr>
            <w:tcW w:w="2600" w:type="dxa"/>
            <w:vAlign w:val="bottom"/>
            <w:shd w:val="clear" w:color="auto" w:fill="DBDBDB"/>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DBDBDB"/>
          </w:tcPr>
          <w:p>
            <w:pPr>
              <w:jc w:val="right"/>
              <w:ind w:right="610"/>
              <w:spacing w:after="0"/>
              <w:rPr>
                <w:sz w:val="20"/>
                <w:szCs w:val="20"/>
                <w:color w:val="auto"/>
              </w:rPr>
            </w:pPr>
            <w:r>
              <w:rPr>
                <w:rFonts w:ascii="Times New Roman" w:cs="Times New Roman" w:eastAsia="Times New Roman" w:hAnsi="Times New Roman"/>
                <w:sz w:val="18"/>
                <w:szCs w:val="18"/>
                <w:color w:val="auto"/>
              </w:rPr>
              <w:t>39,523</w:t>
            </w:r>
          </w:p>
        </w:tc>
        <w:tc>
          <w:tcPr>
            <w:tcW w:w="168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5,073,965</w:t>
            </w:r>
          </w:p>
        </w:tc>
      </w:tr>
      <w:tr>
        <w:trPr>
          <w:trHeight w:val="20"/>
        </w:trPr>
        <w:tc>
          <w:tcPr>
            <w:tcW w:w="2740" w:type="dxa"/>
            <w:vAlign w:val="bottom"/>
            <w:shd w:val="clear" w:color="auto" w:fill="DBDBDB"/>
          </w:tcPr>
          <w:p>
            <w:pPr>
              <w:spacing w:after="0" w:line="20" w:lineRule="exact"/>
              <w:rPr>
                <w:sz w:val="1"/>
                <w:szCs w:val="1"/>
                <w:color w:val="auto"/>
              </w:rPr>
            </w:pPr>
          </w:p>
        </w:tc>
        <w:tc>
          <w:tcPr>
            <w:tcW w:w="2020" w:type="dxa"/>
            <w:vAlign w:val="bottom"/>
            <w:shd w:val="clear" w:color="auto" w:fill="DBDBD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shd w:val="clear" w:color="auto" w:fill="DBDBDB"/>
          </w:tcPr>
          <w:p>
            <w:pPr>
              <w:spacing w:after="0" w:line="20" w:lineRule="exact"/>
              <w:rPr>
                <w:sz w:val="1"/>
                <w:szCs w:val="1"/>
                <w:color w:val="auto"/>
              </w:rPr>
            </w:pPr>
          </w:p>
        </w:tc>
        <w:tc>
          <w:tcPr>
            <w:tcW w:w="2040" w:type="dxa"/>
            <w:vAlign w:val="bottom"/>
            <w:shd w:val="clear" w:color="auto" w:fill="DBDBDB"/>
          </w:tcPr>
          <w:p>
            <w:pPr>
              <w:spacing w:after="0" w:line="20" w:lineRule="exact"/>
              <w:rPr>
                <w:sz w:val="1"/>
                <w:szCs w:val="1"/>
                <w:color w:val="auto"/>
              </w:rPr>
            </w:pPr>
          </w:p>
        </w:tc>
        <w:tc>
          <w:tcPr>
            <w:tcW w:w="1680" w:type="dxa"/>
            <w:vAlign w:val="bottom"/>
            <w:shd w:val="clear" w:color="auto" w:fill="DBDBDB"/>
          </w:tcPr>
          <w:p>
            <w:pPr>
              <w:spacing w:after="0" w:line="20" w:lineRule="exact"/>
              <w:rPr>
                <w:sz w:val="1"/>
                <w:szCs w:val="1"/>
                <w:color w:val="auto"/>
              </w:rPr>
            </w:pPr>
          </w:p>
        </w:tc>
      </w:tr>
    </w:tbl>
    <w:p>
      <w:pPr>
        <w:spacing w:after="0" w:line="171" w:lineRule="exact"/>
        <w:rPr>
          <w:sz w:val="20"/>
          <w:szCs w:val="20"/>
          <w:color w:val="auto"/>
        </w:rPr>
      </w:pPr>
    </w:p>
    <w:p>
      <w:pPr>
        <w:ind w:left="340" w:right="240" w:hanging="332"/>
        <w:spacing w:after="0" w:line="237" w:lineRule="auto"/>
        <w:tabs>
          <w:tab w:leader="none" w:pos="33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value realized on exercise by multiplying (a) the difference between (i) the market price of our common stock on the exercise date and (ii) the per share exercise price, by (b) the number of shares of our common stock acquired on exercise.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in 2025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60" w:type="dxa"/>
            <w:vAlign w:val="bottom"/>
          </w:tcPr>
          <w:p>
            <w:pPr>
              <w:jc w:val="right"/>
              <w:ind w:right="1537"/>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18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 Shares (#)</w:t>
            </w:r>
          </w:p>
        </w:tc>
        <w:tc>
          <w:tcPr>
            <w:tcW w:w="18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Value upon Vesting ($)</w:t>
            </w:r>
          </w:p>
        </w:tc>
        <w:tc>
          <w:tcPr>
            <w:tcW w:w="19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Value upon Settlement ($)</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 (#)</w:t>
            </w:r>
            <w:r>
              <w:rPr>
                <w:rFonts w:ascii="Times New Roman" w:cs="Times New Roman" w:eastAsia="Times New Roman" w:hAnsi="Times New Roman"/>
                <w:sz w:val="18"/>
                <w:szCs w:val="18"/>
                <w:color w:val="auto"/>
                <w:vertAlign w:val="superscript"/>
              </w:rPr>
              <w:t>{B}</w:t>
            </w:r>
          </w:p>
        </w:tc>
        <w:tc>
          <w:tcPr>
            <w:tcW w:w="19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Value upon Vesting and</w:t>
            </w:r>
          </w:p>
        </w:tc>
        <w:tc>
          <w:tcPr>
            <w:tcW w:w="0" w:type="dxa"/>
            <w:vAlign w:val="bottom"/>
          </w:tcPr>
          <w:p>
            <w:pPr>
              <w:spacing w:after="0"/>
              <w:rPr>
                <w:sz w:val="1"/>
                <w:szCs w:val="1"/>
                <w:color w:val="auto"/>
              </w:rPr>
            </w:pPr>
          </w:p>
        </w:tc>
      </w:tr>
      <w:tr>
        <w:trPr>
          <w:trHeight w:val="189"/>
        </w:trPr>
        <w:tc>
          <w:tcPr>
            <w:tcW w:w="218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color w:val="auto"/>
                <w:w w:val="92"/>
              </w:rPr>
              <w:t>{A}</w:t>
            </w:r>
          </w:p>
        </w:tc>
        <w:tc>
          <w:tcPr>
            <w:tcW w:w="160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jc w:val="right"/>
              <w:ind w:right="277"/>
              <w:spacing w:after="0" w:line="189" w:lineRule="exact"/>
              <w:rPr>
                <w:sz w:val="20"/>
                <w:szCs w:val="20"/>
                <w:color w:val="auto"/>
              </w:rPr>
            </w:pPr>
            <w:r>
              <w:rPr>
                <w:rFonts w:ascii="Times New Roman" w:cs="Times New Roman" w:eastAsia="Times New Roman" w:hAnsi="Times New Roman"/>
                <w:sz w:val="14"/>
                <w:szCs w:val="14"/>
                <w:b w:val="1"/>
                <w:bCs w:val="1"/>
                <w:color w:val="auto"/>
              </w:rPr>
              <w:t>Settlement ($)</w:t>
            </w:r>
            <w:r>
              <w:rPr>
                <w:rFonts w:ascii="Times New Roman" w:cs="Times New Roman" w:eastAsia="Times New Roman" w:hAnsi="Times New Roman"/>
                <w:sz w:val="18"/>
                <w:szCs w:val="18"/>
                <w:color w:val="auto"/>
                <w:vertAlign w:val="superscript"/>
              </w:rPr>
              <w:t>{B}</w:t>
            </w:r>
          </w:p>
        </w:tc>
        <w:tc>
          <w:tcPr>
            <w:tcW w:w="0" w:type="dxa"/>
            <w:vAlign w:val="bottom"/>
          </w:tcPr>
          <w:p>
            <w:pPr>
              <w:spacing w:after="0"/>
              <w:rPr>
                <w:sz w:val="1"/>
                <w:szCs w:val="1"/>
                <w:color w:val="auto"/>
              </w:rPr>
            </w:pPr>
          </w:p>
        </w:tc>
      </w:tr>
      <w:tr>
        <w:trPr>
          <w:trHeight w:val="244"/>
        </w:trPr>
        <w:tc>
          <w:tcPr>
            <w:tcW w:w="21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760" w:type="dxa"/>
            <w:vAlign w:val="bottom"/>
            <w:tcBorders>
              <w:bottom w:val="single" w:sz="8" w:color="DBDBDB"/>
            </w:tcBorders>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22,343</w:t>
            </w:r>
          </w:p>
        </w:tc>
        <w:tc>
          <w:tcPr>
            <w:tcW w:w="1800" w:type="dxa"/>
            <w:vAlign w:val="bottom"/>
            <w:tcBorders>
              <w:bottom w:val="single" w:sz="8" w:color="DBDBDB"/>
            </w:tcBorders>
            <w:shd w:val="clear" w:color="auto" w:fill="DBDBDB"/>
          </w:tcPr>
          <w:p>
            <w:pPr>
              <w:jc w:val="right"/>
              <w:ind w:right="135"/>
              <w:spacing w:after="0"/>
              <w:rPr>
                <w:sz w:val="20"/>
                <w:szCs w:val="20"/>
                <w:color w:val="auto"/>
              </w:rPr>
            </w:pPr>
            <w:r>
              <w:rPr>
                <w:rFonts w:ascii="Times New Roman" w:cs="Times New Roman" w:eastAsia="Times New Roman" w:hAnsi="Times New Roman"/>
                <w:sz w:val="18"/>
                <w:szCs w:val="18"/>
                <w:color w:val="auto"/>
              </w:rPr>
              <w:t>2,936,239</w:t>
            </w:r>
          </w:p>
        </w:tc>
        <w:tc>
          <w:tcPr>
            <w:tcW w:w="1840" w:type="dxa"/>
            <w:vAlign w:val="bottom"/>
            <w:tcBorders>
              <w:bottom w:val="single" w:sz="8" w:color="DBDBDB"/>
            </w:tcBorders>
            <w:shd w:val="clear" w:color="auto" w:fill="DBDBDB"/>
          </w:tcPr>
          <w:p>
            <w:pPr>
              <w:jc w:val="right"/>
              <w:ind w:right="159"/>
              <w:spacing w:after="0"/>
              <w:rPr>
                <w:sz w:val="20"/>
                <w:szCs w:val="20"/>
                <w:color w:val="auto"/>
              </w:rPr>
            </w:pPr>
            <w:r>
              <w:rPr>
                <w:rFonts w:ascii="Times New Roman" w:cs="Times New Roman" w:eastAsia="Times New Roman" w:hAnsi="Times New Roman"/>
                <w:sz w:val="18"/>
                <w:szCs w:val="18"/>
                <w:color w:val="auto"/>
              </w:rPr>
              <w:t>1,990,802</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DBDBDB"/>
            </w:tcBorders>
            <w:shd w:val="clear" w:color="auto" w:fill="DBDBDB"/>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7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10,946</w:t>
            </w:r>
          </w:p>
        </w:tc>
        <w:tc>
          <w:tcPr>
            <w:tcW w:w="18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1,441,760</w:t>
            </w:r>
          </w:p>
        </w:tc>
        <w:tc>
          <w:tcPr>
            <w:tcW w:w="18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1,021,457</w:t>
            </w: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18,580</w:t>
            </w:r>
          </w:p>
        </w:tc>
        <w:tc>
          <w:tcPr>
            <w:tcW w:w="19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3,489,138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Eduardo Rosini</w:t>
            </w:r>
          </w:p>
        </w:tc>
        <w:tc>
          <w:tcPr>
            <w:tcW w:w="1760" w:type="dxa"/>
            <w:vAlign w:val="bottom"/>
            <w:tcBorders>
              <w:bottom w:val="single" w:sz="8" w:color="DBDBDB"/>
            </w:tcBorders>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DBDBDB"/>
            </w:tcBorders>
            <w:shd w:val="clear" w:color="auto" w:fill="DBDBDB"/>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DBDBDB"/>
            </w:tcBorders>
            <w:gridSpan w:val="2"/>
            <w:shd w:val="clear" w:color="auto" w:fill="DBDBDB"/>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DBDBDB"/>
            </w:tcBorders>
            <w:shd w:val="clear" w:color="auto" w:fill="DBDBDB"/>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DBDBDB"/>
            </w:tcBorders>
            <w:shd w:val="clear" w:color="auto" w:fill="DBDBDB"/>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7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6,708</w:t>
            </w:r>
          </w:p>
        </w:tc>
        <w:tc>
          <w:tcPr>
            <w:tcW w:w="18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883,422</w:t>
            </w:r>
          </w:p>
        </w:tc>
        <w:tc>
          <w:tcPr>
            <w:tcW w:w="18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628,467</w:t>
            </w: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11,970</w:t>
            </w:r>
          </w:p>
        </w:tc>
        <w:tc>
          <w:tcPr>
            <w:tcW w:w="19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2,247,846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760" w:type="dxa"/>
            <w:vAlign w:val="bottom"/>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27,309</w:t>
            </w:r>
          </w:p>
        </w:tc>
        <w:tc>
          <w:tcPr>
            <w:tcW w:w="1800" w:type="dxa"/>
            <w:vAlign w:val="bottom"/>
            <w:shd w:val="clear" w:color="auto" w:fill="DBDBDB"/>
          </w:tcPr>
          <w:p>
            <w:pPr>
              <w:jc w:val="right"/>
              <w:ind w:right="135"/>
              <w:spacing w:after="0"/>
              <w:rPr>
                <w:sz w:val="20"/>
                <w:szCs w:val="20"/>
                <w:color w:val="auto"/>
              </w:rPr>
            </w:pPr>
            <w:r>
              <w:rPr>
                <w:rFonts w:ascii="Times New Roman" w:cs="Times New Roman" w:eastAsia="Times New Roman" w:hAnsi="Times New Roman"/>
                <w:sz w:val="18"/>
                <w:szCs w:val="18"/>
                <w:color w:val="auto"/>
              </w:rPr>
              <w:t>2,780,298</w:t>
            </w:r>
          </w:p>
        </w:tc>
        <w:tc>
          <w:tcPr>
            <w:tcW w:w="1840" w:type="dxa"/>
            <w:vAlign w:val="bottom"/>
            <w:shd w:val="clear" w:color="auto" w:fill="DBDBDB"/>
          </w:tcPr>
          <w:p>
            <w:pPr>
              <w:jc w:val="right"/>
              <w:ind w:right="159"/>
              <w:spacing w:after="0"/>
              <w:rPr>
                <w:sz w:val="20"/>
                <w:szCs w:val="20"/>
                <w:color w:val="auto"/>
              </w:rPr>
            </w:pPr>
            <w:r>
              <w:rPr>
                <w:rFonts w:ascii="Times New Roman" w:cs="Times New Roman" w:eastAsia="Times New Roman" w:hAnsi="Times New Roman"/>
                <w:sz w:val="18"/>
                <w:szCs w:val="18"/>
                <w:color w:val="auto"/>
              </w:rPr>
              <w:t>2,656,249</w:t>
            </w:r>
          </w:p>
        </w:tc>
        <w:tc>
          <w:tcPr>
            <w:tcW w:w="100" w:type="dxa"/>
            <w:vAlign w:val="bottom"/>
            <w:shd w:val="clear" w:color="auto" w:fill="DBDBDB"/>
          </w:tcPr>
          <w:p>
            <w:pPr>
              <w:spacing w:after="0"/>
              <w:rPr>
                <w:sz w:val="21"/>
                <w:szCs w:val="21"/>
                <w:color w:val="auto"/>
              </w:rPr>
            </w:pPr>
          </w:p>
        </w:tc>
        <w:tc>
          <w:tcPr>
            <w:tcW w:w="1600" w:type="dxa"/>
            <w:vAlign w:val="bottom"/>
            <w:shd w:val="clear" w:color="auto" w:fill="DBDBDB"/>
          </w:tcPr>
          <w:p>
            <w:pPr>
              <w:jc w:val="right"/>
              <w:ind w:right="13"/>
              <w:spacing w:after="0"/>
              <w:rPr>
                <w:sz w:val="20"/>
                <w:szCs w:val="20"/>
                <w:color w:val="auto"/>
              </w:rPr>
            </w:pPr>
            <w:r>
              <w:rPr>
                <w:rFonts w:ascii="Times New Roman" w:cs="Times New Roman" w:eastAsia="Times New Roman" w:hAnsi="Times New Roman"/>
                <w:sz w:val="18"/>
                <w:szCs w:val="18"/>
                <w:color w:val="auto"/>
              </w:rPr>
              <w:t>12,214</w:t>
            </w:r>
          </w:p>
        </w:tc>
        <w:tc>
          <w:tcPr>
            <w:tcW w:w="1960" w:type="dxa"/>
            <w:vAlign w:val="bottom"/>
            <w:shd w:val="clear" w:color="auto" w:fill="DBDBDB"/>
          </w:tcPr>
          <w:p>
            <w:pPr>
              <w:jc w:val="right"/>
              <w:ind w:right="157"/>
              <w:spacing w:after="0"/>
              <w:rPr>
                <w:sz w:val="20"/>
                <w:szCs w:val="20"/>
                <w:color w:val="auto"/>
              </w:rPr>
            </w:pPr>
            <w:r>
              <w:rPr>
                <w:rFonts w:ascii="Times New Roman" w:cs="Times New Roman" w:eastAsia="Times New Roman" w:hAnsi="Times New Roman"/>
                <w:sz w:val="18"/>
                <w:szCs w:val="18"/>
                <w:color w:val="auto"/>
              </w:rPr>
              <w:t>2,293,667</w:t>
            </w:r>
          </w:p>
        </w:tc>
        <w:tc>
          <w:tcPr>
            <w:tcW w:w="0" w:type="dxa"/>
            <w:vAlign w:val="bottom"/>
          </w:tcPr>
          <w:p>
            <w:pPr>
              <w:spacing w:after="0"/>
              <w:rPr>
                <w:sz w:val="1"/>
                <w:szCs w:val="1"/>
                <w:color w:val="auto"/>
              </w:rPr>
            </w:pPr>
          </w:p>
        </w:tc>
      </w:tr>
      <w:tr>
        <w:trPr>
          <w:trHeight w:val="27"/>
        </w:trPr>
        <w:tc>
          <w:tcPr>
            <w:tcW w:w="218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c>
          <w:tcPr>
            <w:tcW w:w="1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right="220" w:hanging="323"/>
        <w:spacing w:after="0" w:line="236" w:lineRule="auto"/>
        <w:rPr>
          <w:sz w:val="20"/>
          <w:szCs w:val="20"/>
          <w:color w:val="auto"/>
        </w:rPr>
      </w:pPr>
      <w:r>
        <w:rPr>
          <w:rFonts w:ascii="Times New Roman" w:cs="Times New Roman" w:eastAsia="Times New Roman" w:hAnsi="Times New Roman"/>
          <w:sz w:val="17"/>
          <w:szCs w:val="17"/>
          <w:color w:val="auto"/>
        </w:rPr>
        <w:t>{A} Under the Company’s policy, RSUs granted prior to 2025 that vest monthly throughout the year settle at a future date after vesting, equal to one share in payment and settlement of each vested unit. RSUs granted on an annual basis beginning in 2025 vest 25% per year over four years on</w:t>
      </w:r>
    </w:p>
    <w:p>
      <w:pPr>
        <w:ind w:left="660"/>
        <w:spacing w:after="0"/>
        <w:rPr>
          <w:sz w:val="20"/>
          <w:szCs w:val="20"/>
          <w:color w:val="auto"/>
        </w:rPr>
      </w:pPr>
      <w:r>
        <w:rPr>
          <w:rFonts w:ascii="Times New Roman" w:cs="Times New Roman" w:eastAsia="Times New Roman" w:hAnsi="Times New Roman"/>
          <w:sz w:val="18"/>
          <w:szCs w:val="18"/>
          <w:color w:val="auto"/>
        </w:rPr>
        <w:t>each anniversary of the grant date and settle at the time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613410</wp:posOffset>
            </wp:positionV>
            <wp:extent cx="240030" cy="2311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52</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57" w:name="page58"/>
    <w:bookmarkEnd w:id="5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620" w:right="40"/>
        <w:spacing w:after="0" w:line="236" w:lineRule="auto"/>
        <w:rPr>
          <w:sz w:val="20"/>
          <w:szCs w:val="20"/>
          <w:color w:val="auto"/>
        </w:rPr>
      </w:pPr>
      <w:r>
        <w:rPr>
          <w:rFonts w:ascii="Times New Roman" w:cs="Times New Roman" w:eastAsia="Times New Roman" w:hAnsi="Times New Roman"/>
          <w:sz w:val="17"/>
          <w:szCs w:val="17"/>
          <w:color w:val="auto"/>
        </w:rPr>
        <w:t>{B} In early 2025, the Committee certified results for the 2022–2024 performance period for PSUs granted in 2022. Based on Company TSR achieved relative to the Index TSR, the maximum threshold was achieved and the maximum shares vested in 2025. See below for the calculation of the</w:t>
      </w:r>
    </w:p>
    <w:p>
      <w:pPr>
        <w:ind w:left="660"/>
        <w:spacing w:after="0"/>
        <w:rPr>
          <w:sz w:val="20"/>
          <w:szCs w:val="20"/>
          <w:color w:val="auto"/>
        </w:rPr>
      </w:pPr>
      <w:r>
        <w:rPr>
          <w:rFonts w:ascii="Times New Roman" w:cs="Times New Roman" w:eastAsia="Times New Roman" w:hAnsi="Times New Roman"/>
          <w:sz w:val="18"/>
          <w:szCs w:val="18"/>
          <w:color w:val="auto"/>
        </w:rPr>
        <w:t>earned PSUs.</w:t>
      </w:r>
    </w:p>
    <w:p>
      <w:pPr>
        <w:spacing w:after="0" w:line="253"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 TSR as Compared to Index TSR</w:t>
            </w:r>
          </w:p>
        </w:tc>
        <w:tc>
          <w:tcPr>
            <w:tcW w:w="23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Percentage of Target PSUs Earned</w:t>
            </w:r>
          </w:p>
        </w:tc>
      </w:tr>
      <w:tr>
        <w:trPr>
          <w:trHeight w:val="37"/>
        </w:trPr>
        <w:tc>
          <w:tcPr>
            <w:tcW w:w="652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43"/>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is more than 10% less than Index TSR</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TSR is 10% less than Index TSR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(threshold)</w:t>
            </w: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is equal to Index TSR</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TSR is 5% greater than Index TSR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(target)</w:t>
            </w: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is 30% greater than Index TSR</w:t>
            </w:r>
          </w:p>
        </w:tc>
        <w:tc>
          <w:tcPr>
            <w:tcW w:w="2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 (maximum)</w:t>
            </w:r>
          </w:p>
        </w:tc>
      </w:tr>
      <w:tr>
        <w:trPr>
          <w:trHeight w:val="314"/>
        </w:trPr>
        <w:tc>
          <w:tcPr>
            <w:tcW w:w="6620" w:type="dxa"/>
            <w:vAlign w:val="bottom"/>
            <w:gridSpan w:val="2"/>
          </w:tcPr>
          <w:p>
            <w:pPr>
              <w:ind w:left="3360"/>
              <w:spacing w:after="0"/>
              <w:rPr>
                <w:sz w:val="20"/>
                <w:szCs w:val="20"/>
                <w:color w:val="auto"/>
              </w:rPr>
            </w:pPr>
            <w:r>
              <w:rPr>
                <w:rFonts w:ascii="Times New Roman" w:cs="Times New Roman" w:eastAsia="Times New Roman" w:hAnsi="Times New Roman"/>
                <w:sz w:val="14"/>
                <w:szCs w:val="14"/>
                <w:b w:val="1"/>
                <w:bCs w:val="1"/>
                <w:color w:val="auto"/>
              </w:rPr>
              <w:t>Performance Period: 2022–2024</w:t>
            </w:r>
          </w:p>
        </w:tc>
        <w:tc>
          <w:tcPr>
            <w:tcW w:w="2380" w:type="dxa"/>
            <w:vAlign w:val="bottom"/>
          </w:tcPr>
          <w:p>
            <w:pPr>
              <w:spacing w:after="0"/>
              <w:rPr>
                <w:sz w:val="24"/>
                <w:szCs w:val="24"/>
                <w:color w:val="auto"/>
              </w:rPr>
            </w:pPr>
          </w:p>
        </w:tc>
      </w:tr>
      <w:tr>
        <w:trPr>
          <w:trHeight w:val="37"/>
        </w:trPr>
        <w:tc>
          <w:tcPr>
            <w:tcW w:w="6620" w:type="dxa"/>
            <w:vAlign w:val="bottom"/>
            <w:tcBorders>
              <w:bottom w:val="single" w:sz="8" w:color="auto"/>
            </w:tcBorders>
            <w:gridSpan w:val="2"/>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244"/>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w:t>
            </w:r>
          </w:p>
        </w:tc>
        <w:tc>
          <w:tcPr>
            <w:tcW w:w="2380" w:type="dxa"/>
            <w:vAlign w:val="bottom"/>
            <w:tcBorders>
              <w:bottom w:val="single" w:sz="8" w:color="DBDBDB"/>
            </w:tcBorders>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 TSR</w:t>
            </w:r>
          </w:p>
        </w:tc>
        <w:tc>
          <w:tcPr>
            <w:tcW w:w="2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662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6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Company TSR in excess of Index TSR</w:t>
            </w:r>
          </w:p>
        </w:tc>
        <w:tc>
          <w:tcPr>
            <w:tcW w:w="2380" w:type="dxa"/>
            <w:vAlign w:val="bottom"/>
            <w:tcBorders>
              <w:bottom w:val="single" w:sz="8" w:color="DBDBDB"/>
            </w:tcBorders>
            <w:shd w:val="clear" w:color="auto" w:fill="DBDBDB"/>
          </w:tcPr>
          <w:p>
            <w:pPr>
              <w:jc w:val="right"/>
              <w:ind w:right="52"/>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Target PSUs Earned</w:t>
            </w:r>
          </w:p>
        </w:tc>
        <w:tc>
          <w:tcPr>
            <w:tcW w:w="2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(maximum) 200 %</w:t>
            </w:r>
          </w:p>
        </w:tc>
      </w:tr>
    </w:tbl>
    <w:p>
      <w:pPr>
        <w:spacing w:after="0" w:line="198" w:lineRule="exact"/>
        <w:rPr>
          <w:sz w:val="20"/>
          <w:szCs w:val="20"/>
          <w:color w:val="auto"/>
        </w:rPr>
      </w:pPr>
    </w:p>
    <w:p>
      <w:pPr>
        <w:ind w:left="340" w:right="40" w:hanging="332"/>
        <w:spacing w:after="0" w:line="237" w:lineRule="auto"/>
        <w:tabs>
          <w:tab w:leader="none" w:pos="3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value realized by multiplying (a) the number of shares of our common stock vested by (b) the fair market value of a share of our common stock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Pension Benefits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offer pension benefits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Non-Qualified Deferred Compensation</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offer non-qualified deferred compensation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Employment and Severance Arrangements</w:t>
      </w:r>
    </w:p>
    <w:p>
      <w:pPr>
        <w:spacing w:after="0" w:line="26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and Mr. Collins have entered into an Executive Severance and Change in Control Agreement, effective as of October 2, 2023 (the “CEO Employment Agreement”). In addition, each of our current executive officers other than Mr. Collins is a participant in our Executive Severance Plan. The CEO Employment Agreement and the Executive Severance Plan include severance and change in control components. Additionally, we have confidentiality and non-solicitation agreements with each of the NEOs, and non-competition agreements with all NEOs (except Mr. Collins), requiring the executive officers not to use or disclose our confidential information, solicit our customers or employees, or compete against us, as applicable.</w:t>
      </w:r>
    </w:p>
    <w:p>
      <w:pPr>
        <w:spacing w:after="0" w:line="1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CEO Employment Agreement and the Executive Severance Plan address various termination of employment and change in control scenarios. Payment of amounts under these circumstances is subject to certain conditions and limitations, including that the executive officer must execute a release of claims against us. The terms of potential payments under these agreements upon a termination of employment or change in control are summarized below under “</w:t>
      </w:r>
      <w:r>
        <w:rPr>
          <w:rFonts w:ascii="Times New Roman" w:cs="Times New Roman" w:eastAsia="Times New Roman" w:hAnsi="Times New Roman"/>
          <w:sz w:val="18"/>
          <w:szCs w:val="18"/>
          <w:i w:val="1"/>
          <w:iCs w:val="1"/>
          <w:color w:val="auto"/>
        </w:rPr>
        <w:t>Potential Payments Upon Termination, Retirement, or Change in Control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Potential Payments Upon Termination, Retirement, or Change in Control</w:t>
      </w:r>
    </w:p>
    <w:p>
      <w:pPr>
        <w:spacing w:after="0" w:line="2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CEO Employment Agreement and the Executive Severance Plan require us to provide certain payments and benefits to our NEOs in the event of certain specified terminations of employment, including a termination of employment in connection with a change in control of the Company. In addition, the CEO Employment Agreement and the terms of the equity award agreements provide for accelerated vesting in specified events including in connection with a change in control of the Company. Certain payments and benefits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459740</wp:posOffset>
            </wp:positionV>
            <wp:extent cx="240030" cy="2311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53</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8" w:name="page59"/>
    <w:bookmarkEnd w:id="58"/>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are conditional upon the execution of a release and continued compliance with applicable confidentiality, non-competition, and non-solicitation agreements, as set forth in the applicable agreements.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purposes, the following terms are defined:</w:t>
      </w:r>
    </w:p>
    <w:p>
      <w:pPr>
        <w:spacing w:after="0" w:line="250" w:lineRule="exact"/>
        <w:rPr>
          <w:sz w:val="20"/>
          <w:szCs w:val="20"/>
          <w:color w:val="auto"/>
        </w:rPr>
      </w:pPr>
    </w:p>
    <w:p>
      <w:pPr>
        <w:jc w:val="both"/>
        <w:ind w:left="660" w:hanging="652"/>
        <w:spacing w:after="0" w:line="255"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means (i) any person’s acquisition of beneficial ownership of more than 50% of our outstanding common stock; (ii) a failure to have a majority of our Board be people whose nomination or initial appointment was approved by at least of a majority of our Board; or (iii) a sale or disposition of all or substantially all of the Company’s assets or merger, consolidation, share exchange or similar transaction, unless our stockholders immediately prior to the transaction own more than 50% of the voting power of the corporation resulting from the transaction in substantially the same proportion.</w:t>
      </w:r>
    </w:p>
    <w:p>
      <w:pPr>
        <w:ind w:left="660" w:right="20" w:hanging="652"/>
        <w:spacing w:after="0" w:line="250"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 Period</w:t>
      </w:r>
      <w:r>
        <w:rPr>
          <w:rFonts w:ascii="Times New Roman" w:cs="Times New Roman" w:eastAsia="Times New Roman" w:hAnsi="Times New Roman"/>
          <w:sz w:val="18"/>
          <w:szCs w:val="18"/>
          <w:color w:val="auto"/>
        </w:rPr>
        <w:t>” under the CEO Employment Agreement means the period starting three months immediately before a Change in Control and continuing for 12 months immediately following a Change in Control.</w:t>
      </w: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(i) incompetence or failure or refusal to perform satisfactorily the duties reasonably required (other than by reason of disability);</w:t>
      </w:r>
    </w:p>
    <w:p>
      <w:pPr>
        <w:spacing w:after="0" w:line="9"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3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any law, rule, regulation, court order or regulatory directive (other than traffic violations, misdemeanors or other minor offenses); (iii) material breach of any fiduciary duty or nondisclosure, non-solicitation, non-competition or similar obligation; (iv) engaging in any act or practice involving personal dishonesty or demonstrating a willful and continuing disregard for the Company’s or its affiliates’ best interests; or (v) engaging in dishonorable or disruptive behavior, practices or acts which would be reasonably expected to harm or bring disrepute to the Company or its affiliates, their business or any of their customers, employees or vendors.</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48" w:val="left"/>
        </w:tabs>
        <w:numPr>
          <w:ilvl w:val="0"/>
          <w:numId w:val="81"/>
        </w:numPr>
        <w:rPr>
          <w:rFonts w:ascii="Arial" w:cs="Arial" w:eastAsia="Arial" w:hAnsi="Arial"/>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under the RSU and PSU award agreements means the existence of one or more of the following conditions without the executive officer’s consent, so long as the executive officer provides written notice to the Company of the existence of the condition not later than 90 days after the existence of the condition, the condition has not been fully remedied by the Company within 30 days after its receipt of such notice, and employment termination occurs within 180 days of the expiration of the Company’s 30-day remedy period: (i) any material diminution in duties, responsibilities, or authority; (ii) any material diminution in the authority, duties, or responsibilities of the executive officer’s supervisor, including a requirement that the executive officer report to any supervisor below the C-Suite level; (iii) a material reduction in any component of compensation (base salary, cash bonus opportunity or equity award) or total compensation opportunity; (iv) a geographical relocation of the executive officer’s principal work location by more than 30 miles; or (v) any action by the Company that constitutes a material breach by the Company of any contractual agreement with the executive officer.</w:t>
      </w:r>
    </w:p>
    <w:p>
      <w:pPr>
        <w:spacing w:after="0" w:line="2" w:lineRule="exact"/>
        <w:rPr>
          <w:rFonts w:ascii="Arial" w:cs="Arial" w:eastAsia="Arial" w:hAnsi="Arial"/>
          <w:sz w:val="20"/>
          <w:szCs w:val="20"/>
          <w:color w:val="auto"/>
        </w:rPr>
      </w:pPr>
    </w:p>
    <w:p>
      <w:pPr>
        <w:jc w:val="both"/>
        <w:ind w:left="660" w:hanging="652"/>
        <w:spacing w:after="0" w:line="233" w:lineRule="auto"/>
        <w:tabs>
          <w:tab w:leader="none" w:pos="64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under the Executive Severance Plan means the occurrence of any of the following events, in each case without the executive officer’s consent: (i) a material reduction in annual base salary; (ii) a material reduction in employment authority, duties or responsibilities; or (iii) a relocation of the primary work location by more than 50 miles with exceptions for home or remote work, provided that with regard to events described in (i) and (ii), the executive officer first gives notice of the event giving rise to good reason to the Company within 90 days of the first occurrence of the event, and provided further that upon giving notice the executive officer provides the Company 30 days in which to remedy the event, and the executive officer terminates employment within 180 days of the first occurrence of such an event.</w:t>
      </w:r>
    </w:p>
    <w:p>
      <w:pPr>
        <w:jc w:val="both"/>
        <w:ind w:left="660" w:hanging="652"/>
        <w:spacing w:after="0" w:line="250"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 Reason” </w:t>
      </w:r>
      <w:r>
        <w:rPr>
          <w:rFonts w:ascii="Times New Roman" w:cs="Times New Roman" w:eastAsia="Times New Roman" w:hAnsi="Times New Roman"/>
          <w:sz w:val="18"/>
          <w:szCs w:val="18"/>
          <w:color w:val="auto"/>
        </w:rPr>
        <w:t>under the CEO Employment Agreement means the initial occurrence of any of the following events, in each case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CEO’s consent: (i) a reduction of 10% or more in CEO’s base salary or annual bonus opportunity; (ii) a material reduction in the CEO’s employment authority, duties or responsibilities, including no longer serving as the CEO or the Company is no longer a reporting company under the Exchange Act; or (iii) a relocation of the CEO’s primary work location by more than 50 miles, provided that with regard to events described in</w:t>
      </w:r>
    </w:p>
    <w:p>
      <w:pPr>
        <w:spacing w:after="0" w:line="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87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the CEO first gives notice to the Company of the event giving rise to good reason within 90 calendar days of the first occurrence of the event, and provided further that upon giving notice the CEO provides 30 calendar days in which to remedy the event, and the CEO’s termination date occurs within 180 calendar days of the initial occurrence of such an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618490</wp:posOffset>
            </wp:positionV>
            <wp:extent cx="240030" cy="2317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54</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9" w:name="page60"/>
    <w:bookmarkEnd w:id="59"/>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140"/>
          </w:cols>
          <w:pgMar w:left="320" w:top="33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Termination without Cause or Resignation for Good Reason Outside of Change in Control Period - Mr. Collins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CEO Employment Agreement provides that if, outside of a Change in Control Period, we terminate Mr. Collins’ employment without Cause, or if he terminates his employment with us for Good Reason, we will pay or provide to him:</w:t>
      </w: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his then-current base salary payable over a 12-month period in accordance with our regular payroll practices;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his target annual cash incentive bonus for the year during which the termination date occurs, payable in a lump sum; and</w:t>
      </w:r>
    </w:p>
    <w:p>
      <w:pPr>
        <w:spacing w:after="0" w:line="9" w:lineRule="exact"/>
        <w:rPr>
          <w:rFonts w:ascii="Times New Roman" w:cs="Times New Roman" w:eastAsia="Times New Roman" w:hAnsi="Times New Roman"/>
          <w:sz w:val="18"/>
          <w:szCs w:val="18"/>
          <w:color w:val="auto"/>
        </w:rPr>
      </w:pPr>
    </w:p>
    <w:p>
      <w:pPr>
        <w:ind w:left="660" w:right="300" w:hanging="652"/>
        <w:spacing w:after="0" w:line="260"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 costs for health, dental and vision coverage that the Company paid per month, multiplied by 12, payable in a lump sum.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Termination without Cause or Resignation for Good Reason Before a Change in Control - Other NEOs</w:t>
      </w:r>
    </w:p>
    <w:p>
      <w:pPr>
        <w:spacing w:after="0" w:line="17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Executive Severance Plan provides that if, before a Change in Control, we terminate the NEO’s employment without Cause, or if the NEO resigns from employment for Good Reason, we will pay or provide to the NEO:</w:t>
      </w: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times the NEO’s annualized base salary over a 12-month period in accordance with our normal payroll practices;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times the participant’s target annual cash incentive bonus on a pro-rata basis payable in a lump sum; and</w:t>
      </w:r>
    </w:p>
    <w:p>
      <w:pPr>
        <w:spacing w:after="0" w:line="2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12 months of premium costs for health, dental and vision coverage payable in a lump sum.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Termination without Cause or Resignation for Good Reason in the Event of a Change in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Collins</w:t>
      </w:r>
    </w:p>
    <w:p>
      <w:pPr>
        <w:spacing w:after="0" w:line="17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The CEO Employment Agreement and the equity award agreements with Mr. Collins provide that if we terminate Mr. Collins’ employment without Cause, or if he resigns from employment with us for Good Reason, in either case during the Change in Control Period, we will pay or provide to him:</w:t>
      </w:r>
    </w:p>
    <w:p>
      <w:pPr>
        <w:spacing w:after="0" w:line="1"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months of his then-current base salary, payable in a lump sum;</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his target annual cash incentive bonus for the year during which the termination date occurs, payable in a lump sum;</w:t>
      </w:r>
    </w:p>
    <w:p>
      <w:pPr>
        <w:spacing w:after="0" w:line="9" w:lineRule="exact"/>
        <w:rPr>
          <w:rFonts w:ascii="Times New Roman" w:cs="Times New Roman" w:eastAsia="Times New Roman" w:hAnsi="Times New Roman"/>
          <w:sz w:val="18"/>
          <w:szCs w:val="18"/>
          <w:color w:val="auto"/>
        </w:rPr>
      </w:pPr>
    </w:p>
    <w:p>
      <w:pPr>
        <w:ind w:left="660" w:right="300" w:hanging="652"/>
        <w:spacing w:after="0" w:line="250"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premium costs for health, dental and vision coverage that the Company paid per month, multiplied by 24, payable in a lump sum;</w:t>
      </w: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full vesting upon such termination of all unvested RSUs; and</w:t>
      </w:r>
    </w:p>
    <w:p>
      <w:pPr>
        <w:spacing w:after="0" w:line="9" w:lineRule="exact"/>
        <w:rPr>
          <w:rFonts w:ascii="Times New Roman" w:cs="Times New Roman" w:eastAsia="Times New Roman" w:hAnsi="Times New Roman"/>
          <w:sz w:val="18"/>
          <w:szCs w:val="18"/>
          <w:color w:val="auto"/>
        </w:rPr>
      </w:pPr>
    </w:p>
    <w:p>
      <w:pPr>
        <w:ind w:left="660" w:right="120" w:hanging="652"/>
        <w:spacing w:after="0" w:line="255"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the PSUs in the amount that is the greater of (a) the target number of PSUs; or (b) the number of PSUs determined to have been earned based on actual performance over a truncated performance period ending as of the last day of the most recently completed fiscal quarter prior to the date of the Change in Control.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NEOs</w:t>
      </w:r>
    </w:p>
    <w:p>
      <w:pPr>
        <w:spacing w:after="0" w:line="17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The Executive Severance Plan and the equity award agreements with the individual NEOs other than Mr. Collins provide that if, on the date of a Change in Control or within 12 months after a Change in Control, we terminate the NEO’s employment without Cause, or the NEO resigns from employment for Good Reason, we will pay or provide to the NEO:</w:t>
      </w:r>
    </w:p>
    <w:p>
      <w:pPr>
        <w:spacing w:after="0" w:line="1"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times the NEO’s annualized base salary payable in a lump sum;</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times the NEO’s target annual incentive bonus on a pro-rata basis payable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485775</wp:posOffset>
            </wp:positionV>
            <wp:extent cx="240030" cy="2311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55</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8" w:right="439" w:bottom="1440" w:gutter="0" w:footer="0" w:header="0"/>
          <w:type w:val="continuous"/>
        </w:sectPr>
      </w:pPr>
    </w:p>
    <w:bookmarkStart w:id="60" w:name="page61"/>
    <w:bookmarkEnd w:id="60"/>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18 months of premium costs for health, dental and vision coverage payable in a lump sum;</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full vesting upon such termination of all unvested RSUs; and</w:t>
      </w:r>
    </w:p>
    <w:p>
      <w:pPr>
        <w:spacing w:after="0" w:line="9" w:lineRule="exact"/>
        <w:rPr>
          <w:rFonts w:ascii="Times New Roman" w:cs="Times New Roman" w:eastAsia="Times New Roman" w:hAnsi="Times New Roman"/>
          <w:sz w:val="18"/>
          <w:szCs w:val="18"/>
          <w:color w:val="auto"/>
        </w:rPr>
      </w:pPr>
    </w:p>
    <w:p>
      <w:pPr>
        <w:ind w:left="660" w:right="200" w:hanging="652"/>
        <w:spacing w:after="0" w:line="255"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the PSUs in the amount that is the greater of (a) the target number of PSUs; or (b) the number of PSUs determined to have been earned based on actual performance over a truncated performance period ending as of the last day of the most recently completed fiscal quarter prior to the date of the Change in Control.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Retirement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Collins</w:t>
      </w:r>
    </w:p>
    <w:p>
      <w:pPr>
        <w:spacing w:after="0" w:line="175" w:lineRule="exact"/>
        <w:rPr>
          <w:sz w:val="20"/>
          <w:szCs w:val="20"/>
          <w:color w:val="auto"/>
        </w:rPr>
      </w:pPr>
    </w:p>
    <w:p>
      <w:pPr>
        <w:ind w:left="20" w:firstLine="648"/>
        <w:spacing w:after="0" w:line="253" w:lineRule="auto"/>
        <w:rPr>
          <w:sz w:val="20"/>
          <w:szCs w:val="20"/>
          <w:color w:val="auto"/>
        </w:rPr>
      </w:pPr>
      <w:r>
        <w:rPr>
          <w:rFonts w:ascii="Times New Roman" w:cs="Times New Roman" w:eastAsia="Times New Roman" w:hAnsi="Times New Roman"/>
          <w:sz w:val="18"/>
          <w:szCs w:val="18"/>
          <w:color w:val="auto"/>
        </w:rPr>
        <w:t>The retirement provisions in the CEO Employment Agreement provide that if (a) Mr. Collins is at least 57 years old and has completed eight years of continuous service with the Company, or Mr. Collins is at least 63 years old (without regard to years of service); (b) Mr. Collins provides no less than six months’ written notice regarding retirement; (c) Mr. Collins continues to provide full-time services for the Company (i) materially consistent with the full-time responsibilities and services performed by him prior to the date on which he provides written notice of his retirement, or (ii) such other substantive services as agreed between him and the Company through his termination date; and (d) Mr. Collins’ termination date occurs on or after the retirement date identified by Mr. Collins (and such termination date is no earlier than six months after the date on which he provided written notice of his retirement (except that the Company in its sole discretion may designate a termination date that is after the date on which Mr. Collins provides written notice of his retirement and prior to the retirement date identified by him)); then upon retirement, subject to certain conditions:</w:t>
      </w:r>
    </w:p>
    <w:p>
      <w:pPr>
        <w:spacing w:after="0" w:line="1"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equity awards with solely a service based vesting condition will become fully vested;</w:t>
      </w:r>
    </w:p>
    <w:p>
      <w:pPr>
        <w:spacing w:after="0" w:line="9"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with a performance goal over a performance period vesting condition will continue to vest on each originally scheduled vesting date in an amount equal to the number of units subject to the awards that would otherwise have been determined to have been earned with continuous employment with the Company through the originally scheduled vesting dates; and</w:t>
      </w:r>
    </w:p>
    <w:p>
      <w:pPr>
        <w:spacing w:after="0" w:line="1" w:lineRule="exact"/>
        <w:rPr>
          <w:rFonts w:ascii="Times New Roman" w:cs="Times New Roman" w:eastAsia="Times New Roman" w:hAnsi="Times New Roman"/>
          <w:sz w:val="18"/>
          <w:szCs w:val="18"/>
          <w:color w:val="auto"/>
        </w:rPr>
      </w:pPr>
    </w:p>
    <w:p>
      <w:pPr>
        <w:ind w:left="660" w:right="40" w:hanging="652"/>
        <w:spacing w:after="0" w:line="254"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designates a termination date that is after the date on which Mr. Collins provided written notice of his retirement and prior to the retirement date identified by him, and the termination date is prior to the six-month anniversary of the date on which Mr. Collins provided written notice of his retirement, then in addition to the accelerated or continued vesting of equity awards, the Company shall pay Mr. Collins severance pay equal to: (i) the amount of base salary he would have received from the termination date through the six month anniversary of the date on which he provided written notice of his retirement; plus (ii) an amount equal to the premium costs for health, dental and vision coverage that the Company paid during the last full month of his employment multiplied by the number of complete months remaining between the termination and such six-month anniversary, payable in a lump sum.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NEOs</w:t>
      </w:r>
    </w:p>
    <w:p>
      <w:pPr>
        <w:spacing w:after="0" w:line="17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retirement provisions in the equity award agreements with Mr. Juckniess, Ms. Nelson, Mr. Rosini and Mr. Thingelstad provide that if (a) the NEO is at least 58 years old and has completed ten years of continuous service with the Company or is at least 65 years old (without regard to years of service); (b) the NEO provides no less than six months’ written notice regarding retirement; (c) the NEO continues to perform full-time service for the Company (i) materially consistent with the full-time responsibilities and services performed by the NEO prior to the date on which the NEO provides written notice of his or her retirement from employment with the Company, or</w:t>
      </w:r>
    </w:p>
    <w:p>
      <w:pPr>
        <w:spacing w:after="0" w:line="3" w:lineRule="exact"/>
        <w:rPr>
          <w:sz w:val="20"/>
          <w:szCs w:val="20"/>
          <w:color w:val="auto"/>
        </w:rPr>
      </w:pPr>
    </w:p>
    <w:p>
      <w:pPr>
        <w:ind w:right="100" w:firstLine="8"/>
        <w:spacing w:after="0" w:line="252" w:lineRule="auto"/>
        <w:tabs>
          <w:tab w:leader="none" w:pos="2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substantive services as agreed between the Company and the NEO through the NEO’s termination date; (d) the NEO’s termination date occurs on the retirement date identified by the NEO (and such termination date is no earlier than six months after the date on which the NEO provided written notice of his or her retirement (except that the Company in its sole discretion may designate a termination date that is after the date on which the NEO provides written notice of his or her retirement and prior to the retirement date identified by the NEO)); and (e) the Company does not provide the NEO with written notice on or before the anticipated termination date that the Company intends or has grounds to terminate the NEO’s continuous service for Cause; then upon retirement,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466090</wp:posOffset>
            </wp:positionV>
            <wp:extent cx="240030" cy="2311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56</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61" w:name="page62"/>
    <w:bookmarkEnd w:id="61"/>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20"/>
          </w:cols>
          <w:pgMar w:left="320" w:top="3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certain conditions:</w:t>
      </w:r>
    </w:p>
    <w:p>
      <w:pPr>
        <w:spacing w:after="0" w:line="27"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non-qualified stock options and RSUs will become fully vested; and</w:t>
      </w:r>
    </w:p>
    <w:p>
      <w:pPr>
        <w:spacing w:after="0" w:line="9" w:lineRule="exact"/>
        <w:rPr>
          <w:rFonts w:ascii="Times New Roman" w:cs="Times New Roman" w:eastAsia="Times New Roman" w:hAnsi="Times New Roman"/>
          <w:sz w:val="18"/>
          <w:szCs w:val="18"/>
          <w:color w:val="auto"/>
        </w:rPr>
      </w:pPr>
    </w:p>
    <w:p>
      <w:pPr>
        <w:ind w:left="660" w:right="40" w:hanging="652"/>
        <w:spacing w:after="0" w:line="265" w:lineRule="auto"/>
        <w:tabs>
          <w:tab w:leader="none" w:pos="65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PSUs will continue to vest on each originally scheduled vesting date in an amount equal to the number of units that are determined to have been earned based on actual performance against the applicable performance goal over the performance period; if a Change in Control occurs after the date of retirement but before the scheduled vesting date of the PSUs, then the PSUs will vest in the amount that is the greater of</w:t>
      </w:r>
    </w:p>
    <w:p>
      <w:pPr>
        <w:ind w:left="660" w:right="7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target number of PSUs; or (b) the number of PSUs determined to have been earned based on actual performance over a truncated performance period ending as of the last day of the most recently completed fiscal quarter prior to the date of the Change in Control.</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No NEO holds unvested non-qualified stock options. Ms. Nelson became eligible for retirement in 2025, and as described under “</w:t>
      </w:r>
      <w:r>
        <w:rPr>
          <w:rFonts w:ascii="Times New Roman" w:cs="Times New Roman" w:eastAsia="Times New Roman" w:hAnsi="Times New Roman"/>
          <w:sz w:val="18"/>
          <w:szCs w:val="18"/>
          <w:i w:val="1"/>
          <w:iCs w:val="1"/>
          <w:color w:val="auto"/>
        </w:rPr>
        <w:t>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on page 32, announced her retirement in February 2026. Mr. Juckniess retired from the Company as of December 31,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disclosed by the Company, on October 29, 2025, Mr. Juckniess provided the Company with his six months’ notice of his intent to retire from the Company. Due to the appointment of Mr. Rosini as Mr. Juckniess’ successor as of December 1, 2025, the Compensation &amp; Talent Committee determined that Mr. Juckniess’ effective retirement date would be December 31, 2025 (the “Retirement Date”), to allow for sufficient time for transition but to avoid redundancies. In light of the fact that Mr. Juckniess would reach age 58 and 10 years of continuous service in the first quarter of 2026, that his successor had been identified and appointed, allowing for a sufficient transition period, and that the Compensation &amp; Talent Committee determined to accelerate his retirement date, the Compensation &amp; Talent Committee decided to waive the age and years of service, and the six-month notice period, requirements under the definition of “Retirement” in Mr. Juckniess’ equity award agreements. Accordingly, his outstanding equity awards were treated as provided under the retirement provisions of those award agreements upon his Retirement Date. Mr. Juckniess was not entitled to any cash payments or other severance in connection with his retirement.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Change in Control under Equity Award Agreements</w:t>
      </w:r>
    </w:p>
    <w:p>
      <w:pPr>
        <w:spacing w:after="0" w:line="2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The Company has entered into award agreements with each of its executive officers for the grant of non-qualified stock options, RSUs and/or PSUs pursuant to our 2010 Equity Incentive Plan. These award agreements provide for accelerated vesting in certain circumstances in connection with a change in control of the Company. The PSU agreements relating to grants made in 2024 have been amended as described in the Current Report on Form 8-K filed by the Company with the SEC on the same day that this Proxy Statement is filed, in order to conform their terms to those of the PSU agreements relating to grants made in 2025. In particular, the PSUs granted in 2024, which had a single trigger vesting provision in connection with a change in control, have been amended to provide for double trigger vesting in connection with a change in control, as set forth in the agreements relating to PSUs granted in 2025 and 2026, which agreements are described in more detail below under “</w:t>
      </w:r>
      <w:r>
        <w:rPr>
          <w:rFonts w:ascii="Times New Roman" w:cs="Times New Roman" w:eastAsia="Times New Roman" w:hAnsi="Times New Roman"/>
          <w:sz w:val="18"/>
          <w:szCs w:val="18"/>
          <w:i w:val="1"/>
          <w:iCs w:val="1"/>
          <w:color w:val="auto"/>
        </w:rPr>
        <w:t>Change in Control under Equity Award Agreements--PSUs</w:t>
      </w:r>
      <w:r>
        <w:rPr>
          <w:rFonts w:ascii="Times New Roman" w:cs="Times New Roman" w:eastAsia="Times New Roman" w:hAnsi="Times New Roman"/>
          <w:sz w:val="18"/>
          <w:szCs w:val="18"/>
          <w:color w:val="auto"/>
        </w:rPr>
        <w:t>”. The PSU agreements for the grants made in 2025 and 2026 were also amended for certain other clarifying changes. Following these amendments, a single form of PSU agreement as described in this Proxy Statement covers all currently outstanding PSUs that have been granted to our executive officers. No executive officer holds unvested non-qualified stock options.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RSU award agreements entered into with each of our executive officers, in the event of a Change in Control and the RSUs are continued, assumed or replaced, if within one year after such Change in Control, the executive officer’s employment is involuntarily terminated for reasons other than Cause or if the executive officer resigns for Good Reason, then all unvested RSUs immediately become vested in full. In the event of a Change in Control and the RSUs are not continued, assumed or replaced, then all unvested RSUs immediately become vested in full upon the occurrence of the Change in Control.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20"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8"/>
          <w:szCs w:val="18"/>
          <w:color w:val="auto"/>
        </w:rPr>
        <w:t>Under the PSU agreements entered into with each of our executive officers as amended as set forth above under “</w:t>
      </w:r>
      <w:r>
        <w:rPr>
          <w:rFonts w:ascii="Times New Roman" w:cs="Times New Roman" w:eastAsia="Times New Roman" w:hAnsi="Times New Roman"/>
          <w:sz w:val="18"/>
          <w:szCs w:val="18"/>
          <w:i w:val="1"/>
          <w:iCs w:val="1"/>
          <w:color w:val="auto"/>
        </w:rPr>
        <w:t>Change in Control under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in the event of a Change in Control and the PSUs are continued, assumed or replaced, the applicable performance period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truncated and will end as of the last day of the Company’s most recently completed fiscal quarter prior to the date of the Change in Control, and a number of PSUs that is the greater of (1) the number of PSUs that are determined to have been earned based on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480695</wp:posOffset>
            </wp:positionV>
            <wp:extent cx="240030" cy="2311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57</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type w:val="continuous"/>
        </w:sectPr>
      </w:pPr>
    </w:p>
    <w:bookmarkStart w:id="62" w:name="page63"/>
    <w:bookmarkEnd w:id="62"/>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performance against the performance goal over the truncated performance period and (2) the target number of PSUs (the greater of which, the “Deemed Achieved PSUs”), shall be deemed to be achieved as of the date of the Change in Control, and such number of Deemed Achieved PSUs shall continue to be subject to a continuing service requirement that ends on the last day of the original performance period. If, within one year after the Change in Control the executive officer experiences an involuntary termination of service other than for Cause or a resignation for Good Reason, then such number of Deemed Achieved PSUs shall immediately become vested in full. In the event of a Change in Control and the PSUs are not continued, assumed or replaced, then the number of Deemed Achieved PSUs shall immediately vest in full upon the occurrence of the Change in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Potential Payments Schedule</w:t>
      </w:r>
    </w:p>
    <w:p>
      <w:pPr>
        <w:spacing w:after="0" w:line="17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lists the potential payments and benefits upon a retirement, termination of employment, or change in control of the Company for Mr. Collins, Ms. Nelson, Mr. Rosini, and Mr. Thingelstad. As Mr. Juckniess retired from the Company on December 31, 2025, the following table sets forth the actual payments and benefits to him as of his retirement (as well as a possible future change in control with respect to his outstanding PSUs) and not for the additional scenarios that no longer can occur. Other than as described in the preceding sentence, the tables assume the triggering event for the payments or provision of benefits occurred on December 31, 2025, the last day of our last completed fiscal year.</w:t>
      </w:r>
    </w:p>
    <w:p>
      <w:pPr>
        <w:spacing w:after="0" w:line="1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amounts in the table for the acceleration of RSUs and PSUs are determined by multiplying the number of accelerated units by the closing price for our common stock on December 31, 2025, the last trading day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859790</wp:posOffset>
            </wp:positionV>
            <wp:extent cx="240030" cy="2317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58</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63" w:name="page64"/>
    <w:bookmarkEnd w:id="63"/>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Without Award</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10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Continuance/</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Resignation For Good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Cause or Resignation</w:t>
            </w:r>
          </w:p>
        </w:tc>
        <w:tc>
          <w:tcPr>
            <w:tcW w:w="1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Assumption/Replacement</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Retirement</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Cause Outside of the</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Reason Outside of the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Good Reason</w:t>
            </w:r>
          </w:p>
        </w:tc>
        <w:tc>
          <w:tcPr>
            <w:tcW w:w="1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 Termination or</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the Change in</w:t>
            </w:r>
          </w:p>
        </w:tc>
        <w:tc>
          <w:tcPr>
            <w:tcW w:w="10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Resignation)</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6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Period</w:t>
            </w:r>
            <w:r>
              <w:rPr>
                <w:rFonts w:ascii="Times New Roman" w:cs="Times New Roman" w:eastAsia="Times New Roman" w:hAnsi="Times New Roman"/>
                <w:sz w:val="18"/>
                <w:szCs w:val="18"/>
                <w:b w:val="1"/>
                <w:bCs w:val="1"/>
                <w:color w:val="auto"/>
                <w:w w:val="97"/>
                <w:vertAlign w:val="superscript"/>
              </w:rPr>
              <w:t>(2)</w:t>
            </w:r>
            <w:r>
              <w:rPr>
                <w:rFonts w:ascii="Times New Roman" w:cs="Times New Roman" w:eastAsia="Times New Roman" w:hAnsi="Times New Roman"/>
                <w:sz w:val="14"/>
                <w:szCs w:val="14"/>
                <w:b w:val="1"/>
                <w:bCs w:val="1"/>
                <w:color w:val="auto"/>
                <w:w w:val="97"/>
              </w:rPr>
              <w:t xml:space="preserve"> ($)</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9"/>
                <w:szCs w:val="9"/>
                <w:b w:val="1"/>
                <w:bCs w:val="1"/>
                <w:color w:val="auto"/>
              </w:rPr>
              <w:t>(2)</w:t>
            </w:r>
            <w:r>
              <w:rPr>
                <w:rFonts w:ascii="Times New Roman" w:cs="Times New Roman" w:eastAsia="Times New Roman" w:hAnsi="Times New Roman"/>
                <w:sz w:val="14"/>
                <w:szCs w:val="14"/>
                <w:b w:val="1"/>
                <w:bCs w:val="1"/>
                <w:color w:val="auto"/>
              </w:rPr>
              <w:t xml:space="preserve">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Control Period</w:t>
            </w:r>
            <w:r>
              <w:rPr>
                <w:rFonts w:ascii="Times New Roman" w:cs="Times New Roman" w:eastAsia="Times New Roman" w:hAnsi="Times New Roman"/>
                <w:sz w:val="18"/>
                <w:szCs w:val="18"/>
                <w:b w:val="1"/>
                <w:bCs w:val="1"/>
                <w:color w:val="auto"/>
                <w:w w:val="98"/>
                <w:vertAlign w:val="superscript"/>
              </w:rPr>
              <w:t>(2)</w:t>
            </w:r>
            <w:r>
              <w:rPr>
                <w:rFonts w:ascii="Times New Roman" w:cs="Times New Roman" w:eastAsia="Times New Roman" w:hAnsi="Times New Roman"/>
                <w:sz w:val="14"/>
                <w:szCs w:val="14"/>
                <w:b w:val="1"/>
                <w:bCs w:val="1"/>
                <w:color w:val="auto"/>
                <w:w w:val="98"/>
              </w:rPr>
              <w:t xml:space="preserve"> ($)</w:t>
            </w:r>
          </w:p>
        </w:tc>
        <w:tc>
          <w:tcPr>
            <w:tcW w:w="1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940" w:type="dxa"/>
            <w:vAlign w:val="bottom"/>
            <w:tcBorders>
              <w:top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Chad Collins</w:t>
            </w:r>
          </w:p>
        </w:tc>
        <w:tc>
          <w:tcPr>
            <w:tcW w:w="100" w:type="dxa"/>
            <w:vAlign w:val="bottom"/>
            <w:tcBorders>
              <w:top w:val="single" w:sz="8" w:color="DBDBDB"/>
            </w:tcBorders>
            <w:shd w:val="clear" w:color="auto" w:fill="DBDBDB"/>
          </w:tcPr>
          <w:p>
            <w:pPr>
              <w:spacing w:after="0"/>
              <w:rPr>
                <w:sz w:val="15"/>
                <w:szCs w:val="15"/>
                <w:color w:val="auto"/>
              </w:rPr>
            </w:pPr>
          </w:p>
        </w:tc>
        <w:tc>
          <w:tcPr>
            <w:tcW w:w="1500" w:type="dxa"/>
            <w:vAlign w:val="bottom"/>
            <w:tcBorders>
              <w:top w:val="single" w:sz="8" w:color="auto"/>
            </w:tcBorders>
            <w:shd w:val="clear" w:color="auto" w:fill="DBDBDB"/>
          </w:tcPr>
          <w:p>
            <w:pPr>
              <w:spacing w:after="0"/>
              <w:rPr>
                <w:sz w:val="15"/>
                <w:szCs w:val="15"/>
                <w:color w:val="auto"/>
              </w:rPr>
            </w:pPr>
          </w:p>
        </w:tc>
        <w:tc>
          <w:tcPr>
            <w:tcW w:w="4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56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500" w:type="dxa"/>
            <w:vAlign w:val="bottom"/>
            <w:tcBorders>
              <w:top w:val="single" w:sz="8" w:color="auto"/>
            </w:tcBorders>
            <w:shd w:val="clear" w:color="auto" w:fill="DBDBDB"/>
          </w:tcPr>
          <w:p>
            <w:pPr>
              <w:spacing w:after="0"/>
              <w:rPr>
                <w:sz w:val="15"/>
                <w:szCs w:val="15"/>
                <w:color w:val="auto"/>
              </w:rPr>
            </w:pPr>
          </w:p>
        </w:tc>
        <w:tc>
          <w:tcPr>
            <w:tcW w:w="4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56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580" w:type="dxa"/>
            <w:vAlign w:val="bottom"/>
            <w:tcBorders>
              <w:top w:val="single" w:sz="8" w:color="auto"/>
            </w:tcBorders>
            <w:shd w:val="clear" w:color="auto" w:fill="DBDBDB"/>
          </w:tcPr>
          <w:p>
            <w:pPr>
              <w:spacing w:after="0"/>
              <w:rPr>
                <w:sz w:val="15"/>
                <w:szCs w:val="15"/>
                <w:color w:val="auto"/>
              </w:rPr>
            </w:pPr>
          </w:p>
        </w:tc>
        <w:tc>
          <w:tcPr>
            <w:tcW w:w="4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shd w:val="clear" w:color="auto" w:fill="DBDBDB"/>
          </w:tcPr>
          <w:p>
            <w:pPr>
              <w:spacing w:after="0"/>
              <w:rPr>
                <w:sz w:val="19"/>
                <w:szCs w:val="19"/>
                <w:color w:val="auto"/>
              </w:rPr>
            </w:pPr>
          </w:p>
        </w:tc>
        <w:tc>
          <w:tcPr>
            <w:tcW w:w="154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1,224,000</w:t>
            </w:r>
          </w:p>
        </w:tc>
        <w:tc>
          <w:tcPr>
            <w:tcW w:w="16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1,224,000</w:t>
            </w:r>
          </w:p>
        </w:tc>
        <w:tc>
          <w:tcPr>
            <w:tcW w:w="168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2,448,000</w:t>
            </w:r>
          </w:p>
        </w:tc>
        <w:tc>
          <w:tcPr>
            <w:tcW w:w="10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6"/>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(3)</w:t>
            </w:r>
          </w:p>
        </w:tc>
        <w:tc>
          <w:tcPr>
            <w:tcW w:w="10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23"/>
                <w:szCs w:val="23"/>
                <w:color w:val="auto"/>
              </w:rPr>
            </w:pPr>
          </w:p>
        </w:tc>
        <w:tc>
          <w:tcPr>
            <w:tcW w:w="16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16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168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31,102</w:t>
            </w:r>
          </w:p>
        </w:tc>
        <w:tc>
          <w:tcPr>
            <w:tcW w:w="100" w:type="dxa"/>
            <w:vAlign w:val="bottom"/>
            <w:shd w:val="clear" w:color="auto" w:fill="DBDBDB"/>
          </w:tcPr>
          <w:p>
            <w:pPr>
              <w:spacing w:after="0"/>
              <w:rPr>
                <w:sz w:val="23"/>
                <w:szCs w:val="23"/>
                <w:color w:val="auto"/>
              </w:rPr>
            </w:pPr>
          </w:p>
        </w:tc>
        <w:tc>
          <w:tcPr>
            <w:tcW w:w="162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5,394,593</w:t>
            </w:r>
          </w:p>
        </w:tc>
        <w:tc>
          <w:tcPr>
            <w:tcW w:w="16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5,394,593</w:t>
            </w:r>
          </w:p>
        </w:tc>
        <w:tc>
          <w:tcPr>
            <w:tcW w:w="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940" w:type="dxa"/>
            <w:vAlign w:val="bottom"/>
            <w:vMerge w:val="restart"/>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(4)</w:t>
            </w:r>
          </w:p>
        </w:tc>
        <w:tc>
          <w:tcPr>
            <w:tcW w:w="100" w:type="dxa"/>
            <w:vAlign w:val="bottom"/>
            <w:shd w:val="clear" w:color="auto" w:fill="DBDBDB"/>
          </w:tcPr>
          <w:p>
            <w:pPr>
              <w:spacing w:after="0"/>
              <w:rPr>
                <w:sz w:val="2"/>
                <w:szCs w:val="2"/>
                <w:color w:val="auto"/>
              </w:rPr>
            </w:pPr>
          </w:p>
        </w:tc>
        <w:tc>
          <w:tcPr>
            <w:tcW w:w="15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5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2"/>
                <w:szCs w:val="2"/>
                <w:color w:val="auto"/>
              </w:rPr>
            </w:pPr>
          </w:p>
        </w:tc>
        <w:tc>
          <w:tcPr>
            <w:tcW w:w="15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2"/>
                <w:szCs w:val="2"/>
                <w:color w:val="auto"/>
              </w:rPr>
            </w:pPr>
          </w:p>
        </w:tc>
        <w:tc>
          <w:tcPr>
            <w:tcW w:w="164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6,760,689</w:t>
            </w:r>
          </w:p>
        </w:tc>
        <w:tc>
          <w:tcPr>
            <w:tcW w:w="1680" w:type="dxa"/>
            <w:vAlign w:val="bottom"/>
            <w:gridSpan w:val="2"/>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6,760,689</w:t>
            </w:r>
          </w:p>
        </w:tc>
        <w:tc>
          <w:tcPr>
            <w:tcW w:w="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40" w:type="dxa"/>
            <w:vAlign w:val="bottom"/>
            <w:tcBorders>
              <w:bottom w:val="single" w:sz="8" w:color="DBDBDB"/>
            </w:tcBorders>
            <w:vMerge w:val="continue"/>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vMerge w:val="continue"/>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560" w:type="dxa"/>
            <w:vAlign w:val="bottom"/>
            <w:tcBorders>
              <w:bottom w:val="single" w:sz="8" w:color="DBDBDB"/>
            </w:tcBorders>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500" w:type="dxa"/>
            <w:vAlign w:val="bottom"/>
            <w:tcBorders>
              <w:bottom w:val="single" w:sz="8" w:color="DBDBDB"/>
            </w:tcBorders>
            <w:vMerge w:val="continue"/>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1640" w:type="dxa"/>
            <w:vAlign w:val="bottom"/>
            <w:tcBorders>
              <w:bottom w:val="single" w:sz="8" w:color="DBDBDB"/>
            </w:tcBorders>
            <w:gridSpan w:val="2"/>
            <w:vMerge w:val="continue"/>
            <w:shd w:val="clear" w:color="auto" w:fill="DBDBDB"/>
          </w:tcPr>
          <w:p>
            <w:pPr>
              <w:spacing w:after="0"/>
              <w:rPr>
                <w:sz w:val="21"/>
                <w:szCs w:val="21"/>
                <w:color w:val="auto"/>
              </w:rPr>
            </w:pPr>
          </w:p>
        </w:tc>
        <w:tc>
          <w:tcPr>
            <w:tcW w:w="1680" w:type="dxa"/>
            <w:vAlign w:val="bottom"/>
            <w:tcBorders>
              <w:bottom w:val="single" w:sz="8" w:color="DBDBDB"/>
            </w:tcBorders>
            <w:gridSpan w:val="2"/>
            <w:vMerge w:val="continue"/>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40" w:type="dxa"/>
            <w:vAlign w:val="bottom"/>
            <w:tcBorders>
              <w:top w:val="single" w:sz="8" w:color="auto"/>
              <w:bottom w:val="single" w:sz="8" w:color="DBDBDB"/>
            </w:tcBorders>
            <w:shd w:val="clear" w:color="auto" w:fill="DBDBDB"/>
          </w:tcPr>
          <w:p>
            <w:pPr>
              <w:jc w:val="center"/>
              <w:ind w:right="164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DBDBDB"/>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5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1,239,552</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1,239,552</w:t>
            </w:r>
          </w:p>
        </w:tc>
        <w:tc>
          <w:tcPr>
            <w:tcW w:w="40" w:type="dxa"/>
            <w:vAlign w:val="bottom"/>
            <w:tcBorders>
              <w:top w:val="single" w:sz="8" w:color="auto"/>
              <w:bottom w:val="single" w:sz="8" w:color="DBDBDB"/>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5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14,634,384</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12,155,282</w:t>
            </w:r>
          </w:p>
        </w:tc>
        <w:tc>
          <w:tcPr>
            <w:tcW w:w="40" w:type="dxa"/>
            <w:vAlign w:val="bottom"/>
            <w:tcBorders>
              <w:top w:val="single" w:sz="8" w:color="auto"/>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2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Kimberly Nelson</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1,215,000</w:t>
            </w:r>
          </w:p>
        </w:tc>
        <w:tc>
          <w:tcPr>
            <w:tcW w:w="10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23"/>
                <w:szCs w:val="23"/>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23,328</w:t>
            </w:r>
          </w:p>
        </w:tc>
        <w:tc>
          <w:tcPr>
            <w:tcW w:w="100" w:type="dxa"/>
            <w:vAlign w:val="bottom"/>
          </w:tcPr>
          <w:p>
            <w:pPr>
              <w:spacing w:after="0"/>
              <w:rPr>
                <w:sz w:val="23"/>
                <w:szCs w:val="23"/>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2,276,737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2,276,737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2,276,737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23"/>
                <w:szCs w:val="23"/>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2,213,276</w:t>
            </w:r>
          </w:p>
        </w:tc>
        <w:tc>
          <w:tcPr>
            <w:tcW w:w="10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2,213,276</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940" w:type="dxa"/>
            <w:vAlign w:val="bottom"/>
          </w:tcPr>
          <w:p>
            <w:pPr>
              <w:jc w:val="center"/>
              <w:ind w:right="1648"/>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2,276,737</w:t>
            </w:r>
          </w:p>
        </w:tc>
        <w:tc>
          <w:tcPr>
            <w:tcW w:w="4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825,552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825,552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5,728,341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4,490,013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9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Eduardo Rosini</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940" w:type="dxa"/>
            <w:vAlign w:val="bottom"/>
            <w:vMerge w:val="restart"/>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shd w:val="clear" w:color="auto" w:fill="DBDBDB"/>
          </w:tcPr>
          <w:p>
            <w:pPr>
              <w:spacing w:after="0"/>
              <w:rPr>
                <w:sz w:val="2"/>
                <w:szCs w:val="2"/>
                <w:color w:val="auto"/>
              </w:rPr>
            </w:pPr>
          </w:p>
        </w:tc>
        <w:tc>
          <w:tcPr>
            <w:tcW w:w="1540" w:type="dxa"/>
            <w:vAlign w:val="bottom"/>
            <w:gridSpan w:val="2"/>
            <w:vMerge w:val="restart"/>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9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40" w:type="dxa"/>
            <w:vAlign w:val="bottom"/>
            <w:gridSpan w:val="2"/>
            <w:vMerge w:val="continue"/>
            <w:shd w:val="clear" w:color="auto" w:fill="DBDBDB"/>
          </w:tcPr>
          <w:p>
            <w:pPr>
              <w:spacing w:after="0"/>
              <w:rPr>
                <w:sz w:val="17"/>
                <w:szCs w:val="17"/>
                <w:color w:val="auto"/>
              </w:rPr>
            </w:pPr>
          </w:p>
        </w:tc>
        <w:tc>
          <w:tcPr>
            <w:tcW w:w="16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10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1,350,000</w:t>
            </w:r>
          </w:p>
        </w:tc>
        <w:tc>
          <w:tcPr>
            <w:tcW w:w="100" w:type="dxa"/>
            <w:vAlign w:val="bottom"/>
            <w:shd w:val="clear" w:color="auto" w:fill="DBDBDB"/>
          </w:tcPr>
          <w:p>
            <w:pPr>
              <w:spacing w:after="0"/>
              <w:rPr>
                <w:sz w:val="17"/>
                <w:szCs w:val="17"/>
                <w:color w:val="auto"/>
              </w:rPr>
            </w:pPr>
          </w:p>
        </w:tc>
        <w:tc>
          <w:tcPr>
            <w:tcW w:w="1580" w:type="dxa"/>
            <w:vAlign w:val="bottom"/>
            <w:vMerge w:val="continue"/>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(3)</w:t>
            </w:r>
          </w:p>
        </w:tc>
        <w:tc>
          <w:tcPr>
            <w:tcW w:w="10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23"/>
                <w:szCs w:val="23"/>
                <w:color w:val="auto"/>
              </w:rPr>
            </w:pPr>
          </w:p>
        </w:tc>
        <w:tc>
          <w:tcPr>
            <w:tcW w:w="16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100" w:type="dxa"/>
            <w:vAlign w:val="bottom"/>
            <w:shd w:val="clear" w:color="auto" w:fill="DBDBDB"/>
          </w:tcPr>
          <w:p>
            <w:pPr>
              <w:spacing w:after="0"/>
              <w:rPr>
                <w:sz w:val="23"/>
                <w:szCs w:val="23"/>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20,322</w:t>
            </w:r>
          </w:p>
        </w:tc>
        <w:tc>
          <w:tcPr>
            <w:tcW w:w="10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9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7,177,193</w:t>
            </w:r>
          </w:p>
        </w:tc>
        <w:tc>
          <w:tcPr>
            <w:tcW w:w="100" w:type="dxa"/>
            <w:vAlign w:val="bottom"/>
            <w:shd w:val="clear" w:color="auto" w:fill="DBDBDB"/>
          </w:tcPr>
          <w:p>
            <w:pPr>
              <w:spacing w:after="0"/>
              <w:rPr>
                <w:sz w:val="16"/>
                <w:szCs w:val="16"/>
                <w:color w:val="auto"/>
              </w:rPr>
            </w:pPr>
          </w:p>
        </w:tc>
        <w:tc>
          <w:tcPr>
            <w:tcW w:w="15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7,177,193</w:t>
            </w:r>
          </w:p>
        </w:tc>
        <w:tc>
          <w:tcPr>
            <w:tcW w:w="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9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Value of Accelerated PSUs</w:t>
            </w:r>
          </w:p>
        </w:tc>
        <w:tc>
          <w:tcPr>
            <w:tcW w:w="100" w:type="dxa"/>
            <w:vAlign w:val="bottom"/>
            <w:tcBorders>
              <w:bottom w:val="single" w:sz="8" w:color="DBDBDB"/>
            </w:tcBorders>
            <w:shd w:val="clear" w:color="auto" w:fill="DBDBDB"/>
          </w:tcPr>
          <w:p>
            <w:pPr>
              <w:spacing w:after="0"/>
              <w:rPr>
                <w:sz w:val="23"/>
                <w:szCs w:val="23"/>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DBDBDB"/>
            </w:tcBorders>
            <w:shd w:val="clear" w:color="auto" w:fill="DBDBDB"/>
          </w:tcPr>
          <w:p>
            <w:pPr>
              <w:spacing w:after="0"/>
              <w:rPr>
                <w:sz w:val="23"/>
                <w:szCs w:val="23"/>
                <w:color w:val="auto"/>
              </w:rPr>
            </w:pPr>
          </w:p>
        </w:tc>
        <w:tc>
          <w:tcPr>
            <w:tcW w:w="80" w:type="dxa"/>
            <w:vAlign w:val="bottom"/>
            <w:tcBorders>
              <w:bottom w:val="single" w:sz="8" w:color="DBDBDB"/>
            </w:tcBorders>
            <w:shd w:val="clear" w:color="auto" w:fill="DBDBDB"/>
          </w:tcPr>
          <w:p>
            <w:pPr>
              <w:spacing w:after="0"/>
              <w:rPr>
                <w:sz w:val="23"/>
                <w:szCs w:val="23"/>
                <w:color w:val="auto"/>
              </w:rPr>
            </w:pPr>
          </w:p>
        </w:tc>
        <w:tc>
          <w:tcPr>
            <w:tcW w:w="1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23"/>
                <w:szCs w:val="23"/>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DBDBDB"/>
            </w:tcBorders>
            <w:shd w:val="clear" w:color="auto" w:fill="DBDBDB"/>
          </w:tcPr>
          <w:p>
            <w:pPr>
              <w:spacing w:after="0"/>
              <w:rPr>
                <w:sz w:val="23"/>
                <w:szCs w:val="23"/>
                <w:color w:val="auto"/>
              </w:rPr>
            </w:pPr>
          </w:p>
        </w:tc>
        <w:tc>
          <w:tcPr>
            <w:tcW w:w="80" w:type="dxa"/>
            <w:vAlign w:val="bottom"/>
            <w:tcBorders>
              <w:bottom w:val="single" w:sz="8" w:color="DBDBDB"/>
            </w:tcBorders>
            <w:shd w:val="clear" w:color="auto" w:fill="DBDBDB"/>
          </w:tcPr>
          <w:p>
            <w:pPr>
              <w:spacing w:after="0"/>
              <w:rPr>
                <w:sz w:val="23"/>
                <w:szCs w:val="23"/>
                <w:color w:val="auto"/>
              </w:rPr>
            </w:pPr>
          </w:p>
        </w:tc>
        <w:tc>
          <w:tcPr>
            <w:tcW w:w="1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23"/>
                <w:szCs w:val="23"/>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DBDBDB"/>
            </w:tcBorders>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940" w:type="dxa"/>
            <w:vAlign w:val="bottom"/>
            <w:tcBorders>
              <w:top w:val="single" w:sz="8" w:color="auto"/>
              <w:bottom w:val="single" w:sz="8" w:color="DBDBDB"/>
            </w:tcBorders>
            <w:shd w:val="clear" w:color="auto" w:fill="DBDBDB"/>
          </w:tcPr>
          <w:p>
            <w:pPr>
              <w:jc w:val="center"/>
              <w:ind w:right="164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DBDBDB"/>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5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913,548</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913,548</w:t>
            </w:r>
          </w:p>
        </w:tc>
        <w:tc>
          <w:tcPr>
            <w:tcW w:w="40" w:type="dxa"/>
            <w:vAlign w:val="bottom"/>
            <w:tcBorders>
              <w:top w:val="single" w:sz="8" w:color="auto"/>
              <w:bottom w:val="single" w:sz="8" w:color="DBDBDB"/>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5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8,547,515</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5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7,177,193</w:t>
            </w:r>
          </w:p>
        </w:tc>
        <w:tc>
          <w:tcPr>
            <w:tcW w:w="40" w:type="dxa"/>
            <w:vAlign w:val="bottom"/>
            <w:tcBorders>
              <w:top w:val="single" w:sz="8" w:color="auto"/>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2940" w:type="dxa"/>
            <w:vAlign w:val="bottom"/>
          </w:tcPr>
          <w:p>
            <w:pPr>
              <w:jc w:val="center"/>
              <w:ind w:right="1668"/>
              <w:spacing w:after="0"/>
              <w:rPr>
                <w:sz w:val="20"/>
                <w:szCs w:val="20"/>
                <w:color w:val="auto"/>
              </w:rPr>
            </w:pPr>
            <w:r>
              <w:rPr>
                <w:rFonts w:ascii="Times New Roman" w:cs="Times New Roman" w:eastAsia="Times New Roman" w:hAnsi="Times New Roman"/>
                <w:sz w:val="14"/>
                <w:szCs w:val="14"/>
                <w:b w:val="1"/>
                <w:bCs w:val="1"/>
                <w:color w:val="auto"/>
              </w:rPr>
              <w:t>Jamie Thingelstad</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640,000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960,000</w:t>
            </w:r>
          </w:p>
        </w:tc>
        <w:tc>
          <w:tcPr>
            <w:tcW w:w="10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23"/>
                <w:szCs w:val="23"/>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23,328</w:t>
            </w:r>
          </w:p>
        </w:tc>
        <w:tc>
          <w:tcPr>
            <w:tcW w:w="100" w:type="dxa"/>
            <w:vAlign w:val="bottom"/>
          </w:tcPr>
          <w:p>
            <w:pPr>
              <w:spacing w:after="0"/>
              <w:rPr>
                <w:sz w:val="23"/>
                <w:szCs w:val="23"/>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tcPr>
          <w:p>
            <w:pPr>
              <w:spacing w:after="0"/>
              <w:rPr>
                <w:sz w:val="16"/>
                <w:szCs w:val="16"/>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1,354,687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1,354,687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23"/>
                <w:szCs w:val="23"/>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1,160,116</w:t>
            </w:r>
          </w:p>
        </w:tc>
        <w:tc>
          <w:tcPr>
            <w:tcW w:w="10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1,160,116</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940" w:type="dxa"/>
            <w:vAlign w:val="bottom"/>
          </w:tcPr>
          <w:p>
            <w:pPr>
              <w:jc w:val="center"/>
              <w:ind w:right="164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655,552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655,552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3,498,131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2,514,803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94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Dan Juckniess</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40" w:type="dxa"/>
            <w:vAlign w:val="bottom"/>
            <w:gridSpan w:val="2"/>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620" w:type="dxa"/>
            <w:vAlign w:val="bottom"/>
            <w:gridSpan w:val="2"/>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94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Salary/Bonus</w:t>
            </w:r>
          </w:p>
        </w:tc>
        <w:tc>
          <w:tcPr>
            <w:tcW w:w="100" w:type="dxa"/>
            <w:vAlign w:val="bottom"/>
            <w:shd w:val="clear" w:color="auto" w:fill="DBDBDB"/>
          </w:tcPr>
          <w:p>
            <w:pPr>
              <w:spacing w:after="0"/>
              <w:rPr>
                <w:sz w:val="17"/>
                <w:szCs w:val="17"/>
                <w:color w:val="auto"/>
              </w:rPr>
            </w:pPr>
          </w:p>
        </w:tc>
        <w:tc>
          <w:tcPr>
            <w:tcW w:w="1540" w:type="dxa"/>
            <w:vAlign w:val="bottom"/>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40" w:type="dxa"/>
            <w:vAlign w:val="bottom"/>
            <w:vMerge w:val="restart"/>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Health Benefits </w:t>
            </w:r>
            <w:r>
              <w:rPr>
                <w:rFonts w:ascii="Times New Roman" w:cs="Times New Roman" w:eastAsia="Times New Roman" w:hAnsi="Times New Roman"/>
                <w:sz w:val="18"/>
                <w:szCs w:val="18"/>
                <w:color w:val="auto"/>
                <w:vertAlign w:val="superscript"/>
              </w:rPr>
              <w:t>(3)</w:t>
            </w:r>
          </w:p>
        </w:tc>
        <w:tc>
          <w:tcPr>
            <w:tcW w:w="100" w:type="dxa"/>
            <w:vAlign w:val="bottom"/>
            <w:shd w:val="clear" w:color="auto" w:fill="DBDBDB"/>
          </w:tcPr>
          <w:p>
            <w:pPr>
              <w:spacing w:after="0"/>
              <w:rPr>
                <w:sz w:val="2"/>
                <w:szCs w:val="2"/>
                <w:color w:val="auto"/>
              </w:rPr>
            </w:pPr>
          </w:p>
        </w:tc>
        <w:tc>
          <w:tcPr>
            <w:tcW w:w="1540" w:type="dxa"/>
            <w:vAlign w:val="bottom"/>
            <w:gridSpan w:val="2"/>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vMerge w:val="continue"/>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Value of Accelerated RSUs</w:t>
            </w:r>
          </w:p>
        </w:tc>
        <w:tc>
          <w:tcPr>
            <w:tcW w:w="10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1,712,009</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940" w:type="dxa"/>
            <w:vAlign w:val="bottom"/>
            <w:tcBorders>
              <w:bottom w:val="single" w:sz="8" w:color="DBDBDB"/>
            </w:tcBorders>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 xml:space="preserve">Value of Accelerated PSUs </w:t>
            </w:r>
            <w:r>
              <w:rPr>
                <w:rFonts w:ascii="Times New Roman" w:cs="Times New Roman" w:eastAsia="Times New Roman" w:hAnsi="Times New Roman"/>
                <w:sz w:val="18"/>
                <w:szCs w:val="18"/>
                <w:color w:val="auto"/>
                <w:vertAlign w:val="superscript"/>
              </w:rPr>
              <w:t>(4)(5)</w:t>
            </w:r>
          </w:p>
        </w:tc>
        <w:tc>
          <w:tcPr>
            <w:tcW w:w="100" w:type="dxa"/>
            <w:vAlign w:val="bottom"/>
            <w:tcBorders>
              <w:bottom w:val="single" w:sz="8" w:color="DBDBDB"/>
            </w:tcBorders>
            <w:shd w:val="clear" w:color="auto" w:fill="DBDBDB"/>
          </w:tcPr>
          <w:p>
            <w:pPr>
              <w:spacing w:after="0"/>
              <w:rPr>
                <w:sz w:val="23"/>
                <w:szCs w:val="23"/>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DBDBDB"/>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DBDB"/>
          </w:tcPr>
          <w:p>
            <w:pPr>
              <w:spacing w:after="0"/>
              <w:rPr>
                <w:sz w:val="23"/>
                <w:szCs w:val="23"/>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DBDBDB"/>
            </w:tcBorders>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5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1,380,089</w:t>
            </w:r>
          </w:p>
        </w:tc>
        <w:tc>
          <w:tcPr>
            <w:tcW w:w="100" w:type="dxa"/>
            <w:vAlign w:val="bottom"/>
            <w:shd w:val="clear" w:color="auto" w:fill="DBDBDB"/>
          </w:tcPr>
          <w:p>
            <w:pPr>
              <w:spacing w:after="0"/>
              <w:rPr>
                <w:sz w:val="23"/>
                <w:szCs w:val="23"/>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1,380,089</w:t>
            </w:r>
          </w:p>
        </w:tc>
        <w:tc>
          <w:tcPr>
            <w:tcW w:w="40" w:type="dxa"/>
            <w:vAlign w:val="bottom"/>
            <w:tcBorders>
              <w:bottom w:val="single" w:sz="8" w:color="DBDBDB"/>
            </w:tcBorders>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940" w:type="dxa"/>
            <w:vAlign w:val="bottom"/>
            <w:tcBorders>
              <w:top w:val="single" w:sz="8" w:color="auto"/>
            </w:tcBorders>
            <w:shd w:val="clear" w:color="auto" w:fill="DBDBDB"/>
          </w:tcPr>
          <w:p>
            <w:pPr>
              <w:jc w:val="center"/>
              <w:ind w:right="164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DBDBDB"/>
            </w:tcBorders>
            <w:shd w:val="clear" w:color="auto" w:fill="DBDBDB"/>
          </w:tcPr>
          <w:p>
            <w:pPr>
              <w:spacing w:after="0"/>
              <w:rPr>
                <w:sz w:val="15"/>
                <w:szCs w:val="15"/>
                <w:color w:val="auto"/>
              </w:rPr>
            </w:pPr>
          </w:p>
        </w:tc>
        <w:tc>
          <w:tcPr>
            <w:tcW w:w="150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1,712,009</w:t>
            </w:r>
          </w:p>
        </w:tc>
        <w:tc>
          <w:tcPr>
            <w:tcW w:w="4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56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BDBDB"/>
            </w:tcBorders>
            <w:shd w:val="clear" w:color="auto" w:fill="DBDBDB"/>
          </w:tcPr>
          <w:p>
            <w:pPr>
              <w:spacing w:after="0"/>
              <w:rPr>
                <w:sz w:val="15"/>
                <w:szCs w:val="15"/>
                <w:color w:val="auto"/>
              </w:rPr>
            </w:pPr>
          </w:p>
        </w:tc>
        <w:tc>
          <w:tcPr>
            <w:tcW w:w="150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56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1,380,089</w:t>
            </w:r>
          </w:p>
        </w:tc>
        <w:tc>
          <w:tcPr>
            <w:tcW w:w="100" w:type="dxa"/>
            <w:vAlign w:val="bottom"/>
            <w:tcBorders>
              <w:top w:val="single" w:sz="8" w:color="DBDBDB"/>
            </w:tcBorders>
            <w:shd w:val="clear" w:color="auto" w:fill="DBDBDB"/>
          </w:tcPr>
          <w:p>
            <w:pPr>
              <w:spacing w:after="0"/>
              <w:rPr>
                <w:sz w:val="15"/>
                <w:szCs w:val="15"/>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1,380,089</w:t>
            </w:r>
          </w:p>
        </w:tc>
        <w:tc>
          <w:tcPr>
            <w:tcW w:w="4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94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500" w:type="dxa"/>
            <w:vAlign w:val="bottom"/>
            <w:shd w:val="clear" w:color="auto" w:fill="DBDBDB"/>
          </w:tcPr>
          <w:p>
            <w:pPr>
              <w:spacing w:after="0"/>
              <w:rPr>
                <w:sz w:val="3"/>
                <w:szCs w:val="3"/>
                <w:color w:val="auto"/>
              </w:rPr>
            </w:pPr>
          </w:p>
        </w:tc>
        <w:tc>
          <w:tcPr>
            <w:tcW w:w="4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15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500" w:type="dxa"/>
            <w:vAlign w:val="bottom"/>
            <w:shd w:val="clear" w:color="auto" w:fill="DBDBDB"/>
          </w:tcPr>
          <w:p>
            <w:pPr>
              <w:spacing w:after="0"/>
              <w:rPr>
                <w:sz w:val="3"/>
                <w:szCs w:val="3"/>
                <w:color w:val="auto"/>
              </w:rPr>
            </w:pPr>
          </w:p>
        </w:tc>
        <w:tc>
          <w:tcPr>
            <w:tcW w:w="4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15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580" w:type="dxa"/>
            <w:vAlign w:val="bottom"/>
            <w:shd w:val="clear" w:color="auto" w:fill="DBDBDB"/>
          </w:tcPr>
          <w:p>
            <w:pPr>
              <w:spacing w:after="0"/>
              <w:rPr>
                <w:sz w:val="3"/>
                <w:szCs w:val="3"/>
                <w:color w:val="auto"/>
              </w:rPr>
            </w:pPr>
          </w:p>
        </w:tc>
        <w:tc>
          <w:tcPr>
            <w:tcW w:w="4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right="20" w:hanging="332"/>
        <w:spacing w:after="0" w:line="220" w:lineRule="auto"/>
        <w:tabs>
          <w:tab w:leader="none" w:pos="40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Collins becomes eligible for retirement when he is at least 57 years old and has completed eight years of continuous service with the Company, or he is at least 63 years old (without regard to years of service). The other NEOs are eligible for retirement when they are at least 58 years old and have completed ten years of service with the Company, or are at least 65 years old (without regard to years of service). Ms. Nelson became eligible for retirement in 2025, and as described under “</w:t>
      </w:r>
      <w:r>
        <w:rPr>
          <w:rFonts w:ascii="Times New Roman" w:cs="Times New Roman" w:eastAsia="Times New Roman" w:hAnsi="Times New Roman"/>
          <w:sz w:val="18"/>
          <w:szCs w:val="18"/>
          <w:i w:val="1"/>
          <w:iCs w:val="1"/>
          <w:color w:val="auto"/>
        </w:rPr>
        <w:t>Named Executive Officers</w:t>
      </w:r>
      <w:r>
        <w:rPr>
          <w:rFonts w:ascii="Times New Roman" w:cs="Times New Roman" w:eastAsia="Times New Roman" w:hAnsi="Times New Roman"/>
          <w:sz w:val="18"/>
          <w:szCs w:val="18"/>
          <w:color w:val="auto"/>
        </w:rPr>
        <w:t>” on page 32, announced her retirement in February 2026. Mr. Juckniess retired from the Company as of December 31, 2025 as described under “</w:t>
      </w:r>
      <w:r>
        <w:rPr>
          <w:rFonts w:ascii="Times New Roman" w:cs="Times New Roman" w:eastAsia="Times New Roman" w:hAnsi="Times New Roman"/>
          <w:sz w:val="18"/>
          <w:szCs w:val="18"/>
          <w:i w:val="1"/>
          <w:iCs w:val="1"/>
          <w:color w:val="auto"/>
        </w:rPr>
        <w:t>Potential Payments Upon Termination, Retirement, or Change in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Retirement--Other NEOs</w:t>
      </w:r>
      <w:r>
        <w:rPr>
          <w:rFonts w:ascii="Times New Roman" w:cs="Times New Roman" w:eastAsia="Times New Roman" w:hAnsi="Times New Roman"/>
          <w:sz w:val="18"/>
          <w:szCs w:val="18"/>
          <w:color w:val="auto"/>
        </w:rPr>
        <w:t>” on pages 56-57. The ages and years and service as of December 31, 2025 of our NEOs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462915</wp:posOffset>
            </wp:positionV>
            <wp:extent cx="240030" cy="2317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59</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4" w:name="page65"/>
    <w:bookmarkEnd w:id="64"/>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880" w:type="dxa"/>
        <w:tblCellMar>
          <w:top w:w="0" w:type="dxa"/>
          <w:left w:w="0" w:type="dxa"/>
          <w:bottom w:w="0" w:type="dxa"/>
          <w:right w:w="0" w:type="dxa"/>
        </w:tblCellMar>
      </w:tblPr>
      <w:tr>
        <w:trPr>
          <w:trHeight w:val="190"/>
        </w:trPr>
        <w:tc>
          <w:tcPr>
            <w:tcW w:w="26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5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Years of Service</w:t>
            </w:r>
          </w:p>
        </w:tc>
      </w:tr>
      <w:tr>
        <w:trPr>
          <w:trHeight w:val="37"/>
        </w:trPr>
        <w:tc>
          <w:tcPr>
            <w:tcW w:w="2560" w:type="dxa"/>
            <w:vAlign w:val="bottom"/>
            <w:tcBorders>
              <w:bottom w:val="single" w:sz="8" w:color="auto"/>
            </w:tcBorders>
          </w:tcPr>
          <w:p>
            <w:pPr>
              <w:spacing w:after="0"/>
              <w:rPr>
                <w:sz w:val="3"/>
                <w:szCs w:val="3"/>
                <w:color w:val="auto"/>
              </w:rPr>
            </w:pPr>
          </w:p>
        </w:tc>
        <w:tc>
          <w:tcPr>
            <w:tcW w:w="120" w:type="dxa"/>
            <w:vAlign w:val="bottom"/>
            <w:tcBorders>
              <w:bottom w:val="single" w:sz="8" w:color="DBDBDB"/>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4"/>
        </w:trPr>
        <w:tc>
          <w:tcPr>
            <w:tcW w:w="268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20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68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Eduardo Rosini</w:t>
            </w:r>
          </w:p>
        </w:tc>
        <w:tc>
          <w:tcPr>
            <w:tcW w:w="120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7"/>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268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2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DBDBDB"/>
          </w:tcPr>
          <w:p>
            <w:pPr>
              <w:spacing w:after="0"/>
              <w:rPr>
                <w:sz w:val="21"/>
                <w:szCs w:val="21"/>
                <w:color w:val="auto"/>
              </w:rPr>
            </w:pPr>
          </w:p>
        </w:tc>
        <w:tc>
          <w:tcPr>
            <w:tcW w:w="15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7"/>
        </w:trPr>
        <w:tc>
          <w:tcPr>
            <w:tcW w:w="25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r>
    </w:tbl>
    <w:p>
      <w:pPr>
        <w:spacing w:after="0" w:line="171" w:lineRule="exact"/>
        <w:rPr>
          <w:sz w:val="20"/>
          <w:szCs w:val="20"/>
          <w:color w:val="auto"/>
        </w:rPr>
      </w:pPr>
    </w:p>
    <w:p>
      <w:pPr>
        <w:ind w:left="340" w:right="160" w:hanging="332"/>
        <w:spacing w:after="0"/>
        <w:tabs>
          <w:tab w:leader="none" w:pos="40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Control Period under the CEO Employment Agreement is the period starting three months immediately before a Change in Control and continuing for 12 months immediately following a Change in Control. The Change in Control Period under the Executive Severance Plan is the period beginning on the date of a Change in Control and ending within 12 months after a Change in Control. The Change in Control Period under the applicable equity award agreements is the period within one year after a Change in Control.</w:t>
      </w:r>
    </w:p>
    <w:p>
      <w:pPr>
        <w:spacing w:after="0" w:line="21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health benefits were determined via employer paid health and dental benefits incurred in 2025 for the NEO.</w:t>
      </w:r>
    </w:p>
    <w:p>
      <w:pPr>
        <w:spacing w:after="0" w:line="103" w:lineRule="exact"/>
        <w:rPr>
          <w:rFonts w:ascii="Times New Roman" w:cs="Times New Roman" w:eastAsia="Times New Roman" w:hAnsi="Times New Roman"/>
          <w:sz w:val="18"/>
          <w:szCs w:val="18"/>
          <w:color w:val="auto"/>
        </w:rPr>
      </w:pPr>
    </w:p>
    <w:p>
      <w:pPr>
        <w:ind w:left="340" w:right="40" w:hanging="332"/>
        <w:spacing w:after="0" w:line="217" w:lineRule="auto"/>
        <w:tabs>
          <w:tab w:leader="none" w:pos="40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granted in 2023 are not reflected in the table due to their estimated performance level at December 31, 2025. These PSUs did not vest and were forfeited as described under “</w:t>
      </w:r>
      <w:r>
        <w:rPr>
          <w:rFonts w:ascii="Times New Roman" w:cs="Times New Roman" w:eastAsia="Times New Roman" w:hAnsi="Times New Roman"/>
          <w:sz w:val="18"/>
          <w:szCs w:val="18"/>
          <w:i w:val="1"/>
          <w:iCs w:val="1"/>
          <w:color w:val="auto"/>
        </w:rPr>
        <w:t>Compensation Discussion and Analysis; Equity Awards--PSUs</w:t>
      </w:r>
      <w:r>
        <w:rPr>
          <w:rFonts w:ascii="Times New Roman" w:cs="Times New Roman" w:eastAsia="Times New Roman" w:hAnsi="Times New Roman"/>
          <w:sz w:val="18"/>
          <w:szCs w:val="18"/>
          <w:color w:val="auto"/>
        </w:rPr>
        <w:t>” on pages 43-44. Mr. Collins did not hold any 2023 PSUs because he joined the Company after these PSUs were awarded. With respect to the PSUs granted in 2024 and 2025, upon a change in control, if the PSUs are not continued, assumed or replaced, or if the PSUs are continued, assumed or replaced and the executive officer experiences an involuntary termination of service other than for cause or a resignation for good reason within one year after the change in control, the performance period will be truncated and vesting would be based on the greater of the number of PSUs that are determined to have been earned based on actual performance and the target number of PSUs. Because the target number of PSUs is greater than the estimated performance level as of December 31, 2025 for the PSUs granted in both 2024 and 2025, the target number of those PSUs is reflected in this table.</w:t>
      </w:r>
    </w:p>
    <w:p>
      <w:pPr>
        <w:spacing w:after="0" w:line="55" w:lineRule="exact"/>
        <w:rPr>
          <w:rFonts w:ascii="Times New Roman" w:cs="Times New Roman" w:eastAsia="Times New Roman" w:hAnsi="Times New Roman"/>
          <w:sz w:val="18"/>
          <w:szCs w:val="18"/>
          <w:color w:val="auto"/>
        </w:rPr>
      </w:pPr>
    </w:p>
    <w:p>
      <w:pPr>
        <w:ind w:left="340" w:hanging="332"/>
        <w:spacing w:after="0" w:line="224" w:lineRule="auto"/>
        <w:tabs>
          <w:tab w:leader="none" w:pos="40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retirement, outstanding PSUs held by Mr. Juckniess continue to vest on each originally scheduled vesting date in an amount equal to the number of units subject to the awards that would otherwise have been determined to have been earned if the grantee remained continuously employed by the Company through the originally scheduled vesting dates. In the event of a change in control occurring before the applicable scheduled vesting date, his outstanding PSUs would vest as of the date of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CEO Pay Ratio</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providing the following information about the annual compensation relationship between our median employee and our CEO for 2025:</w:t>
      </w:r>
    </w:p>
    <w:p>
      <w:pPr>
        <w:spacing w:after="0" w:line="252" w:lineRule="exact"/>
        <w:rPr>
          <w:sz w:val="20"/>
          <w:szCs w:val="20"/>
          <w:color w:val="auto"/>
        </w:rPr>
      </w:pPr>
    </w:p>
    <w:p>
      <w:pPr>
        <w:ind w:left="1420" w:hanging="323"/>
        <w:spacing w:after="0"/>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of our Company (other than our CEO) was $91,260; and</w:t>
      </w:r>
    </w:p>
    <w:p>
      <w:pPr>
        <w:spacing w:after="0" w:line="27" w:lineRule="exact"/>
        <w:rPr>
          <w:rFonts w:ascii="Times New Roman" w:cs="Times New Roman" w:eastAsia="Times New Roman" w:hAnsi="Times New Roman"/>
          <w:sz w:val="18"/>
          <w:szCs w:val="18"/>
          <w:color w:val="auto"/>
        </w:rPr>
      </w:pPr>
    </w:p>
    <w:p>
      <w:pPr>
        <w:ind w:left="1420" w:hanging="323"/>
        <w:spacing w:after="0"/>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Mr. Collins, our CEO, was $11,410,244.</w:t>
      </w:r>
    </w:p>
    <w:p>
      <w:pPr>
        <w:spacing w:after="0" w:line="23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Based on this information, the ratio of Mr. Collins’ total compensation to the median employee’s total compensation was 125:1. We believe this pay ratio to be a reasonable estimate, calculated in a manner consistent with Item 402(u) of Regulation S-K.</w:t>
      </w:r>
    </w:p>
    <w:p>
      <w:pPr>
        <w:spacing w:after="0" w:line="20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For 2025, we identified our median employee based on the total cash and equity compensation paid during 2025 to all 2,960 members of our workforce (including full-time, part-time and temporary employees), other than our CEO, who were employed on December 31, 2025. For purposes of determining the total cash and equity compensation of each employee, we included the contractual amount of annual base salary, the annual target bonus and commission cash incentives, and the grant date fair value of equity awards granted during 2025. We did not include any adjustments for the value of benefits provided.</w:t>
      </w:r>
    </w:p>
    <w:p>
      <w:pPr>
        <w:spacing w:after="0" w:line="21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determined the median employee’s total compensation for 2025 in the same manner that we determine the total compensation of our NEOs for purposes of the 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448310</wp:posOffset>
            </wp:positionV>
            <wp:extent cx="240030" cy="2311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60</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5" w:name="page66"/>
    <w:bookmarkEnd w:id="6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Pay Versus Performance</w:t>
      </w:r>
    </w:p>
    <w:p>
      <w:pPr>
        <w:spacing w:after="0" w:line="11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of our NEOs in comparison to different financial performance measures.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Summary Compensation Table</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Compensation Actually Paid to</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840" w:type="dxa"/>
            <w:vAlign w:val="bottom"/>
            <w:gridSpan w:val="3"/>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80"/>
              <w:spacing w:after="0" w:line="169" w:lineRule="exact"/>
              <w:rPr>
                <w:sz w:val="20"/>
                <w:szCs w:val="20"/>
                <w:color w:val="auto"/>
              </w:rPr>
            </w:pPr>
            <w:r>
              <w:rPr>
                <w:rFonts w:ascii="Times New Roman" w:cs="Times New Roman" w:eastAsia="Times New Roman" w:hAnsi="Times New Roman"/>
                <w:sz w:val="13"/>
                <w:szCs w:val="13"/>
                <w:b w:val="1"/>
                <w:bCs w:val="1"/>
                <w:color w:val="auto"/>
                <w:w w:val="93"/>
              </w:rPr>
              <w:t xml:space="preserve">Total for PEO </w:t>
            </w:r>
            <w:r>
              <w:rPr>
                <w:rFonts w:ascii="Times New Roman" w:cs="Times New Roman" w:eastAsia="Times New Roman" w:hAnsi="Times New Roman"/>
                <w:sz w:val="16"/>
                <w:szCs w:val="16"/>
                <w:b w:val="1"/>
                <w:bCs w:val="1"/>
                <w:color w:val="auto"/>
                <w:w w:val="93"/>
                <w:vertAlign w:val="superscript"/>
              </w:rPr>
              <w:t>(1)</w:t>
            </w:r>
            <w:r>
              <w:rPr>
                <w:rFonts w:ascii="Times New Roman" w:cs="Times New Roman" w:eastAsia="Times New Roman" w:hAnsi="Times New Roman"/>
                <w:sz w:val="13"/>
                <w:szCs w:val="13"/>
                <w:b w:val="1"/>
                <w:bCs w:val="1"/>
                <w:color w:val="auto"/>
                <w:w w:val="93"/>
              </w:rPr>
              <w:t xml:space="preserve"> ($)</w:t>
            </w:r>
          </w:p>
        </w:tc>
        <w:tc>
          <w:tcPr>
            <w:tcW w:w="1760" w:type="dxa"/>
            <w:vAlign w:val="bottom"/>
            <w:gridSpan w:val="3"/>
          </w:tcPr>
          <w:p>
            <w:pPr>
              <w:jc w:val="right"/>
              <w:ind w:right="497"/>
              <w:spacing w:after="0" w:line="169" w:lineRule="exact"/>
              <w:rPr>
                <w:sz w:val="20"/>
                <w:szCs w:val="20"/>
                <w:color w:val="auto"/>
              </w:rPr>
            </w:pPr>
            <w:r>
              <w:rPr>
                <w:rFonts w:ascii="Times New Roman" w:cs="Times New Roman" w:eastAsia="Times New Roman" w:hAnsi="Times New Roman"/>
                <w:sz w:val="13"/>
                <w:szCs w:val="13"/>
                <w:b w:val="1"/>
                <w:bCs w:val="1"/>
                <w:color w:val="auto"/>
              </w:rPr>
              <w:t xml:space="preserve">PEO </w:t>
            </w:r>
            <w:r>
              <w:rPr>
                <w:rFonts w:ascii="Times New Roman" w:cs="Times New Roman" w:eastAsia="Times New Roman" w:hAnsi="Times New Roman"/>
                <w:sz w:val="16"/>
                <w:szCs w:val="16"/>
                <w:b w:val="1"/>
                <w:bCs w:val="1"/>
                <w:color w:val="auto"/>
                <w:vertAlign w:val="superscript"/>
              </w:rPr>
              <w:t>(1)(2)</w:t>
            </w:r>
            <w:r>
              <w:rPr>
                <w:rFonts w:ascii="Times New Roman" w:cs="Times New Roman" w:eastAsia="Times New Roman" w:hAnsi="Times New Roman"/>
                <w:sz w:val="13"/>
                <w:szCs w:val="13"/>
                <w:b w:val="1"/>
                <w:bCs w:val="1"/>
                <w:color w:val="auto"/>
              </w:rPr>
              <w:t xml:space="preserve"> ($)</w:t>
            </w:r>
          </w:p>
        </w:tc>
        <w:tc>
          <w:tcPr>
            <w:tcW w:w="10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Average Summary</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840" w:type="dxa"/>
            <w:vAlign w:val="bottom"/>
            <w:gridSpan w:val="3"/>
          </w:tcPr>
          <w:p>
            <w:pPr>
              <w:jc w:val="right"/>
              <w:ind w:right="237"/>
              <w:spacing w:after="0" w:line="169" w:lineRule="exact"/>
              <w:rPr>
                <w:sz w:val="20"/>
                <w:szCs w:val="20"/>
                <w:color w:val="auto"/>
              </w:rPr>
            </w:pPr>
            <w:r>
              <w:rPr>
                <w:rFonts w:ascii="Times New Roman" w:cs="Times New Roman" w:eastAsia="Times New Roman" w:hAnsi="Times New Roman"/>
                <w:sz w:val="13"/>
                <w:szCs w:val="13"/>
                <w:b w:val="1"/>
                <w:bCs w:val="1"/>
                <w:color w:val="auto"/>
              </w:rPr>
              <w:t>Investment Based On</w:t>
            </w:r>
            <w:r>
              <w:rPr>
                <w:rFonts w:ascii="Times New Roman" w:cs="Times New Roman" w:eastAsia="Times New Roman" w:hAnsi="Times New Roman"/>
                <w:sz w:val="16"/>
                <w:szCs w:val="16"/>
                <w:b w:val="1"/>
                <w:bCs w:val="1"/>
                <w:color w:val="auto"/>
                <w:vertAlign w:val="superscript"/>
              </w:rPr>
              <w:t>(3)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Company Selected</w:t>
            </w: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Former PEO</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Current PEO</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Former PEO</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Current PEO</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Total for Non-PEO</w:t>
            </w:r>
          </w:p>
        </w:tc>
        <w:tc>
          <w:tcPr>
            <w:tcW w:w="12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3"/>
                <w:szCs w:val="13"/>
                <w:b w:val="1"/>
                <w:bCs w:val="1"/>
                <w:color w:val="auto"/>
                <w:w w:val="91"/>
              </w:rPr>
              <w:t>Non-PEO NEOs</w:t>
            </w:r>
            <w:r>
              <w:rPr>
                <w:rFonts w:ascii="Times New Roman" w:cs="Times New Roman" w:eastAsia="Times New Roman" w:hAnsi="Times New Roman"/>
                <w:sz w:val="16"/>
                <w:szCs w:val="16"/>
                <w:b w:val="1"/>
                <w:bCs w:val="1"/>
                <w:color w:val="auto"/>
                <w:w w:val="91"/>
                <w:vertAlign w:val="superscript"/>
              </w:rPr>
              <w:t>(1)(2)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Company TSR</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Peer Group</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Measure: Adjusted</w:t>
            </w:r>
          </w:p>
        </w:tc>
        <w:tc>
          <w:tcPr>
            <w:tcW w:w="0" w:type="dxa"/>
            <w:vAlign w:val="bottom"/>
          </w:tcPr>
          <w:p>
            <w:pPr>
              <w:spacing w:after="0"/>
              <w:rPr>
                <w:sz w:val="1"/>
                <w:szCs w:val="1"/>
                <w:color w:val="auto"/>
              </w:rPr>
            </w:pPr>
          </w:p>
        </w:tc>
      </w:tr>
      <w:tr>
        <w:trPr>
          <w:trHeight w:val="209"/>
        </w:trPr>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Borders>
              <w:bottom w:val="single" w:sz="8" w:color="DBDBDB"/>
            </w:tcBorders>
          </w:tcPr>
          <w:p>
            <w:pPr>
              <w:spacing w:after="0"/>
              <w:rPr>
                <w:sz w:val="18"/>
                <w:szCs w:val="18"/>
                <w:color w:val="auto"/>
              </w:rPr>
            </w:pPr>
          </w:p>
        </w:tc>
        <w:tc>
          <w:tcPr>
            <w:tcW w:w="8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(Black)</w:t>
            </w:r>
          </w:p>
        </w:tc>
        <w:tc>
          <w:tcPr>
            <w:tcW w:w="100" w:type="dxa"/>
            <w:vAlign w:val="bottom"/>
            <w:tcBorders>
              <w:bottom w:val="single" w:sz="8" w:color="DBDBDB"/>
            </w:tcBorders>
          </w:tcPr>
          <w:p>
            <w:pPr>
              <w:spacing w:after="0"/>
              <w:rPr>
                <w:sz w:val="18"/>
                <w:szCs w:val="18"/>
                <w:color w:val="auto"/>
              </w:rPr>
            </w:pPr>
          </w:p>
        </w:tc>
        <w:tc>
          <w:tcPr>
            <w:tcW w:w="8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00" w:type="dxa"/>
            <w:vAlign w:val="bottom"/>
            <w:tcBorders>
              <w:bottom w:val="single" w:sz="8" w:color="DBDBDB"/>
            </w:tcBorders>
          </w:tcPr>
          <w:p>
            <w:pPr>
              <w:spacing w:after="0"/>
              <w:rPr>
                <w:sz w:val="18"/>
                <w:szCs w:val="18"/>
                <w:color w:val="auto"/>
              </w:rPr>
            </w:pPr>
          </w:p>
        </w:tc>
        <w:tc>
          <w:tcPr>
            <w:tcW w:w="8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(Black)</w:t>
            </w:r>
          </w:p>
        </w:tc>
        <w:tc>
          <w:tcPr>
            <w:tcW w:w="80" w:type="dxa"/>
            <w:vAlign w:val="bottom"/>
            <w:tcBorders>
              <w:bottom w:val="single" w:sz="8" w:color="DBDBDB"/>
            </w:tcBorders>
          </w:tcPr>
          <w:p>
            <w:pPr>
              <w:spacing w:after="0"/>
              <w:rPr>
                <w:sz w:val="18"/>
                <w:szCs w:val="18"/>
                <w:color w:val="auto"/>
              </w:rPr>
            </w:pPr>
          </w:p>
        </w:tc>
        <w:tc>
          <w:tcPr>
            <w:tcW w:w="8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(Collins)</w:t>
            </w:r>
          </w:p>
        </w:tc>
        <w:tc>
          <w:tcPr>
            <w:tcW w:w="100" w:type="dxa"/>
            <w:vAlign w:val="bottom"/>
            <w:tcBorders>
              <w:bottom w:val="single" w:sz="8" w:color="DBDBDB"/>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NEOs</w:t>
            </w:r>
            <w:r>
              <w:rPr>
                <w:rFonts w:ascii="Times New Roman" w:cs="Times New Roman" w:eastAsia="Times New Roman" w:hAnsi="Times New Roman"/>
                <w:sz w:val="16"/>
                <w:szCs w:val="16"/>
                <w:b w:val="1"/>
                <w:bCs w:val="1"/>
                <w:color w:val="auto"/>
                <w:w w:val="90"/>
                <w:vertAlign w:val="superscript"/>
              </w:rPr>
              <w:t>(1)</w:t>
            </w:r>
            <w:r>
              <w:rPr>
                <w:rFonts w:ascii="Times New Roman" w:cs="Times New Roman" w:eastAsia="Times New Roman" w:hAnsi="Times New Roman"/>
                <w:sz w:val="13"/>
                <w:szCs w:val="13"/>
                <w:b w:val="1"/>
                <w:bCs w:val="1"/>
                <w:color w:val="auto"/>
                <w:w w:val="90"/>
              </w:rPr>
              <w:t xml:space="preserve"> ($)</w:t>
            </w:r>
          </w:p>
        </w:tc>
        <w:tc>
          <w:tcPr>
            <w:tcW w:w="100" w:type="dxa"/>
            <w:vAlign w:val="bottom"/>
            <w:tcBorders>
              <w:bottom w:val="single" w:sz="8" w:color="DBDBDB"/>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DBDBDB"/>
            </w:tcBorders>
          </w:tcPr>
          <w:p>
            <w:pPr>
              <w:spacing w:after="0"/>
              <w:rPr>
                <w:sz w:val="18"/>
                <w:szCs w:val="18"/>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DBDBDB"/>
            </w:tcBorders>
          </w:tcPr>
          <w:p>
            <w:pPr>
              <w:spacing w:after="0"/>
              <w:rPr>
                <w:sz w:val="18"/>
                <w:szCs w:val="18"/>
                <w:color w:val="auto"/>
              </w:rPr>
            </w:pP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TSR</w:t>
            </w:r>
            <w:r>
              <w:rPr>
                <w:rFonts w:ascii="Times New Roman" w:cs="Times New Roman" w:eastAsia="Times New Roman" w:hAnsi="Times New Roman"/>
                <w:sz w:val="16"/>
                <w:szCs w:val="16"/>
                <w:b w:val="1"/>
                <w:bCs w:val="1"/>
                <w:color w:val="auto"/>
                <w:vertAlign w:val="superscript"/>
              </w:rPr>
              <w:t>(4)</w:t>
            </w:r>
            <w:r>
              <w:rPr>
                <w:rFonts w:ascii="Times New Roman" w:cs="Times New Roman" w:eastAsia="Times New Roman" w:hAnsi="Times New Roman"/>
                <w:sz w:val="13"/>
                <w:szCs w:val="13"/>
                <w:b w:val="1"/>
                <w:bCs w:val="1"/>
                <w:color w:val="auto"/>
              </w:rPr>
              <w:t xml:space="preserve"> ($)</w:t>
            </w:r>
          </w:p>
        </w:tc>
        <w:tc>
          <w:tcPr>
            <w:tcW w:w="100" w:type="dxa"/>
            <w:vAlign w:val="bottom"/>
            <w:tcBorders>
              <w:bottom w:val="single" w:sz="8" w:color="DBDBDB"/>
            </w:tcBorders>
          </w:tcPr>
          <w:p>
            <w:pPr>
              <w:spacing w:after="0"/>
              <w:rPr>
                <w:sz w:val="18"/>
                <w:szCs w:val="18"/>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Net Income ($)</w:t>
            </w:r>
          </w:p>
        </w:tc>
        <w:tc>
          <w:tcPr>
            <w:tcW w:w="140" w:type="dxa"/>
            <w:vAlign w:val="bottom"/>
            <w:tcBorders>
              <w:bottom w:val="single" w:sz="8" w:color="DBDBDB"/>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EBITDA</w:t>
            </w:r>
            <w:r>
              <w:rPr>
                <w:rFonts w:ascii="Times New Roman" w:cs="Times New Roman" w:eastAsia="Times New Roman" w:hAnsi="Times New Roman"/>
                <w:sz w:val="16"/>
                <w:szCs w:val="16"/>
                <w:b w:val="1"/>
                <w:bCs w:val="1"/>
                <w:color w:val="auto"/>
                <w:w w:val="94"/>
                <w:vertAlign w:val="superscript"/>
              </w:rPr>
              <w:t>(5)</w:t>
            </w:r>
            <w:r>
              <w:rPr>
                <w:rFonts w:ascii="Times New Roman" w:cs="Times New Roman" w:eastAsia="Times New Roman" w:hAnsi="Times New Roman"/>
                <w:sz w:val="13"/>
                <w:szCs w:val="13"/>
                <w:b w:val="1"/>
                <w:bCs w:val="1"/>
                <w:color w:val="auto"/>
                <w:w w:val="94"/>
              </w:rPr>
              <w:t xml:space="preserve"> ($)</w:t>
            </w:r>
          </w:p>
        </w:tc>
        <w:tc>
          <w:tcPr>
            <w:tcW w:w="0" w:type="dxa"/>
            <w:vAlign w:val="bottom"/>
          </w:tcPr>
          <w:p>
            <w:pPr>
              <w:spacing w:after="0"/>
              <w:rPr>
                <w:sz w:val="1"/>
                <w:szCs w:val="1"/>
                <w:color w:val="auto"/>
              </w:rPr>
            </w:pPr>
          </w:p>
        </w:tc>
      </w:tr>
      <w:tr>
        <w:trPr>
          <w:trHeight w:val="176"/>
        </w:trPr>
        <w:tc>
          <w:tcPr>
            <w:tcW w:w="66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11,410,244</w:t>
            </w:r>
          </w:p>
        </w:tc>
        <w:tc>
          <w:tcPr>
            <w:tcW w:w="10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(5,599,310)</w:t>
            </w:r>
          </w:p>
        </w:tc>
        <w:tc>
          <w:tcPr>
            <w:tcW w:w="12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5,404,080</w:t>
            </w:r>
          </w:p>
        </w:tc>
        <w:tc>
          <w:tcPr>
            <w:tcW w:w="10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(368,795)</w:t>
            </w:r>
          </w:p>
        </w:tc>
        <w:tc>
          <w:tcPr>
            <w:tcW w:w="10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4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93,339,000</w:t>
            </w:r>
          </w:p>
        </w:tc>
        <w:tc>
          <w:tcPr>
            <w:tcW w:w="1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231,367,000</w:t>
            </w:r>
          </w:p>
        </w:tc>
        <w:tc>
          <w:tcPr>
            <w:tcW w:w="0" w:type="dxa"/>
            <w:vAlign w:val="bottom"/>
          </w:tcPr>
          <w:p>
            <w:pPr>
              <w:spacing w:after="0"/>
              <w:rPr>
                <w:sz w:val="1"/>
                <w:szCs w:val="1"/>
                <w:color w:val="auto"/>
              </w:rPr>
            </w:pPr>
          </w:p>
        </w:tc>
      </w:tr>
      <w:tr>
        <w:trPr>
          <w:trHeight w:val="173"/>
        </w:trPr>
        <w:tc>
          <w:tcPr>
            <w:tcW w:w="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14,405,176</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10,992,904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4,593,545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2,803,011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77,054,000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186,631,000</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9,616,696</w:t>
            </w:r>
          </w:p>
        </w:tc>
        <w:tc>
          <w:tcPr>
            <w:tcW w:w="10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6,752,127</w:t>
            </w:r>
          </w:p>
        </w:tc>
        <w:tc>
          <w:tcPr>
            <w:tcW w:w="10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26,705,325</w:t>
            </w:r>
          </w:p>
        </w:tc>
        <w:tc>
          <w:tcPr>
            <w:tcW w:w="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7,973,866</w:t>
            </w:r>
          </w:p>
        </w:tc>
        <w:tc>
          <w:tcPr>
            <w:tcW w:w="12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4,535,894</w:t>
            </w:r>
          </w:p>
        </w:tc>
        <w:tc>
          <w:tcPr>
            <w:tcW w:w="10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16,538,822</w:t>
            </w:r>
          </w:p>
        </w:tc>
        <w:tc>
          <w:tcPr>
            <w:tcW w:w="10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4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8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65,824,000</w:t>
            </w:r>
          </w:p>
        </w:tc>
        <w:tc>
          <w:tcPr>
            <w:tcW w:w="1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157,630,000</w:t>
            </w:r>
          </w:p>
        </w:tc>
        <w:tc>
          <w:tcPr>
            <w:tcW w:w="0" w:type="dxa"/>
            <w:vAlign w:val="bottom"/>
          </w:tcPr>
          <w:p>
            <w:pPr>
              <w:spacing w:after="0"/>
              <w:rPr>
                <w:sz w:val="1"/>
                <w:szCs w:val="1"/>
                <w:color w:val="auto"/>
              </w:rPr>
            </w:pPr>
          </w:p>
        </w:tc>
      </w:tr>
      <w:tr>
        <w:trPr>
          <w:trHeight w:val="173"/>
        </w:trPr>
        <w:tc>
          <w:tcPr>
            <w:tcW w:w="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6,066,081</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4,501,154</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3,632,052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2,919,066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55,134,000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132,268,000</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6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6,693,464</w:t>
            </w:r>
          </w:p>
        </w:tc>
        <w:tc>
          <w:tcPr>
            <w:tcW w:w="10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14,052,465</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3,829,274</w:t>
            </w:r>
          </w:p>
        </w:tc>
        <w:tc>
          <w:tcPr>
            <w:tcW w:w="10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7,227,613</w:t>
            </w:r>
          </w:p>
        </w:tc>
        <w:tc>
          <w:tcPr>
            <w:tcW w:w="10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4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44,597,000</w:t>
            </w:r>
          </w:p>
        </w:tc>
        <w:tc>
          <w:tcPr>
            <w:tcW w:w="14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107,015,000</w:t>
            </w:r>
          </w:p>
        </w:tc>
        <w:tc>
          <w:tcPr>
            <w:tcW w:w="0" w:type="dxa"/>
            <w:vAlign w:val="bottom"/>
          </w:tcPr>
          <w:p>
            <w:pPr>
              <w:spacing w:after="0"/>
              <w:rPr>
                <w:sz w:val="1"/>
                <w:szCs w:val="1"/>
                <w:color w:val="auto"/>
              </w:rPr>
            </w:pPr>
          </w:p>
        </w:tc>
      </w:tr>
      <w:tr>
        <w:trPr>
          <w:trHeight w:val="29"/>
        </w:trPr>
        <w:tc>
          <w:tcPr>
            <w:tcW w:w="6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980" w:right="20" w:hanging="324"/>
        <w:spacing w:after="0" w:line="258" w:lineRule="auto"/>
        <w:tabs>
          <w:tab w:leader="none" w:pos="97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Chad Collins served as our PEO, and our non-PEO NEOs were Kimberly Nelson, Eduardo Rosini, Jamie Thingelstad and Dan Juckniess. For 2024, Chad Collins served as our PEO, and our non-PEO NEOs were Kimberly Nelson, Dan Juckniess, Jamie Thingelstad, Archie Black, and James Frome. In 2023, Archie Black served as our PEO and upon his retirement as CEO, Chad Collins became our CEO and the PEO. Archie Black served as our PEO for 2021 and 2022. For 2021–2023, Kimberly Nelson and James Frome served as our non-PEO NEOs.</w:t>
      </w:r>
    </w:p>
    <w:p>
      <w:pPr>
        <w:spacing w:after="0" w:line="210" w:lineRule="exact"/>
        <w:rPr>
          <w:rFonts w:ascii="Times New Roman" w:cs="Times New Roman" w:eastAsia="Times New Roman" w:hAnsi="Times New Roman"/>
          <w:sz w:val="18"/>
          <w:szCs w:val="18"/>
          <w:color w:val="auto"/>
        </w:rPr>
      </w:pPr>
    </w:p>
    <w:p>
      <w:pPr>
        <w:ind w:left="980" w:right="40" w:hanging="324"/>
        <w:spacing w:after="0" w:line="277" w:lineRule="auto"/>
        <w:tabs>
          <w:tab w:leader="none" w:pos="97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Actually Paid, as defined and in accordance with Item 402(v) of Regulation S-K, is calculated as noted in the table below. The amounts noted do not reflect the actual amount of compensation earned by or paid to the individuals in the applicable year. The fair values and changes in fair values were determined in accordance with ASC Topic 718, consistent with the methods used for grant date fair valuation, exclusive of date of measurement. For a discussion of the relevant assumptions used to determine the value, refer to Note A and Note K to the Notes to Consolidated Financial Statements included in our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452755</wp:posOffset>
            </wp:positionV>
            <wp:extent cx="240030" cy="2311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61</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6" w:name="page67"/>
    <w:bookmarkEnd w:id="66"/>
    <w:p>
      <w:pPr>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0920"/>
          </w:cols>
          <w:pgMar w:left="460" w:top="33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280"/>
        <w:spacing w:after="0" w:line="282" w:lineRule="auto"/>
        <w:rPr>
          <w:sz w:val="20"/>
          <w:szCs w:val="20"/>
          <w:color w:val="auto"/>
        </w:rPr>
      </w:pPr>
      <w:r>
        <w:rPr>
          <w:rFonts w:ascii="Times New Roman" w:cs="Times New Roman" w:eastAsia="Times New Roman" w:hAnsi="Times New Roman"/>
          <w:sz w:val="12"/>
          <w:szCs w:val="12"/>
          <w:b w:val="1"/>
          <w:bCs w:val="1"/>
          <w:color w:val="auto"/>
        </w:rPr>
        <w:t>Current PEO (Collins)</w:t>
      </w:r>
    </w:p>
    <w:p>
      <w:pPr>
        <w:spacing w:after="0" w:line="200" w:lineRule="exact"/>
        <w:rPr>
          <w:sz w:val="20"/>
          <w:szCs w:val="20"/>
          <w:color w:val="auto"/>
        </w:rPr>
      </w:pPr>
    </w:p>
    <w:p>
      <w:pPr>
        <w:spacing w:after="0" w:line="35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3"/>
          <w:szCs w:val="13"/>
          <w:b w:val="1"/>
          <w:bCs w:val="1"/>
          <w:color w:val="auto"/>
        </w:rPr>
        <w:t>Former</w:t>
      </w:r>
    </w:p>
    <w:p>
      <w:pPr>
        <w:spacing w:after="0" w:line="1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3"/>
          <w:szCs w:val="13"/>
          <w:b w:val="1"/>
          <w:bCs w:val="1"/>
          <w:color w:val="auto"/>
        </w:rPr>
        <w:t>PEO</w:t>
      </w:r>
    </w:p>
    <w:p>
      <w:pPr>
        <w:jc w:val="center"/>
        <w:ind w:left="280"/>
        <w:spacing w:after="0"/>
        <w:rPr>
          <w:sz w:val="20"/>
          <w:szCs w:val="20"/>
          <w:color w:val="auto"/>
        </w:rPr>
      </w:pPr>
      <w:r>
        <w:rPr>
          <w:rFonts w:ascii="Times New Roman" w:cs="Times New Roman" w:eastAsia="Times New Roman" w:hAnsi="Times New Roman"/>
          <w:sz w:val="13"/>
          <w:szCs w:val="13"/>
          <w:b w:val="1"/>
          <w:bCs w:val="1"/>
          <w:color w:val="auto"/>
        </w:rPr>
        <w:t>(Black)</w:t>
      </w:r>
    </w:p>
    <w:p>
      <w:pPr>
        <w:spacing w:after="0" w:line="200" w:lineRule="exact"/>
        <w:rPr>
          <w:sz w:val="20"/>
          <w:szCs w:val="20"/>
          <w:color w:val="auto"/>
        </w:rPr>
      </w:pPr>
    </w:p>
    <w:p>
      <w:pPr>
        <w:spacing w:after="0" w:line="323" w:lineRule="exact"/>
        <w:rPr>
          <w:sz w:val="20"/>
          <w:szCs w:val="20"/>
          <w:color w:val="auto"/>
        </w:rPr>
      </w:pPr>
    </w:p>
    <w:p>
      <w:pPr>
        <w:jc w:val="center"/>
        <w:ind w:left="280"/>
        <w:spacing w:after="0" w:line="282" w:lineRule="auto"/>
        <w:rPr>
          <w:sz w:val="20"/>
          <w:szCs w:val="20"/>
          <w:color w:val="auto"/>
        </w:rPr>
      </w:pPr>
      <w:r>
        <w:rPr>
          <w:rFonts w:ascii="Times New Roman" w:cs="Times New Roman" w:eastAsia="Times New Roman" w:hAnsi="Times New Roman"/>
          <w:sz w:val="12"/>
          <w:szCs w:val="12"/>
          <w:b w:val="1"/>
          <w:bCs w:val="1"/>
          <w:color w:val="auto"/>
        </w:rPr>
        <w:t>Non-PEO NEO Average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4"/>
              </w:rPr>
              <w:t>Base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Less</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4"/>
              </w:rPr>
              <w:t>Plus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8"/>
              </w:rPr>
              <w:t>Plus or (Less)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5"/>
              </w:rPr>
              <w:t>Plus or (Less)</w:t>
            </w: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5"/>
              </w:rPr>
              <w:t>Plus or (Less)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87"/>
              </w:rPr>
              <w:t>Total</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as of Vesting Date</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Change in Fair Value</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from End of Prior</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Fiscal Year of Stock</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at End of Fiscal Year</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 and Option</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Fair Value at Fiscal</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from End of Prior</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Year-End of</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Fiscal Year of</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Prior Fiscal Years</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Fair Value as of</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Outstanding and</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Outstanding and</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Which</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Vesting Date of Stock</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Summary</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Value of Stock</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Unvested Stock</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Unvested Stock</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Applicable Vesting</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 and Option</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Compensation Table -</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Awards and Option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 and Option</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Awards and Option</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Conditions Were</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 Granted and</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Total Compensation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Satisfied During</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Vested During Fiscal</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Compensation</w:t>
            </w:r>
          </w:p>
        </w:tc>
        <w:tc>
          <w:tcPr>
            <w:tcW w:w="0" w:type="dxa"/>
            <w:vAlign w:val="bottom"/>
          </w:tcPr>
          <w:p>
            <w:pPr>
              <w:spacing w:after="0"/>
              <w:rPr>
                <w:sz w:val="1"/>
                <w:szCs w:val="1"/>
                <w:color w:val="auto"/>
              </w:rPr>
            </w:pPr>
          </w:p>
        </w:tc>
      </w:tr>
      <w:tr>
        <w:trPr>
          <w:trHeight w:val="180"/>
        </w:trPr>
        <w:tc>
          <w:tcPr>
            <w:tcW w:w="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Fiscal Year ($)</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Fiscal Year ($)</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Prior Fiscal Years ($)</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Fiscal Year ($)</w:t>
            </w:r>
          </w:p>
        </w:tc>
        <w:tc>
          <w:tcPr>
            <w:tcW w:w="80" w:type="dxa"/>
            <w:vAlign w:val="bottom"/>
          </w:tcPr>
          <w:p>
            <w:pPr>
              <w:spacing w:after="0"/>
              <w:rPr>
                <w:sz w:val="15"/>
                <w:szCs w:val="15"/>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Year ($)</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Actually Paid ($)</w:t>
            </w:r>
          </w:p>
        </w:tc>
        <w:tc>
          <w:tcPr>
            <w:tcW w:w="0" w:type="dxa"/>
            <w:vAlign w:val="bottom"/>
          </w:tcPr>
          <w:p>
            <w:pPr>
              <w:spacing w:after="0"/>
              <w:rPr>
                <w:sz w:val="1"/>
                <w:szCs w:val="1"/>
                <w:color w:val="auto"/>
              </w:rPr>
            </w:pPr>
          </w:p>
        </w:tc>
      </w:tr>
      <w:tr>
        <w:trPr>
          <w:trHeight w:val="29"/>
        </w:trPr>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11,410,244</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(10,789,704)</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3,555,948</w:t>
            </w:r>
          </w:p>
        </w:tc>
        <w:tc>
          <w:tcPr>
            <w:tcW w:w="100" w:type="dxa"/>
            <w:vAlign w:val="bottom"/>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(8,604,801)</w:t>
            </w:r>
          </w:p>
        </w:tc>
        <w:tc>
          <w:tcPr>
            <w:tcW w:w="100" w:type="dxa"/>
            <w:vAlign w:val="bottom"/>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(1,170,997)</w:t>
            </w:r>
          </w:p>
        </w:tc>
        <w:tc>
          <w:tcPr>
            <w:tcW w:w="80" w:type="dxa"/>
            <w:vAlign w:val="bottom"/>
            <w:shd w:val="clear" w:color="auto" w:fill="DBDBDB"/>
          </w:tcPr>
          <w:p>
            <w:pPr>
              <w:spacing w:after="0"/>
              <w:rPr>
                <w:sz w:val="15"/>
                <w:szCs w:val="15"/>
                <w:color w:val="auto"/>
              </w:rPr>
            </w:pPr>
          </w:p>
        </w:tc>
        <w:tc>
          <w:tcPr>
            <w:tcW w:w="130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(5,599,310)</w:t>
            </w:r>
          </w:p>
        </w:tc>
        <w:tc>
          <w:tcPr>
            <w:tcW w:w="0" w:type="dxa"/>
            <w:vAlign w:val="bottom"/>
          </w:tcPr>
          <w:p>
            <w:pPr>
              <w:spacing w:after="0"/>
              <w:rPr>
                <w:sz w:val="1"/>
                <w:szCs w:val="1"/>
                <w:color w:val="auto"/>
              </w:rPr>
            </w:pPr>
          </w:p>
        </w:tc>
      </w:tr>
      <w:tr>
        <w:trPr>
          <w:trHeight w:val="200"/>
        </w:trPr>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14,405,176</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(13,239,826)</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10,335,734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(318,805)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(189,375)</w:t>
            </w: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10,992,904</w:t>
            </w:r>
          </w:p>
        </w:tc>
        <w:tc>
          <w:tcPr>
            <w:tcW w:w="0" w:type="dxa"/>
            <w:vAlign w:val="bottom"/>
          </w:tcPr>
          <w:p>
            <w:pPr>
              <w:spacing w:after="0"/>
              <w:rPr>
                <w:sz w:val="1"/>
                <w:szCs w:val="1"/>
                <w:color w:val="auto"/>
              </w:rPr>
            </w:pPr>
          </w:p>
        </w:tc>
      </w:tr>
      <w:tr>
        <w:trPr>
          <w:trHeight w:val="56"/>
        </w:trPr>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2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6,752,127</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(6,499,877)</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7,721,616</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7,973,866</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00" w:type="dxa"/>
            <w:vAlign w:val="bottom"/>
            <w:gridSpan w:val="2"/>
          </w:tcPr>
          <w:p>
            <w:pPr>
              <w:spacing w:after="0"/>
              <w:rPr>
                <w:sz w:val="22"/>
                <w:szCs w:val="22"/>
                <w:color w:val="auto"/>
              </w:rPr>
            </w:pPr>
          </w:p>
        </w:tc>
        <w:tc>
          <w:tcPr>
            <w:tcW w:w="13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2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9,616,696</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(8,315,596)</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14,299,748</w:t>
            </w:r>
          </w:p>
        </w:tc>
        <w:tc>
          <w:tcPr>
            <w:tcW w:w="13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4,395,649</w:t>
            </w:r>
          </w:p>
        </w:tc>
        <w:tc>
          <w:tcPr>
            <w:tcW w:w="13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6,708,828</w:t>
            </w:r>
          </w:p>
        </w:tc>
        <w:tc>
          <w:tcPr>
            <w:tcW w:w="8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26,705,325</w:t>
            </w:r>
          </w:p>
        </w:tc>
        <w:tc>
          <w:tcPr>
            <w:tcW w:w="0" w:type="dxa"/>
            <w:vAlign w:val="bottom"/>
          </w:tcPr>
          <w:p>
            <w:pPr>
              <w:spacing w:after="0"/>
              <w:rPr>
                <w:sz w:val="1"/>
                <w:szCs w:val="1"/>
                <w:color w:val="auto"/>
              </w:rPr>
            </w:pPr>
          </w:p>
        </w:tc>
      </w:tr>
      <w:tr>
        <w:trPr>
          <w:trHeight w:val="200"/>
        </w:trPr>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6,066,081</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(5,089,381)</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5,376,891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(835,723)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(1,016,714)</w:t>
            </w: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4,501,154</w:t>
            </w:r>
          </w:p>
        </w:tc>
        <w:tc>
          <w:tcPr>
            <w:tcW w:w="0" w:type="dxa"/>
            <w:vAlign w:val="bottom"/>
          </w:tcPr>
          <w:p>
            <w:pPr>
              <w:spacing w:after="0"/>
              <w:rPr>
                <w:sz w:val="1"/>
                <w:szCs w:val="1"/>
                <w:color w:val="auto"/>
              </w:rPr>
            </w:pPr>
          </w:p>
        </w:tc>
      </w:tr>
      <w:tr>
        <w:trPr>
          <w:trHeight w:val="57"/>
        </w:trPr>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13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6,693,464</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(5,241,434)</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7,196,040</w:t>
            </w:r>
          </w:p>
        </w:tc>
        <w:tc>
          <w:tcPr>
            <w:tcW w:w="13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5,349,429</w:t>
            </w:r>
          </w:p>
        </w:tc>
        <w:tc>
          <w:tcPr>
            <w:tcW w:w="13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54,966</w:t>
            </w:r>
          </w:p>
        </w:tc>
        <w:tc>
          <w:tcPr>
            <w:tcW w:w="80" w:type="dxa"/>
            <w:vAlign w:val="bottom"/>
            <w:shd w:val="clear" w:color="auto" w:fill="DBDBDB"/>
          </w:tcPr>
          <w:p>
            <w:pPr>
              <w:spacing w:after="0"/>
              <w:rPr>
                <w:sz w:val="17"/>
                <w:szCs w:val="17"/>
                <w:color w:val="auto"/>
              </w:rPr>
            </w:pPr>
          </w:p>
        </w:tc>
        <w:tc>
          <w:tcPr>
            <w:tcW w:w="130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14,052,465</w:t>
            </w:r>
          </w:p>
        </w:tc>
        <w:tc>
          <w:tcPr>
            <w:tcW w:w="0" w:type="dxa"/>
            <w:vAlign w:val="bottom"/>
          </w:tcPr>
          <w:p>
            <w:pPr>
              <w:spacing w:after="0"/>
              <w:rPr>
                <w:sz w:val="1"/>
                <w:szCs w:val="1"/>
                <w:color w:val="auto"/>
              </w:rPr>
            </w:pPr>
          </w:p>
        </w:tc>
      </w:tr>
      <w:tr>
        <w:trPr>
          <w:trHeight w:val="70"/>
        </w:trPr>
        <w:tc>
          <w:tcPr>
            <w:tcW w:w="62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2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200" w:type="dxa"/>
            <w:vAlign w:val="bottom"/>
            <w:shd w:val="clear" w:color="auto" w:fill="DBDBDB"/>
          </w:tcPr>
          <w:p>
            <w:pPr>
              <w:spacing w:after="0"/>
              <w:rPr>
                <w:sz w:val="6"/>
                <w:szCs w:val="6"/>
                <w:color w:val="auto"/>
              </w:rPr>
            </w:pPr>
          </w:p>
        </w:tc>
        <w:tc>
          <w:tcPr>
            <w:tcW w:w="1300" w:type="dxa"/>
            <w:vAlign w:val="bottom"/>
            <w:gridSpan w:val="2"/>
            <w:shd w:val="clear" w:color="auto" w:fill="DBDBDB"/>
          </w:tcPr>
          <w:p>
            <w:pPr>
              <w:spacing w:after="0"/>
              <w:rPr>
                <w:sz w:val="6"/>
                <w:szCs w:val="6"/>
                <w:color w:val="auto"/>
              </w:rPr>
            </w:pPr>
          </w:p>
        </w:tc>
        <w:tc>
          <w:tcPr>
            <w:tcW w:w="1300" w:type="dxa"/>
            <w:vAlign w:val="bottom"/>
            <w:gridSpan w:val="2"/>
            <w:shd w:val="clear" w:color="auto" w:fill="DBDBDB"/>
          </w:tcPr>
          <w:p>
            <w:pPr>
              <w:spacing w:after="0"/>
              <w:rPr>
                <w:sz w:val="6"/>
                <w:szCs w:val="6"/>
                <w:color w:val="auto"/>
              </w:rPr>
            </w:pPr>
          </w:p>
        </w:tc>
        <w:tc>
          <w:tcPr>
            <w:tcW w:w="1300" w:type="dxa"/>
            <w:vAlign w:val="bottom"/>
            <w:gridSpan w:val="2"/>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2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00" w:type="dxa"/>
            <w:vAlign w:val="bottom"/>
            <w:gridSpan w:val="2"/>
          </w:tcPr>
          <w:p>
            <w:pPr>
              <w:spacing w:after="0"/>
              <w:rPr>
                <w:sz w:val="22"/>
                <w:szCs w:val="22"/>
                <w:color w:val="auto"/>
              </w:rPr>
            </w:pPr>
          </w:p>
        </w:tc>
        <w:tc>
          <w:tcPr>
            <w:tcW w:w="1300" w:type="dxa"/>
            <w:vAlign w:val="bottom"/>
            <w:gridSpan w:val="2"/>
          </w:tcPr>
          <w:p>
            <w:pPr>
              <w:spacing w:after="0"/>
              <w:rPr>
                <w:sz w:val="22"/>
                <w:szCs w:val="22"/>
                <w:color w:val="auto"/>
              </w:rPr>
            </w:pPr>
          </w:p>
        </w:tc>
        <w:tc>
          <w:tcPr>
            <w:tcW w:w="13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2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5,404,080</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(4,390,314)</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2,446,595</w:t>
            </w:r>
          </w:p>
        </w:tc>
        <w:tc>
          <w:tcPr>
            <w:tcW w:w="100" w:type="dxa"/>
            <w:vAlign w:val="bottom"/>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(3,579,743)</w:t>
            </w:r>
          </w:p>
        </w:tc>
        <w:tc>
          <w:tcPr>
            <w:tcW w:w="100" w:type="dxa"/>
            <w:vAlign w:val="bottom"/>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(508,492)</w:t>
            </w:r>
          </w:p>
        </w:tc>
        <w:tc>
          <w:tcPr>
            <w:tcW w:w="80" w:type="dxa"/>
            <w:vAlign w:val="bottom"/>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259,079</w:t>
            </w:r>
          </w:p>
        </w:tc>
        <w:tc>
          <w:tcPr>
            <w:tcW w:w="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(368,795)</w:t>
            </w:r>
          </w:p>
        </w:tc>
        <w:tc>
          <w:tcPr>
            <w:tcW w:w="0" w:type="dxa"/>
            <w:vAlign w:val="bottom"/>
          </w:tcPr>
          <w:p>
            <w:pPr>
              <w:spacing w:after="0"/>
              <w:rPr>
                <w:sz w:val="1"/>
                <w:szCs w:val="1"/>
                <w:color w:val="auto"/>
              </w:rPr>
            </w:pPr>
          </w:p>
        </w:tc>
      </w:tr>
      <w:tr>
        <w:trPr>
          <w:trHeight w:val="200"/>
        </w:trPr>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4,593,545</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(3,873,820)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1,715,721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(1,050,833)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(297,625)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1,716,023</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2,803,011</w:t>
            </w:r>
          </w:p>
        </w:tc>
        <w:tc>
          <w:tcPr>
            <w:tcW w:w="0" w:type="dxa"/>
            <w:vAlign w:val="bottom"/>
          </w:tcPr>
          <w:p>
            <w:pPr>
              <w:spacing w:after="0"/>
              <w:rPr>
                <w:sz w:val="1"/>
                <w:szCs w:val="1"/>
                <w:color w:val="auto"/>
              </w:rPr>
            </w:pPr>
          </w:p>
        </w:tc>
      </w:tr>
      <w:tr>
        <w:trPr>
          <w:trHeight w:val="70"/>
        </w:trPr>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c>
          <w:tcPr>
            <w:tcW w:w="130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20" w:type="dxa"/>
            <w:vAlign w:val="bottom"/>
            <w:tcBorders>
              <w:bottom w:val="single" w:sz="8" w:color="DBDBDB"/>
            </w:tcBorders>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4,535,894</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(3,591,994)</w:t>
            </w:r>
          </w:p>
        </w:tc>
        <w:tc>
          <w:tcPr>
            <w:tcW w:w="10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10,151,683</w:t>
            </w:r>
          </w:p>
        </w:tc>
        <w:tc>
          <w:tcPr>
            <w:tcW w:w="13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4,752,143</w:t>
            </w:r>
          </w:p>
        </w:tc>
        <w:tc>
          <w:tcPr>
            <w:tcW w:w="130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691,096</w:t>
            </w:r>
          </w:p>
        </w:tc>
        <w:tc>
          <w:tcPr>
            <w:tcW w:w="8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16,538,822</w:t>
            </w:r>
          </w:p>
        </w:tc>
        <w:tc>
          <w:tcPr>
            <w:tcW w:w="0" w:type="dxa"/>
            <w:vAlign w:val="bottom"/>
          </w:tcPr>
          <w:p>
            <w:pPr>
              <w:spacing w:after="0"/>
              <w:rPr>
                <w:sz w:val="1"/>
                <w:szCs w:val="1"/>
                <w:color w:val="auto"/>
              </w:rPr>
            </w:pPr>
          </w:p>
        </w:tc>
      </w:tr>
      <w:tr>
        <w:trPr>
          <w:trHeight w:val="200"/>
        </w:trPr>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3,632,052</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(2,937,683)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3,103,639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(295,785)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(583,157)</w:t>
            </w:r>
          </w:p>
        </w:tc>
        <w:tc>
          <w:tcPr>
            <w:tcW w:w="8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2,919,066</w:t>
            </w:r>
          </w:p>
        </w:tc>
        <w:tc>
          <w:tcPr>
            <w:tcW w:w="0" w:type="dxa"/>
            <w:vAlign w:val="bottom"/>
          </w:tcPr>
          <w:p>
            <w:pPr>
              <w:spacing w:after="0"/>
              <w:rPr>
                <w:sz w:val="1"/>
                <w:szCs w:val="1"/>
                <w:color w:val="auto"/>
              </w:rPr>
            </w:pPr>
          </w:p>
        </w:tc>
      </w:tr>
      <w:tr>
        <w:trPr>
          <w:trHeight w:val="57"/>
        </w:trPr>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13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3,829,274</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(2,821,974)</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3,874,330</w:t>
            </w:r>
          </w:p>
        </w:tc>
        <w:tc>
          <w:tcPr>
            <w:tcW w:w="13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2,301,858</w:t>
            </w:r>
          </w:p>
        </w:tc>
        <w:tc>
          <w:tcPr>
            <w:tcW w:w="13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44,125</w:t>
            </w:r>
          </w:p>
        </w:tc>
        <w:tc>
          <w:tcPr>
            <w:tcW w:w="80" w:type="dxa"/>
            <w:vAlign w:val="bottom"/>
            <w:shd w:val="clear" w:color="auto" w:fill="DBDBDB"/>
          </w:tcPr>
          <w:p>
            <w:pPr>
              <w:spacing w:after="0"/>
              <w:rPr>
                <w:sz w:val="17"/>
                <w:szCs w:val="17"/>
                <w:color w:val="auto"/>
              </w:rPr>
            </w:pPr>
          </w:p>
        </w:tc>
        <w:tc>
          <w:tcPr>
            <w:tcW w:w="1300" w:type="dxa"/>
            <w:vAlign w:val="bottom"/>
            <w:gridSpan w:val="2"/>
            <w:shd w:val="clear" w:color="auto" w:fill="DBDBDB"/>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7,227,613</w:t>
            </w:r>
          </w:p>
        </w:tc>
        <w:tc>
          <w:tcPr>
            <w:tcW w:w="0" w:type="dxa"/>
            <w:vAlign w:val="bottom"/>
          </w:tcPr>
          <w:p>
            <w:pPr>
              <w:spacing w:after="0"/>
              <w:rPr>
                <w:sz w:val="1"/>
                <w:szCs w:val="1"/>
                <w:color w:val="auto"/>
              </w:rPr>
            </w:pPr>
          </w:p>
        </w:tc>
      </w:tr>
      <w:tr>
        <w:trPr>
          <w:trHeight w:val="57"/>
        </w:trPr>
        <w:tc>
          <w:tcPr>
            <w:tcW w:w="62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24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220" w:type="dxa"/>
            <w:vAlign w:val="bottom"/>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124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20" w:space="80"/>
            <w:col w:w="10020"/>
          </w:cols>
          <w:pgMar w:left="460" w:top="338" w:right="519" w:bottom="1440" w:gutter="0" w:footer="0" w:header="0"/>
          <w:type w:val="continuous"/>
        </w:sectPr>
      </w:pPr>
    </w:p>
    <w:p>
      <w:pPr>
        <w:spacing w:after="0" w:line="241" w:lineRule="exact"/>
        <w:rPr>
          <w:sz w:val="20"/>
          <w:szCs w:val="20"/>
          <w:color w:val="auto"/>
        </w:rPr>
      </w:pPr>
    </w:p>
    <w:p>
      <w:pPr>
        <w:jc w:val="both"/>
        <w:ind w:left="840" w:hanging="324"/>
        <w:spacing w:after="0" w:line="226" w:lineRule="auto"/>
        <w:tabs>
          <w:tab w:leader="none" w:pos="83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is the change from an original $100 investment at the close of market on December 31, 2020, and the value of the investment as of the last trading day of each respective year, assuming that dividends, if any, were reinvested. The comparison is based on historical data and are not intended to forecast or be indicative of future performance of our common stock.</w:t>
      </w:r>
    </w:p>
    <w:p>
      <w:pPr>
        <w:spacing w:after="0" w:line="63" w:lineRule="exact"/>
        <w:rPr>
          <w:rFonts w:ascii="Times New Roman" w:cs="Times New Roman" w:eastAsia="Times New Roman" w:hAnsi="Times New Roman"/>
          <w:sz w:val="18"/>
          <w:szCs w:val="18"/>
          <w:color w:val="auto"/>
        </w:rPr>
      </w:pPr>
    </w:p>
    <w:p>
      <w:pPr>
        <w:ind w:left="840" w:right="60" w:hanging="324"/>
        <w:spacing w:after="0" w:line="226" w:lineRule="auto"/>
        <w:tabs>
          <w:tab w:leader="none" w:pos="83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selected peer group is the Nasdaq Computer Index, an independently prepared market capitalization weighted index, and which is the same industry index used in our stock price performance graph in our Annual Report on Form 10-K for the fiscal year ended December 31, 2025.</w:t>
      </w:r>
    </w:p>
    <w:p>
      <w:pPr>
        <w:spacing w:after="0" w:line="63" w:lineRule="exact"/>
        <w:rPr>
          <w:rFonts w:ascii="Times New Roman" w:cs="Times New Roman" w:eastAsia="Times New Roman" w:hAnsi="Times New Roman"/>
          <w:sz w:val="18"/>
          <w:szCs w:val="18"/>
          <w:color w:val="auto"/>
        </w:rPr>
      </w:pPr>
    </w:p>
    <w:p>
      <w:pPr>
        <w:ind w:left="840" w:right="200" w:hanging="324"/>
        <w:spacing w:after="0" w:line="224" w:lineRule="auto"/>
        <w:tabs>
          <w:tab w:leader="none" w:pos="83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our TSR our most important financial performance measure used to link compensation actually paid to our Company performance. As TSR is already disclosed, our next most important measure, Adjusted EBITDA, is selected. Adjusted EBITDA is a non-GAAP financial measure. Refer to Appendix A in this Proxy Statement for a 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455295</wp:posOffset>
            </wp:positionV>
            <wp:extent cx="240030" cy="2311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62</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234950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60" w:top="338" w:right="519" w:bottom="1440" w:gutter="0" w:footer="0" w:header="0"/>
          <w:type w:val="continuous"/>
        </w:sectPr>
      </w:pPr>
    </w:p>
    <w:bookmarkStart w:id="67" w:name="page68"/>
    <w:bookmarkEnd w:id="67"/>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0139"/>
          </w:cols>
          <w:pgMar w:left="320" w:top="3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0AAE5"/>
        </w:rPr>
        <w:t>Compensation Actually Paid versus Company Financial Performance and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181610</wp:posOffset>
            </wp:positionV>
            <wp:extent cx="5254625" cy="65747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54625" cy="65747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7545070</wp:posOffset>
            </wp:positionV>
            <wp:extent cx="240030" cy="2311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63</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type w:val="continuous"/>
        </w:sectPr>
      </w:pPr>
    </w:p>
    <w:bookmarkStart w:id="68" w:name="page69"/>
    <w:bookmarkEnd w:id="68"/>
    <w:p>
      <w:pPr>
        <w:ind w:left="14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EXECUTIVE COMPENSATION</w:t>
      </w:r>
    </w:p>
    <w:p>
      <w:pPr>
        <w:sectPr>
          <w:pgSz w:w="11900" w:h="16838" w:orient="portrait"/>
          <w:cols w:equalWidth="0" w:num="1">
            <w:col w:w="1124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Relationship Between Pay and Performance</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Compensation Actually Paid in each of the years reported above and over the cumulative period are reflective of the Compensation &amp; Talent Committee’s emphasis on “pay-for-performance” as the Compensation Actually Paid fluctuated year-over-year, primarily due our stock price and varying levels of achievement against pre-established performance goals under our Management Incentive Plan and equity program,</w:t>
      </w:r>
    </w:p>
    <w:p>
      <w:pPr>
        <w:ind w:right="60"/>
        <w:spacing w:after="0" w:line="258" w:lineRule="auto"/>
        <w:rPr>
          <w:sz w:val="20"/>
          <w:szCs w:val="20"/>
          <w:color w:val="auto"/>
        </w:rPr>
      </w:pPr>
      <w:r>
        <w:rPr>
          <w:rFonts w:ascii="Times New Roman" w:cs="Times New Roman" w:eastAsia="Times New Roman" w:hAnsi="Times New Roman"/>
          <w:sz w:val="18"/>
          <w:szCs w:val="18"/>
          <w:color w:val="auto"/>
        </w:rPr>
        <w:t>including our Adjusted EBITDA and TSR performance. Due to the leverage of our executive compensation program toward long-term incentives through grants of PSUs and RSUs, the Compensation Actually Paid is most significantly impacted by changes in our stock price over the vesting period of the awards. The Compensation Discussion and Analysis section of this Proxy Statement describes in greater detail the Compensation &amp; Talent Committee’s emphasis on “pay-for-performance” and how our executive compensation program is designed to link executive compensation with the achievement of our financial and strategic objectives as well as stockholder value creation.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Tabular List of Financial Performance Measures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performance measures listed below are our unranked most important financial performance measures used to link PEO and non-PEO NEO Compensation Actually Paid to our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156845</wp:posOffset>
            </wp:positionV>
            <wp:extent cx="1877060" cy="1885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877060" cy="18859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TSR</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10795</wp:posOffset>
            </wp:positionV>
            <wp:extent cx="1877060" cy="1885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877060" cy="188595"/>
                    </a:xfrm>
                    <a:prstGeom prst="rect">
                      <a:avLst/>
                    </a:prstGeom>
                    <a:noFill/>
                  </pic:spPr>
                </pic:pic>
              </a:graphicData>
            </a:graphic>
          </wp:anchor>
        </w:drawing>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Revenue</w:t>
      </w:r>
    </w:p>
    <w:p>
      <w:pPr>
        <w:spacing w:after="0" w:line="356" w:lineRule="exact"/>
        <w:rPr>
          <w:sz w:val="20"/>
          <w:szCs w:val="20"/>
          <w:color w:val="auto"/>
        </w:rPr>
      </w:pPr>
    </w:p>
    <w:p>
      <w:pPr>
        <w:ind w:left="980" w:right="40" w:hanging="324"/>
        <w:spacing w:after="0" w:line="261" w:lineRule="auto"/>
        <w:tabs>
          <w:tab w:leader="none" w:pos="97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Appendix A in this Proxy Statement for a reconciliation of this non-GAAP financial measure to the corresponding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469265</wp:posOffset>
            </wp:positionV>
            <wp:extent cx="240030" cy="2317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64</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69" w:name="page70"/>
    <w:bookmarkEnd w:id="69"/>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AUDIT COMMITTEE REPORT AND PAYMENT OF FEES TO OUR INDEPENDENT</w:t>
      </w:r>
    </w:p>
    <w:p>
      <w:pPr>
        <w:ind w:left="140"/>
        <w:spacing w:after="0"/>
        <w:rPr>
          <w:sz w:val="20"/>
          <w:szCs w:val="20"/>
          <w:color w:val="auto"/>
        </w:rPr>
      </w:pPr>
      <w:r>
        <w:rPr>
          <w:rFonts w:ascii="Arial" w:cs="Arial" w:eastAsia="Arial" w:hAnsi="Arial"/>
          <w:sz w:val="13"/>
          <w:szCs w:val="13"/>
          <w:b w:val="1"/>
          <w:bCs w:val="1"/>
          <w:color w:val="FFFFFF"/>
        </w:rPr>
        <w:t>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line="253" w:lineRule="auto"/>
        <w:rPr>
          <w:sz w:val="20"/>
          <w:szCs w:val="20"/>
          <w:color w:val="auto"/>
        </w:rPr>
      </w:pPr>
      <w:r>
        <w:rPr>
          <w:rFonts w:ascii="Arial" w:cs="Arial" w:eastAsia="Arial" w:hAnsi="Arial"/>
          <w:sz w:val="36"/>
          <w:szCs w:val="36"/>
          <w:b w:val="1"/>
          <w:bCs w:val="1"/>
          <w:color w:val="00AAE5"/>
        </w:rPr>
        <w:t>AUDIT COMMITTEE REPORT AND PAYMENT OF FEES TO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Audit Committee Report</w:t>
      </w:r>
    </w:p>
    <w:p>
      <w:pPr>
        <w:spacing w:after="0" w:line="27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primary function of our Audit Committee is oversight of our processes and systems related to accounting and financial reporting, publicly filed financial reports, internal accounting and financial controls, and the independent audit of our consolidated financial statements. The consolidated financial statements of SPS Commerce, Inc. for the year ended December 31, 2025 were audited by KPMG, our independent auditor.</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its activities, the Audit Committee has:</w:t>
      </w:r>
    </w:p>
    <w:p>
      <w:pPr>
        <w:spacing w:after="0" w:line="117" w:lineRule="exact"/>
        <w:rPr>
          <w:sz w:val="20"/>
          <w:szCs w:val="20"/>
          <w:color w:val="auto"/>
        </w:rPr>
      </w:pPr>
    </w:p>
    <w:p>
      <w:pPr>
        <w:ind w:left="1420" w:hanging="323"/>
        <w:spacing w:after="0"/>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Company’s audited consolidated financial statements with management and the independent auditor;</w:t>
      </w:r>
    </w:p>
    <w:p>
      <w:pPr>
        <w:spacing w:after="0" w:line="117" w:lineRule="exact"/>
        <w:rPr>
          <w:rFonts w:ascii="Times New Roman" w:cs="Times New Roman" w:eastAsia="Times New Roman" w:hAnsi="Times New Roman"/>
          <w:sz w:val="18"/>
          <w:szCs w:val="18"/>
          <w:color w:val="auto"/>
        </w:rPr>
      </w:pPr>
    </w:p>
    <w:p>
      <w:pPr>
        <w:ind w:left="1420" w:right="400" w:hanging="323"/>
        <w:spacing w:after="0" w:line="282" w:lineRule="auto"/>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auditor the matters required to be discussed by the applicable requirements of the Public Company Accounting Oversight Board (“PCAOB”) and the SEC; and</w:t>
      </w:r>
    </w:p>
    <w:p>
      <w:pPr>
        <w:spacing w:after="0" w:line="53" w:lineRule="exact"/>
        <w:rPr>
          <w:rFonts w:ascii="Times New Roman" w:cs="Times New Roman" w:eastAsia="Times New Roman" w:hAnsi="Times New Roman"/>
          <w:sz w:val="18"/>
          <w:szCs w:val="18"/>
          <w:color w:val="auto"/>
        </w:rPr>
      </w:pPr>
    </w:p>
    <w:p>
      <w:pPr>
        <w:ind w:left="1420" w:right="80" w:hanging="323"/>
        <w:spacing w:after="0" w:line="266" w:lineRule="auto"/>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letter from the independent auditor required by applicable requirements of the PCAOB regarding the independent auditor’s communications with the Audit Committee concerning independence and has discussed with the independent auditor the independent auditor’s independence.</w:t>
      </w:r>
    </w:p>
    <w:p>
      <w:pPr>
        <w:spacing w:after="0" w:line="12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system of internal controls and financial reporting process. KPMG is responsible for performing an independent audit of the consolidated financial statements and internal controls over financial reporting in accordance with the standards of the PCAOB and for issuing reports thereon. Our committee’s responsibility is to monitor and oversee these processes. Based on the foregoing review and discussions and a review of the reports of KPMG with respect to the consolidated financial statements, and relying thereon, we have recommended to the Board the inclusion of the audited consolidated financial statements in SPS Commerce, Inc.’s Annual Report on Form 10-K for the year ended December 31, 2025, for filing with the SEC.</w:t>
      </w:r>
    </w:p>
    <w:p>
      <w:pPr>
        <w:spacing w:after="0" w:line="11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Audit Committee of the Board of Directors of SPS Commerce, Inc.</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(Members as of February 19, 2026, the Form 10-K Filing Date)</w:t>
      </w:r>
    </w:p>
    <w:p>
      <w:pPr>
        <w:ind w:left="4800"/>
        <w:spacing w:after="0" w:line="219" w:lineRule="auto"/>
        <w:rPr>
          <w:sz w:val="20"/>
          <w:szCs w:val="20"/>
          <w:color w:val="auto"/>
        </w:rPr>
      </w:pPr>
      <w:r>
        <w:rPr>
          <w:rFonts w:ascii="Times New Roman" w:cs="Times New Roman" w:eastAsia="Times New Roman" w:hAnsi="Times New Roman"/>
          <w:sz w:val="18"/>
          <w:szCs w:val="18"/>
          <w:color w:val="auto"/>
        </w:rPr>
        <w:t xml:space="preserve">Sven Wehrwein, </w:t>
      </w:r>
      <w:r>
        <w:rPr>
          <w:rFonts w:ascii="Times New Roman" w:cs="Times New Roman" w:eastAsia="Times New Roman" w:hAnsi="Times New Roman"/>
          <w:sz w:val="18"/>
          <w:szCs w:val="18"/>
          <w:i w:val="1"/>
          <w:iCs w:val="1"/>
          <w:color w:val="auto"/>
        </w:rPr>
        <w:t>Chair</w:t>
      </w:r>
    </w:p>
    <w:p>
      <w:pPr>
        <w:jc w:val="center"/>
        <w:spacing w:after="0" w:line="219" w:lineRule="auto"/>
        <w:rPr>
          <w:sz w:val="20"/>
          <w:szCs w:val="20"/>
          <w:color w:val="auto"/>
        </w:rPr>
      </w:pPr>
      <w:r>
        <w:rPr>
          <w:rFonts w:ascii="Times New Roman" w:cs="Times New Roman" w:eastAsia="Times New Roman" w:hAnsi="Times New Roman"/>
          <w:sz w:val="18"/>
          <w:szCs w:val="18"/>
          <w:color w:val="auto"/>
        </w:rPr>
        <w:t>Fumbi Chima</w:t>
      </w:r>
    </w:p>
    <w:p>
      <w:pPr>
        <w:jc w:val="center"/>
        <w:spacing w:after="0" w:line="219" w:lineRule="auto"/>
        <w:rPr>
          <w:sz w:val="20"/>
          <w:szCs w:val="20"/>
          <w:color w:val="auto"/>
        </w:rPr>
      </w:pPr>
      <w:r>
        <w:rPr>
          <w:rFonts w:ascii="Times New Roman" w:cs="Times New Roman" w:eastAsia="Times New Roman" w:hAnsi="Times New Roman"/>
          <w:sz w:val="18"/>
          <w:szCs w:val="18"/>
          <w:color w:val="auto"/>
        </w:rPr>
        <w:t>Mark Partin</w:t>
      </w:r>
    </w:p>
    <w:p>
      <w:pPr>
        <w:jc w:val="center"/>
        <w:spacing w:after="0" w:line="219" w:lineRule="auto"/>
        <w:rPr>
          <w:sz w:val="20"/>
          <w:szCs w:val="20"/>
          <w:color w:val="auto"/>
        </w:rPr>
      </w:pPr>
      <w:r>
        <w:rPr>
          <w:rFonts w:ascii="Times New Roman" w:cs="Times New Roman" w:eastAsia="Times New Roman" w:hAnsi="Times New Roman"/>
          <w:sz w:val="18"/>
          <w:szCs w:val="18"/>
          <w:color w:val="auto"/>
        </w:rPr>
        <w:t>Tami Reller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 Sempowski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Auditor Fees</w:t>
      </w:r>
    </w:p>
    <w:p>
      <w:pPr>
        <w:spacing w:after="0" w:line="253" w:lineRule="exact"/>
        <w:rPr>
          <w:sz w:val="20"/>
          <w:szCs w:val="20"/>
          <w:color w:val="auto"/>
        </w:rPr>
      </w:pPr>
    </w:p>
    <w:p>
      <w:pPr>
        <w:ind w:right="520" w:firstLine="648"/>
        <w:spacing w:after="0" w:line="250" w:lineRule="auto"/>
        <w:rPr>
          <w:sz w:val="20"/>
          <w:szCs w:val="20"/>
          <w:color w:val="auto"/>
        </w:rPr>
      </w:pPr>
      <w:r>
        <w:rPr>
          <w:rFonts w:ascii="Times New Roman" w:cs="Times New Roman" w:eastAsia="Times New Roman" w:hAnsi="Times New Roman"/>
          <w:sz w:val="18"/>
          <w:szCs w:val="18"/>
          <w:color w:val="auto"/>
        </w:rPr>
        <w:t>KPMG has served as our independent auditor since June 2013. The following table presents fees for professional audit services rendered by KPMG in the past two years.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2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960" w:type="dxa"/>
            <w:vAlign w:val="bottom"/>
            <w:tcBorders>
              <w:bottom w:val="single" w:sz="8" w:color="DBDBDB"/>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DBDBDB"/>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63"/>
        </w:trPr>
        <w:tc>
          <w:tcPr>
            <w:tcW w:w="69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180" w:type="dxa"/>
            <w:vAlign w:val="bottom"/>
            <w:shd w:val="clear" w:color="auto" w:fill="DBDBDB"/>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1,105,200</w:t>
            </w:r>
          </w:p>
        </w:tc>
        <w:tc>
          <w:tcPr>
            <w:tcW w:w="740" w:type="dxa"/>
            <w:vAlign w:val="bottom"/>
            <w:gridSpan w:val="2"/>
            <w:shd w:val="clear" w:color="auto" w:fill="DBDBDB"/>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1,109,000</w:t>
            </w:r>
          </w:p>
        </w:tc>
      </w:tr>
      <w:tr>
        <w:trPr>
          <w:trHeight w:val="270"/>
        </w:trPr>
        <w:tc>
          <w:tcPr>
            <w:tcW w:w="69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1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7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9"/>
        </w:trPr>
        <w:tc>
          <w:tcPr>
            <w:tcW w:w="6960" w:type="dxa"/>
            <w:vAlign w:val="bottom"/>
            <w:tcBorders>
              <w:bottom w:val="single" w:sz="8" w:color="DBDBDB"/>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DBDBDB"/>
            </w:tcBorders>
            <w:shd w:val="clear" w:color="auto" w:fill="DBDBDB"/>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1,235,200</w:t>
            </w:r>
          </w:p>
        </w:tc>
        <w:tc>
          <w:tcPr>
            <w:tcW w:w="740" w:type="dxa"/>
            <w:vAlign w:val="bottom"/>
            <w:tcBorders>
              <w:bottom w:val="single" w:sz="8" w:color="DBDBDB"/>
            </w:tcBorders>
            <w:gridSpan w:val="2"/>
            <w:shd w:val="clear" w:color="auto" w:fill="DBDBDB"/>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1,109,000</w:t>
            </w:r>
          </w:p>
        </w:tc>
      </w:tr>
      <w:tr>
        <w:trPr>
          <w:trHeight w:val="20"/>
        </w:trPr>
        <w:tc>
          <w:tcPr>
            <w:tcW w:w="696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340" w:right="60" w:hanging="332"/>
        <w:spacing w:after="0" w:line="226" w:lineRule="auto"/>
        <w:tabs>
          <w:tab w:leader="none" w:pos="33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consolidated financial statements, the review of our interim consolidated financial statements, the review of financial information included in our filings with the SEC and other professional services provided in connection with statutory and regulatory filings or engagements.</w:t>
      </w: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real-time system assessment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468630</wp:posOffset>
            </wp:positionV>
            <wp:extent cx="240030" cy="2317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65</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70" w:name="page71"/>
    <w:bookmarkEnd w:id="70"/>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AUDIT COMMITTEE REPORT AND PAYMENT OF FEES TO OUR INDEPENDENT</w:t>
      </w:r>
    </w:p>
    <w:p>
      <w:pPr>
        <w:ind w:left="140"/>
        <w:spacing w:after="0"/>
        <w:rPr>
          <w:sz w:val="20"/>
          <w:szCs w:val="20"/>
          <w:color w:val="auto"/>
        </w:rPr>
      </w:pPr>
      <w:r>
        <w:rPr>
          <w:rFonts w:ascii="Arial" w:cs="Arial" w:eastAsia="Arial" w:hAnsi="Arial"/>
          <w:sz w:val="13"/>
          <w:szCs w:val="13"/>
          <w:b w:val="1"/>
          <w:bCs w:val="1"/>
          <w:color w:val="FFFFFF"/>
        </w:rPr>
        <w:t>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731520</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Auditor Services Pre-Approval Policy</w:t>
      </w:r>
    </w:p>
    <w:p>
      <w:pPr>
        <w:spacing w:after="0" w:line="26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entails fees that would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 All of the services were pre-approved in accordance with our pre-approval policy, and none of the services provided to us by our independent registered public accounting firm in 2025 or 2024 were approved retroactively pursuant to the exception to the pre-approval requirements for de minimis non-audit service under the Sarbanes-Oxley Act of 2002 and the rules of the SEC.</w:t>
      </w:r>
    </w:p>
    <w:p>
      <w:pPr>
        <w:spacing w:after="0" w:line="13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457835</wp:posOffset>
            </wp:positionV>
            <wp:extent cx="240030" cy="2317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66</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71" w:name="page72"/>
    <w:bookmarkEnd w:id="71"/>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2 – RATIFICATION OF SELECTION OF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40" w:right="460"/>
        <w:spacing w:after="0" w:line="258" w:lineRule="auto"/>
        <w:rPr>
          <w:sz w:val="20"/>
          <w:szCs w:val="20"/>
          <w:color w:val="auto"/>
        </w:rPr>
      </w:pPr>
      <w:r>
        <w:rPr>
          <w:rFonts w:ascii="Arial" w:cs="Arial" w:eastAsia="Arial" w:hAnsi="Arial"/>
          <w:sz w:val="36"/>
          <w:szCs w:val="36"/>
          <w:b w:val="1"/>
          <w:bCs w:val="1"/>
          <w:color w:val="00AAE5"/>
        </w:rPr>
        <w:t>ITEM 2 – RATIFICATION OF SELECTION OF INDEPENDENT AUDITOR</w:t>
      </w:r>
    </w:p>
    <w:p>
      <w:pPr>
        <w:spacing w:after="0" w:line="3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selected KPMG to serve as our independent auditor for the year ending December 31, 2026. While it is not required to do so, our Board is submitting the selection of KPMG for ratification in order to ascertain the views of our stockholders with respect to the choice of audit firm. If the selection is not ratified, the Audit Committee will reconsider its selection. Representatives of KPMG are expected to be present at the 2026 Annual Meeting, will be available to answer stockholder questions, and will have the opportunity to make a statement if they desire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40575" cy="514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0575" cy="5143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460" w:right="116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ratification of the selection of KPMG as the independent auditor of SPS Commerce, Inc. and our subsidiaries for the year ending December 31, 2026. Proxies will be voted FOR ratification of this selection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722630</wp:posOffset>
            </wp:positionV>
            <wp:extent cx="240030" cy="2311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67</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8" w:right="459" w:bottom="1440" w:gutter="0" w:footer="0" w:header="0"/>
        </w:sectPr>
      </w:pPr>
    </w:p>
    <w:bookmarkStart w:id="72" w:name="page73"/>
    <w:bookmarkEnd w:id="72"/>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ITEM 3 – ADVISORY VOTE TO APPROVE THE COMPENSATION OF THE</w:t>
      </w:r>
    </w:p>
    <w:p>
      <w:pPr>
        <w:ind w:left="140"/>
        <w:spacing w:after="0"/>
        <w:rPr>
          <w:sz w:val="20"/>
          <w:szCs w:val="20"/>
          <w:color w:val="auto"/>
        </w:rPr>
      </w:pPr>
      <w:r>
        <w:rPr>
          <w:rFonts w:ascii="Arial" w:cs="Arial" w:eastAsia="Arial" w:hAnsi="Arial"/>
          <w:sz w:val="13"/>
          <w:szCs w:val="13"/>
          <w:b w:val="1"/>
          <w:bCs w:val="1"/>
          <w:color w:val="FFFFFF"/>
        </w:rPr>
        <w:t>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60" w:right="180"/>
        <w:spacing w:after="0" w:line="272" w:lineRule="auto"/>
        <w:rPr>
          <w:sz w:val="20"/>
          <w:szCs w:val="20"/>
          <w:color w:val="auto"/>
        </w:rPr>
      </w:pPr>
      <w:r>
        <w:rPr>
          <w:rFonts w:ascii="Arial" w:cs="Arial" w:eastAsia="Arial" w:hAnsi="Arial"/>
          <w:sz w:val="35"/>
          <w:szCs w:val="35"/>
          <w:b w:val="1"/>
          <w:bCs w:val="1"/>
          <w:color w:val="00AAE5"/>
        </w:rPr>
        <w:t>ITEM 3 – ADVISORY VOTE TO APPROVE THE COMPENSATION OF THE COMPANY’S NAMED EXECUTIVE OFFICERS</w:t>
      </w:r>
    </w:p>
    <w:p>
      <w:pPr>
        <w:spacing w:after="0" w:line="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providing our stockholders the opportunity to cast an advisory (non-binding) vote to approve the compensation of our NEOs as disclosed in this Proxy Statement (a “Say-on-Pay” vote). As described in the Compensation Discussion and Analysis, we have designed the compensation arrangements for our NEOs to provide compensation in overall amounts and in forms that attract and retain talented and experienced individuals and motivate our executive officers to achieve the goals that are important to our growth. During 2025, the components of our compensation program primarily consisted of RSU awards and PSU awards, which help align the incentives of our NEOs with the interests of our stockholders, as well as base salary and an annual cash incentive award plan.</w:t>
      </w:r>
    </w:p>
    <w:p>
      <w:pPr>
        <w:spacing w:after="0" w:line="13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ask our stockholders to cast an advisory vote on our executive compensation program at each annual meeting. As a result, we are presenting this proposal, which gives you, as a stockholder, the opportunity to endorse our executive compensation program by voting for or against the following resolution:</w:t>
      </w:r>
    </w:p>
    <w:p>
      <w:pPr>
        <w:spacing w:after="0" w:line="120" w:lineRule="exact"/>
        <w:rPr>
          <w:sz w:val="20"/>
          <w:szCs w:val="20"/>
          <w:color w:val="auto"/>
        </w:rPr>
      </w:pPr>
    </w:p>
    <w:p>
      <w:pPr>
        <w:ind w:left="980" w:right="1480"/>
        <w:spacing w:after="0" w:line="267" w:lineRule="auto"/>
        <w:rPr>
          <w:sz w:val="20"/>
          <w:szCs w:val="20"/>
          <w:color w:val="auto"/>
        </w:rPr>
      </w:pPr>
      <w:r>
        <w:rPr>
          <w:rFonts w:ascii="Times New Roman" w:cs="Times New Roman" w:eastAsia="Times New Roman" w:hAnsi="Times New Roman"/>
          <w:sz w:val="18"/>
          <w:szCs w:val="18"/>
          <w:i w:val="1"/>
          <w:iCs w:val="1"/>
          <w:color w:val="auto"/>
        </w:rPr>
        <w:t>“RESOLVED, that the stockholders approve the compensation of the SPS Commerce, Inc. NEOs, as disclosed in the Compensation Discussion and Analysis, the compensation tables, and the related disclosure contained in our 2026 Proxy Statement.”</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Compensation &amp; Talent Committee believes that the executive compensation for 2025 is reasonable and appropriate, is justified by our performance, and is the result of a carefully considered approach. In deciding how to vote on this proposal, the Board asks you to consider the key points with regard to our executive compensation program included in the Compensation Discussion and Analysis section of this Proxy Statement.</w:t>
      </w:r>
    </w:p>
    <w:p>
      <w:pPr>
        <w:spacing w:after="0" w:line="12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Because your vote is advisory, it will not be binding on the Board or the Compensation &amp; Talent Committee and will not overrule any decision by the Board or the Compensation &amp; Talent Committee or require the Board or the Compensation &amp; Talent Committee to take any action. However, the Board and the Compensation &amp; Talent Committee will carefully review the voting results. To the extent there is any significant negative vote on this proposal, we may consult directly with stockholders to better understand the concerns that influenced the vote. The Board and the Compensation &amp; Talent Committee consider constructive feedback obtained through this process in making future decisions about our executive compensation program. We currently hold our Say-on-Pay vote every year so the next advisory vote on the compensation of our NEOs will occur at our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40575" cy="5054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057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60" w:right="9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upon recommendation of the Compensation &amp; Talent Committee, recommends a vote “FOR” approval of the compensation of our NEOs. Proxies will be voted FOR this proposal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2178685</wp:posOffset>
            </wp:positionV>
            <wp:extent cx="240030" cy="2311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68</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4" w:right="379" w:bottom="1440" w:gutter="0" w:footer="0" w:header="0"/>
        </w:sectPr>
      </w:pPr>
    </w:p>
    <w:bookmarkStart w:id="73" w:name="page74"/>
    <w:bookmarkEnd w:id="73"/>
    <w:p>
      <w:pPr>
        <w:ind w:left="2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429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t>SECURITY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60"/>
        <w:spacing w:after="0"/>
        <w:rPr>
          <w:sz w:val="20"/>
          <w:szCs w:val="20"/>
          <w:color w:val="auto"/>
        </w:rPr>
      </w:pPr>
      <w:r>
        <w:rPr>
          <w:rFonts w:ascii="Arial" w:cs="Arial" w:eastAsia="Arial" w:hAnsi="Arial"/>
          <w:sz w:val="36"/>
          <w:szCs w:val="36"/>
          <w:b w:val="1"/>
          <w:bCs w:val="1"/>
          <w:color w:val="00AAE5"/>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8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how many shares of our common stock were beneficially owned as of March 30, 2026 (as of December 31, 2025 with respect to shares held by Mr. Juckniess) by each of the persons known by us to be beneficial owners of more than 5% of our common stock, our directors, the director nominees and the NEOs, and by all of our current directors and executive officers as a group.</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of</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 Shares Deemed</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Beneficially Owned as a Result</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of a Right to Acquire Within 60</w:t>
            </w:r>
          </w:p>
        </w:tc>
        <w:tc>
          <w:tcPr>
            <w:tcW w:w="10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 Beneficial</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7"/>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Days of March 30, 2026</w:t>
            </w:r>
            <w:r>
              <w:rPr>
                <w:rFonts w:ascii="Times New Roman" w:cs="Times New Roman" w:eastAsia="Times New Roman" w:hAnsi="Times New Roman"/>
                <w:sz w:val="18"/>
                <w:szCs w:val="18"/>
                <w:b w:val="1"/>
                <w:bCs w:val="1"/>
                <w:color w:val="auto"/>
                <w:vertAlign w:val="superscript"/>
              </w:rPr>
              <w:t>(1)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8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Directors:</w:t>
            </w: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Fumbi Chima</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480" w:type="dxa"/>
            <w:vAlign w:val="bottom"/>
            <w:tcBorders>
              <w:bottom w:val="single" w:sz="8" w:color="DBDBDB"/>
            </w:tcBorders>
            <w:gridSpan w:val="2"/>
            <w:shd w:val="clear" w:color="auto" w:fill="DBDBDB"/>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Razat Gaurav</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580" w:type="dxa"/>
            <w:vAlign w:val="bottom"/>
            <w:shd w:val="clear" w:color="auto" w:fill="DBDBDB"/>
          </w:tcPr>
          <w:p>
            <w:pPr>
              <w:spacing w:after="0"/>
              <w:rPr>
                <w:sz w:val="21"/>
                <w:szCs w:val="21"/>
                <w:color w:val="auto"/>
              </w:rPr>
            </w:pPr>
          </w:p>
        </w:tc>
        <w:tc>
          <w:tcPr>
            <w:tcW w:w="2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42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 Juckniess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Michael McConnell</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480" w:type="dxa"/>
            <w:vAlign w:val="bottom"/>
            <w:tcBorders>
              <w:bottom w:val="single" w:sz="8" w:color="DBDBDB"/>
            </w:tcBorders>
            <w:gridSpan w:val="2"/>
            <w:shd w:val="clear" w:color="auto" w:fill="DBDBDB"/>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125,675</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125,675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Mark Partin</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DBDBDB"/>
            </w:tcBorders>
            <w:shd w:val="clear" w:color="auto" w:fill="DBDBDB"/>
          </w:tcPr>
          <w:p>
            <w:pPr>
              <w:spacing w:after="0"/>
              <w:rPr>
                <w:sz w:val="21"/>
                <w:szCs w:val="21"/>
                <w:color w:val="auto"/>
              </w:rPr>
            </w:pPr>
          </w:p>
        </w:tc>
        <w:tc>
          <w:tcPr>
            <w:tcW w:w="2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2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Marty Réaume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58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4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50,845</w:t>
            </w:r>
          </w:p>
        </w:tc>
        <w:tc>
          <w:tcPr>
            <w:tcW w:w="580" w:type="dxa"/>
            <w:vAlign w:val="bottom"/>
            <w:shd w:val="clear" w:color="auto" w:fill="DBDBDB"/>
          </w:tcPr>
          <w:p>
            <w:pPr>
              <w:spacing w:after="0"/>
              <w:rPr>
                <w:sz w:val="21"/>
                <w:szCs w:val="21"/>
                <w:color w:val="auto"/>
              </w:rPr>
            </w:pPr>
          </w:p>
        </w:tc>
        <w:tc>
          <w:tcPr>
            <w:tcW w:w="2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42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63,422</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Eduardo Rosini</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580" w:type="dxa"/>
            <w:vAlign w:val="bottom"/>
            <w:shd w:val="clear" w:color="auto" w:fill="DBDBDB"/>
          </w:tcPr>
          <w:p>
            <w:pPr>
              <w:spacing w:after="0"/>
              <w:rPr>
                <w:sz w:val="21"/>
                <w:szCs w:val="21"/>
                <w:color w:val="auto"/>
              </w:rPr>
            </w:pPr>
          </w:p>
        </w:tc>
        <w:tc>
          <w:tcPr>
            <w:tcW w:w="2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42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34,427</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Thingelstad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4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32,660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580" w:type="dxa"/>
            <w:vAlign w:val="bottom"/>
            <w:tcBorders>
              <w:bottom w:val="single" w:sz="8" w:color="DBDBDB"/>
            </w:tcBorders>
            <w:shd w:val="clear" w:color="auto" w:fill="DBDBDB"/>
          </w:tcPr>
          <w:p>
            <w:pPr>
              <w:spacing w:after="0"/>
              <w:rPr>
                <w:sz w:val="21"/>
                <w:szCs w:val="21"/>
                <w:color w:val="auto"/>
              </w:rPr>
            </w:pPr>
          </w:p>
        </w:tc>
        <w:tc>
          <w:tcPr>
            <w:tcW w:w="2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42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17,081</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58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4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All current directors, director nominees, and</w:t>
            </w:r>
          </w:p>
        </w:tc>
        <w:tc>
          <w:tcPr>
            <w:tcW w:w="13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143,696</w:t>
            </w:r>
          </w:p>
        </w:tc>
        <w:tc>
          <w:tcPr>
            <w:tcW w:w="580" w:type="dxa"/>
            <w:vAlign w:val="bottom"/>
            <w:shd w:val="clear" w:color="auto" w:fill="DBDBDB"/>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21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72,264</w:t>
            </w:r>
          </w:p>
        </w:tc>
        <w:tc>
          <w:tcPr>
            <w:tcW w:w="420" w:type="dxa"/>
            <w:vAlign w:val="bottom"/>
            <w:shd w:val="clear" w:color="auto" w:fill="DBDBDB"/>
          </w:tcPr>
          <w:p>
            <w:pPr>
              <w:spacing w:after="0"/>
              <w:rPr>
                <w:sz w:val="19"/>
                <w:szCs w:val="19"/>
                <w:color w:val="auto"/>
              </w:rPr>
            </w:pPr>
          </w:p>
        </w:tc>
        <w:tc>
          <w:tcPr>
            <w:tcW w:w="14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215,960</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executive officers as a group (13 persons)</w:t>
            </w:r>
          </w:p>
        </w:tc>
        <w:tc>
          <w:tcPr>
            <w:tcW w:w="1360" w:type="dxa"/>
            <w:vAlign w:val="bottom"/>
            <w:tcBorders>
              <w:bottom w:val="single" w:sz="8" w:color="DBDBDB"/>
            </w:tcBorders>
            <w:shd w:val="clear" w:color="auto" w:fill="DBDBDB"/>
          </w:tcPr>
          <w:p>
            <w:pPr>
              <w:spacing w:after="0"/>
              <w:rPr>
                <w:sz w:val="20"/>
                <w:szCs w:val="20"/>
                <w:color w:val="auto"/>
              </w:rPr>
            </w:pPr>
          </w:p>
        </w:tc>
        <w:tc>
          <w:tcPr>
            <w:tcW w:w="580" w:type="dxa"/>
            <w:vAlign w:val="bottom"/>
            <w:tcBorders>
              <w:bottom w:val="single" w:sz="8" w:color="DBDBDB"/>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2060" w:type="dxa"/>
            <w:vAlign w:val="bottom"/>
            <w:tcBorders>
              <w:bottom w:val="single" w:sz="8" w:color="DBDBDB"/>
            </w:tcBorders>
            <w:shd w:val="clear" w:color="auto" w:fill="DBDBDB"/>
          </w:tcPr>
          <w:p>
            <w:pPr>
              <w:spacing w:after="0"/>
              <w:rPr>
                <w:sz w:val="20"/>
                <w:szCs w:val="20"/>
                <w:color w:val="auto"/>
              </w:rPr>
            </w:pPr>
          </w:p>
        </w:tc>
        <w:tc>
          <w:tcPr>
            <w:tcW w:w="4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36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70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DBDBDB"/>
          </w:tcPr>
          <w:p>
            <w:pPr>
              <w:ind w:left="20"/>
              <w:spacing w:after="0" w:line="256" w:lineRule="exact"/>
              <w:rPr>
                <w:sz w:val="20"/>
                <w:szCs w:val="20"/>
                <w:color w:val="auto"/>
              </w:rPr>
            </w:pPr>
            <w:r>
              <w:rPr>
                <w:rFonts w:ascii="Times New Roman" w:cs="Times New Roman" w:eastAsia="Times New Roman" w:hAnsi="Times New Roman"/>
                <w:sz w:val="18"/>
                <w:szCs w:val="18"/>
                <w:b w:val="1"/>
                <w:bCs w:val="1"/>
                <w:i w:val="1"/>
                <w:iCs w:val="1"/>
                <w:color w:val="auto"/>
              </w:rPr>
              <w:t>Other beneficial owners:</w:t>
            </w:r>
            <w:r>
              <w:rPr>
                <w:rFonts w:ascii="Times New Roman" w:cs="Times New Roman" w:eastAsia="Times New Roman" w:hAnsi="Times New Roman"/>
                <w:sz w:val="23"/>
                <w:szCs w:val="23"/>
                <w:b w:val="1"/>
                <w:bCs w:val="1"/>
                <w:color w:val="auto"/>
                <w:vertAlign w:val="superscript"/>
              </w:rPr>
              <w:t>(8)</w:t>
            </w:r>
          </w:p>
        </w:tc>
        <w:tc>
          <w:tcPr>
            <w:tcW w:w="136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060" w:type="dxa"/>
            <w:vAlign w:val="bottom"/>
            <w:shd w:val="clear" w:color="auto" w:fill="DBDBDB"/>
          </w:tcPr>
          <w:p>
            <w:pPr>
              <w:spacing w:after="0"/>
              <w:rPr>
                <w:sz w:val="23"/>
                <w:szCs w:val="23"/>
                <w:color w:val="auto"/>
              </w:rPr>
            </w:pPr>
          </w:p>
        </w:tc>
        <w:tc>
          <w:tcPr>
            <w:tcW w:w="4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3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70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5,580,468</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5,580,468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400" w:hanging="302"/>
        <w:spacing w:after="0"/>
        <w:tabs>
          <w:tab w:leader="none" w:pos="4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have sole voting and investment power, and the address for each director or officer listed in the table is</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c/o SPS Commerce, Inc., 333 South Seventh Street, Suite 1000, Minneapolis, Minnesota 55402. Percentage ownership of our common stock in the table is based on 36,967,108 shares of our common stock issued and outstanding as of March 30, 2026.</w:t>
      </w:r>
    </w:p>
    <w:p>
      <w:pPr>
        <w:spacing w:after="0" w:line="222" w:lineRule="exact"/>
        <w:rPr>
          <w:sz w:val="20"/>
          <w:szCs w:val="20"/>
          <w:color w:val="auto"/>
        </w:rPr>
      </w:pPr>
    </w:p>
    <w:p>
      <w:pPr>
        <w:ind w:right="20" w:firstLine="8"/>
        <w:spacing w:after="0" w:line="255"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1,962 unvested RSUs that are scheduled to both vest and settle within 60 days of March 30, 2026, 276 vested RSUs that are scheduled to settle within 60 days of March 30, 2026, 203 stock options that are scheduled to vest within 60 days of March 30, 2026, and 69,823 exercisable stock options. RSUs that are scheduled to vest but not settle within 60 days of March 30, 2026, and vested RSUs and DSUs that are not scheduled to settle within 60 days of March 30, 2026, are excluded.</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 shares held in trust pursuant to our 401(k) plan.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380 shares held in trust pursuant to our 401(k) plan.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490 shares held in trust pursuant to our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477520</wp:posOffset>
            </wp:positionV>
            <wp:extent cx="240030" cy="2317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69</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74" w:name="page75"/>
    <w:bookmarkEnd w:id="74"/>
    <w:p>
      <w:pPr>
        <w:ind w:left="2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429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t>SECURITY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0" w:hanging="252"/>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 shares held in trust pursuant to our 401(k) plan.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487 shares held in trust pursuant to our 401(k) plan.</w:t>
      </w:r>
    </w:p>
    <w:p>
      <w:pPr>
        <w:spacing w:after="0" w:line="9" w:lineRule="exact"/>
        <w:rPr>
          <w:rFonts w:ascii="Times New Roman" w:cs="Times New Roman" w:eastAsia="Times New Roman" w:hAnsi="Times New Roman"/>
          <w:sz w:val="18"/>
          <w:szCs w:val="18"/>
          <w:color w:val="auto"/>
        </w:rPr>
      </w:pPr>
    </w:p>
    <w:p>
      <w:pPr>
        <w:ind w:left="20" w:right="220" w:hanging="6"/>
        <w:spacing w:after="0" w:line="250" w:lineRule="auto"/>
        <w:tabs>
          <w:tab w:leader="none" w:pos="2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indirect holdings included in footnotes 2, 5 and 6. For the reason that Mr. Juckniess retired from the Company as of December 31, 2025, his ownership information is not included in this row. In addition, because Ms. Nelson was no longer an executive officer effective March 16, 2026, her ownership information is not included in this row.</w:t>
      </w:r>
    </w:p>
    <w:p>
      <w:pPr>
        <w:spacing w:after="0" w:line="1" w:lineRule="exact"/>
        <w:rPr>
          <w:rFonts w:ascii="Times New Roman" w:cs="Times New Roman" w:eastAsia="Times New Roman" w:hAnsi="Times New Roman"/>
          <w:sz w:val="18"/>
          <w:szCs w:val="18"/>
          <w:color w:val="auto"/>
        </w:rPr>
      </w:pPr>
    </w:p>
    <w:p>
      <w:pPr>
        <w:ind w:left="20" w:hanging="6"/>
        <w:spacing w:after="0" w:line="253" w:lineRule="auto"/>
        <w:tabs>
          <w:tab w:leader="none" w:pos="2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Vanguard Group previously filed a Schedule 13G/A with the SEC on October 31, 2025 reflecting 4,944,449 shares beneficially owned that would have constituted 13.4% of our outstanding shares of common stock. The Vanguard Group subsequently reported on a Schedule 13G/A filed with the SEC on March 27, 2026 that, following an internal realignment effective January 12, 2026, it no longer has, or is deemed to have, beneficial ownership of shares of our common stock that are owned by certain of its subsidiaries and/or business divisions. The Vanguard Group also reported that certain of its subsidiaries or business divisions that formerly had, or were deemed to have, beneficial ownership with The Vanguard Group will report beneficial ownership separately (on a disaggregated basis) from The Vanguard Group.</w:t>
      </w:r>
    </w:p>
    <w:p>
      <w:pPr>
        <w:ind w:left="20" w:hanging="6"/>
        <w:spacing w:after="0" w:line="253" w:lineRule="auto"/>
        <w:tabs>
          <w:tab w:leader="none" w:pos="2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indicated is based on information reported to the SEC in a Schedule 13G/A filed by BlackRock, Inc. on October 17, 2025, and reflects beneficial ownership as of September 30, 2025. BlackRock, Inc. has sole voting power as to 5,511,375 shares and sole dispositive power as to 5,580,468 shares. Holdings include those of various business units, subsidiaries and affiliates, with only BlackRock Fund Advisors individually owning 5% or greater of our shares, and include shares held on behalf of iShares Core S&amp;P Small-Cap ETF. The address for BlackRock, Inc. is 50 Hudson Yards, 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151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34" w:lineRule="exact"/>
        <w:rPr>
          <w:sz w:val="20"/>
          <w:szCs w:val="20"/>
          <w:color w:val="auto"/>
        </w:rPr>
      </w:pPr>
    </w:p>
    <w:p>
      <w:pPr>
        <w:ind w:lef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our common stock to be issued upon exercise of outstanding stock options and settlement of RSU, DSU and PSU awards granted under our equity plans as of December 31, 2025. The table also includes the weighted-average exercise price of outstanding stock options and the number of shares of our common stock remaining available for future issuance under the plans for all awards.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20" w:type="dxa"/>
            <w:vAlign w:val="bottom"/>
          </w:tcPr>
          <w:p>
            <w:pPr>
              <w:spacing w:after="0"/>
              <w:rPr>
                <w:sz w:val="16"/>
                <w:szCs w:val="16"/>
                <w:color w:val="auto"/>
              </w:rPr>
            </w:pPr>
          </w:p>
        </w:tc>
      </w:t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420" w:type="dxa"/>
            <w:vAlign w:val="bottom"/>
          </w:tcPr>
          <w:p>
            <w:pPr>
              <w:spacing w:after="0"/>
              <w:rPr>
                <w:sz w:val="15"/>
                <w:szCs w:val="15"/>
                <w:color w:val="auto"/>
              </w:rPr>
            </w:pPr>
          </w:p>
        </w:tc>
      </w:t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420" w:type="dxa"/>
            <w:vAlign w:val="bottom"/>
          </w:tcPr>
          <w:p>
            <w:pPr>
              <w:spacing w:after="0"/>
              <w:rPr>
                <w:sz w:val="15"/>
                <w:szCs w:val="15"/>
                <w:color w:val="auto"/>
              </w:rPr>
            </w:pPr>
          </w:p>
        </w:tc>
      </w:t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420" w:type="dxa"/>
            <w:vAlign w:val="bottom"/>
          </w:tcPr>
          <w:p>
            <w:pPr>
              <w:spacing w:after="0"/>
              <w:rPr>
                <w:sz w:val="15"/>
                <w:szCs w:val="15"/>
                <w:color w:val="auto"/>
              </w:rPr>
            </w:pPr>
          </w:p>
        </w:tc>
      </w:tr>
      <w:tr>
        <w:trPr>
          <w:trHeight w:val="189"/>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420" w:type="dxa"/>
            <w:vAlign w:val="bottom"/>
          </w:tcPr>
          <w:p>
            <w:pPr>
              <w:spacing w:after="0"/>
              <w:rPr>
                <w:sz w:val="16"/>
                <w:szCs w:val="16"/>
                <w:color w:val="auto"/>
              </w:rPr>
            </w:pPr>
          </w:p>
        </w:tc>
      </w:t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 and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options, warrants and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shares</w:t>
            </w:r>
          </w:p>
        </w:tc>
        <w:tc>
          <w:tcPr>
            <w:tcW w:w="420" w:type="dxa"/>
            <w:vAlign w:val="bottom"/>
          </w:tcPr>
          <w:p>
            <w:pPr>
              <w:spacing w:after="0"/>
              <w:rPr>
                <w:sz w:val="15"/>
                <w:szCs w:val="15"/>
                <w:color w:val="auto"/>
              </w:rPr>
            </w:pPr>
          </w:p>
        </w:tc>
      </w:tr>
      <w:tr>
        <w:trPr>
          <w:trHeight w:val="190"/>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first column)</w:t>
            </w:r>
          </w:p>
        </w:tc>
        <w:tc>
          <w:tcPr>
            <w:tcW w:w="420" w:type="dxa"/>
            <w:vAlign w:val="bottom"/>
          </w:tcPr>
          <w:p>
            <w:pPr>
              <w:spacing w:after="0"/>
              <w:rPr>
                <w:sz w:val="16"/>
                <w:szCs w:val="16"/>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DBDBDB"/>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DBDBDB"/>
            </w:tcBorders>
          </w:tcPr>
          <w:p>
            <w:pPr>
              <w:spacing w:after="0"/>
              <w:rPr>
                <w:sz w:val="2"/>
                <w:szCs w:val="2"/>
                <w:color w:val="auto"/>
              </w:rPr>
            </w:pPr>
          </w:p>
        </w:tc>
      </w:tr>
      <w:tr>
        <w:trPr>
          <w:trHeight w:val="263"/>
        </w:trPr>
        <w:tc>
          <w:tcPr>
            <w:tcW w:w="5160" w:type="dxa"/>
            <w:vAlign w:val="bottom"/>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3"/>
                <w:szCs w:val="23"/>
                <w:color w:val="auto"/>
                <w:vertAlign w:val="superscript"/>
              </w:rPr>
              <w:t>(1)</w:t>
            </w:r>
          </w:p>
        </w:tc>
        <w:tc>
          <w:tcPr>
            <w:tcW w:w="15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1,484,871</w:t>
            </w:r>
          </w:p>
        </w:tc>
        <w:tc>
          <w:tcPr>
            <w:tcW w:w="40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DBDBDB"/>
          </w:tcPr>
          <w:p>
            <w:pPr>
              <w:jc w:val="right"/>
              <w:ind w:right="200"/>
              <w:spacing w:after="0"/>
              <w:rPr>
                <w:sz w:val="20"/>
                <w:szCs w:val="20"/>
                <w:color w:val="auto"/>
              </w:rPr>
            </w:pPr>
            <w:r>
              <w:rPr>
                <w:rFonts w:ascii="Times New Roman" w:cs="Times New Roman" w:eastAsia="Times New Roman" w:hAnsi="Times New Roman"/>
                <w:sz w:val="18"/>
                <w:szCs w:val="18"/>
                <w:color w:val="auto"/>
              </w:rPr>
              <w:t>121.47 (3)</w:t>
            </w:r>
          </w:p>
        </w:tc>
        <w:tc>
          <w:tcPr>
            <w:tcW w:w="15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13,144,662</w:t>
            </w:r>
          </w:p>
        </w:tc>
        <w:tc>
          <w:tcPr>
            <w:tcW w:w="4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N/A</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420" w:type="dxa"/>
            <w:vAlign w:val="bottom"/>
          </w:tcPr>
          <w:p>
            <w:pPr>
              <w:spacing w:after="0"/>
              <w:rPr>
                <w:sz w:val="22"/>
                <w:szCs w:val="22"/>
                <w:color w:val="auto"/>
              </w:rPr>
            </w:pPr>
          </w:p>
        </w:tc>
      </w:tr>
    </w:tbl>
    <w:p>
      <w:pPr>
        <w:spacing w:after="0" w:line="198" w:lineRule="exact"/>
        <w:rPr>
          <w:sz w:val="20"/>
          <w:szCs w:val="20"/>
          <w:color w:val="auto"/>
        </w:rPr>
      </w:pPr>
    </w:p>
    <w:p>
      <w:pPr>
        <w:ind w:left="640" w:hanging="632"/>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2010 Equity Incentive Plan and the Employee Stock Purchase Plan.</w:t>
      </w:r>
    </w:p>
    <w:p>
      <w:pPr>
        <w:spacing w:after="0" w:line="117" w:lineRule="exact"/>
        <w:rPr>
          <w:rFonts w:ascii="Times New Roman" w:cs="Times New Roman" w:eastAsia="Times New Roman" w:hAnsi="Times New Roman"/>
          <w:sz w:val="18"/>
          <w:szCs w:val="18"/>
          <w:color w:val="auto"/>
        </w:rPr>
      </w:pPr>
    </w:p>
    <w:p>
      <w:pPr>
        <w:jc w:val="both"/>
        <w:ind w:left="660" w:right="60" w:hanging="652"/>
        <w:spacing w:after="0" w:line="266"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261,403 shares subject to outstanding and unexercised stock options and 1,223,468 shares issuable in settlement of RSU, DSU, and PSU awards and, in the case of PSU awards, reflects the maximum number of shares issuable for those securities subject to performance-based metrics assuming the maximum performance measures are achieved.</w:t>
      </w:r>
    </w:p>
    <w:p>
      <w:pPr>
        <w:spacing w:after="0" w:line="67"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reflects only the outstanding stock options, as the other forms of awards disclosed in this note entail the issuance of shares for the payment of no consideration.</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 million shares remaining available for future issuance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488950</wp:posOffset>
            </wp:positionV>
            <wp:extent cx="240030" cy="2311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70</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75" w:name="page76"/>
    <w:bookmarkEnd w:id="75"/>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00AAE5"/>
        </w:rPr>
        <w:t>CERTAIN RELATIONSHIPS AND</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00AAE5"/>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Transactions with Related Persons</w:t>
      </w:r>
    </w:p>
    <w:p>
      <w:pPr>
        <w:spacing w:after="0" w:line="30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Any transactions, arrangements or relationships (including any indebtedness or guarantee of indebtedness) or a series of similar transactions, arrangements or relationships, to which we were a participant or will be a participant, are considered a related party transaction if:</w:t>
      </w:r>
    </w:p>
    <w:p>
      <w:pPr>
        <w:spacing w:after="0" w:line="54" w:lineRule="exact"/>
        <w:rPr>
          <w:sz w:val="20"/>
          <w:szCs w:val="20"/>
          <w:color w:val="auto"/>
        </w:rPr>
      </w:pPr>
    </w:p>
    <w:p>
      <w:pPr>
        <w:ind w:left="1420" w:hanging="323"/>
        <w:spacing w:after="0"/>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420" w:right="300" w:hanging="323"/>
        <w:spacing w:after="0" w:line="282" w:lineRule="auto"/>
        <w:tabs>
          <w:tab w:leader="none" w:pos="14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or director nominees, executive officers, holders of more than 5% of our common stock, or any member of their immediate family had or will have a direct or indirect material interest.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2025, we did not have any such related party transactions.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Director Indemnification Agreements</w:t>
      </w:r>
    </w:p>
    <w:p>
      <w:pPr>
        <w:spacing w:after="0" w:line="14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Policy for Approval of Related Person Transactions</w:t>
      </w:r>
    </w:p>
    <w:p>
      <w:pPr>
        <w:spacing w:after="0" w:line="11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Board has adopted a written statement of policy regarding transactions with related persons, which we refer to as our related person transaction approval policy. Under the policy, a “related person” (as described below) requesting consideration of a “related person transaction” (as described below) generally must promptly disclose to our Audit Committee the related person transaction and all material facts with respect thereto. In reviewing a related person transaction, our Audit Committee will consider the following factors, in addition to other factors the Audit Committee deems appropriate: (1) whether the terms are fair to the Company, (2) whether the transaction is material to the Company, (3) the role the related person has played in arranging the transaction, (4) the structure of the transaction, and (5) the interests of all related persons in the transaction. Our Audit Committee will only approve or ratify a related person transaction if it determines that the transaction is beneficial to our Company and the terms of the transaction are fair to our Company. No related person transaction may be commenced without the approval of our Audit Committee.</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If a transaction subject to the related person transaction approval policy was not previously approved under the policy, the Audit Committee will evaluate the transaction under the same standards of approval and consider whether the transaction should be ratified, amended, terminated or rescinded. Our Corporate Governance Guidelines provide that directors interested in a related person transaction will recuse themselves from any vote relating to a related person transaction in which they have an interest.</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Under our related person transaction approval policy, a “related person” includes any of our directors, director nominees, executive officers, any beneficial owner of more than 5% of our common stock and any immediate family member of any of the foregoing. The policy defines a “related person transaction” as any transaction, arrangement or relationship (including any indebtedness or guarantee of indebtedness) or any series of similar transactions, arrangements or relationships in which the Company is or will be a participant, and in which a related person has a direct or indirect interest. In addition, to be subject to the policy, the transaction, arrangement or relationship must have a financial aspect. Transactions exempt from this policy include (a) transactions available to all of our employees or all stockholders on the same terms and (b) transactions that, when aggregated with the amount of all other transactions between us and the related person or any entity in which the related person has an interest, involve less than $120,000 in a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465455</wp:posOffset>
            </wp:positionV>
            <wp:extent cx="240030" cy="2311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71</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76" w:name="page77"/>
    <w:bookmarkEnd w:id="76"/>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00AAE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Delinquent Section 16(a) Reports</w:t>
      </w:r>
    </w:p>
    <w:p>
      <w:pPr>
        <w:spacing w:after="0" w:line="2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beneficially own more than 10% of our common stock, to file initial reports of ownership of our securities and reports of changes in ownership with the SEC. Based on a review of Forms 3, 4 and 5 and on written representations from our executive officers and directors, we believe that all of our executive officers and directors complied with all Section 16(a) filing requirements during 2025, except with respect to reports filed one day late due to an administrative coordination error on behalf of Kim Nelson (one report, seven transactions), Dan Juckniess (one report, ten transactions), and Jamie Thingelstad (one report, eight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Stockholder Proposals for the 2027 Annual Meeting of Stockholders</w:t>
      </w:r>
    </w:p>
    <w:p>
      <w:pPr>
        <w:spacing w:after="0" w:line="2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our Proxy Statement for the 2027 annual meeting of stockholders, the written proposal must be received at our principal executive offices on or before December 15, 2026. The proposal should be addressed to the Company at the address listed below and must comply with SEC regulations regarding the inclusion of stockholder proposals in Company-sponsored proxy materials.</w:t>
      </w:r>
    </w:p>
    <w:p>
      <w:pPr>
        <w:spacing w:after="0" w:line="1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333 South Seventh Street, Suite 1000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15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our bylaws, in order to be properly brought before the 2027 annual meeting of stockholders, a stockholder’s notice of the matter, including nominations of persons for election to the board of directors of the Company, that the stockholder wishes to present must be delivered to our principal executive offices in Minneapolis, Minnesota, at the address identified in the preceding paragraph, not later than the close of business on the 90th day nor earlier than the close of business on the 120th day prior to the first anniversary of this year’s annual meeting of stockholders. As a result, any notice given by or on behalf of a stockholder pursuant to these provisions of our bylaws (and not pursuant to Rule 14a-8 of the SEC) must be received no earlier than the close of business on January 28, 2027, and no later than the close of business on February 27, 2027. Our bylaws provide that directors nominated by stockholders are eligible to serve as directors only if they are nominated in accordance with the procedures set forth in the bylaws. For additional information regarding director nominations and the solicitation of proxies in support of director nominees for election at the 2027 annual meeting of stockholders, see “</w:t>
      </w:r>
      <w:r>
        <w:rPr>
          <w:rFonts w:ascii="Times New Roman" w:cs="Times New Roman" w:eastAsia="Times New Roman" w:hAnsi="Times New Roman"/>
          <w:sz w:val="18"/>
          <w:szCs w:val="18"/>
          <w:i w:val="1"/>
          <w:iCs w:val="1"/>
          <w:color w:val="auto"/>
        </w:rPr>
        <w:t>Procedures for Selecting and Nominating Director Candidates</w:t>
      </w:r>
      <w:r>
        <w:rPr>
          <w:rFonts w:ascii="Times New Roman" w:cs="Times New Roman" w:eastAsia="Times New Roman" w:hAnsi="Times New Roman"/>
          <w:sz w:val="18"/>
          <w:szCs w:val="18"/>
          <w:color w:val="auto"/>
        </w:rPr>
        <w:t>” on pages 25-26.</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related to proposals and nominations must also comply with the requirements of applicable law and the provisions set forth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640080</wp:posOffset>
            </wp:positionV>
            <wp:extent cx="240030" cy="2311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72</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77" w:name="page78"/>
    <w:bookmarkEnd w:id="77"/>
    <w:p>
      <w:pPr>
        <w:ind w:left="14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Householding of Proxy Materials</w:t>
      </w:r>
    </w:p>
    <w:p>
      <w:pPr>
        <w:spacing w:after="0" w:line="28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Under SEC rules, a single set of proxy materials (Notice, Proxy Statement, and Annual Report, as applicable), may be delivered to one address shared by two or more of our stockholders if they appear to be members of the same family, a practice referred to as “householding,” unless contrary instructions are received. Each stockholder continues to receive a separate Notice within the set. Householding reduces the environmental impact and lowers the costs of printing and distributing our proxy materials.</w:t>
      </w:r>
    </w:p>
    <w:p>
      <w:pPr>
        <w:spacing w:after="0" w:line="12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you wish to receive separate copies of the proxy materials in the future, or if you are receiving multiple copies and would like to receive only one copy for your household, you should contact your bank, broker, or other nominee record holder if you hold your shares in street name, or you should contact Broadridge toll free at 1-866-540-7095 or by writing to Broadridge Financial Solutions, Inc., Householding Department, 51 Mercedes Way, Edgewood, NY 11717 for registered shares. Upon written or oral request, a separate copy of the proxy materials will be sent promptly to any stockholder at a shared address to which a single copy was delivered.</w:t>
      </w:r>
    </w:p>
    <w:p>
      <w:pPr>
        <w:spacing w:after="0" w:line="21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we will promptly deliver a separate copy of any of these documents to you if you write to the Company at the address listed above or call us at (612) 435-9400.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Other Matters</w:t>
      </w:r>
    </w:p>
    <w:p>
      <w:pPr>
        <w:spacing w:after="0" w:line="288"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We do not know of any other matters that may be presented for consideration at the 2026 Annual Meeting. If any other business does properly come before the 2026 Annual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434975</wp:posOffset>
            </wp:positionV>
            <wp:extent cx="240030" cy="2311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73</w:t>
        <w:tab/>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b w:val="1"/>
          <w:bCs w:val="1"/>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36"/>
          <w:szCs w:val="36"/>
          <w:b w:val="1"/>
          <w:bCs w:val="1"/>
          <w:color w:val="00AAE5"/>
        </w:rPr>
        <w:t>RECONCILIATION OF</w:t>
      </w:r>
    </w:p>
    <w:p>
      <w:pPr>
        <w:jc w:val="center"/>
        <w:spacing w:after="0"/>
        <w:rPr>
          <w:sz w:val="20"/>
          <w:szCs w:val="20"/>
          <w:color w:val="auto"/>
        </w:rPr>
      </w:pPr>
      <w:r>
        <w:rPr>
          <w:rFonts w:ascii="Arial" w:cs="Arial" w:eastAsia="Arial" w:hAnsi="Arial"/>
          <w:sz w:val="36"/>
          <w:szCs w:val="36"/>
          <w:b w:val="1"/>
          <w:bCs w:val="1"/>
          <w:color w:val="00AAE5"/>
        </w:rPr>
        <w:t>NON-GAAP FINANCIAL MEASURE</w:t>
      </w:r>
    </w:p>
    <w:p>
      <w:pPr>
        <w:spacing w:after="0" w:line="177"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We disclose Adjusted EBITDA, which is a non-GAAP financial measure. We believe that this non-GAAP financial measure provides useful information to our management, Board of Directors, and investors regarding certain financial and business trends relating to our financial condition and results of operations.</w:t>
      </w:r>
    </w:p>
    <w:p>
      <w:pPr>
        <w:spacing w:after="0" w:line="68"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management uses this non-GAAP financial measure to compare our performance to that of prior periods for trend analyses, planning purposes, and for purposes of determining executive and senior management incentive compensation. We believe this non-GAAP financial measure is useful to an investor as it is widely used in evaluating operating performance. Adjusted EBITDA is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spacing w:after="0" w:line="7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This non-GAAP financial measure should not be considered a substitute for, or superior to, financial measures calculated in accordance with GAAP. This non-GAAP financial measure excludes significant expenses and income that are required by GAAP to be recorded in our consolidated financial statements and are subject to inherent limitations. Investors should review the reconciliation of the non-GAAP financial measure to the comparable GAAP financial measure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Adjusted EBITDA</w:t>
      </w:r>
    </w:p>
    <w:p>
      <w:pPr>
        <w:spacing w:after="0" w:line="30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Adjusted EBITDA, which is a non-GAAP measure of financial performance, consists of net income adjusted for income tax expense, depreciation and amortization expense, stock-based compensation expense, realized gain or loss from investments held and foreign currency impact on cash and investments, investment income, and other adjustments as necessary for a fair presentation. Net income is the most directly comparable GAAP measure of financial performance.</w:t>
      </w:r>
    </w:p>
    <w:p>
      <w:pPr>
        <w:spacing w:after="0" w:line="12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other adjustments included the expense impacts from disposals of certain capitalized internally developed software, disposals of other equipment, remeasurement of acquired earn-out payments, and one-time acquisition-related insurance costs. For the year ended December 31, 2024, other adjustments included the expense impacts from disposals of certain capitalized internally developed software and one-time acquisition-related insurance costs. For the year ended December 31, 2023, other adjustments included the expense impacts from disposals of certain capitalized internally developed software and acquisition-related employee severance costs. For the year ended December 31, 2021,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467360</wp:posOffset>
            </wp:positionV>
            <wp:extent cx="240030" cy="2317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Appendix to the 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auto"/>
        </w:rPr>
        <w:t>Appendix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the most directly comparable GAAP measure, to Adjusted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308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93,339</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77,054</w:t>
            </w:r>
          </w:p>
        </w:tc>
        <w:tc>
          <w:tcPr>
            <w:tcW w:w="100" w:type="dxa"/>
            <w:vAlign w:val="bottom"/>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80" w:type="dxa"/>
            <w:vAlign w:val="bottom"/>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55,134</w:t>
            </w:r>
          </w:p>
        </w:tc>
        <w:tc>
          <w:tcPr>
            <w:tcW w:w="100" w:type="dxa"/>
            <w:vAlign w:val="bottom"/>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44,597</w:t>
            </w:r>
          </w:p>
        </w:tc>
        <w:tc>
          <w:tcPr>
            <w:tcW w:w="0" w:type="dxa"/>
            <w:vAlign w:val="bottom"/>
          </w:tcPr>
          <w:p>
            <w:pPr>
              <w:spacing w:after="0"/>
              <w:rPr>
                <w:sz w:val="1"/>
                <w:szCs w:val="1"/>
                <w:color w:val="auto"/>
              </w:rPr>
            </w:pPr>
          </w:p>
        </w:tc>
      </w:tr>
      <w:tr>
        <w:trPr>
          <w:trHeight w:val="243"/>
        </w:trPr>
        <w:tc>
          <w:tcPr>
            <w:tcW w:w="3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 of</w:t>
            </w: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DBDBDB"/>
            </w:tcBorders>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Borders>
              <w:bottom w:val="single" w:sz="8" w:color="DBDBDB"/>
            </w:tcBorders>
            <w:shd w:val="clear" w:color="auto" w:fill="DBDBDB"/>
          </w:tcPr>
          <w:p>
            <w:pPr>
              <w:spacing w:after="0"/>
              <w:rPr>
                <w:sz w:val="20"/>
                <w:szCs w:val="20"/>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DBDBDB"/>
            </w:tcBorders>
            <w:shd w:val="clear" w:color="auto" w:fill="DBDBDB"/>
          </w:tcPr>
          <w:p>
            <w:pPr>
              <w:spacing w:after="0"/>
              <w:rPr>
                <w:sz w:val="20"/>
                <w:szCs w:val="20"/>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shd w:val="clear" w:color="auto" w:fill="DBDBDB"/>
          </w:tcPr>
          <w:p>
            <w:pPr>
              <w:spacing w:after="0"/>
              <w:rPr>
                <w:sz w:val="20"/>
                <w:szCs w:val="20"/>
                <w:color w:val="auto"/>
              </w:rPr>
            </w:pPr>
          </w:p>
        </w:tc>
        <w:tc>
          <w:tcPr>
            <w:tcW w:w="380" w:type="dxa"/>
            <w:vAlign w:val="bottom"/>
            <w:tcBorders>
              <w:bottom w:val="single" w:sz="8" w:color="DBDBDB"/>
            </w:tcBorders>
            <w:shd w:val="clear" w:color="auto" w:fill="DBDBDB"/>
          </w:tcPr>
          <w:p>
            <w:pPr>
              <w:spacing w:after="0"/>
              <w:rPr>
                <w:sz w:val="20"/>
                <w:szCs w:val="20"/>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80" w:type="dxa"/>
            <w:vAlign w:val="bottom"/>
            <w:shd w:val="clear" w:color="auto" w:fill="DBDBDB"/>
          </w:tcPr>
          <w:p>
            <w:pPr>
              <w:spacing w:after="0"/>
              <w:rPr>
                <w:sz w:val="20"/>
                <w:szCs w:val="20"/>
                <w:color w:val="auto"/>
              </w:rPr>
            </w:pPr>
          </w:p>
        </w:tc>
        <w:tc>
          <w:tcPr>
            <w:tcW w:w="380" w:type="dxa"/>
            <w:vAlign w:val="bottom"/>
            <w:tcBorders>
              <w:bottom w:val="single" w:sz="8" w:color="DBDBDB"/>
            </w:tcBorders>
            <w:shd w:val="clear" w:color="auto" w:fill="DBDBDB"/>
          </w:tcPr>
          <w:p>
            <w:pPr>
              <w:spacing w:after="0"/>
              <w:rPr>
                <w:sz w:val="20"/>
                <w:szCs w:val="20"/>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shd w:val="clear" w:color="auto" w:fill="DBDBDB"/>
          </w:tcPr>
          <w:p>
            <w:pPr>
              <w:spacing w:after="0"/>
              <w:rPr>
                <w:sz w:val="20"/>
                <w:szCs w:val="20"/>
                <w:color w:val="auto"/>
              </w:rPr>
            </w:pPr>
          </w:p>
        </w:tc>
        <w:tc>
          <w:tcPr>
            <w:tcW w:w="36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0" w:type="dxa"/>
            <w:vAlign w:val="bottom"/>
          </w:tcPr>
          <w:p>
            <w:pPr>
              <w:spacing w:after="0"/>
              <w:rPr>
                <w:sz w:val="1"/>
                <w:szCs w:val="1"/>
                <w:color w:val="auto"/>
              </w:rPr>
            </w:pPr>
          </w:p>
        </w:tc>
      </w:tr>
      <w:tr>
        <w:trPr>
          <w:trHeight w:val="243"/>
        </w:trPr>
        <w:tc>
          <w:tcPr>
            <w:tcW w:w="3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DBDBDB"/>
            </w:tcBorders>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53,728</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100" w:type="dxa"/>
            <w:vAlign w:val="bottom"/>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80" w:type="dxa"/>
            <w:vAlign w:val="bottom"/>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100" w:type="dxa"/>
            <w:vAlign w:val="bottom"/>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0" w:type="dxa"/>
            <w:vAlign w:val="bottom"/>
          </w:tcPr>
          <w:p>
            <w:pPr>
              <w:spacing w:after="0"/>
              <w:rPr>
                <w:sz w:val="1"/>
                <w:szCs w:val="1"/>
                <w:color w:val="auto"/>
              </w:rPr>
            </w:pPr>
          </w:p>
        </w:tc>
      </w:tr>
      <w:tr>
        <w:trPr>
          <w:trHeight w:val="225"/>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(gain) loss from investments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held and foreign currency impact on</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investments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DBDBDB"/>
            </w:tcBorders>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80" w:type="dxa"/>
            <w:vAlign w:val="bottom"/>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3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0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top w:val="single" w:sz="8" w:color="auto"/>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231,367</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360" w:type="dxa"/>
            <w:vAlign w:val="bottom"/>
            <w:tcBorders>
              <w:top w:val="single" w:sz="8" w:color="auto"/>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186,631</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380" w:type="dxa"/>
            <w:vAlign w:val="bottom"/>
            <w:tcBorders>
              <w:top w:val="single" w:sz="8" w:color="auto"/>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157,630</w:t>
            </w:r>
          </w:p>
        </w:tc>
        <w:tc>
          <w:tcPr>
            <w:tcW w:w="80" w:type="dxa"/>
            <w:vAlign w:val="bottom"/>
            <w:tcBorders>
              <w:top w:val="single" w:sz="8" w:color="DBDBDB"/>
              <w:bottom w:val="single" w:sz="8" w:color="DBDBDB"/>
            </w:tcBorders>
            <w:shd w:val="clear" w:color="auto" w:fill="DBDBDB"/>
          </w:tcPr>
          <w:p>
            <w:pPr>
              <w:spacing w:after="0"/>
              <w:rPr>
                <w:sz w:val="24"/>
                <w:szCs w:val="24"/>
                <w:color w:val="auto"/>
              </w:rPr>
            </w:pPr>
          </w:p>
        </w:tc>
        <w:tc>
          <w:tcPr>
            <w:tcW w:w="380" w:type="dxa"/>
            <w:vAlign w:val="bottom"/>
            <w:tcBorders>
              <w:top w:val="single" w:sz="8" w:color="auto"/>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132,268</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360" w:type="dxa"/>
            <w:vAlign w:val="bottom"/>
            <w:tcBorders>
              <w:top w:val="single" w:sz="8" w:color="auto"/>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107,015</w:t>
            </w:r>
          </w:p>
        </w:tc>
        <w:tc>
          <w:tcPr>
            <w:tcW w:w="0" w:type="dxa"/>
            <w:vAlign w:val="bottom"/>
          </w:tcPr>
          <w:p>
            <w:pPr>
              <w:spacing w:after="0"/>
              <w:rPr>
                <w:sz w:val="1"/>
                <w:szCs w:val="1"/>
                <w:color w:val="auto"/>
              </w:rPr>
            </w:pPr>
          </w:p>
        </w:tc>
      </w:tr>
      <w:tr>
        <w:trPr>
          <w:trHeight w:val="20"/>
        </w:trPr>
        <w:tc>
          <w:tcPr>
            <w:tcW w:w="30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1156970</wp:posOffset>
            </wp:positionV>
            <wp:extent cx="240030" cy="2317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Appendix to the 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9240520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1220470</wp:posOffset>
            </wp:positionV>
            <wp:extent cx="5349240" cy="67551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55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1083310</wp:posOffset>
            </wp:positionV>
            <wp:extent cx="5349240" cy="67036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036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decimal"/>
      <w:start w:val="1"/>
    </w:lvl>
    <w:lvl w:ilvl="1">
      <w:lvlJc w:val="left"/>
      <w:lvlText w:val="%2."/>
      <w:numFmt w:val="decimal"/>
      <w:start w:val="1"/>
    </w:lvl>
  </w:abstractNum>
  <w:abstractNum w:abstractNumId="4">
    <w:nsid w:val="374A3FE6"/>
    <w:multiLevelType w:val="hybridMultilevel"/>
    <w:lvl w:ilvl="0">
      <w:lvlJc w:val="left"/>
      <w:lvlText w:val="%1."/>
      <w:numFmt w:val="decimal"/>
      <w:start w:val="4"/>
    </w:lvl>
    <w:lvl w:ilvl="1">
      <w:lvlJc w:val="left"/>
      <w:lvlText w:val="%2"/>
      <w:numFmt w:val="decimal"/>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1."/>
      <w:numFmt w:val="decimal"/>
      <w:start w:val="1"/>
    </w:lvl>
    <w:lvl w:ilvl="1">
      <w:lvlJc w:val="left"/>
      <w:lvlText w:val="•"/>
      <w:numFmt w:val="bullet"/>
      <w:start w:val="1"/>
    </w:lvl>
  </w:abstractNum>
  <w:abstractNum w:abstractNumId="10">
    <w:nsid w:val="1CF10FD8"/>
    <w:multiLevelType w:val="hybridMultilevel"/>
    <w:lvl w:ilvl="0">
      <w:lvlJc w:val="left"/>
      <w:lvlText w:val="%1."/>
      <w:numFmt w:val="decimal"/>
      <w:start w:val="5"/>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3"/>
    </w:lvl>
    <w:lvl w:ilvl="1">
      <w:lvlJc w:val="left"/>
      <w:lvlText w:val="•"/>
      <w:numFmt w:val="bullet"/>
      <w:start w:val="1"/>
    </w:lvl>
  </w:abstractNum>
  <w:abstractNum w:abstractNumId="13">
    <w:nsid w:val="47398C89"/>
    <w:multiLevelType w:val="hybridMultilevel"/>
    <w:lvl w:ilvl="0">
      <w:lvlJc w:val="left"/>
      <w:lvlText w:val="%1."/>
      <w:numFmt w:val="decimal"/>
      <w:start w:val="4"/>
    </w:lvl>
  </w:abstractNum>
  <w:abstractNum w:abstractNumId="14">
    <w:nsid w:val="354FE9F9"/>
    <w:multiLevelType w:val="hybridMultilevel"/>
    <w:lvl w:ilvl="0">
      <w:lvlJc w:val="left"/>
      <w:lvlText w:val="%1."/>
      <w:numFmt w:val="decimal"/>
      <w:start w:val="1"/>
    </w:lvl>
    <w:lvl w:ilvl="1">
      <w:lvlJc w:val="left"/>
      <w:lvlText w:val="•"/>
      <w:numFmt w:val="bullet"/>
      <w:start w:val="1"/>
    </w:lvl>
  </w:abstractNum>
  <w:abstractNum w:abstractNumId="15">
    <w:nsid w:val="15B5AF5C"/>
    <w:multiLevelType w:val="hybridMultilevel"/>
    <w:lvl w:ilvl="0">
      <w:lvlJc w:val="left"/>
      <w:lvlText w:val="%1."/>
      <w:numFmt w:val="decimal"/>
      <w:start w:val="3"/>
    </w:lvl>
    <w:lvl w:ilvl="1">
      <w:lvlJc w:val="left"/>
      <w:lvlText w:val="•"/>
      <w:numFmt w:val="bullet"/>
      <w:start w:val="1"/>
    </w:lvl>
  </w:abstractNum>
  <w:abstractNum w:abstractNumId="16">
    <w:nsid w:val="741226BB"/>
    <w:multiLevelType w:val="hybridMultilevel"/>
    <w:lvl w:ilvl="0">
      <w:lvlJc w:val="left"/>
      <w:lvlText w:val="%1."/>
      <w:numFmt w:val="decimal"/>
      <w:start w:val="4"/>
    </w:lvl>
    <w:lvl w:ilvl="1">
      <w:lvlJc w:val="left"/>
      <w:lvlText w:val="•"/>
      <w:numFmt w:val="bullet"/>
      <w:start w:val="1"/>
    </w:lvl>
  </w:abstractNum>
  <w:abstractNum w:abstractNumId="17">
    <w:nsid w:val="D34B6A8"/>
    <w:multiLevelType w:val="hybridMultilevel"/>
    <w:lvl w:ilvl="0">
      <w:lvlJc w:val="left"/>
      <w:lvlText w:val="%1."/>
      <w:numFmt w:val="decimal"/>
      <w:start w:val="5"/>
    </w:lvl>
  </w:abstractNum>
  <w:abstractNum w:abstractNumId="18">
    <w:nsid w:val="10233C99"/>
    <w:multiLevelType w:val="hybridMultilevel"/>
    <w:lvl w:ilvl="0">
      <w:lvlJc w:val="left"/>
      <w:lvlText w:val="%1."/>
      <w:numFmt w:val="decimal"/>
      <w:start w:val="6"/>
    </w:lvl>
  </w:abstractNum>
  <w:abstractNum w:abstractNumId="19">
    <w:nsid w:val="3F6AB60F"/>
    <w:multiLevelType w:val="hybridMultilevel"/>
    <w:lvl w:ilvl="0">
      <w:lvlJc w:val="left"/>
      <w:lvlText w:val="%1."/>
      <w:numFmt w:val="decimal"/>
      <w:start w:val="7"/>
    </w:lvl>
  </w:abstractNum>
  <w:abstractNum w:abstractNumId="20">
    <w:nsid w:val="61574095"/>
    <w:multiLevelType w:val="hybridMultilevel"/>
    <w:lvl w:ilvl="0">
      <w:lvlJc w:val="left"/>
      <w:lvlText w:val="9"/>
      <w:numFmt w:val="bullet"/>
      <w:start w:val="1"/>
    </w:lvl>
  </w:abstractNum>
  <w:abstractNum w:abstractNumId="21">
    <w:nsid w:val="7E0C57B1"/>
    <w:multiLevelType w:val="hybridMultilevel"/>
    <w:lvl w:ilvl="0">
      <w:lvlJc w:val="left"/>
      <w:lvlText w:val="o"/>
      <w:numFmt w:val="bullet"/>
      <w:start w:val="1"/>
    </w:lvl>
  </w:abstractNum>
  <w:abstractNum w:abstractNumId="22">
    <w:nsid w:val="77AE35EB"/>
    <w:multiLevelType w:val="hybridMultilevel"/>
    <w:lvl w:ilvl="0">
      <w:lvlJc w:val="left"/>
      <w:lvlText w:val="o"/>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o"/>
      <w:numFmt w:val="bullet"/>
      <w:start w:val="1"/>
    </w:lvl>
  </w:abstractNum>
  <w:abstractNum w:abstractNumId="25">
    <w:nsid w:val="5FF87E05"/>
    <w:multiLevelType w:val="hybridMultilevel"/>
    <w:lvl w:ilvl="0">
      <w:lvlJc w:val="left"/>
      <w:lvlText w:val="o"/>
      <w:numFmt w:val="bullet"/>
      <w:start w:val="1"/>
    </w:lvl>
  </w:abstractNum>
  <w:abstractNum w:abstractNumId="26">
    <w:nsid w:val="2F305DEF"/>
    <w:multiLevelType w:val="hybridMultilevel"/>
    <w:lvl w:ilvl="0">
      <w:lvlJc w:val="left"/>
      <w:lvlText w:val="o"/>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o"/>
      <w:numFmt w:val="bullet"/>
      <w:start w:val="1"/>
    </w:lvl>
  </w:abstractNum>
  <w:abstractNum w:abstractNumId="29">
    <w:nsid w:val="4AD084E9"/>
    <w:multiLevelType w:val="hybridMultilevel"/>
    <w:lvl w:ilvl="0">
      <w:lvlJc w:val="left"/>
      <w:lvlText w:val="o"/>
      <w:numFmt w:val="bullet"/>
      <w:start w:val="1"/>
    </w:lvl>
  </w:abstractNum>
  <w:abstractNum w:abstractNumId="30">
    <w:nsid w:val="1F48EAA1"/>
    <w:multiLevelType w:val="hybridMultilevel"/>
    <w:lvl w:ilvl="0">
      <w:lvlJc w:val="left"/>
      <w:lvlText w:val="o"/>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o"/>
      <w:numFmt w:val="bullet"/>
      <w:start w:val="1"/>
    </w:lvl>
  </w:abstractNum>
  <w:abstractNum w:abstractNumId="33">
    <w:nsid w:val="100F8FCA"/>
    <w:multiLevelType w:val="hybridMultilevel"/>
    <w:lvl w:ilvl="0">
      <w:lvlJc w:val="left"/>
      <w:lvlText w:val="o"/>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o"/>
      <w:numFmt w:val="bullet"/>
      <w:start w:val="1"/>
    </w:lvl>
  </w:abstractNum>
  <w:abstractNum w:abstractNumId="36">
    <w:nsid w:val="5F5E7FD0"/>
    <w:multiLevelType w:val="hybridMultilevel"/>
    <w:lvl w:ilvl="0">
      <w:lvlJc w:val="left"/>
      <w:lvlText w:val="o"/>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o"/>
      <w:numFmt w:val="bullet"/>
      <w:start w:val="1"/>
    </w:lvl>
  </w:abstractNum>
  <w:abstractNum w:abstractNumId="39">
    <w:nsid w:val="6B94764"/>
    <w:multiLevelType w:val="hybridMultilevel"/>
    <w:lvl w:ilvl="0">
      <w:lvlJc w:val="left"/>
      <w:lvlText w:val="o"/>
      <w:numFmt w:val="bullet"/>
      <w:start w:val="1"/>
    </w:lvl>
  </w:abstractNum>
  <w:abstractNum w:abstractNumId="40">
    <w:nsid w:val="42C296BD"/>
    <w:multiLevelType w:val="hybridMultilevel"/>
    <w:lvl w:ilvl="0">
      <w:lvlJc w:val="left"/>
      <w:lvlText w:val="o"/>
      <w:numFmt w:val="bullet"/>
      <w:start w:val="1"/>
    </w:lvl>
  </w:abstractNum>
  <w:abstractNum w:abstractNumId="41">
    <w:nsid w:val="168E121F"/>
    <w:multiLevelType w:val="hybridMultilevel"/>
    <w:lvl w:ilvl="0">
      <w:lvlJc w:val="left"/>
      <w:lvlText w:val="o"/>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o"/>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o"/>
      <w:numFmt w:val="bullet"/>
      <w:start w:val="1"/>
    </w:lvl>
  </w:abstractNum>
  <w:abstractNum w:abstractNumId="46">
    <w:nsid w:val="7BD3EE7B"/>
    <w:multiLevelType w:val="hybridMultilevel"/>
    <w:lvl w:ilvl="0">
      <w:lvlJc w:val="left"/>
      <w:lvlText w:val="o"/>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o"/>
      <w:numFmt w:val="bullet"/>
      <w:start w:val="1"/>
    </w:lvl>
  </w:abstractNum>
  <w:abstractNum w:abstractNumId="49">
    <w:nsid w:val="BF72B14"/>
    <w:multiLevelType w:val="hybridMultilevel"/>
    <w:lvl w:ilvl="0">
      <w:lvlJc w:val="left"/>
      <w:lvlText w:val="o"/>
      <w:numFmt w:val="bullet"/>
      <w:start w:val="1"/>
    </w:lvl>
  </w:abstractNum>
  <w:abstractNum w:abstractNumId="50">
    <w:nsid w:val="11447B73"/>
    <w:multiLevelType w:val="hybridMultilevel"/>
    <w:lvl w:ilvl="0">
      <w:lvlJc w:val="left"/>
      <w:lvlText w:val="o"/>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1"/>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1)"/>
      <w:numFmt w:val="decimal"/>
      <w:start w:val="1"/>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1)"/>
      <w:numFmt w:val="lowerRoman"/>
      <w:start w:val="2"/>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1)"/>
      <w:numFmt w:val="decimal"/>
      <w:start w:val="1"/>
    </w:lvl>
  </w:abstractNum>
  <w:abstractNum w:abstractNumId="69">
    <w:nsid w:val="885E1B"/>
    <w:multiLevelType w:val="hybridMultilevel"/>
    <w:lvl w:ilvl="0">
      <w:lvlJc w:val="left"/>
      <w:lvlText w:val="(%1)"/>
      <w:numFmt w:val="decimal"/>
      <w:start w:val="1"/>
    </w:lvl>
  </w:abstractNum>
  <w:abstractNum w:abstractNumId="70">
    <w:nsid w:val="76272110"/>
    <w:multiLevelType w:val="hybridMultilevel"/>
    <w:lvl w:ilvl="0">
      <w:lvlJc w:val="left"/>
      <w:lvlText w:val="(%1)"/>
      <w:numFmt w:val="decimal"/>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1)"/>
      <w:numFmt w:val="decimal"/>
      <w:start w:val="3"/>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1)"/>
      <w:numFmt w:val="decimal"/>
      <w:start w:val="1"/>
    </w:lvl>
  </w:abstractNum>
  <w:abstractNum w:abstractNumId="77">
    <w:nsid w:val="2DF6D648"/>
    <w:multiLevelType w:val="hybridMultilevel"/>
    <w:lvl w:ilvl="0">
      <w:lvlJc w:val="left"/>
      <w:lvlText w:val="(%1)"/>
      <w:numFmt w:val="decimal"/>
      <w:start w:val="6"/>
    </w:lvl>
  </w:abstractNum>
  <w:abstractNum w:abstractNumId="78">
    <w:nsid w:val="46B7D447"/>
    <w:multiLevelType w:val="hybridMultilevel"/>
    <w:lvl w:ilvl="0">
      <w:lvlJc w:val="left"/>
      <w:lvlText w:val="(%1)"/>
      <w:numFmt w:val="decimal"/>
      <w:start w:val="1"/>
    </w:lvl>
  </w:abstractNum>
  <w:abstractNum w:abstractNumId="79">
    <w:nsid w:val="4A2AC315"/>
    <w:multiLevelType w:val="hybridMultilevel"/>
    <w:lvl w:ilvl="0">
      <w:lvlJc w:val="left"/>
      <w:lvlText w:val="(%1)"/>
      <w:numFmt w:val="decimal"/>
      <w:start w:val="3"/>
    </w:lvl>
  </w:abstractNum>
  <w:abstractNum w:abstractNumId="80">
    <w:nsid w:val="39EE015C"/>
    <w:multiLevelType w:val="hybridMultilevel"/>
    <w:lvl w:ilvl="0">
      <w:lvlJc w:val="left"/>
      <w:lvlText w:val="•"/>
      <w:numFmt w:val="bullet"/>
      <w:start w:val="1"/>
    </w:lvl>
    <w:lvl w:ilvl="1">
      <w:lvlJc w:val="left"/>
      <w:lvlText w:val="(%2)"/>
      <w:numFmt w:val="lowerRoman"/>
      <w:start w:val="2"/>
    </w:lvl>
  </w:abstractNum>
  <w:abstractNum w:abstractNumId="81">
    <w:nsid w:val="57FC4FBB"/>
    <w:multiLevelType w:val="hybridMultilevel"/>
    <w:lvl w:ilvl="0">
      <w:lvlJc w:val="left"/>
      <w:lvlText w:val="•"/>
      <w:numFmt w:val="bullet"/>
      <w:start w:val="1"/>
    </w:lvl>
    <w:lvl w:ilvl="1">
      <w:lvlJc w:val="left"/>
      <w:lvlText w:val="(%2)"/>
      <w:numFmt w:val="lowerRoman"/>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1)"/>
      <w:numFmt w:val="lowerRoman"/>
      <w:start w:val="2"/>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1)"/>
      <w:numFmt w:val="decimal"/>
      <w:start w:val="1"/>
    </w:lvl>
  </w:abstractNum>
  <w:abstractNum w:abstractNumId="91">
    <w:nsid w:val="488AC1A"/>
    <w:multiLevelType w:val="hybridMultilevel"/>
    <w:lvl w:ilvl="0">
      <w:lvlJc w:val="left"/>
      <w:lvlText w:val="(%1)"/>
      <w:numFmt w:val="decimal"/>
      <w:start w:val="2"/>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decimal"/>
      <w:start w:val="3"/>
    </w:lvl>
  </w:abstractNum>
  <w:abstractNum w:abstractNumId="95">
    <w:nsid w:val="6FC75AF8"/>
    <w:multiLevelType w:val="hybridMultilevel"/>
    <w:lvl w:ilvl="0">
      <w:lvlJc w:val="left"/>
      <w:lvlText w:val="(%1)"/>
      <w:numFmt w:val="decimal"/>
      <w:start w:val="1"/>
    </w:lvl>
  </w:abstractNum>
  <w:abstractNum w:abstractNumId="96">
    <w:nsid w:val="6A5F7029"/>
    <w:multiLevelType w:val="hybridMultilevel"/>
    <w:lvl w:ilvl="0">
      <w:lvlJc w:val="left"/>
      <w:lvlText w:val="%1."/>
      <w:numFmt w:val="decimal"/>
      <w:start w:val="1"/>
    </w:lvl>
  </w:abstractNum>
  <w:abstractNum w:abstractNumId="97">
    <w:nsid w:val="7D5E18F8"/>
    <w:multiLevelType w:val="hybridMultilevel"/>
    <w:lvl w:ilvl="0">
      <w:lvlJc w:val="left"/>
      <w:lvlText w:val="(%1)"/>
      <w:numFmt w:val="decimal"/>
      <w:start w:val="1"/>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1)"/>
      <w:numFmt w:val="decimal"/>
      <w:start w:val="1"/>
    </w:lvl>
  </w:abstractNum>
  <w:abstractNum w:abstractNumId="100">
    <w:nsid w:val="7DE67713"/>
    <w:multiLevelType w:val="hybridMultilevel"/>
    <w:lvl w:ilvl="0">
      <w:lvlJc w:val="left"/>
      <w:lvlText w:val="(%1)"/>
      <w:numFmt w:val="decimal"/>
      <w:start w:val="5"/>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2026-04-14T15:25:19Z</dcterms:created>
  <dcterms:modified xsi:type="dcterms:W3CDTF">2026-04-14T15:25:19Z</dcterms:modified>
</cp:coreProperties>
</file>