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4380" w:type="dxa"/>
            <w:vAlign w:val="bottom"/>
          </w:tcPr>
          <w:p>
            <w:pPr>
              <w:ind w:left="800"/>
              <w:spacing w:after="0"/>
              <w:rPr>
                <w:sz w:val="20"/>
                <w:szCs w:val="20"/>
                <w:color w:val="auto"/>
              </w:rPr>
            </w:pPr>
            <w:r>
              <w:rPr>
                <w:rFonts w:ascii="Arial" w:cs="Arial" w:eastAsia="Arial" w:hAnsi="Arial"/>
                <w:sz w:val="18"/>
                <w:szCs w:val="18"/>
                <w:b w:val="1"/>
                <w:bCs w:val="1"/>
                <w:color w:val="auto"/>
              </w:rPr>
              <w:t>Delaware</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41-2015127</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Incorporation or Organization)</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40" w:space="720"/>
            <w:col w:w="1420" w:space="720"/>
            <w:col w:w="3340" w:space="400"/>
            <w:col w:w="2380"/>
          </w:cols>
          <w:pgMar w:left="240" w:top="122" w:right="23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29, 2011 was 11,962,690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840" w:type="dxa"/>
            <w:vAlign w:val="bottom"/>
            <w:gridSpan w:val="8"/>
            <w:vMerge w:val="restart"/>
          </w:tcPr>
          <w:p>
            <w:pPr>
              <w:spacing w:after="0"/>
              <w:rPr>
                <w:sz w:val="16"/>
                <w:szCs w:val="16"/>
                <w:color w:val="auto"/>
              </w:rPr>
            </w:pPr>
          </w:p>
        </w:tc>
        <w:tc>
          <w:tcPr>
            <w:tcW w:w="140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5"/>
            <w:vMerge w:val="continue"/>
          </w:tcPr>
          <w:p>
            <w:pPr>
              <w:spacing w:after="0"/>
              <w:rPr>
                <w:sz w:val="13"/>
                <w:szCs w:val="13"/>
                <w:color w:val="auto"/>
              </w:rPr>
            </w:pPr>
          </w:p>
        </w:tc>
        <w:tc>
          <w:tcPr>
            <w:tcW w:w="6840" w:type="dxa"/>
            <w:vAlign w:val="bottom"/>
            <w:gridSpan w:val="8"/>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9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2011 (unaudited) and December 31, 2010</w:t>
              </w:r>
            </w:hyperlink>
          </w:p>
        </w:tc>
        <w:tc>
          <w:tcPr>
            <w:tcW w:w="2700" w:type="dxa"/>
            <w:vAlign w:val="bottom"/>
            <w:gridSpan w:val="3"/>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six months ended June 30, 2011 and 2010 (unaudited)</w:t>
              </w:r>
            </w:hyperlink>
          </w:p>
        </w:tc>
        <w:tc>
          <w:tcPr>
            <w:tcW w:w="8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2011 and 2010 (unaudited)</w:t>
              </w:r>
            </w:hyperlink>
          </w:p>
        </w:tc>
        <w:tc>
          <w:tcPr>
            <w:tcW w:w="154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840" w:type="dxa"/>
            <w:vAlign w:val="bottom"/>
            <w:gridSpan w:val="5"/>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992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00" w:type="dxa"/>
            <w:vAlign w:val="bottom"/>
            <w:gridSpan w:val="4"/>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4. Controls and Procedures</w:t>
              </w:r>
            </w:hyperlink>
          </w:p>
        </w:tc>
        <w:tc>
          <w:tcPr>
            <w:tcW w:w="7580" w:type="dxa"/>
            <w:vAlign w:val="bottom"/>
            <w:gridSpan w:val="13"/>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14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 Legal Proceedings</w:t>
              </w:r>
            </w:hyperlink>
          </w:p>
        </w:tc>
        <w:tc>
          <w:tcPr>
            <w:tcW w:w="8020" w:type="dxa"/>
            <w:vAlign w:val="bottom"/>
            <w:gridSpan w:val="15"/>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320" w:type="dxa"/>
            <w:vAlign w:val="bottom"/>
            <w:gridSpan w:val="17"/>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2. Unregistered Sales of Equity Securities and Use of Proceeds</w:t>
              </w:r>
            </w:hyperlink>
          </w:p>
        </w:tc>
        <w:tc>
          <w:tcPr>
            <w:tcW w:w="5000" w:type="dxa"/>
            <w:vAlign w:val="bottom"/>
            <w:gridSpan w:val="7"/>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992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 Defaults Upon Senior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5. Other Information</w:t>
              </w:r>
            </w:hyperlink>
          </w:p>
        </w:tc>
        <w:tc>
          <w:tcPr>
            <w:tcW w:w="1000" w:type="dxa"/>
            <w:vAlign w:val="bottom"/>
            <w:tcBorders>
              <w:top w:val="single" w:sz="8" w:color="0000EE"/>
            </w:tcBorders>
            <w:gridSpan w:val="7"/>
          </w:tcPr>
          <w:p>
            <w:pPr>
              <w:spacing w:after="0"/>
              <w:rPr>
                <w:sz w:val="24"/>
                <w:szCs w:val="24"/>
                <w:color w:val="auto"/>
              </w:rPr>
            </w:pPr>
          </w:p>
        </w:tc>
        <w:tc>
          <w:tcPr>
            <w:tcW w:w="7040" w:type="dxa"/>
            <w:vAlign w:val="bottom"/>
            <w:gridSpan w:val="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992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8760" w:type="dxa"/>
            <w:vAlign w:val="bottom"/>
            <w:gridSpan w:val="18"/>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160" w:type="dxa"/>
            <w:vAlign w:val="bottom"/>
            <w:tcBorders>
              <w:top w:val="single" w:sz="8" w:color="0000EE"/>
            </w:tcBorders>
          </w:tcPr>
          <w:p>
            <w:pPr>
              <w:spacing w:after="0"/>
              <w:rPr>
                <w:sz w:val="17"/>
                <w:szCs w:val="17"/>
                <w:color w:val="auto"/>
              </w:rPr>
            </w:pPr>
          </w:p>
        </w:tc>
        <w:tc>
          <w:tcPr>
            <w:tcW w:w="9100" w:type="dxa"/>
            <w:vAlign w:val="bottom"/>
            <w:gridSpan w:val="19"/>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9260" w:type="dxa"/>
            <w:vAlign w:val="bottom"/>
            <w:gridSpan w:val="20"/>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EX-32.1</w:t>
            </w:r>
          </w:p>
        </w:tc>
        <w:tc>
          <w:tcPr>
            <w:tcW w:w="9260" w:type="dxa"/>
            <w:vAlign w:val="bottom"/>
            <w:gridSpan w:val="20"/>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860" w:type="dxa"/>
            <w:vAlign w:val="bottom"/>
            <w:gridSpan w:val="22"/>
          </w:tcPr>
          <w:p>
            <w:pPr>
              <w:spacing w:after="0" w:line="196" w:lineRule="exact"/>
              <w:rPr>
                <w:sz w:val="20"/>
                <w:szCs w:val="20"/>
                <w:color w:val="auto"/>
              </w:rPr>
            </w:pPr>
            <w:r>
              <w:rPr>
                <w:rFonts w:ascii="Arial" w:cs="Arial" w:eastAsia="Arial" w:hAnsi="Arial"/>
                <w:sz w:val="18"/>
                <w:szCs w:val="18"/>
                <w:color w:val="0000EE"/>
              </w:rPr>
              <w:t>EX-101 INSTANCE DOCUMENT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8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EX-101 SCHEMA DOCUMENT</w:t>
            </w:r>
          </w:p>
        </w:tc>
        <w:tc>
          <w:tcPr>
            <w:tcW w:w="7380" w:type="dxa"/>
            <w:vAlign w:val="bottom"/>
            <w:gridSpan w:val="11"/>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our Annual Report on Form 10-K for the year ended December 31,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$193 and $209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7,353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2,896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6,287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61,215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5,461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$0.001 par value; 55,000,000 shares authorized; 11,955,017 and 11,849,572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outstanding,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107,229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(62,385)</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10,944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26,586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7,071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10,187</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19,515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15,105</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10,978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19,049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13,379</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8"/>
                <w:szCs w:val="18"/>
                <w:color w:val="auto"/>
                <w:w w:val="94"/>
              </w:rPr>
              <w:t>Weighted average common shares used to compute net income (loss) per share</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11,919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11,892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11,919</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11,844</w:t>
            </w:r>
          </w:p>
        </w:tc>
        <w:tc>
          <w:tcPr>
            <w:tcW w:w="1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12,659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10,699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Change in carrying value of preferred stock warrants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Changes in assets and liabilities, net of effect of acquisition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Deferred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compensation and benefits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Direct EDI</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(10,865)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(11,854)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Payments of capital lease obligations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Stock offering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(10,685)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40,473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2010 balance sheet data was derived from our audited financial statements at that date. For further information, refer to the consolidated financial statements and accompanying notes for the year ended December 31, 2010 included in our Annual Report on Form 10-K as filed with the Securities and Exchange Commission on March 3,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account for acquisitions of businesses pursuant to FASB ASC 805, Business Combinations. In accordance with ASC 805, we recognize separately from goodwill the fair value of the assets acquired and the liabilities assumed at the acquisition date as defined by FASB ASC 820, Fair Value Measurements and Disclosures. Goodwill as of the acquisition date is measured as the excess of consideration transferred and the net of the acquisition date amounts of the assets acquired and the liabilities assumed. Assets acquired include tangible and intangible assets. We determine the value and useful lives of purchased intangible assets with the assistance of an independent third-party valuation firm using certain estimates and assumptions.</w:t>
      </w:r>
    </w:p>
    <w:p>
      <w:pPr>
        <w:spacing w:after="0" w:line="5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While we use estimates and assumptions that we believe are reasonable as a part of the purchase price allocation process to accurately value the assets acquired and the liabilities assumed at the acquisition date, they are inherently uncertain and subject to refinement. As a result, during the measurement period, which may be up to one year from the acquisition date, we may record adjustments to the fair value of the assets acquired and the liabilities assumed based on new information about facts and circumstances that existed as of the acquisition date. Any such adjustments would be recorded as an offset to goodwill. Upon the conclusion of the measurement period or final determination of the fair values, whichever comes first, any subsequent adjustments would be recorded in our statements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six months ended June 30, 2011, there were no material changes in our significant accounting policies. See Note A to the consolidated financial statements included in our Annual Report on Form 10-K for the year ended December 31, 2010 as filed with the Securities and Exchange Commission on March 3, 2011 for additional information regarding our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In October 2009, the Financial Accounting Standards Board (“FASB”) issued Accounting Standards Update (“ASU”) No. 2009-13, Revenue Recognition (ASC Topic 605), </w:t>
      </w:r>
      <w:r>
        <w:rPr>
          <w:rFonts w:ascii="Arial" w:cs="Arial" w:eastAsia="Arial" w:hAnsi="Arial"/>
          <w:sz w:val="17"/>
          <w:szCs w:val="17"/>
          <w:i w:val="1"/>
          <w:iCs w:val="1"/>
          <w:color w:val="auto"/>
        </w:rPr>
        <w:t>Multiple-Deliverable Revenue Arrangements, a consensus of the FASB Emerging Issues Task Force.</w:t>
      </w:r>
      <w:r>
        <w:rPr>
          <w:rFonts w:ascii="Arial" w:cs="Arial" w:eastAsia="Arial" w:hAnsi="Arial"/>
          <w:sz w:val="17"/>
          <w:szCs w:val="17"/>
          <w:color w:val="auto"/>
        </w:rPr>
        <w:t xml:space="preserve"> This guidance modifies the fair value requirements of ASC subtopic 605-25, </w:t>
      </w:r>
      <w:r>
        <w:rPr>
          <w:rFonts w:ascii="Arial" w:cs="Arial" w:eastAsia="Arial" w:hAnsi="Arial"/>
          <w:sz w:val="17"/>
          <w:szCs w:val="17"/>
          <w:i w:val="1"/>
          <w:iCs w:val="1"/>
          <w:color w:val="auto"/>
        </w:rPr>
        <w:t>Revenue Recognition-Multiple Element Arrangements,</w:t>
      </w:r>
      <w:r>
        <w:rPr>
          <w:rFonts w:ascii="Arial" w:cs="Arial" w:eastAsia="Arial" w:hAnsi="Arial"/>
          <w:sz w:val="17"/>
          <w:szCs w:val="17"/>
          <w:color w:val="auto"/>
        </w:rPr>
        <w:t xml:space="preserve"> by allowing the use of the “best estimate of selling price” in addition to Vendor Specific Objective Evidence and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October 2009, the FASB issued ASU No. 2009-14, Software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80"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ASU No. 2009-13 and ASU No. 2009-14 both require expanded qualitative and quantitative disclosures and are effective for fiscal years beginning on or after June 15, 2010. We have adopted these updates and they did not have a material impact on our financial statements.</w:t>
      </w:r>
    </w:p>
    <w:p>
      <w:pPr>
        <w:spacing w:after="0" w:line="62" w:lineRule="exact"/>
        <w:rPr>
          <w:sz w:val="20"/>
          <w:szCs w:val="20"/>
          <w:color w:val="auto"/>
        </w:rPr>
      </w:pPr>
    </w:p>
    <w:p>
      <w:pPr>
        <w:ind w:right="380" w:firstLine="225"/>
        <w:spacing w:after="0" w:line="276" w:lineRule="auto"/>
        <w:rPr>
          <w:sz w:val="20"/>
          <w:szCs w:val="20"/>
          <w:color w:val="auto"/>
        </w:rPr>
      </w:pPr>
      <w:r>
        <w:rPr>
          <w:rFonts w:ascii="Arial" w:cs="Arial" w:eastAsia="Arial" w:hAnsi="Arial"/>
          <w:sz w:val="17"/>
          <w:szCs w:val="17"/>
          <w:color w:val="auto"/>
        </w:rPr>
        <w:t xml:space="preserve">In January 2010, the FASB issued ASU No. 2010-06, Fair Value Measurements and Disclosures (ASC Topic 820), </w:t>
      </w:r>
      <w:r>
        <w:rPr>
          <w:rFonts w:ascii="Arial" w:cs="Arial" w:eastAsia="Arial" w:hAnsi="Arial"/>
          <w:sz w:val="17"/>
          <w:szCs w:val="17"/>
          <w:i w:val="1"/>
          <w:iCs w:val="1"/>
          <w:color w:val="auto"/>
        </w:rPr>
        <w:t>Improving Disclosures about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ASU No. 2010-06 enhances the disclosure requirements to include transfers in and out of Level 1 and 2 and the associated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effective for fiscal years beginning on or after December 15, 2009. ASU No. 2010-06 also requires the disclosure of a disaggregated gross reconciliation of Level 3 fair value measurements, which is effective for fiscal years beginning on or after December 15, 2010. We have adopted these updates and they did not have a material impact on our financial statements.</w:t>
      </w:r>
    </w:p>
    <w:p>
      <w:pPr>
        <w:spacing w:after="0" w:line="64"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 xml:space="preserve">In July 2010, the FASB issued ASU No. 2010-20, Receivables (ASC Topic 310), </w:t>
      </w:r>
      <w:r>
        <w:rPr>
          <w:rFonts w:ascii="Arial" w:cs="Arial" w:eastAsia="Arial" w:hAnsi="Arial"/>
          <w:sz w:val="17"/>
          <w:szCs w:val="17"/>
          <w:i w:val="1"/>
          <w:iCs w:val="1"/>
          <w:color w:val="auto"/>
        </w:rPr>
        <w:t>Disclosures about the Credit Quality of Financing Receivables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Allowance for Credit Losses</w:t>
      </w:r>
      <w:r>
        <w:rPr>
          <w:rFonts w:ascii="Arial" w:cs="Arial" w:eastAsia="Arial" w:hAnsi="Arial"/>
          <w:sz w:val="17"/>
          <w:szCs w:val="17"/>
          <w:color w:val="auto"/>
        </w:rPr>
        <w:t>. ASU No. 2010-20 enhances the disclosure requirements about the credit quality and related allowance for credit losses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receivables. We will be required to disclose the nature of the inherent risk of receivables, the methodology and analytics that support that assessment, and support any changes to the allowance for doubtful accounts. We will also be required to provide a rollforward of the allowance and disclose the accounts receivable on a disaggregated basis. This update is effective for fiscal years beginning on or after December 15, 2010. We have adopted this update and it did not have a material impact on our financial statements.</w:t>
      </w:r>
    </w:p>
    <w:p>
      <w:pPr>
        <w:spacing w:after="0" w:line="70"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In December 2010, the FASB issued ASU No. 2010-29, Business Combinations (ASC Topic 805), </w:t>
      </w:r>
      <w:r>
        <w:rPr>
          <w:rFonts w:ascii="Arial" w:cs="Arial" w:eastAsia="Arial" w:hAnsi="Arial"/>
          <w:sz w:val="17"/>
          <w:szCs w:val="17"/>
          <w:i w:val="1"/>
          <w:iCs w:val="1"/>
          <w:color w:val="auto"/>
        </w:rPr>
        <w:t>Disclosure of Supplementary Pro Forma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for Business Combinations</w:t>
      </w:r>
      <w:r>
        <w:rPr>
          <w:rFonts w:ascii="Arial" w:cs="Arial" w:eastAsia="Arial" w:hAnsi="Arial"/>
          <w:sz w:val="17"/>
          <w:szCs w:val="17"/>
          <w:color w:val="auto"/>
        </w:rPr>
        <w:t>. ASU No. 2010-29 amends the disclosure requirements for supplementary pro forma information for business combinations.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addresses the diversity in practice about the interpretation of the pro forma revenue and earnings disclosure requirements for business combinations. The update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It also expands the supplemental pro forma disclosures to include a description of the nature and amount of material, nonrecurring pro forma adjustments directly attributable to the business combination included in the reported pro forma revenue and earnings. This update is effective prospectively for business combinations for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which the acquisition date is on or after the beginning of the first annual reporting period beginning on or after December 15, 2010. We have adopted this update and, with the acquisition of Direct EDI in May 2011, the required supplementary pro forma information is presented in Note B.</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Direct EDI</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$10.9 million in cash and assumed certain liabilities of Direct EDI. The acquisition of Direct EDI allows us to expand our base of recurring revenue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We engaged an independent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that are not included in the fair values of assets. Goodwill will not be amortized; however it is deductible for tax purposes. Although we believe the purchase price allocation is substantially complete, it is considered preliminary and the finalization of the valuation of the net tangible and intangible assets acquired and liabilities assumed could result in a future adjustment to the purchase price allocation.</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Total purchase price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Purchased Intangible Assets</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380" w:type="dxa"/>
            <w:vAlign w:val="bottom"/>
            <w:gridSpan w:val="5"/>
          </w:tcPr>
          <w:p>
            <w:pPr>
              <w:ind w:left="200"/>
              <w:spacing w:after="0"/>
              <w:rPr>
                <w:sz w:val="20"/>
                <w:szCs w:val="20"/>
                <w:color w:val="auto"/>
              </w:rPr>
            </w:pPr>
            <w:r>
              <w:rPr>
                <w:rFonts w:ascii="Arial" w:cs="Arial" w:eastAsia="Arial" w:hAnsi="Arial"/>
                <w:sz w:val="18"/>
                <w:szCs w:val="18"/>
                <w:color w:val="auto"/>
                <w:w w:val="92"/>
              </w:rPr>
              <w:t>The following table summarizes the estimated fair value of the purchased intangible assets and their estimated useful lives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w w:val="93"/>
              </w:rPr>
              <w:t>Estimated</w:t>
            </w:r>
          </w:p>
        </w:tc>
        <w:tc>
          <w:tcPr>
            <w:tcW w:w="24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3"/>
              </w:rPr>
              <w:t>Fair Value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color w:val="auto"/>
              </w:rPr>
              <w:t>Purchased Intangible Assets</w:t>
            </w:r>
          </w:p>
        </w:tc>
        <w:tc>
          <w:tcPr>
            <w:tcW w:w="1820" w:type="dxa"/>
            <w:vAlign w:val="bottom"/>
            <w:gridSpan w:val="4"/>
          </w:tcPr>
          <w:p>
            <w:pPr>
              <w:ind w:left="58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related to these intangible assets was $123,000 for the three and six months ended June 30, 2011.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117" w:lineRule="exact"/>
        <w:rPr>
          <w:sz w:val="20"/>
          <w:szCs w:val="20"/>
          <w:color w:val="auto"/>
        </w:rPr>
      </w:pPr>
    </w:p>
    <w:p>
      <w:pPr>
        <w:ind w:right="200" w:firstLine="215"/>
        <w:spacing w:after="0" w:line="255" w:lineRule="auto"/>
        <w:rPr>
          <w:sz w:val="20"/>
          <w:szCs w:val="20"/>
          <w:color w:val="auto"/>
        </w:rPr>
      </w:pPr>
      <w:r>
        <w:rPr>
          <w:rFonts w:ascii="Arial" w:cs="Arial" w:eastAsia="Arial" w:hAnsi="Arial"/>
          <w:sz w:val="18"/>
          <w:szCs w:val="18"/>
          <w:color w:val="auto"/>
        </w:rPr>
        <w:t>Acquisition-related costs were approximately $232,000, of which $203,000 and $232,000 were recorded in our condensed consolidated statements of operations for the three and six months ended June 30, 2011, respectively. Acquisition-related costs were recorded as general and administrative expense in accordance with the current accounting guidance for business combinations. The operating results of Direct EDI have been included in our condensed consolidated financial statements from May 18, 2011, the date of the acquisition. For the three months ended June 30, 2011, approximately $480,000 of our revenue was derived from Direct EDI customers. The amount of operating income or loss from Direct EDI was not separately identifiable due to our integration.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unaudited pro forma financial information in the table below presents the combined operating results of SPS Commerce and Direct EDI as if the acquisition had occurred on January 1, 2010. The unaudited pro forma information includes the historical operating results of each company and certain pro forma adjustments, including annual amortization expense for purchased intangible assets of approximately $1.0 million and additional annual compensation expense of approximately $280,000 related to employment arrangements entered into as part of the acquisition.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14,528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11,921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28,432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23,040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share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Basic</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2010, nor is it necessarily indicative of our results of operations for any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Intangible Assets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June 30, 2011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December 31, 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100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0"/>
                <w:szCs w:val="10"/>
                <w:color w:val="auto"/>
              </w:rPr>
            </w:pPr>
          </w:p>
        </w:tc>
        <w:tc>
          <w:tcPr>
            <w:tcW w:w="112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rPr>
              <w:t>Carrying</w:t>
            </w:r>
          </w:p>
        </w:tc>
        <w:tc>
          <w:tcPr>
            <w:tcW w:w="42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w w:val="95"/>
              </w:rPr>
              <w:t>Amount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Amount</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Net</w:t>
            </w:r>
          </w:p>
        </w:tc>
      </w:tr>
      <w:tr>
        <w:trPr>
          <w:trHeight w:val="20"/>
        </w:trPr>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20" w:firstLine="215"/>
        <w:spacing w:after="0" w:line="277" w:lineRule="auto"/>
        <w:rPr>
          <w:sz w:val="20"/>
          <w:szCs w:val="20"/>
          <w:color w:val="auto"/>
        </w:rPr>
      </w:pPr>
      <w:r>
        <w:rPr>
          <w:rFonts w:ascii="Arial" w:cs="Arial" w:eastAsia="Arial" w:hAnsi="Arial"/>
          <w:sz w:val="18"/>
          <w:szCs w:val="18"/>
          <w:color w:val="auto"/>
        </w:rPr>
        <w:t>Amortization expense for intangible assets was $123,000 for the three and six months ended June 30, 2011. There was no amortization expense for intangible assets for the three or six months ended June 30,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840" w:type="dxa"/>
            <w:vAlign w:val="bottom"/>
            <w:gridSpan w:val="3"/>
          </w:tcPr>
          <w:p>
            <w:pPr>
              <w:spacing w:after="0"/>
              <w:rPr>
                <w:sz w:val="20"/>
                <w:szCs w:val="20"/>
                <w:color w:val="auto"/>
              </w:rPr>
            </w:pPr>
            <w:r>
              <w:rPr>
                <w:rFonts w:ascii="Arial" w:cs="Arial" w:eastAsia="Arial" w:hAnsi="Arial"/>
                <w:sz w:val="18"/>
                <w:szCs w:val="18"/>
                <w:color w:val="auto"/>
              </w:rPr>
              <w:t>At June 30, 2011, future amortization expense for intangible assets was as follows (in thousands):</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2012</w:t>
            </w:r>
          </w:p>
        </w:tc>
        <w:tc>
          <w:tcPr>
            <w:tcW w:w="7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2014</w:t>
            </w:r>
          </w:p>
        </w:tc>
        <w:tc>
          <w:tcPr>
            <w:tcW w:w="7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Stock-Based Compensation</w:t>
      </w:r>
    </w:p>
    <w:p>
      <w:pPr>
        <w:spacing w:after="0" w:line="121"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June 30, 2011, there were approximately 668,000 shares available for grant under approved equity compensation plans.</w:t>
      </w:r>
    </w:p>
    <w:p>
      <w:pPr>
        <w:spacing w:after="0" w:line="39"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We recorded stock-based compensation expense of $487,000 and $175,000 for the three months ended June 30, 2011 and 2010, respectively. We recorded stock-based compensation expense of $799,000 and $226,000 for the six months ended June 30, 2011 and 2010, respectively. This expense was allocated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firstLine="215"/>
        <w:spacing w:after="0" w:line="308" w:lineRule="auto"/>
        <w:rPr>
          <w:sz w:val="20"/>
          <w:szCs w:val="20"/>
          <w:color w:val="auto"/>
        </w:rPr>
      </w:pPr>
      <w:r>
        <w:rPr>
          <w:rFonts w:ascii="Arial" w:cs="Arial" w:eastAsia="Arial" w:hAnsi="Arial"/>
          <w:sz w:val="17"/>
          <w:szCs w:val="17"/>
          <w:color w:val="auto"/>
        </w:rPr>
        <w:t>As of June 30, 2011, there was approximately $5.2 million of unrecognized stock-based compensation expense under our equity compensation plans, which is expected to be recognized on a straight line basis over a weighted average period of approximately two years.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stock option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8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2"/>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1,549,344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Granted</w:t>
            </w:r>
          </w:p>
        </w:tc>
        <w:tc>
          <w:tcPr>
            <w:tcW w:w="6180" w:type="dxa"/>
            <w:vAlign w:val="bottom"/>
            <w:gridSpan w:val="3"/>
          </w:tcPr>
          <w:p>
            <w:pPr>
              <w:jc w:val="right"/>
              <w:ind w:right="640"/>
              <w:spacing w:after="0"/>
              <w:rPr>
                <w:sz w:val="20"/>
                <w:szCs w:val="20"/>
                <w:color w:val="auto"/>
              </w:rPr>
            </w:pPr>
            <w:r>
              <w:rPr>
                <w:rFonts w:ascii="Arial" w:cs="Arial" w:eastAsia="Arial" w:hAnsi="Arial"/>
                <w:sz w:val="18"/>
                <w:szCs w:val="18"/>
                <w:color w:val="auto"/>
              </w:rPr>
              <w:t>420,042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6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(105,445)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47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(19,129)</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47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1,844,812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00" w:type="dxa"/>
            <w:vAlign w:val="bottom"/>
            <w:vMerge w:val="restart"/>
          </w:tcPr>
          <w:p>
            <w:pPr>
              <w:jc w:val="right"/>
              <w:ind w:right="289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six months of 2011 was $8.21 and this was estimated on the date of grant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780" w:type="dxa"/>
            <w:vAlign w:val="bottom"/>
          </w:tcPr>
          <w:p>
            <w:pPr>
              <w:jc w:val="right"/>
              <w:spacing w:after="0"/>
              <w:rPr>
                <w:sz w:val="20"/>
                <w:szCs w:val="20"/>
                <w:color w:val="auto"/>
              </w:rPr>
            </w:pPr>
            <w:r>
              <w:rPr>
                <w:rFonts w:ascii="Arial" w:cs="Arial" w:eastAsia="Arial" w:hAnsi="Arial"/>
                <w:sz w:val="18"/>
                <w:szCs w:val="18"/>
                <w:color w:val="auto"/>
              </w:rPr>
              <w:t>2.47%-3.05%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320" w:firstLine="222"/>
        <w:spacing w:after="0" w:line="302" w:lineRule="auto"/>
        <w:rPr>
          <w:sz w:val="20"/>
          <w:szCs w:val="20"/>
          <w:color w:val="auto"/>
        </w:rPr>
      </w:pPr>
      <w:r>
        <w:rPr>
          <w:rFonts w:ascii="Arial" w:cs="Arial" w:eastAsia="Arial" w:hAnsi="Arial"/>
          <w:sz w:val="16"/>
          <w:szCs w:val="16"/>
          <w:color w:val="auto"/>
        </w:rPr>
        <w:t>We recorded a provision for income taxes of $78,000 and $38,000 for the three months ended June 30, 2011 and 2010, respectively. We recorded a provision for income taxes of $107,000 and $103,000 for the six months ended June 30, 2011 and 2010, respectively.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asset acquisitions.</w:t>
      </w:r>
    </w:p>
    <w:p>
      <w:pPr>
        <w:spacing w:after="0" w:line="46" w:lineRule="exact"/>
        <w:rPr>
          <w:sz w:val="20"/>
          <w:szCs w:val="20"/>
          <w:color w:val="auto"/>
        </w:rPr>
      </w:pPr>
    </w:p>
    <w:p>
      <w:pPr>
        <w:ind w:right="100" w:firstLine="215"/>
        <w:spacing w:after="0" w:line="254" w:lineRule="auto"/>
        <w:rPr>
          <w:sz w:val="20"/>
          <w:szCs w:val="20"/>
          <w:color w:val="auto"/>
        </w:rPr>
      </w:pPr>
      <w:r>
        <w:rPr>
          <w:rFonts w:ascii="Arial" w:cs="Arial" w:eastAsia="Arial" w:hAnsi="Arial"/>
          <w:sz w:val="18"/>
          <w:szCs w:val="18"/>
          <w:color w:val="auto"/>
        </w:rPr>
        <w:t>As of December 31, 2010, we had net operating loss carryforwards of $49.9 million for U.S. federal tax purposes and $31.4 million for state tax purposes. These loss carryforwards expire between 2011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believe that approximately $17.6 million of federal losses and $7.0 million of state losses will expire unused due to Section 382 limitations; however, additional state net operating loss carryforwards could expire unused due to future changes in apportionment factors. This limitation could be further restricted if ownership changes occur in future years. Our deferred tax asset is reported net of this limitation.</w:t>
      </w:r>
    </w:p>
    <w:p>
      <w:pPr>
        <w:spacing w:after="0" w:line="84"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are subject to income taxes in the U.S. federal jurisdiction and various state jurisdictions. As of June 30, 2011, we are generally subject to U.S. federal and state tax examinations for all tax years 2010 and prior due to net operating loss carryforwards.</w:t>
      </w:r>
    </w:p>
    <w:p>
      <w:pPr>
        <w:spacing w:after="0" w:line="62" w:lineRule="exact"/>
        <w:rPr>
          <w:sz w:val="20"/>
          <w:szCs w:val="20"/>
          <w:color w:val="auto"/>
        </w:rPr>
      </w:pPr>
    </w:p>
    <w:p>
      <w:pPr>
        <w:ind w:right="200" w:firstLine="215"/>
        <w:spacing w:after="0" w:line="342" w:lineRule="auto"/>
        <w:rPr>
          <w:sz w:val="20"/>
          <w:szCs w:val="20"/>
          <w:color w:val="auto"/>
        </w:rPr>
      </w:pPr>
      <w:r>
        <w:rPr>
          <w:rFonts w:ascii="Arial" w:cs="Arial" w:eastAsia="Arial" w:hAnsi="Arial"/>
          <w:sz w:val="16"/>
          <w:szCs w:val="16"/>
          <w:color w:val="auto"/>
        </w:rPr>
        <w:t>As of June 30, 2011,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(Loss) Per Share</w:t>
      </w:r>
    </w:p>
    <w:p>
      <w:pPr>
        <w:spacing w:after="0" w:line="121" w:lineRule="exact"/>
        <w:rPr>
          <w:sz w:val="20"/>
          <w:szCs w:val="20"/>
          <w:color w:val="auto"/>
        </w:rPr>
      </w:pPr>
    </w:p>
    <w:p>
      <w:pPr>
        <w:ind w:right="460" w:firstLine="225"/>
        <w:spacing w:after="0" w:line="312" w:lineRule="auto"/>
        <w:rPr>
          <w:sz w:val="20"/>
          <w:szCs w:val="20"/>
          <w:color w:val="auto"/>
        </w:rPr>
      </w:pPr>
      <w:r>
        <w:rPr>
          <w:rFonts w:ascii="Arial" w:cs="Arial" w:eastAsia="Arial" w:hAnsi="Arial"/>
          <w:sz w:val="16"/>
          <w:szCs w:val="16"/>
          <w:color w:val="auto"/>
        </w:rPr>
        <w:t>Basic net income (loss) per share has been computed using the weighted average number of shares of common stock outstanding during each period. Diluted net income (loss) per share also includes the impact of our outstanding potential common shares, such as options, warrants and redeemable convertible preferred stock. Potential common shares that are anti-dilutive are excluded from the calculation of diluted net income (loss) per share.</w:t>
      </w:r>
    </w:p>
    <w:p>
      <w:pPr>
        <w:spacing w:after="0" w:line="3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(loss) per share for the periods indicated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11,919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8,301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11,892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 and warrants to purchase common and 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Redeemable convertible preferred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12,659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10,699</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22"/>
        <w:spacing w:after="0" w:line="277" w:lineRule="auto"/>
        <w:rPr>
          <w:sz w:val="20"/>
          <w:szCs w:val="20"/>
          <w:color w:val="auto"/>
        </w:rPr>
      </w:pPr>
      <w:r>
        <w:rPr>
          <w:rFonts w:ascii="Arial" w:cs="Arial" w:eastAsia="Arial" w:hAnsi="Arial"/>
          <w:sz w:val="18"/>
          <w:szCs w:val="18"/>
          <w:color w:val="auto"/>
        </w:rPr>
        <w:t>The following outstanding options were excluded from the computation of diluted net income (loss) per share for the periods indicated because they were anti-dilutive (in thousands):</w:t>
      </w:r>
    </w:p>
    <w:p>
      <w:pPr>
        <w:spacing w:after="0" w:line="16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and six Month Ended</w:t>
      </w:r>
    </w:p>
    <w:p>
      <w:pPr>
        <w:jc w:val="center"/>
        <w:ind w:left="916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40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 to purchase common stock</w:t>
            </w:r>
          </w:p>
        </w:tc>
        <w:tc>
          <w:tcPr>
            <w:tcW w:w="6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405"/>
        </w:trPr>
        <w:tc>
          <w:tcPr>
            <w:tcW w:w="4060" w:type="dxa"/>
            <w:vAlign w:val="bottom"/>
          </w:tcPr>
          <w:p>
            <w:pPr>
              <w:spacing w:after="0"/>
              <w:rPr>
                <w:sz w:val="24"/>
                <w:szCs w:val="24"/>
                <w:color w:val="auto"/>
              </w:rPr>
            </w:pPr>
          </w:p>
        </w:tc>
        <w:tc>
          <w:tcPr>
            <w:tcW w:w="5220" w:type="dxa"/>
            <w:vAlign w:val="bottom"/>
          </w:tcPr>
          <w:p>
            <w:pPr>
              <w:jc w:val="right"/>
              <w:ind w:right="339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79"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Direct EDI</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$10.9 million in cash and assumed certain liabilities of Direct EDI. The acquisition of Direct EDI allows us to expand our base of recurring revenue customers. See Note B to our consolidated financial statements included in this Quarterly Report on Form 10-Q for additional information regarding the acquisition of Direct EDI.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During the six months ended June 30, 2011, there were no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year ended December 31, 2010 as filed with the Securities and Exchange Commission on March 3, 2011.</w:t>
      </w:r>
    </w:p>
    <w:p>
      <w:pPr>
        <w:spacing w:after="0" w:line="6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6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5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6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During the six months ended June 30, 2011, except as noted below, there were no significant changes in our critical accounting policies or estimates. With the acquisition of Direct EDI, we have expanded our critical accounting policy for the valuation of goodwill to include the valuation of purchased intangible assets.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of Goodwill and Purchased Intangible Assets</w:t>
      </w:r>
    </w:p>
    <w:p>
      <w:pPr>
        <w:spacing w:after="0" w:line="117"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color w:val="auto"/>
        </w:rPr>
        <w:t xml:space="preserve">We account for acquisitions pursuant to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Goodwill represents the excess of the purchase price over the fair value of identifiable net assets acquired. Assets acquired may include identifiable intangible assets such as subscriber relationships. In accordance with ASC 805, we recognize separately from goodwill the fair value of the identifiable intangible assets acquired. We have determined the fair value and useful lives of our purchased intangible assets with the assistance of an independent third-party valuation firm using certain estimates and assumptions.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For the years ended December 31, 2009 and prior, the impairment test compared the carrying value of the company to the fair value of the company, which was based on a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80"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2010 as filed with the Securities and Exchange Commission on March 3, 2011 for additional information regarding our critical accounting policies, as well as a description of our other significant accounting policies.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Three Months Ended June 30,</w:t>
            </w:r>
          </w:p>
        </w:tc>
        <w:tc>
          <w:tcPr>
            <w:tcW w:w="1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813"/>
              <w:spacing w:after="0" w:line="142" w:lineRule="exact"/>
              <w:rPr>
                <w:sz w:val="20"/>
                <w:szCs w:val="20"/>
                <w:color w:val="auto"/>
              </w:rPr>
            </w:pPr>
            <w:r>
              <w:rPr>
                <w:rFonts w:ascii="Arial" w:cs="Arial" w:eastAsia="Arial" w:hAnsi="Arial"/>
                <w:sz w:val="14"/>
                <w:szCs w:val="14"/>
                <w:color w:val="auto"/>
              </w:rPr>
              <w:t>2011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812"/>
              <w:spacing w:after="0" w:line="142" w:lineRule="exact"/>
              <w:rPr>
                <w:sz w:val="20"/>
                <w:szCs w:val="20"/>
                <w:color w:val="auto"/>
              </w:rPr>
            </w:pPr>
            <w:r>
              <w:rPr>
                <w:rFonts w:ascii="Arial" w:cs="Arial" w:eastAsia="Arial" w:hAnsi="Arial"/>
                <w:sz w:val="14"/>
                <w:szCs w:val="14"/>
                <w:color w:val="auto"/>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13,937</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10,944</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10,187</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10,228</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12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813"/>
              <w:spacing w:after="0" w:line="142" w:lineRule="exact"/>
              <w:rPr>
                <w:sz w:val="20"/>
                <w:szCs w:val="20"/>
                <w:color w:val="auto"/>
              </w:rPr>
            </w:pPr>
            <w:r>
              <w:rPr>
                <w:rFonts w:ascii="Arial" w:cs="Arial" w:eastAsia="Arial" w:hAnsi="Arial"/>
                <w:sz w:val="14"/>
                <w:szCs w:val="14"/>
                <w:color w:val="auto"/>
              </w:rPr>
              <w:t>2011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812"/>
              <w:spacing w:after="0" w:line="142" w:lineRule="exact"/>
              <w:rPr>
                <w:sz w:val="20"/>
                <w:szCs w:val="20"/>
                <w:color w:val="auto"/>
              </w:rPr>
            </w:pPr>
            <w:r>
              <w:rPr>
                <w:rFonts w:ascii="Arial" w:cs="Arial" w:eastAsia="Arial" w:hAnsi="Arial"/>
                <w:sz w:val="14"/>
                <w:szCs w:val="14"/>
                <w:color w:val="auto"/>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26,586</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21,187</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19,515</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15,105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10,978</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7,629</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2,654</w:t>
            </w:r>
          </w:p>
        </w:tc>
        <w:tc>
          <w:tcPr>
            <w:tcW w:w="14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2,110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19,049</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13,379</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1,726</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3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(1,170)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(1,174)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 is not meaningful.</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2011 compared to Three and Six Months Ended June 30, 2010</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2011 increased $3.0 million, or 27%, to $13.9 million from $10.9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Revenues for the six months ended June 30, 2011 increased $5.4 million, or 25%, to $26.6 million from $21.2 million for the same period in 2010. Our fiscal quarter ended June 30, 2011 represented our 42</w:t>
      </w:r>
      <w:r>
        <w:rPr>
          <w:rFonts w:ascii="Arial" w:cs="Arial" w:eastAsia="Arial" w:hAnsi="Arial"/>
          <w:sz w:val="15"/>
          <w:szCs w:val="15"/>
          <w:color w:val="auto"/>
        </w:rPr>
        <w:t>nd</w:t>
      </w:r>
      <w:r>
        <w:rPr>
          <w:rFonts w:ascii="Arial" w:cs="Arial" w:eastAsia="Arial" w:hAnsi="Arial"/>
          <w:sz w:val="18"/>
          <w:szCs w:val="18"/>
          <w:color w:val="auto"/>
        </w:rPr>
        <w:t xml:space="preserve"> consecutive quarter of increased revenues.</w:t>
      </w:r>
    </w:p>
    <w:p>
      <w:pPr>
        <w:spacing w:after="0" w:line="73"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62" w:lineRule="exact"/>
        <w:rPr>
          <w:sz w:val="20"/>
          <w:szCs w:val="20"/>
          <w:color w:val="auto"/>
        </w:rPr>
      </w:pPr>
    </w:p>
    <w:p>
      <w:pPr>
        <w:ind w:left="1000" w:right="340" w:hanging="317"/>
        <w:spacing w:after="0" w:line="277"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number of recurring revenue customers increased 30% to 15,324 at June 30, 2011 from 11,804 at June 30, 2010. This increase included approximately 1,800 recurring revenue customers gained from the acquisition of Direct EDI.</w:t>
      </w:r>
    </w:p>
    <w:p>
      <w:pPr>
        <w:spacing w:after="0" w:line="62" w:lineRule="exact"/>
        <w:rPr>
          <w:rFonts w:ascii="Arial" w:cs="Arial" w:eastAsia="Arial" w:hAnsi="Arial"/>
          <w:sz w:val="18"/>
          <w:szCs w:val="18"/>
          <w:b w:val="1"/>
          <w:bCs w:val="1"/>
          <w:color w:val="auto"/>
        </w:rPr>
      </w:pPr>
    </w:p>
    <w:p>
      <w:pPr>
        <w:ind w:left="1000" w:right="40" w:hanging="317"/>
        <w:spacing w:after="0" w:line="264"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Annualized average recurring revenues per recurring revenue customer increased 5% to $3,321 for the three months ended June 30, 2011 from $3,149 for the same period in 2010. This increase was primarily attributable to increased fees resulting from increased usage of our solutions by our recurring revenue customers.</w:t>
      </w:r>
    </w:p>
    <w:p>
      <w:pPr>
        <w:spacing w:after="0" w:line="73" w:lineRule="exact"/>
        <w:rPr>
          <w:rFonts w:ascii="Arial" w:cs="Arial" w:eastAsia="Arial" w:hAnsi="Arial"/>
          <w:sz w:val="18"/>
          <w:szCs w:val="18"/>
          <w:b w:val="1"/>
          <w:bCs w:val="1"/>
          <w:color w:val="auto"/>
        </w:rPr>
      </w:pPr>
    </w:p>
    <w:p>
      <w:pPr>
        <w:ind w:left="1000" w:right="200" w:hanging="317"/>
        <w:spacing w:after="0" w:line="277"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If the impact of Direct EDI was excluded, the annualized average recurring revenues per recurring revenue customer would have been $3,402 for the three months ended June 30, 2011, an increase of 8% from the same period in 2010.</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Recurring revenues from recurring revenue customers accounted for 84% of our total revenues for each of the three and six months ended June 30, 2011, compared to 83% for each of the same periods in 2010. We anticipate that the number of recurring revenue customers and the recurring revenues per recurring revenue customer will continue to increase as we increase the number of solutions we offer, such as the Trading Partner Intelligence solution we introduced in late 2009, and increase the penetration of those solutions across our customer base.</w:t>
      </w:r>
    </w:p>
    <w:p>
      <w:pPr>
        <w:spacing w:after="0" w:line="79"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June 30, 2011 increased $649,000, or 21%, to $3.7 million from $3.1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2010. Cost of revenues for the six months ended June 30, 2011 increased $1.0 million, or 16%, to $7.1 million from $6.1 million for the same period in 2010. The increase in costs for both periods was primarily attributable to higher costs of personnel, network services, occupancy and stock-based compensation. As a percentage of revenues, cost of revenues was 27% for each of the three and six months ended June 30, 2011, compared to 28% and 29% for the same periods in 2010.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5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the three months ended June 30, 2011 increased $1.7 million, or 42%, to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$4.1 million for the same period in 2010. Sales and marketing expenses for the six months ended June 30, 2011 increased $3.4 million, or 43%, to $11.0 million from $7.6 million for the same period in 2010. The increase in sales and marketing expenses was due to increased personnel costs, higher commissions earned by sales personnel from new business, and increased promotional and stock-based compensation costs. As a percentage of revenues, sales and marketing expenses were 42% and 41% for the three and six months ended June 30, 2011, compared to 38% and 36% for the same periods in 2010. As we build our business, we will continue to add resources to our sales and marketing efforts over time, and we expect that these expenses will increase in absolute dollars.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2011 increased $347,000, or 33%,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from $1.1 million for the same period in 2010. Research and development expenses for the six months ended June 30, 2011 increased $544,000,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26%, to $2.7 million from $2.1 million for the same period in 2010. The increase in research and development expenses was due primarily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costs. As a percentage of revenues, research and development expenses were 10% for each of the three and six month periods ended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2010. We expect research and development expenses will increase in absolute dollars as we continue to enhance and expand our solutions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225"/>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2011 increased $864,000, or 44%, to</w:t>
      </w:r>
      <w:r>
        <w:rPr>
          <w:rFonts w:ascii="Arial" w:cs="Arial" w:eastAsia="Arial" w:hAnsi="Arial"/>
          <w:sz w:val="16"/>
          <w:szCs w:val="16"/>
          <w:i w:val="1"/>
          <w:iCs w:val="1"/>
          <w:color w:val="auto"/>
        </w:rPr>
        <w:t xml:space="preserve"> </w:t>
      </w:r>
      <w:r>
        <w:rPr>
          <w:rFonts w:ascii="Arial" w:cs="Arial" w:eastAsia="Arial" w:hAnsi="Arial"/>
          <w:sz w:val="16"/>
          <w:szCs w:val="16"/>
          <w:color w:val="auto"/>
        </w:rPr>
        <w:t>$2.8 million from $2.0 million for the same period in 2010. General and administrative expenses for the six months ended June 30, 2011 increased</w:t>
      </w:r>
    </w:p>
    <w:p>
      <w:pPr>
        <w:spacing w:after="0" w:line="252" w:lineRule="auto"/>
        <w:rPr>
          <w:sz w:val="20"/>
          <w:szCs w:val="20"/>
          <w:color w:val="auto"/>
        </w:rPr>
      </w:pPr>
      <w:r>
        <w:rPr>
          <w:rFonts w:ascii="Arial" w:cs="Arial" w:eastAsia="Arial" w:hAnsi="Arial"/>
          <w:sz w:val="18"/>
          <w:szCs w:val="18"/>
          <w:color w:val="auto"/>
        </w:rPr>
        <w:t>$1.7 million, or 45%, to $5.3 million from $3.6 million for the same period in 2010. The increase in general and administrative expenses was due to increased expenses related to being a public company, including legal and accounting fees, as well as increased personnel, software maintenance and stock-based compensation expenses. In addition, for the three months ended June 30, 2011, general and administrative expenses included approximately $200,000 of costs related to the Direct EDI acquisition. As a percentage of revenues, general and administrative expenses were 20% for each of the three and six months ended June 30, 2011, compared to 18% and 17% for the same periods in 2010. Going forward, we expect that general and administrative expenses will increase in absolute dollars.</w:t>
      </w:r>
    </w:p>
    <w:p>
      <w:pPr>
        <w:spacing w:after="0" w:line="86" w:lineRule="exact"/>
        <w:rPr>
          <w:sz w:val="20"/>
          <w:szCs w:val="20"/>
          <w:color w:val="auto"/>
        </w:rPr>
      </w:pPr>
    </w:p>
    <w:p>
      <w:pPr>
        <w:ind w:right="520" w:firstLine="225"/>
        <w:spacing w:after="0" w:line="308"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Amortization expense was $123,000 for the three and six months ended June 30, 2011 related to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with the acquisition of Direct EDI in May 2011. There was no amortization expense for the comparable periods in 2010.</w:t>
      </w:r>
    </w:p>
    <w:p>
      <w:pPr>
        <w:spacing w:after="0" w:line="3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We did not incur any interest expense for the three and six months ended June 30, 2011 as our capital lease obligations were fully</w:t>
      </w:r>
      <w:r>
        <w:rPr>
          <w:rFonts w:ascii="Arial" w:cs="Arial" w:eastAsia="Arial" w:hAnsi="Arial"/>
          <w:sz w:val="18"/>
          <w:szCs w:val="18"/>
          <w:i w:val="1"/>
          <w:iCs w:val="1"/>
          <w:color w:val="auto"/>
        </w:rPr>
        <w:t xml:space="preserve"> </w:t>
      </w:r>
      <w:r>
        <w:rPr>
          <w:rFonts w:ascii="Arial" w:cs="Arial" w:eastAsia="Arial" w:hAnsi="Arial"/>
          <w:sz w:val="18"/>
          <w:szCs w:val="18"/>
          <w:color w:val="auto"/>
        </w:rPr>
        <w:t>repaid in early January 2011. For the same periods in 2010, interest expense was $13,000 and $58,000 and was related to outstanding indebtedness under our equipment loans and credit facility, which were repaid in the second quarter of 2010, as well as our capital lease obligations. Interest income for the three and six months ended June 30, 2011 was $26,000 and $58,000, respectively, as the result of interest earned on our cash and cash equivalents. Other expense for the three and six months ended June 30, 2011 was $16,000 and $34,000, respectively. We recorded other income of $10,000 and other expense of $8,000 for the comparable periods in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$78,000 for the three months ended June 30, 2011, compared to $38,000 for the three months ended</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June 30, 2010. Income tax expense was $107,000 for the six months ended June 30, 2011, compared to $103,000 for the six months ended June 30, 2010.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asset acquisitions.</w:t>
      </w:r>
    </w:p>
    <w:p>
      <w:pPr>
        <w:spacing w:after="0" w:line="8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(loss)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(loss) to Adjusted EBITDA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799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plus 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(loss) to non-GAAP income per share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4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11,919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8,301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11,892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12,620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11,844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12,659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10,699</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 w:firstLine="215"/>
        <w:spacing w:after="0" w:line="264" w:lineRule="auto"/>
        <w:rPr>
          <w:sz w:val="20"/>
          <w:szCs w:val="20"/>
          <w:color w:val="auto"/>
        </w:rPr>
      </w:pPr>
      <w:r>
        <w:rPr>
          <w:rFonts w:ascii="Arial" w:cs="Arial" w:eastAsia="Arial" w:hAnsi="Arial"/>
          <w:sz w:val="18"/>
          <w:szCs w:val="18"/>
          <w:color w:val="auto"/>
        </w:rPr>
        <w:t>At June 30, 2011, our principal sources of liquidity were cash and cash equivalents of $29.8 million and accounts receivable, net of allowance for doubtful accounts, of $7.4 million. Our working capital at June 30, 2011 was $33.2 million compared to $42.6 million at December 31, 2010. The decrease in working capital from December 31, 2010 to June 30, 2011 resulted primarily from the following:</w:t>
      </w:r>
    </w:p>
    <w:p>
      <w:pPr>
        <w:spacing w:after="0" w:line="73"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$10.7 million decrease in cash and cash equivalents, due primarily to cash used for the acquisition of Direct EDI in May 2011;</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$1.8 million increase in net accounts receivable, due to new business for the six months ended June 30, 2011;</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$457,000 increase in deferred costs, current, for expenses related to increased implementation resources and commission payments for new business;</w:t>
      </w:r>
    </w:p>
    <w:p>
      <w:pPr>
        <w:spacing w:after="0" w:line="140" w:lineRule="exact"/>
        <w:rPr>
          <w:rFonts w:ascii="Arial" w:cs="Arial" w:eastAsia="Arial" w:hAnsi="Arial"/>
          <w:sz w:val="16"/>
          <w:szCs w:val="16"/>
          <w:b w:val="1"/>
          <w:bCs w:val="1"/>
          <w:color w:val="auto"/>
        </w:rPr>
      </w:pPr>
    </w:p>
    <w:p>
      <w:pPr>
        <w:ind w:left="660" w:right="62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$690,000 increase in prepaid expenses and other current assets, primarily related to the renewals of insurance coverage and a prepaid service contract;</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$122,000 decrease in capital lease obligations, current, as all of our outstanding capital leases were repaid;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$823,000 increase in accounts payable, primarily due to timing of payments for equipment purchases, professional services and rent;</w:t>
      </w:r>
    </w:p>
    <w:p>
      <w:pPr>
        <w:spacing w:after="0" w:line="117"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$259,000 increase in accrued compensation and benefits, due to increases in salary, vacation and commission accruals, slightly offset by payments made in early 2011 for bonuses accrued as of December 31, 2010;</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$453,000 increase in accrued expenses and other current liabilities, primarily due to an increase in accruals for professional services; and,</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$149,000 increase in deferred revenue, current, due to new business for the six months ended June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Net cash provided by operating activities was $1.1 million for the six months ended June 30, 2011 compared to $2.7 million for the same period in 2010. The approximate $1.2 million decrease in net income, the changes in non-cash expenses, including increased amortization and stock-based compensation, and the changes in working capital accounts discussed above all contributed to the decrease in net cash provided by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Net cash used in investing activities was $11.9 million for the six months ended June 30, 2011 and $1.2 million for the same period in 2010. In 2011, we used approximately $10.9 million for the acquisition of Direct EDI. Our capital expenditures, which totaled $1.0 million in 2011 and $1.2 million in 2010, are for supporting our business growth and existing customer base, as well as for our internal use such as equipment for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Net cash provided by financing activities was $43,000 for the six months ended June 30, 2011, representing cash received from the exercise of stock options offset by payments of capital lease obligations and stock offering costs. Net cash provided by financing activities was $30.6 million for the six months ended June 30, 2010, representing the approximate $33.0 million of net proceeds from our initial public offering slightly offset by $2.3 million of net repayments on our outstanding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terminated our previous credit facility with BlueCrest Venture Finance Master Fund Limited effective March 31, 2010. We continue to review our future needs for a credit facility.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64"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2011. We do not expect that inflation or changing prices will materially affect our business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See Note A to our financial statements in this Quarterly Report on Form 10-Q and in our Annual Report on Form 10-K for the year ended December 31, 2010 as filed with the Securities and Exchange Commission on March 3, 2011 for a full description of recent accounting pronouncements, including the respective expected dates of adoption and effects on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2011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2010 as filed with the Securities and Exchange Commission on March 3,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filed as part of this Quarterly Report on Form 10-Q are listed in the Exhibit Index immediately following the signatures to this report.</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Dated: August 8, 2011</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14605</wp:posOffset>
            </wp:positionV>
            <wp:extent cx="3593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Exhibit</w:t>
      </w:r>
    </w:p>
    <w:p>
      <w:pPr>
        <w:ind w:left="120"/>
        <w:spacing w:after="0"/>
        <w:tabs>
          <w:tab w:leader="none" w:pos="780" w:val="left"/>
        </w:tabs>
        <w:rPr>
          <w:sz w:val="20"/>
          <w:szCs w:val="20"/>
          <w:color w:val="auto"/>
        </w:rPr>
      </w:pPr>
      <w:r>
        <w:rPr>
          <w:rFonts w:ascii="Arial" w:cs="Arial" w:eastAsia="Arial" w:hAnsi="Arial"/>
          <w:sz w:val="14"/>
          <w:szCs w:val="14"/>
          <w:i w:val="1"/>
          <w:iCs w:val="1"/>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right="80" w:hanging="557"/>
        <w:spacing w:after="0" w:line="321"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Asset Purchase Agreement, dated as of May 17, 2011, by and between Direct EDI LLC and the registrant (incorporated by reference to the like-numbered exhibit to the registrant’s Current Report on Form 8-K filed with the Commission on May 23, 2011 (File No. 001-34702)).</w:t>
      </w:r>
    </w:p>
    <w:p>
      <w:pPr>
        <w:spacing w:after="0" w:line="140" w:lineRule="exact"/>
        <w:rPr>
          <w:sz w:val="20"/>
          <w:szCs w:val="20"/>
          <w:color w:val="auto"/>
        </w:rPr>
      </w:pPr>
    </w:p>
    <w:p>
      <w:pPr>
        <w:ind w:left="800" w:right="60" w:hanging="557"/>
        <w:spacing w:after="0" w:line="277"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Registration Rights Agreement, as amended (incorporated by reference to Exhibit 10.2 to the registrant’s Current Report on Form 8-K filed with the Commission on May 6, 2011 (File No. 001-34702)).</w:t>
      </w:r>
    </w:p>
    <w:p>
      <w:pPr>
        <w:spacing w:after="0" w:line="170"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225"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225" w:lineRule="exact"/>
        <w:rPr>
          <w:sz w:val="20"/>
          <w:szCs w:val="20"/>
          <w:color w:val="auto"/>
        </w:rPr>
      </w:pPr>
    </w:p>
    <w:p>
      <w:pPr>
        <w:ind w:left="800" w:right="120" w:hanging="602"/>
        <w:spacing w:after="0" w:line="277"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170"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19" w:right="4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17"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17"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00" w:right="20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00" w:right="640" w:hanging="317"/>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8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314"/>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308" w:lineRule="auto"/>
        <w:tabs>
          <w:tab w:leader="none" w:pos="10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hanging="31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2300" w:firstLine="2307"/>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17"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40" w:hanging="317"/>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8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308" w:lineRule="auto"/>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0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August 8, 2011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2019-12-10T18:06:55Z</dcterms:created>
  <dcterms:modified xsi:type="dcterms:W3CDTF">2019-12-10T18:06:55Z</dcterms:modified>
</cp:coreProperties>
</file>