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700" w:space="340"/>
            <w:col w:w="6000" w:space="720"/>
            <w:col w:w="1780" w:space="7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620" w:space="420"/>
            <w:col w:w="160" w:space="80"/>
            <w:col w:w="5760" w:space="720"/>
            <w:col w:w="2060" w:space="440"/>
            <w:col w:w="16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180" w:space="160"/>
            <w:col w:w="280" w:space="80"/>
            <w:col w:w="160" w:space="180"/>
            <w:col w:w="238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October 22, 2015 was 16,625,165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640" w:type="dxa"/>
            <w:vAlign w:val="bottom"/>
            <w:gridSpan w:val="9"/>
            <w:vMerge w:val="restart"/>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2"/>
            <w:vMerge w:val="continue"/>
          </w:tcPr>
          <w:p>
            <w:pPr>
              <w:spacing w:after="0"/>
              <w:rPr>
                <w:sz w:val="13"/>
                <w:szCs w:val="13"/>
                <w:color w:val="auto"/>
              </w:rPr>
            </w:pPr>
          </w:p>
        </w:tc>
        <w:tc>
          <w:tcPr>
            <w:tcW w:w="7640" w:type="dxa"/>
            <w:vAlign w:val="bottom"/>
            <w:gridSpan w:val="9"/>
            <w:vMerge w:val="continue"/>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8200" w:type="dxa"/>
            <w:vAlign w:val="bottom"/>
            <w:gridSpan w:val="12"/>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2015 (unaudited) and December 31, 2014</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(Loss) for the three and nine months ended September 30, 2015 and</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3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2014 (unaudited)</w:t>
              </w:r>
            </w:hyperlink>
          </w:p>
        </w:tc>
        <w:tc>
          <w:tcPr>
            <w:tcW w:w="2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nine months ended September 30, 2015 and 2014 (unaudited)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840" w:type="dxa"/>
            <w:vAlign w:val="bottom"/>
            <w:tcBorders>
              <w:top w:val="single" w:sz="8" w:color="0000EE"/>
            </w:tcBorders>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2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Controls and Procedures</w:t>
              </w:r>
            </w:hyperlink>
          </w:p>
        </w:tc>
        <w:tc>
          <w:tcPr>
            <w:tcW w:w="792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794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38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536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Defaults Upon Senior Securities</w:t>
              </w:r>
            </w:hyperlink>
          </w:p>
        </w:tc>
        <w:tc>
          <w:tcPr>
            <w:tcW w:w="738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Mine Safety Disclosures</w:t>
              </w:r>
            </w:hyperlink>
          </w:p>
        </w:tc>
        <w:tc>
          <w:tcPr>
            <w:tcW w:w="792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72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840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2014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70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340" w:type="dxa"/>
            <w:vAlign w:val="bottom"/>
          </w:tcPr>
          <w:p>
            <w:pPr>
              <w:jc w:val="center"/>
              <w:ind w:left="127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160" w:type="dxa"/>
            <w:vAlign w:val="bottom"/>
            <w:gridSpan w:val="2"/>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34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SPS COMMERCE, INC.</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4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340" w:type="dxa"/>
            <w:vAlign w:val="bottom"/>
          </w:tcPr>
          <w:p>
            <w:pPr>
              <w:jc w:val="center"/>
              <w:ind w:left="1270"/>
              <w:spacing w:after="0"/>
              <w:rPr>
                <w:sz w:val="20"/>
                <w:szCs w:val="20"/>
                <w:color w:val="auto"/>
              </w:rPr>
            </w:pPr>
            <w:r>
              <w:rPr>
                <w:rFonts w:ascii="Arial" w:cs="Arial" w:eastAsia="Arial" w:hAnsi="Arial"/>
                <w:sz w:val="18"/>
                <w:szCs w:val="18"/>
                <w:color w:val="auto"/>
                <w:w w:val="89"/>
              </w:rPr>
              <w:t>(Unaudited; in thousands, except share amounts)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7"/>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340" w:type="dxa"/>
            <w:vAlign w:val="bottom"/>
            <w:shd w:val="clear" w:color="auto" w:fill="CCEEFF"/>
          </w:tcPr>
          <w:p>
            <w:pPr>
              <w:jc w:val="center"/>
              <w:ind w:right="1330"/>
              <w:spacing w:after="0"/>
              <w:rPr>
                <w:sz w:val="20"/>
                <w:szCs w:val="20"/>
                <w:color w:val="auto"/>
              </w:rPr>
            </w:pPr>
            <w:r>
              <w:rPr>
                <w:rFonts w:ascii="Arial" w:cs="Arial" w:eastAsia="Arial" w:hAnsi="Arial"/>
                <w:sz w:val="18"/>
                <w:szCs w:val="18"/>
                <w:b w:val="1"/>
                <w:bCs w:val="1"/>
                <w:color w:val="auto"/>
                <w:w w:val="94"/>
              </w:rPr>
              <w:t>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70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117,887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Short-term marketable securities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5,014</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 for doubtful accounts of $366 and $279, respectively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17,945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Deferred costs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14,761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5,688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161,371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162,194</w:t>
            </w:r>
          </w:p>
        </w:tc>
        <w:tc>
          <w:tcPr>
            <w:tcW w:w="0" w:type="dxa"/>
            <w:vAlign w:val="bottom"/>
          </w:tcPr>
          <w:p>
            <w:pPr>
              <w:spacing w:after="0"/>
              <w:rPr>
                <w:sz w:val="1"/>
                <w:szCs w:val="1"/>
                <w:color w:val="auto"/>
              </w:rPr>
            </w:pPr>
          </w:p>
        </w:tc>
      </w:tr>
      <w:tr>
        <w:trPr>
          <w:trHeight w:val="324"/>
        </w:trPr>
        <w:tc>
          <w:tcPr>
            <w:tcW w:w="8700" w:type="dxa"/>
            <w:vAlign w:val="bottom"/>
            <w:gridSpan w:val="4"/>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13,079</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33,527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15,766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MARKETABLE SECURITIES, non-current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costs, non-current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Deferred income taxes, non-current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10,758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60" w:type="dxa"/>
            <w:vAlign w:val="bottom"/>
            <w:gridSpan w:val="2"/>
          </w:tcPr>
          <w:p>
            <w:pPr>
              <w:ind w:left="54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252,877</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340" w:type="dxa"/>
            <w:vAlign w:val="bottom"/>
            <w:shd w:val="clear" w:color="auto" w:fill="CCEEFF"/>
          </w:tcPr>
          <w:p>
            <w:pPr>
              <w:jc w:val="center"/>
              <w:ind w:right="133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70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2,381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9,922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8,072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6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23,436</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Deferred revenue, non-current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11,701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rent, non-current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6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38,152</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70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3"/>
              </w:rPr>
              <w:t>Common stock, $0.001 par value; 55,000,000 shares authorized; 16,620,918 and 16,348,747 shares issued and</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outstanding, respectively</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260,580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(41,581)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(4,291)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6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214,725</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252,877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ectPr>
          <w:pgSz w:w="11900" w:h="16838" w:orient="portrait"/>
          <w:cols w:equalWidth="0" w:num="1">
            <w:col w:w="11420"/>
          </w:cols>
          <w:pgMar w:left="240" w:top="446"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6"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40,354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32,506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116,170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92,545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12,700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27,654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22,536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63,693</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13,795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12,046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13,058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25,394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60,727</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160"/>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5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5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16,605</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16,525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17,054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16,780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(1,733)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520"/>
              <w:spacing w:after="0"/>
              <w:rPr>
                <w:sz w:val="20"/>
                <w:szCs w:val="20"/>
                <w:color w:val="auto"/>
              </w:rPr>
            </w:pPr>
            <w:r>
              <w:rPr>
                <w:rFonts w:ascii="Arial" w:cs="Arial" w:eastAsia="Arial" w:hAnsi="Arial"/>
                <w:sz w:val="18"/>
                <w:szCs w:val="18"/>
                <w:color w:val="auto"/>
              </w:rPr>
              <w:t>Unrealized gain on investments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Nine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5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Other current and non-current assets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Accrued compensation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(17,509)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(24,013)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proceeds from employee stock purchase plan</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 changes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(12,908)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130,795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117,887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intercompany accounts and transactions have been eliminated in the condensed consolidated financial statements, which have been prepared in conformity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U.S. generally accepted accounting principles (“GAAP”) for interim financial information and with the instructions to Form 10-Q and Rule 10-01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 S-X. Accordingly, these condensed consolidated financial statements do not include all of the information and notes required by GAAP.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all normal recurring adjustments considered necessary to give a fair statement of our financial position, results of operations and cash flows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shown. Operating results for these interim periods are not necessarily indicative of the results to be expected for the full year.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condensed consolidated balance sheet data was derived from our audited financial statements at that date. For further information,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and accompanying notes for the year ended December 31, 2014 included in our Annual Report on Form 10-K as filed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Securities and Exchange Commission on February 20, 2015.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During the nine months ended September 30, 2015, there were no material changes in our significant accounting policies. See Note A to the consolidated financial statements included in our Annual Report on Form 10-K for the year ended December 31, 2014, as filed with the Securities and Exchange Commission on February 20, 2015, for additional information regarding our significant accounting policies.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In May 2014, the Financial Accounting Standards Board issued new accounting requirements for the recognition of revenue from contracts with customers. These new requirements are effective for annual reporting periods beginning after December 15, 2016, and interim periods within those annual periods. We are currently evaluating the impact of this guidance on our results of operations and financial position.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Instruments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invest primarily in money market funds,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marketable securities. Investments with remaining maturities of more than one year from the balance sheet date are classified as marketable securities, non-current. Short-term marketable securities and marketable securities, non-current, are also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6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fixed income investments are carried at fair value and unrealized gains and losses on these investments, net of taxes, are included in accumulated other comprehensive loss in the condensed consolidated balance sheets. Realized gains or losses are included in other income (expense) in the condensed consolidated statements of comprehensive income (loss). When a determination has been made that an other-than-temporary decline in fair value has occurred, the amount of the decline that is related to a credit loss is realized and is included in other income (expense), net in the condensed consolidated statements of comprehensive income (loss).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and marketable securities, consisted of the following (in thousands):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color w:val="auto"/>
              </w:rPr>
              <w:t>September 30, 2015</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8"/>
              </w:rPr>
              <w:t>Amortized</w:t>
            </w:r>
          </w:p>
        </w:tc>
        <w:tc>
          <w:tcPr>
            <w:tcW w:w="280" w:type="dxa"/>
            <w:vAlign w:val="bottom"/>
          </w:tcPr>
          <w:p>
            <w:pPr>
              <w:spacing w:after="0"/>
              <w:rPr>
                <w:sz w:val="10"/>
                <w:szCs w:val="10"/>
                <w:color w:val="auto"/>
              </w:rPr>
            </w:pPr>
          </w:p>
        </w:tc>
        <w:tc>
          <w:tcPr>
            <w:tcW w:w="90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96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$102,167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$102,167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5,024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7,489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obligations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119,676</w:t>
            </w:r>
          </w:p>
        </w:tc>
        <w:tc>
          <w:tcPr>
            <w:tcW w:w="2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(2)</w:t>
            </w:r>
          </w:p>
        </w:tc>
        <w:tc>
          <w:tcPr>
            <w:tcW w:w="2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119,695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Due within two years</w:t>
            </w: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119,695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do not believe any of the unrealized losses represent an other-than-temporary impairment based on our valuation of available evidence as of September 30, 2015. We expect to receive the full principal and interest on all of these cash equivalents and marketable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5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Measurements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held in money market funds are measured at fair value using level 1 inputs.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2 Measurements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available-for-sale U.S. treasury securities, U.S. agency obligations, commercial paper and corporate debt securities are measured at fair value using level 2 inputs. We obtain the fair values of our level 2 available-for-sale securities from a professional pricing service.</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Level 1</w:t>
            </w:r>
          </w:p>
        </w:tc>
        <w:tc>
          <w:tcPr>
            <w:tcW w:w="20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rPr>
              <w:t>Level 2</w:t>
            </w:r>
          </w:p>
        </w:tc>
        <w:tc>
          <w:tcPr>
            <w:tcW w:w="440" w:type="dxa"/>
            <w:vAlign w:val="bottom"/>
          </w:tcPr>
          <w:p>
            <w:pPr>
              <w:jc w:val="right"/>
              <w:spacing w:after="0"/>
              <w:rPr>
                <w:sz w:val="20"/>
                <w:szCs w:val="20"/>
                <w:color w:val="auto"/>
              </w:rPr>
            </w:pPr>
            <w:r>
              <w:rPr>
                <w:rFonts w:ascii="Arial" w:cs="Arial" w:eastAsia="Arial" w:hAnsi="Arial"/>
                <w:sz w:val="14"/>
                <w:szCs w:val="14"/>
                <w:color w:val="auto"/>
                <w:w w:val="92"/>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at September 30, 2015: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Money market funds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102,167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Marketable securities: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Corporate bonds</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700"/>
              <w:spacing w:after="0"/>
              <w:rPr>
                <w:sz w:val="20"/>
                <w:szCs w:val="20"/>
                <w:color w:val="auto"/>
              </w:rPr>
            </w:pPr>
            <w:r>
              <w:rPr>
                <w:rFonts w:ascii="Arial" w:cs="Arial" w:eastAsia="Arial" w:hAnsi="Arial"/>
                <w:sz w:val="18"/>
                <w:szCs w:val="18"/>
                <w:color w:val="auto"/>
              </w:rPr>
              <w:t>Commercial paper</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2,497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U.S. treasury securities</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U.S. agency obligations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2,503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ind w:left="680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102,167</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17,528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119,695</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20" w:type="dxa"/>
            <w:vAlign w:val="bottom"/>
            <w:gridSpan w:val="3"/>
          </w:tcPr>
          <w:p>
            <w:pPr>
              <w:spacing w:after="0"/>
              <w:rPr>
                <w:sz w:val="20"/>
                <w:szCs w:val="20"/>
                <w:color w:val="auto"/>
              </w:rPr>
            </w:pPr>
            <w:r>
              <w:rPr>
                <w:rFonts w:ascii="Arial" w:cs="Arial" w:eastAsia="Arial" w:hAnsi="Arial"/>
                <w:sz w:val="18"/>
                <w:szCs w:val="18"/>
                <w:color w:val="auto"/>
              </w:rPr>
              <w:t>Assets at December 31, 2014:</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91,746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91,746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ind w:left="68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Goodwill and Intangible Assets,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our goodwill for the nine months ended September 30, 2015 was due to the effect of foreign currency translation.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4"/>
              </w:rPr>
              <w:t>September 30, 2015</w:t>
            </w: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4"/>
              </w:rPr>
              <w:t>December 31, 2014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0"/>
                <w:szCs w:val="10"/>
                <w:color w:val="auto"/>
              </w:rPr>
            </w:pPr>
          </w:p>
        </w:tc>
        <w:tc>
          <w:tcPr>
            <w:tcW w:w="104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0"/>
                <w:szCs w:val="10"/>
                <w:color w:val="auto"/>
              </w:rPr>
            </w:pPr>
          </w:p>
        </w:tc>
        <w:tc>
          <w:tcPr>
            <w:tcW w:w="1080" w:type="dxa"/>
            <w:vAlign w:val="bottom"/>
            <w:gridSpan w:val="3"/>
          </w:tcPr>
          <w:p>
            <w:pPr>
              <w:jc w:val="right"/>
              <w:ind w:right="240"/>
              <w:spacing w:after="0" w:line="123" w:lineRule="exact"/>
              <w:rPr>
                <w:sz w:val="20"/>
                <w:szCs w:val="20"/>
                <w:color w:val="auto"/>
              </w:rPr>
            </w:pPr>
            <w:r>
              <w:rPr>
                <w:rFonts w:ascii="Arial" w:cs="Arial" w:eastAsia="Arial" w:hAnsi="Arial"/>
                <w:sz w:val="14"/>
                <w:szCs w:val="14"/>
                <w:color w:val="auto"/>
                <w:w w:val="91"/>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w w:val="95"/>
              </w:rPr>
              <w:t>Amortization</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8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$26,260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(11,169)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$15,091</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$26,724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color w:val="auto"/>
              </w:rPr>
              <w:t>1,833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(1,640)</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193</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1,849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(1,581)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28,917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(13,151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15,766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29,495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(10,644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2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0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420" w:type="dxa"/>
            <w:vAlign w:val="bottom"/>
            <w:gridSpan w:val="3"/>
          </w:tcPr>
          <w:p>
            <w:pPr>
              <w:ind w:left="460"/>
              <w:spacing w:after="0"/>
              <w:rPr>
                <w:sz w:val="20"/>
                <w:szCs w:val="20"/>
                <w:color w:val="auto"/>
              </w:rPr>
            </w:pPr>
            <w:r>
              <w:rPr>
                <w:rFonts w:ascii="Arial" w:cs="Arial" w:eastAsia="Arial" w:hAnsi="Arial"/>
                <w:sz w:val="18"/>
                <w:szCs w:val="18"/>
                <w:color w:val="auto"/>
                <w:w w:val="95"/>
              </w:rPr>
              <w:t>At September 30, 2015, future amortization expense for intangible assets was as follows (in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Line of Credit</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were no borrowings outstanding at September 30, 2015 and we were in compliance with all covenants under the revolving credit agreement as of that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September 1, 2015, we executed a new lease agreement at our New Jersey office location which commences on February 1, 2016 and expires on June 30, 2023. The lease includes a right of first offer to lease certain additional space and one option to extend the term of the lease for five years at a market rate determined in accordance with the lease. There was also a rent holiday of 5 months which has been incorporated into our deferred rent calculation.</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w w:val="93"/>
              </w:rPr>
              <w:t>At September 30, 2015, our future minimum payments under operating leases were as follows (in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Stock-Based Compensation</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2015, 980,924 additional shares were reserved for future issuance under our 2010 Equity Incentive Plan. At September 30, 2015, there were approximately 3.3 million shares available for grant under approved equity compensation plans.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46"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We recorded stock-based compensation expense of $1.6 million and $4.8 million for the three and nine months ended September 30, 2015 and $1.3 million and $4.0 million for the three and nine months ended September 30, 2014, respectively. This expense was allocated as follows (in thousands):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7"/>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7"/>
          </w:tcPr>
          <w:p>
            <w:pPr>
              <w:jc w:val="right"/>
              <w:ind w:right="48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2015</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1,490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2,064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1,807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1,610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4,756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At September 30, 2015, there was approximately $12.7 million of unrecognized stock-based compensation expense under our equity compensation plans, which is expected to be recognized on a straight line basis over a weighted average period of 2.7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1,085,463</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178,654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(215,126)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(17,744)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1,031,247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Of the total outstanding options at September 30, 2015, 696,300 were exercisable with a weighted average exercise price of $24.57 per share. The total outstanding options had a weighted average remaining contractual life of 4.8 years.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weighted average fair value per share of options granted during the first nine months of 2015 was $23.07 and this was estimated on the date of grant using the Black-Scholes option pricing model with the following weighted-average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Dividend yield</w:t>
            </w:r>
          </w:p>
        </w:tc>
        <w:tc>
          <w:tcPr>
            <w:tcW w:w="35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tcPr>
          <w:p>
            <w:pPr>
              <w:jc w:val="right"/>
              <w:spacing w:after="0"/>
              <w:rPr>
                <w:sz w:val="20"/>
                <w:szCs w:val="20"/>
                <w:color w:val="auto"/>
              </w:rPr>
            </w:pPr>
            <w:r>
              <w:rPr>
                <w:rFonts w:ascii="Arial" w:cs="Arial" w:eastAsia="Arial" w:hAnsi="Arial"/>
                <w:sz w:val="18"/>
                <w:szCs w:val="18"/>
                <w:color w:val="auto"/>
              </w:rPr>
              <w:t>1.1%-1.5%</w:t>
            </w: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in Note J to our consolidated financial statements included in our Annual Report on Form 10-K for the year ended December 31, 2014, beginning in 2015, the volatility assumption used for the Black-Scholes option pricing model is now based solely on the historical volatility of our common stock. Previously, we estimated volatility based partially on the historical volatilities of the publicly traded shares of a selected peer group and partially on the historical volatility of our common stock.</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9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Restricted Stock</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color w:val="auto"/>
              </w:rPr>
              <w:t>Units (#)</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115,133</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67,051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2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(37,537)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(4,909)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number of restricted stock units outstanding at September 30, 2015 included 27,171 units that have vested, but for which shares of common stock have not yet been issued pursuant to the terms of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9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Restricted Stock</w:t>
            </w:r>
          </w:p>
        </w:tc>
        <w:tc>
          <w:tcPr>
            <w:tcW w:w="38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color w:val="auto"/>
              </w:rPr>
              <w:t>Awards (#)</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Value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4,110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20" w:type="dxa"/>
            <w:vAlign w:val="bottom"/>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1.1 million shares of common stock are reserved for issuance under the plan.</w:t>
      </w:r>
    </w:p>
    <w:p>
      <w:pPr>
        <w:spacing w:after="0" w:line="188"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For the offering period that began on January 1, 2015 and ended June 30, 2015, we withheld approximately $748,000 from employees participating in the plan. On June 30, 2015, approximately $741,000 of these funds was used to purchase 15,398 shares on behalf of the employees participating in the plan. The remaining funds were refunded to employees pursuant to the requirements of the plan. For the offering period that began on July 1, 2015 and will end on December 31, 2015, we have withheld approximately $417,000 as of September 30, 2015 from employees participating in the plan.</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For the three and nine months ended September 30, 2015, we recorded approximately $102,000 and $312,000, respectively, of stock-based compensation expense associated with the employee stock purchase plan. The fair value was estimated based on the market price of our common stock at the beginning of each offering period and using the Black-Scholes option pricing model with the following weighted-average assumptions: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meals and entertainment expense and employee stock purchase plan expense. Our provisions for income taxes included current foreign and state income tax expense, as well as deferred tax expense.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2015 we do not have any unrecognized tax benefits nor any accrued interest or tax benefits.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Net Income Per Share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center"/>
              <w:ind w:right="320"/>
              <w:spacing w:after="0"/>
              <w:rPr>
                <w:sz w:val="20"/>
                <w:szCs w:val="20"/>
                <w:color w:val="auto"/>
              </w:rPr>
            </w:pPr>
            <w:r>
              <w:rPr>
                <w:rFonts w:ascii="Arial" w:cs="Arial" w:eastAsia="Arial" w:hAnsi="Arial"/>
                <w:sz w:val="14"/>
                <w:szCs w:val="14"/>
                <w:color w:val="auto"/>
                <w:w w:val="93"/>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color w:val="auto"/>
                <w:w w:val="91"/>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1,270</w:t>
            </w:r>
          </w:p>
        </w:tc>
        <w:tc>
          <w:tcPr>
            <w:tcW w:w="4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basic</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16,605</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16,525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Options to purchase common stock</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700"/>
              <w:spacing w:after="0"/>
              <w:rPr>
                <w:sz w:val="20"/>
                <w:szCs w:val="20"/>
                <w:color w:val="auto"/>
              </w:rPr>
            </w:pPr>
            <w:r>
              <w:rPr>
                <w:rFonts w:ascii="Arial" w:cs="Arial" w:eastAsia="Arial" w:hAnsi="Arial"/>
                <w:sz w:val="18"/>
                <w:szCs w:val="18"/>
                <w:color w:val="auto"/>
              </w:rPr>
              <w:t>Restricted stock units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stock purchase plan</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diluted</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17,054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effect of approximately 2,000 and 126,000 outstanding potential common shares was excluded from the calculation of diluted net income per share for the three and nine months ended September 30, 2015 and 2014, respectively, as they were anti-dilutive.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September 30, 2015, our revenues were $40.4 million, an increase of 24% from the comparable period in 2014, and represented our 59</w:t>
      </w:r>
      <w:r>
        <w:rPr>
          <w:rFonts w:ascii="Arial" w:cs="Arial" w:eastAsia="Arial" w:hAnsi="Arial"/>
          <w:sz w:val="15"/>
          <w:szCs w:val="15"/>
          <w:color w:val="auto"/>
        </w:rPr>
        <w:t>th</w:t>
      </w:r>
      <w:r>
        <w:rPr>
          <w:rFonts w:ascii="Arial" w:cs="Arial" w:eastAsia="Arial" w:hAnsi="Arial"/>
          <w:sz w:val="18"/>
          <w:szCs w:val="18"/>
          <w:color w:val="auto"/>
        </w:rPr>
        <w:t xml:space="preserve"> consecutive quarter of increased revenues. Total operating expenses increased 20% for the same period in 2015 from 2014. Similar results were experienced for the nine months ended September 30, 2015 with increased revenues of 26% and increased operating expenses of 24% compared to the same period in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nine months ended September 30, 2015,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2014 as filed with the Securities and Exchange Commission on February 20, 2015.</w:t>
      </w:r>
    </w:p>
    <w:p>
      <w:pPr>
        <w:spacing w:after="0" w:line="15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7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U.S. generally accepted accounting principles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7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purchased intangible assets are the most critical to aid in fully understanding and evaluating our financial condition and results of operations.</w:t>
      </w:r>
    </w:p>
    <w:p>
      <w:pPr>
        <w:spacing w:after="0" w:line="154"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During the nine months ended September 30, 2015, there were no changes in our significant accounting policies or estimates. See Note A to our consolidated financial statements included in this Quarterly Report on Form 10-Q and in our Annual Report on Form 10-K for the year ended December 31, 2014, as filed with the Securities and Exchange Commission on February 20, 2015, for additional information regarding our accounting policies.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color w:val="auto"/>
                <w:w w:val="92"/>
              </w:rPr>
              <w:t>Three Months Ended September 30,</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restart"/>
          </w:tcPr>
          <w:p>
            <w:pPr>
              <w:jc w:val="right"/>
              <w:ind w:right="6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right"/>
              <w:ind w:right="612"/>
              <w:spacing w:after="0" w:line="142" w:lineRule="exact"/>
              <w:rPr>
                <w:sz w:val="20"/>
                <w:szCs w:val="20"/>
                <w:color w:val="auto"/>
              </w:rPr>
            </w:pPr>
            <w:r>
              <w:rPr>
                <w:rFonts w:ascii="Arial" w:cs="Arial" w:eastAsia="Arial" w:hAnsi="Arial"/>
                <w:sz w:val="14"/>
                <w:szCs w:val="14"/>
                <w:color w:val="auto"/>
              </w:rPr>
              <w:t>2015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2014</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of revenue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40,354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7"/>
              </w:rPr>
              <w:t>32,506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$ 7,848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12,700</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rPr>
              <w:t>9,970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2,730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27,654</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7"/>
              </w:rPr>
              <w:t>22,536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5,118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7"/>
              </w:rPr>
              <w:t>12,046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1,749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4,494</w:t>
            </w: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rPr>
              <w:t>3,338</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1,156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5,153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1,123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rPr>
              <w:t>645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184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25,394</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7"/>
              </w:rPr>
              <w:t>21,182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4,212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rPr>
              <w:t>1,354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906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rPr>
              <w:t>52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53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1,370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853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960" w:type="dxa"/>
            <w:vAlign w:val="bottom"/>
            <w:gridSpan w:val="2"/>
          </w:tcPr>
          <w:p>
            <w:pPr>
              <w:jc w:val="right"/>
              <w:ind w:right="328"/>
              <w:spacing w:after="0"/>
              <w:rPr>
                <w:sz w:val="20"/>
                <w:szCs w:val="20"/>
                <w:color w:val="auto"/>
              </w:rPr>
            </w:pPr>
            <w:r>
              <w:rPr>
                <w:rFonts w:ascii="Arial" w:cs="Arial" w:eastAsia="Arial" w:hAnsi="Arial"/>
                <w:sz w:val="18"/>
                <w:szCs w:val="18"/>
                <w:color w:val="auto"/>
              </w:rPr>
              <w:t>(532)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421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838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432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color w:val="auto"/>
                <w:w w:val="92"/>
              </w:rPr>
              <w:t>Nine Months Ended September 30,</w:t>
            </w: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vMerge w:val="restart"/>
          </w:tcPr>
          <w:p>
            <w:pPr>
              <w:jc w:val="right"/>
              <w:ind w:right="6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right"/>
              <w:ind w:right="592"/>
              <w:spacing w:after="0" w:line="142" w:lineRule="exact"/>
              <w:rPr>
                <w:sz w:val="20"/>
                <w:szCs w:val="20"/>
                <w:color w:val="auto"/>
              </w:rPr>
            </w:pPr>
            <w:r>
              <w:rPr>
                <w:rFonts w:ascii="Arial" w:cs="Arial" w:eastAsia="Arial" w:hAnsi="Arial"/>
                <w:sz w:val="14"/>
                <w:szCs w:val="14"/>
                <w:color w:val="auto"/>
              </w:rPr>
              <w:t>2015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2014</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of revenue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122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tcPr>
          <w:p>
            <w:pPr>
              <w:spacing w:after="0"/>
              <w:rPr>
                <w:sz w:val="6"/>
                <w:szCs w:val="6"/>
                <w:color w:val="auto"/>
              </w:rPr>
            </w:pPr>
          </w:p>
        </w:tc>
        <w:tc>
          <w:tcPr>
            <w:tcW w:w="740" w:type="dxa"/>
            <w:vAlign w:val="bottom"/>
            <w:gridSpan w:val="2"/>
          </w:tcPr>
          <w:p>
            <w:pPr>
              <w:spacing w:after="0"/>
              <w:rPr>
                <w:sz w:val="6"/>
                <w:szCs w:val="6"/>
                <w:color w:val="auto"/>
              </w:rPr>
            </w:pPr>
          </w:p>
        </w:tc>
        <w:tc>
          <w:tcPr>
            <w:tcW w:w="840" w:type="dxa"/>
            <w:vAlign w:val="bottom"/>
            <w:gridSpan w:val="2"/>
          </w:tcPr>
          <w:p>
            <w:pPr>
              <w:spacing w:after="0"/>
              <w:rPr>
                <w:sz w:val="6"/>
                <w:szCs w:val="6"/>
                <w:color w:val="auto"/>
              </w:rPr>
            </w:pPr>
          </w:p>
        </w:tc>
        <w:tc>
          <w:tcPr>
            <w:tcW w:w="7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116,170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7"/>
              </w:rPr>
              <w:t>92,545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8"/>
              </w:rPr>
              <w:t>$23,625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36,607</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w w:val="87"/>
              </w:rPr>
              <w:t>28,852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7,755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79,563</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7"/>
              </w:rPr>
              <w:t>63,693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15,870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41,640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7"/>
              </w:rPr>
              <w:t>34,500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7,140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13,058</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rPr>
              <w:t>9,677</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3,381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18,149</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7"/>
              </w:rPr>
              <w:t>14,506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3,643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2,507</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rPr>
              <w:t>2,044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463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75,354</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7"/>
              </w:rPr>
              <w:t>60,727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14,627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4,209</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rPr>
              <w:t>2,966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1,243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rPr>
              <w:t>151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(28)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(198)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(226)</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3,060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1,017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(1,570)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960" w:type="dxa"/>
            <w:vAlign w:val="bottom"/>
            <w:gridSpan w:val="2"/>
          </w:tcPr>
          <w:p>
            <w:pPr>
              <w:jc w:val="right"/>
              <w:ind w:right="328"/>
              <w:spacing w:after="0"/>
              <w:rPr>
                <w:sz w:val="20"/>
                <w:szCs w:val="20"/>
                <w:color w:val="auto"/>
              </w:rPr>
            </w:pPr>
            <w:r>
              <w:rPr>
                <w:rFonts w:ascii="Arial" w:cs="Arial" w:eastAsia="Arial" w:hAnsi="Arial"/>
                <w:sz w:val="18"/>
                <w:szCs w:val="18"/>
                <w:color w:val="auto"/>
                <w:w w:val="94"/>
              </w:rPr>
              <w:t>(1,210)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(360)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1,850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657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w w:val="91"/>
              </w:rPr>
              <w:t>Due to rounding, totals may not equal the sum of the line items in the table above.</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00" w:type="dxa"/>
            <w:vAlign w:val="bottom"/>
            <w:gridSpan w:val="2"/>
          </w:tcPr>
          <w:p>
            <w:pPr>
              <w:ind w:left="56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2015 compared to Three and Nine months Ended September 30, 2014</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the three months ended September 30, 2015 increased $7.9 million, or 24%, to $40.4 million from $32.5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2014. Revenues for the nine months ended September 30, 2015 increased $23.6 million, or 26%, to $116.2 million from $92.5 million for the same period in 2014. The increase in revenues for each period resulted from two primary factors: the increase in recurring revenue customers and the increase in annualized average recurring revenues per recurring revenue customer, which we also refer to as wallet share.</w:t>
      </w:r>
    </w:p>
    <w:p>
      <w:pPr>
        <w:spacing w:after="0" w:line="77" w:lineRule="exact"/>
        <w:rPr>
          <w:sz w:val="20"/>
          <w:szCs w:val="20"/>
          <w:color w:val="auto"/>
        </w:rPr>
      </w:pPr>
    </w:p>
    <w:p>
      <w:pPr>
        <w:ind w:left="900" w:right="140" w:hanging="446"/>
        <w:spacing w:after="0" w:line="28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Annualized average recurring revenues per recurring revenue customer, or wallet share, increased 15% to $6,436 for the three months ended September 30, 2015 from $5,596 for the same period in 2014. This increase in wallet share was primarily attributable to increased fees resulting from increased usage of our solutions by our recurring revenue customers and growth in larger customers.</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9% to 23,092 at September 30, 2015 from 21,218 at September 30, 2014.</w:t>
      </w:r>
    </w:p>
    <w:p>
      <w:pPr>
        <w:spacing w:after="0" w:line="225"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Recurring revenues from recurring revenue customers accounted for 91% of our total revenues, respectively, for each of the three and nine months ended September 30, 2015, compared to 90% for each of the same periods in 2014. We anticipate that the number of recurring revenue customers and wallet share will continue to increase as we increase the number of solutions we offer and increase the penetration of those solutions across our customer base.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for the three months ended September 30, 2015 increased $2.7 million, or 27.4%, to $12.7 million from</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$10.0 million for the same period in 2014. Cost of revenues for the nine months ended September 30, 2015 increased $7.8 million, or 26.9%, to $36.6 million from $28.9 million for the same period in 2014. The increase in cost of revenues for the each of the three and nine month periods in 2015 was primarily due to increased headcount in 2015, which resulted in higher personnel-related costs of approximately $1.8 million and $6.2 million, respectively, compared to the same periods in 2014. As a percentage of revenues, cost of revenues were 32%, for the three and nine months ended September 30, 2015, and 31% for the three and nine months ended September 30, 2014. Going forward, we anticipate that cost of revenues will increase in absolute dollars as we continue to expand our business.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September 30, 2015 increased $1.7 million, or 15%,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$13.8 million from $12.0 million for the same period in 2014. Sales and marketing expenses for the nine months ended September 30, 2015 increased $7.1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or 21%, to $41.6 million from $34.5 million for the same period in 2014. The increase in sales and marketing expenses for the each of the three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 periods in 2015 was due to increased headcount in 2015, which resulted in higher personnel-related costs of approximately $1.4 million and $4.2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as well as increased variable compensation of approximately $138,000 and $1.3 million, respectively, earned by sales personnel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referral partners from new business compared to the same periods in 2014. As a percentage of revenues, sales and marketing expenses were 34% and 36%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and nine months ended September 30, 2015, respectively, compared to 37% for the same periods in 2014. As we expand our business, we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continue to add resources to our sales and marketing efforts over time, and we expect that these expenses will continue to increase in absolute dollars.</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September 30, 2015 increased $1.2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 to $4.5 million from $3.3 million for the same period in 2014. Research and development expenses for the nine months ended September 30, 2015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$3.4 million, or 35% to $13.1 million from $9.7 million for the same period in 2014. The increase in research and development expenses for each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three and nine month periods in 2015 was primarily due to increased headcount in 2015, which resulted in higher personnel costs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$957,000 and $2.7 million, respectively, compared to the same periods in 2014. We also had increased occupancy expenses of approximately $61,000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$247,000, respectively, in 2015 as compared to 2014. As a percentage of revenues, research and development expenses were 11% for the three and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2015, respectively, compared to 10% for each of the same periods in 2014. As we enhance and expand our solutions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applications, we expect that research and development expenses will continue to increase in absolute dollars.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for the three months ended September 30, 2015 increased $1.1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22%, to $6.3 million from $5.2 million for the same period in 2014. General and administrative expenses for the nine months ended September 30, 2015 increased $3.6 million, or 25%, to $18.1 million from $14.5 million for the same period in 2014. The increase in general and administrative expenses for the three and nine month periods in 2015 was due to increased headcount in 2015, which resulted in higher personnel-related costs of approximately $796,000 and $2.4 million, respectively, compared to the same periods in 2014. We also had increased stock based compensation expenses of approximately $154,000 and $256,000, respectively. As a percentage of revenues, general and administrative expenses were 16% for each of the three and nine months ended September 30, 2015 and 2014, respectively. Going forward, we expect that general and administrative expenses will continue to increase in absolute dollars as we expand our business.</w:t>
      </w:r>
    </w:p>
    <w:p>
      <w:pPr>
        <w:spacing w:after="0" w:line="19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income tax expense of $953,000 and $1.6 million for the three and nine months ended September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We recorded income tax expense of $532,000 and $1.2 million for the three and nine months ended September 30, 2014, respectively. The increase in income tax expense for the three and nine month periods in 2015 was primarily due to increased pretax book income. For the full year 2015, we expect that our annual effective income tax rate will be approximately 40%.</w:t>
      </w:r>
    </w:p>
    <w:p>
      <w:pPr>
        <w:spacing w:after="0" w:line="187" w:lineRule="exact"/>
        <w:rPr>
          <w:sz w:val="20"/>
          <w:szCs w:val="20"/>
          <w:color w:val="auto"/>
        </w:rPr>
      </w:pPr>
    </w:p>
    <w:p>
      <w:pPr>
        <w:jc w:val="both"/>
        <w:ind w:right="700" w:firstLine="456"/>
        <w:spacing w:after="0" w:line="286"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which is a non-GAAP measure of financial performance, consists of net income plus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interest expense, interest income, income tax expense, stock-based compensation expense and other adjustments as necessary for a fair presentation. The following table provides a reconciliation of net income to Adjusted EBITDA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20" w:type="dxa"/>
            <w:vAlign w:val="bottom"/>
            <w:gridSpan w:val="6"/>
          </w:tcPr>
          <w:p>
            <w:pPr>
              <w:jc w:val="right"/>
              <w:ind w:right="500"/>
              <w:spacing w:after="0"/>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20" w:type="dxa"/>
            <w:vAlign w:val="bottom"/>
            <w:gridSpan w:val="6"/>
          </w:tcPr>
          <w:p>
            <w:pPr>
              <w:jc w:val="right"/>
              <w:ind w:right="70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2014</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w w:val="98"/>
              </w:rPr>
              <w:t>Depreciation and amortization of property and equipment</w:t>
            </w:r>
          </w:p>
        </w:tc>
        <w:tc>
          <w:tcPr>
            <w:tcW w:w="2880" w:type="dxa"/>
            <w:vAlign w:val="bottom"/>
            <w:gridSpan w:val="3"/>
          </w:tcPr>
          <w:p>
            <w:pPr>
              <w:jc w:val="right"/>
              <w:ind w:right="240"/>
              <w:spacing w:after="0"/>
              <w:rPr>
                <w:sz w:val="20"/>
                <w:szCs w:val="20"/>
                <w:color w:val="auto"/>
              </w:rPr>
            </w:pPr>
            <w:r>
              <w:rPr>
                <w:rFonts w:ascii="Arial" w:cs="Arial" w:eastAsia="Arial" w:hAnsi="Arial"/>
                <w:sz w:val="18"/>
                <w:szCs w:val="18"/>
                <w:color w:val="auto"/>
              </w:rPr>
              <w:t>1,584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1,430</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880" w:type="dxa"/>
            <w:vAlign w:val="bottom"/>
            <w:gridSpan w:val="3"/>
          </w:tcPr>
          <w:p>
            <w:pPr>
              <w:jc w:val="right"/>
              <w:ind w:right="1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3,393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11,154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880" w:type="dxa"/>
            <w:vAlign w:val="bottom"/>
            <w:gridSpan w:val="3"/>
          </w:tcPr>
          <w:p>
            <w:pPr>
              <w:jc w:val="right"/>
              <w:ind w:right="240"/>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1,293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4,686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40" w:type="dxa"/>
            <w:vAlign w:val="bottom"/>
            <w:vMerge w:val="restart"/>
          </w:tcPr>
          <w:p>
            <w:pPr>
              <w:jc w:val="right"/>
              <w:ind w:right="1550"/>
              <w:spacing w:after="0"/>
              <w:rPr>
                <w:sz w:val="20"/>
                <w:szCs w:val="20"/>
                <w:color w:val="auto"/>
              </w:rPr>
            </w:pPr>
            <w:r>
              <w:rPr>
                <w:rFonts w:ascii="Arial" w:cs="Arial" w:eastAsia="Arial" w:hAnsi="Arial"/>
                <w:sz w:val="18"/>
                <w:szCs w:val="18"/>
                <w:color w:val="auto"/>
              </w:rPr>
              <w:t>17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center"/>
              <w:ind w:right="460"/>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center"/>
              <w:ind w:right="480"/>
              <w:spacing w:after="0"/>
              <w:rPr>
                <w:sz w:val="20"/>
                <w:szCs w:val="20"/>
                <w:color w:val="auto"/>
              </w:rPr>
            </w:pPr>
            <w:r>
              <w:rPr>
                <w:rFonts w:ascii="Arial" w:cs="Arial" w:eastAsia="Arial" w:hAnsi="Arial"/>
                <w:sz w:val="14"/>
                <w:szCs w:val="14"/>
                <w:color w:val="auto"/>
                <w:w w:val="91"/>
              </w:rPr>
              <w:t>September 30,</w:t>
            </w:r>
          </w:p>
        </w:tc>
        <w:tc>
          <w:tcPr>
            <w:tcW w:w="100" w:type="dxa"/>
            <w:vAlign w:val="bottom"/>
          </w:tcPr>
          <w:p>
            <w:pPr>
              <w:spacing w:after="0"/>
              <w:rPr>
                <w:sz w:val="14"/>
                <w:szCs w:val="14"/>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4,756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860" w:type="dxa"/>
            <w:vAlign w:val="bottom"/>
            <w:gridSpan w:val="2"/>
          </w:tcPr>
          <w:p>
            <w:pPr>
              <w:spacing w:after="0"/>
              <w:rPr>
                <w:sz w:val="20"/>
                <w:szCs w:val="20"/>
                <w:color w:val="auto"/>
              </w:rPr>
            </w:pPr>
            <w:r>
              <w:rPr>
                <w:rFonts w:ascii="Arial" w:cs="Arial" w:eastAsia="Arial" w:hAnsi="Arial"/>
                <w:sz w:val="18"/>
                <w:szCs w:val="18"/>
                <w:color w:val="auto"/>
              </w:rPr>
              <w:t>Non-GAAP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3,709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2,776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9,770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16,605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16,254</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16,525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17,054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16,780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17,040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16,793</w:t>
            </w: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Arial" w:cs="Arial" w:eastAsia="Arial" w:hAnsi="Arial"/>
                <w:sz w:val="18"/>
                <w:szCs w:val="18"/>
                <w:color w:val="auto"/>
              </w:rPr>
              <w:t>Non-GAAP income per share</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September 30, 2015, our principal sources of liquidity were cash, cash equivalents and marketable securities of $135.4 million and accounts receivable, net of allowance for doubtful accounts, of $17.9 million.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Net cash provided by operating activities was $6.9 million and $11.6 million for the nine months ended September 30, 2015 and 2014, respectively. The decrease in operating cash flows as compared to the same period in 2014 was primarily due to the timing of payments for accounts payable, accrued expenses and other current assets, which is somewhat offset by higher net income after adjusting for depreciation and amortization and stock-based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Net cash used in investing activities was $24.0 million and $4.4 million for the nine months ended September 30, 2015 and 2014, respectively. The increase in net cash used in investing activities for 2015 as compared to 2014 was primarily due to the purchase of marketable securities of $17.5 million. In 2015 and 2014, we had capital expenditures of $6.5 million and $4.4 million, respectively. Our capital expenditures are for supporting our business growth and existing customer base, as well as for our internal use such as equipment for our employees.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Net cash provided by financing activities was $5.2 million and $2.3 million for the nine months ended September 30, 2015 and 2014, respectively, all related to the exercise of stock options and proceeds from our employee stock purchase plan.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results of operations and cash flows were not materially affected by fluctuations in foreign currency exchange rates. We maintain less than 10% of our total cash and cash equivalents outside of the United States in foreign currencies, primarily in Australian dollars. We believe that a significant change in foreign currency exchange rates or an inability to access these funds would not affect our ability to meet our operational needs.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60" w:firstLine="456"/>
        <w:spacing w:after="0" w:line="312" w:lineRule="auto"/>
        <w:rPr>
          <w:sz w:val="20"/>
          <w:szCs w:val="20"/>
          <w:color w:val="auto"/>
        </w:rPr>
      </w:pPr>
      <w:r>
        <w:rPr>
          <w:rFonts w:ascii="Arial" w:cs="Arial" w:eastAsia="Arial" w:hAnsi="Arial"/>
          <w:sz w:val="16"/>
          <w:szCs w:val="16"/>
          <w:color w:val="auto"/>
        </w:rPr>
        <w:t>We have a revolving credit agreement with JPMorgan Chase Bank, N.A. that will mature on September 30, 2016. The revolving credit agreement provides for a $20 million revolving credit facility that we may draw upon from time to time, subject to certain terms and conditions. There were no borrowings outstanding at September 30, 2015 and we were in compliance with all covenants under the revolving credit agreement as of that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3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sales and marketing resources needed to further penetrate our market and gain acceptance of new solutions and applications that we may develop;</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believe our cash, cash equivalents,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nine months ended September 30, 2015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and Commercial Commitment Summary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and commercial commitments as of September 30, 2015 are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Payments Due By Period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8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1"/>
              </w:rPr>
              <w:t>Less Than</w:t>
            </w:r>
          </w:p>
        </w:tc>
        <w:tc>
          <w:tcPr>
            <w:tcW w:w="1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jc w:val="center"/>
              <w:ind w:left="122"/>
              <w:spacing w:after="0" w:line="123" w:lineRule="exact"/>
              <w:rPr>
                <w:sz w:val="20"/>
                <w:szCs w:val="20"/>
                <w:color w:val="auto"/>
              </w:rPr>
            </w:pPr>
            <w:r>
              <w:rPr>
                <w:rFonts w:ascii="Arial" w:cs="Arial" w:eastAsia="Arial" w:hAnsi="Arial"/>
                <w:sz w:val="14"/>
                <w:szCs w:val="14"/>
                <w:color w:val="auto"/>
                <w:w w:val="94"/>
              </w:rPr>
              <w:t>More Than</w:t>
            </w:r>
          </w:p>
        </w:tc>
        <w:tc>
          <w:tcPr>
            <w:tcW w:w="100" w:type="dxa"/>
            <w:vAlign w:val="bottom"/>
          </w:tcPr>
          <w:p>
            <w:pPr>
              <w:spacing w:after="0"/>
              <w:rPr>
                <w:sz w:val="10"/>
                <w:szCs w:val="10"/>
                <w:color w:val="auto"/>
              </w:rPr>
            </w:pPr>
          </w:p>
        </w:tc>
      </w:tr>
      <w:tr>
        <w:trPr>
          <w:trHeight w:val="167"/>
        </w:trPr>
        <w:tc>
          <w:tcPr>
            <w:tcW w:w="3800" w:type="dxa"/>
            <w:vAlign w:val="bottom"/>
          </w:tcPr>
          <w:p>
            <w:pPr>
              <w:spacing w:after="0"/>
              <w:rPr>
                <w:sz w:val="20"/>
                <w:szCs w:val="20"/>
                <w:color w:val="auto"/>
              </w:rPr>
            </w:pPr>
            <w:r>
              <w:rPr>
                <w:rFonts w:ascii="Arial" w:cs="Arial" w:eastAsia="Arial" w:hAnsi="Arial"/>
                <w:sz w:val="14"/>
                <w:szCs w:val="14"/>
                <w:color w:val="auto"/>
              </w:rPr>
              <w:t>Contractual Obligations</w:t>
            </w:r>
          </w:p>
        </w:tc>
        <w:tc>
          <w:tcPr>
            <w:tcW w:w="296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color w:val="auto"/>
                <w:w w:val="89"/>
              </w:rPr>
              <w:t>Total</w:t>
            </w:r>
          </w:p>
        </w:tc>
        <w:tc>
          <w:tcPr>
            <w:tcW w:w="94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1080" w:type="dxa"/>
            <w:vAlign w:val="bottom"/>
          </w:tcPr>
          <w:p>
            <w:pPr>
              <w:jc w:val="center"/>
              <w:spacing w:after="0"/>
              <w:rPr>
                <w:sz w:val="20"/>
                <w:szCs w:val="20"/>
                <w:color w:val="auto"/>
              </w:rPr>
            </w:pPr>
            <w:r>
              <w:rPr>
                <w:rFonts w:ascii="Arial" w:cs="Arial" w:eastAsia="Arial" w:hAnsi="Arial"/>
                <w:sz w:val="14"/>
                <w:szCs w:val="14"/>
                <w:color w:val="auto"/>
                <w:w w:val="88"/>
              </w:rPr>
              <w:t>1-3 Years</w:t>
            </w:r>
          </w:p>
        </w:tc>
        <w:tc>
          <w:tcPr>
            <w:tcW w:w="900" w:type="dxa"/>
            <w:vAlign w:val="bottom"/>
          </w:tcPr>
          <w:p>
            <w:pPr>
              <w:ind w:left="140"/>
              <w:spacing w:after="0"/>
              <w:rPr>
                <w:sz w:val="20"/>
                <w:szCs w:val="20"/>
                <w:color w:val="auto"/>
              </w:rPr>
            </w:pPr>
            <w:r>
              <w:rPr>
                <w:rFonts w:ascii="Arial" w:cs="Arial" w:eastAsia="Arial" w:hAnsi="Arial"/>
                <w:sz w:val="14"/>
                <w:szCs w:val="14"/>
                <w:color w:val="auto"/>
              </w:rPr>
              <w:t>3-5 Years</w:t>
            </w:r>
          </w:p>
        </w:tc>
        <w:tc>
          <w:tcPr>
            <w:tcW w:w="940" w:type="dxa"/>
            <w:vAlign w:val="bottom"/>
            <w:gridSpan w:val="2"/>
          </w:tcPr>
          <w:p>
            <w:pPr>
              <w:jc w:val="center"/>
              <w:ind w:left="22"/>
              <w:spacing w:after="0"/>
              <w:rPr>
                <w:sz w:val="20"/>
                <w:szCs w:val="20"/>
                <w:color w:val="auto"/>
              </w:rPr>
            </w:pPr>
            <w:r>
              <w:rPr>
                <w:rFonts w:ascii="Arial" w:cs="Arial" w:eastAsia="Arial" w:hAnsi="Arial"/>
                <w:sz w:val="14"/>
                <w:szCs w:val="14"/>
                <w:color w:val="auto"/>
                <w:w w:val="91"/>
              </w:rPr>
              <w:t>5 Years</w:t>
            </w:r>
          </w:p>
        </w:tc>
      </w:tr>
      <w:tr>
        <w:trPr>
          <w:trHeight w:val="142"/>
        </w:trPr>
        <w:tc>
          <w:tcPr>
            <w:tcW w:w="3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(In thousands)</w:t>
            </w:r>
          </w:p>
        </w:tc>
        <w:tc>
          <w:tcPr>
            <w:tcW w:w="9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7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$16,655</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768</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$ 6,063</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$ 5,958</w:t>
            </w:r>
          </w:p>
        </w:tc>
        <w:tc>
          <w:tcPr>
            <w:tcW w:w="840" w:type="dxa"/>
            <w:vAlign w:val="bottom"/>
            <w:shd w:val="clear" w:color="auto" w:fill="CCEEFF"/>
          </w:tcPr>
          <w:p>
            <w:pPr>
              <w:jc w:val="center"/>
              <w:ind w:left="122"/>
              <w:spacing w:after="0"/>
              <w:rPr>
                <w:sz w:val="20"/>
                <w:szCs w:val="20"/>
                <w:color w:val="auto"/>
              </w:rPr>
            </w:pPr>
            <w:r>
              <w:rPr>
                <w:rFonts w:ascii="Arial" w:cs="Arial" w:eastAsia="Arial" w:hAnsi="Arial"/>
                <w:sz w:val="18"/>
                <w:szCs w:val="18"/>
                <w:color w:val="auto"/>
                <w:w w:val="98"/>
              </w:rPr>
              <w:t>$  3,866</w:t>
            </w:r>
          </w:p>
        </w:tc>
        <w:tc>
          <w:tcPr>
            <w:tcW w:w="100" w:type="dxa"/>
            <w:vAlign w:val="bottom"/>
            <w:shd w:val="clear" w:color="auto" w:fill="CCEEFF"/>
          </w:tcPr>
          <w:p>
            <w:pPr>
              <w:spacing w:after="0"/>
              <w:rPr>
                <w:sz w:val="18"/>
                <w:szCs w:val="18"/>
                <w:color w:val="auto"/>
              </w:rPr>
            </w:pPr>
          </w:p>
        </w:tc>
      </w:tr>
      <w:tr>
        <w:trPr>
          <w:trHeight w:val="365"/>
        </w:trPr>
        <w:tc>
          <w:tcPr>
            <w:tcW w:w="3800" w:type="dxa"/>
            <w:vAlign w:val="bottom"/>
          </w:tcPr>
          <w:p>
            <w:pPr>
              <w:spacing w:after="0"/>
              <w:rPr>
                <w:sz w:val="24"/>
                <w:szCs w:val="24"/>
                <w:color w:val="auto"/>
              </w:rPr>
            </w:pPr>
          </w:p>
        </w:tc>
        <w:tc>
          <w:tcPr>
            <w:tcW w:w="2960" w:type="dxa"/>
            <w:vAlign w:val="bottom"/>
          </w:tcPr>
          <w:p>
            <w:pPr>
              <w:jc w:val="right"/>
              <w:ind w:right="870"/>
              <w:spacing w:after="0"/>
              <w:rPr>
                <w:sz w:val="20"/>
                <w:szCs w:val="20"/>
                <w:color w:val="auto"/>
              </w:rPr>
            </w:pPr>
            <w:r>
              <w:rPr>
                <w:rFonts w:ascii="Arial" w:cs="Arial" w:eastAsia="Arial" w:hAnsi="Arial"/>
                <w:sz w:val="18"/>
                <w:szCs w:val="18"/>
                <w:color w:val="auto"/>
              </w:rPr>
              <w:t>20</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and marketable securities), we believe there is no material risk exposure. We do not enter into investments for trading or speculative purposes.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did not have any outstanding debt as of September 30, 2015. Therefore, we do not have any material risk to interest rate fluctuations unless we borrow under our credit facility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have revenue, expenses, assets and liabilities that are denominated in currencies other than the U.S. dollar, primarily the Australian dollar. As we expand internationally, our results of operations and cash flows will be impacted by foreign currency fluctuations. We have not used any forward contracts or currency borrowings to hedge our exposure to foreign currency exchange risk, although we may do so in the future.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2015 that have materially affected, or are reasonably likely to materially affect, our internal control over financial reporting.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2014 as filed with the Securities and Exchange Commission on February 20, 2015.</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October 30, 2015</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94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Exhibit</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81"/>
        </w:trPr>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88"/>
              </w:rPr>
              <w:t>Number</w:t>
            </w:r>
          </w:p>
        </w:tc>
        <w:tc>
          <w:tcPr>
            <w:tcW w:w="5340" w:type="dxa"/>
            <w:vAlign w:val="bottom"/>
          </w:tcPr>
          <w:p>
            <w:pPr>
              <w:spacing w:after="0"/>
              <w:rPr>
                <w:sz w:val="15"/>
                <w:szCs w:val="15"/>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i w:val="1"/>
                <w:iCs w:val="1"/>
                <w:color w:val="auto"/>
              </w:rPr>
              <w:t>Description</w:t>
            </w:r>
          </w:p>
        </w:tc>
      </w:tr>
      <w:tr>
        <w:trPr>
          <w:trHeight w:val="20"/>
        </w:trPr>
        <w:tc>
          <w:tcPr>
            <w:tcW w:w="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77"/>
        </w:trPr>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Certificate of Incorporation (incorporated by reference to Exhibit 4.1 to our Registration Statement on Form S-3 (File No. 333-182097) filed with</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the Commission on September 13, 2012).</w:t>
            </w:r>
          </w:p>
        </w:tc>
      </w:tr>
      <w:tr>
        <w:trPr>
          <w:trHeight w:val="310"/>
        </w:trPr>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Bylaws (incorporated by reference to Exhibit 3.2 to our Registration Statement on Form S-1/A (File No. 333-163476) filed with the Commission</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on March 5, 2010).</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1"/>
              </w:rPr>
              <w:t>Certification of Principal Executive Officer pursuant to Rules 13a-14(a) under the Securities Exchange Act of 1934, as amended (filed herewith).</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of Principal Financial Officer pursuant to Rules 13a-14(a) under the Securities Exchange Act of 1934, as amended (filed herewith).</w:t>
            </w:r>
          </w:p>
        </w:tc>
      </w:tr>
      <w:tr>
        <w:trPr>
          <w:trHeight w:val="310"/>
        </w:trPr>
        <w:tc>
          <w:tcPr>
            <w:tcW w:w="480" w:type="dxa"/>
            <w:vAlign w:val="bottom"/>
          </w:tcPr>
          <w:p>
            <w:pPr>
              <w:jc w:val="right"/>
              <w:spacing w:after="0"/>
              <w:rPr>
                <w:sz w:val="20"/>
                <w:szCs w:val="20"/>
                <w:color w:val="auto"/>
              </w:rPr>
            </w:pPr>
            <w:r>
              <w:rPr>
                <w:rFonts w:ascii="Arial" w:cs="Arial" w:eastAsia="Arial" w:hAnsi="Arial"/>
                <w:sz w:val="18"/>
                <w:szCs w:val="18"/>
                <w:color w:val="auto"/>
              </w:rPr>
              <w:t>32.1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 1350, as adopted pursuant to Section 906 of the</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Sarbanes-Oxley Act of 2002 (filed herewith).</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Interactive Data Files Pursuant to Rule 405 of Regulation S-T (filed herewith).</w:t>
            </w: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September 30, 2015,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2019-12-29T15:06:14Z</dcterms:created>
  <dcterms:modified xsi:type="dcterms:W3CDTF">2019-12-29T15:06:14Z</dcterms:modified>
</cp:coreProperties>
</file>