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080" w:space="700"/>
            <w:col w:w="4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41-2015127</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8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3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April 27, 2012 was 12,204,986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00" w:type="dxa"/>
            <w:vAlign w:val="bottom"/>
            <w:gridSpan w:val="9"/>
            <w:vMerge w:val="restart"/>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0000EE"/>
            </w:tcBorders>
            <w:gridSpan w:val="10"/>
            <w:vMerge w:val="continue"/>
          </w:tcPr>
          <w:p>
            <w:pPr>
              <w:spacing w:after="0"/>
              <w:rPr>
                <w:sz w:val="14"/>
                <w:szCs w:val="14"/>
                <w:color w:val="auto"/>
              </w:rPr>
            </w:pPr>
          </w:p>
        </w:tc>
        <w:tc>
          <w:tcPr>
            <w:tcW w:w="7200" w:type="dxa"/>
            <w:vAlign w:val="bottom"/>
            <w:gridSpan w:val="9"/>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2012 (unaudited) and December 31, 2011</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2012 and 2011 (unaudited)</w:t>
              </w:r>
            </w:hyperlink>
          </w:p>
        </w:tc>
        <w:tc>
          <w:tcPr>
            <w:tcW w:w="8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three months ended March 31, 2012 and 2011 (unaudited)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4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27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48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8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0" w:type="dxa"/>
            <w:vAlign w:val="bottom"/>
            <w:gridSpan w:val="19"/>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 OTHER INFORMATION</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Legal Proceedings</w:t>
              </w:r>
            </w:hyperlink>
          </w:p>
        </w:tc>
        <w:tc>
          <w:tcPr>
            <w:tcW w:w="280" w:type="dxa"/>
            <w:vAlign w:val="bottom"/>
            <w:tcBorders>
              <w:top w:val="single" w:sz="8" w:color="0000EE"/>
            </w:tcBorders>
            <w:gridSpan w:val="2"/>
          </w:tcPr>
          <w:p>
            <w:pPr>
              <w:spacing w:after="0"/>
              <w:rPr>
                <w:sz w:val="24"/>
                <w:szCs w:val="24"/>
                <w:color w:val="auto"/>
              </w:rPr>
            </w:pPr>
          </w:p>
        </w:tc>
        <w:tc>
          <w:tcPr>
            <w:tcW w:w="750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820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Unregistered Sales of Equity Securities and Use of Proceeds</w:t>
              </w:r>
            </w:hyperlink>
          </w:p>
        </w:tc>
        <w:tc>
          <w:tcPr>
            <w:tcW w:w="484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68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3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2011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9"/>
              </w:rPr>
              <w:t>PART I. –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6"/>
              </w:rPr>
              <w:t>SPS COMMERCE,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jc w:val="center"/>
              <w:ind w:left="14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jc w:val="center"/>
              <w:ind w:left="1432"/>
              <w:spacing w:after="0"/>
              <w:rPr>
                <w:sz w:val="20"/>
                <w:szCs w:val="20"/>
                <w:color w:val="auto"/>
              </w:rPr>
            </w:pPr>
            <w:r>
              <w:rPr>
                <w:rFonts w:ascii="Arial" w:cs="Arial" w:eastAsia="Arial" w:hAnsi="Arial"/>
                <w:sz w:val="18"/>
                <w:szCs w:val="18"/>
                <w:color w:val="auto"/>
                <w:w w:val="86"/>
              </w:rPr>
              <w:t>(Unaudited; in thousands, except share amounts)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700" w:type="dxa"/>
            <w:vAlign w:val="bottom"/>
            <w:shd w:val="clear" w:color="auto" w:fill="CCEEFF"/>
          </w:tcPr>
          <w:p>
            <w:pPr>
              <w:ind w:left="35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3"/>
        </w:trPr>
        <w:tc>
          <w:tcPr>
            <w:tcW w:w="93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31,985</w:t>
            </w: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Accounts receivable, less allowance for doubtful accounts of $243 and $222,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49,807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48,239</w:t>
            </w:r>
          </w:p>
        </w:tc>
      </w:tr>
      <w:tr>
        <w:trPr>
          <w:trHeight w:val="218"/>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11,646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11,787</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78,996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0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3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23"/>
        </w:trPr>
        <w:tc>
          <w:tcPr>
            <w:tcW w:w="20" w:type="dxa"/>
            <w:vAlign w:val="bottom"/>
          </w:tcPr>
          <w:p>
            <w:pPr>
              <w:spacing w:after="0"/>
              <w:rPr>
                <w:sz w:val="19"/>
                <w:szCs w:val="19"/>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18,065</w:t>
            </w: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3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w w:val="98"/>
              </w:rPr>
              <w:t>Common stock, $0.001 par value; 55,000,000 shares authorized; 12,186,915 and 12,138,858 shares issued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outstanding, 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109,323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108,606</w:t>
            </w:r>
          </w:p>
        </w:tc>
      </w:tr>
      <w:tr>
        <w:trPr>
          <w:trHeight w:val="223"/>
        </w:trPr>
        <w:tc>
          <w:tcPr>
            <w:tcW w:w="20" w:type="dxa"/>
            <w:vAlign w:val="bottom"/>
          </w:tcPr>
          <w:p>
            <w:pPr>
              <w:spacing w:after="0"/>
              <w:rPr>
                <w:sz w:val="19"/>
                <w:szCs w:val="19"/>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(48,809)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(49,065)</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60,526</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78,996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16,534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11,627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12,698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31,985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33,063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2011 balance sheet data was derived from our audited financial statements at that date. For further information, refer to the consolidated financial statements and accompanying notes for the year ended December 31, 2011 included in our Annual Report on Form 10-K as filed with the Securities and Exchange Commission on March 9, 2012.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March 31, 2012, there were no material changes in our significant accounting policies. See Note A to the consolidated financial statements included in our Annual Report on Form 10-K for the year ended December 31, 2011, as filed with the Securities and Exchange Commission on March 9, 2012,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w w:val="98"/>
              </w:rPr>
              <w:t>March 31, 2012</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5"/>
              </w:rPr>
              <w:t>December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4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4"/>
                <w:szCs w:val="14"/>
                <w:color w:val="auto"/>
                <w:w w:val="86"/>
              </w:rPr>
              <w:t>Carrying</w:t>
            </w:r>
          </w:p>
        </w:tc>
        <w:tc>
          <w:tcPr>
            <w:tcW w:w="30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jc w:val="right"/>
              <w:ind w:right="57"/>
              <w:spacing w:after="0" w:line="159" w:lineRule="exact"/>
              <w:rPr>
                <w:sz w:val="20"/>
                <w:szCs w:val="20"/>
                <w:color w:val="auto"/>
              </w:rPr>
            </w:pPr>
            <w:r>
              <w:rPr>
                <w:rFonts w:ascii="Arial" w:cs="Arial" w:eastAsia="Arial" w:hAnsi="Arial"/>
                <w:sz w:val="14"/>
                <w:szCs w:val="14"/>
                <w:color w:val="auto"/>
              </w:rPr>
              <w:t>Net</w:t>
            </w:r>
          </w:p>
        </w:tc>
        <w:tc>
          <w:tcPr>
            <w:tcW w:w="3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1"/>
              </w:rPr>
              <w:t>Amount</w:t>
            </w:r>
          </w:p>
        </w:tc>
        <w:tc>
          <w:tcPr>
            <w:tcW w:w="30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2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$7,180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(2,581)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$4,599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$7,180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(542)</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(469)</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8,630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5,767</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Amortization expense for intangible assets was $260,000 for the three months ended March 31, 2012. There was no amortization expense for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 There were no borrowings outstanding at March 31, 2012 and we were in compliance with all covenants under the revolving credit agreement as of that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February 14, 2012, we executed a new lease agreement for our current headquarters location which commences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We will also have a rent holiday from November 2012 to October 2013 which will be incorporated into our deferred rent calculation upon commencement of the lease. In connection with this new lease, we will deliver to the landlord cash or an irrevocable letter of credit for approximately $172,000, subject to increase based on square footage expansion, as security for performance of our obligations under the lease.</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w w:val="94"/>
              </w:rPr>
              <w:t>At March 31, 2012, our future minimum payments under operating leases were as follows (in thousands):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eight to ten years from the date of grant. At March 31, 2012, there were approximately 1,141,000 shares available for grant under approved equity compensation plans.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recorded stock-based compensation expense of $612,000 and $312,000 for the three months ended March 31, 2012 and 2011, respectively. This expense was allocated as follows (in thousands):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color w:val="auto"/>
              </w:rPr>
              <w:t>Three Months Ended</w:t>
            </w:r>
          </w:p>
        </w:tc>
      </w:tr>
      <w:tr>
        <w:trPr>
          <w:trHeight w:val="159"/>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6"/>
              </w:rPr>
              <w:t>March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76"/>
              </w:rPr>
              <w:t>2012</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March 31, 2012, there was approximately $7.2 million of unrecognized stock-based compensation expense under our equity compensation plans, which is expected to be recognized on a straight line basis over a weighted average period of approximately two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52"/>
              <w:spacing w:after="0"/>
              <w:rPr>
                <w:sz w:val="20"/>
                <w:szCs w:val="20"/>
                <w:color w:val="auto"/>
              </w:rPr>
            </w:pPr>
            <w:r>
              <w:rPr>
                <w:rFonts w:ascii="Arial" w:cs="Arial" w:eastAsia="Arial" w:hAnsi="Arial"/>
                <w:sz w:val="14"/>
                <w:szCs w:val="14"/>
                <w:color w:val="auto"/>
                <w:w w:val="85"/>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Options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Exercise Price</w:t>
            </w:r>
          </w:p>
        </w:tc>
      </w:tr>
      <w:tr>
        <w:trPr>
          <w:trHeight w:val="159"/>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760" w:type="dxa"/>
            <w:vAlign w:val="bottom"/>
          </w:tcPr>
          <w:p>
            <w:pPr>
              <w:jc w:val="right"/>
              <w:ind w:right="218"/>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185,239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1,806,591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Of the total outstanding options at March 31, 2012, 1,004,350 were exercisable with a weighted average exercise price of $4.33 per share. The total outstanding options had a weighted average remaining contractual life of 6.4 years.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three months of 2012 was $10.02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760" w:type="dxa"/>
            <w:vAlign w:val="bottom"/>
          </w:tcPr>
          <w:p>
            <w:pPr>
              <w:jc w:val="right"/>
              <w:spacing w:after="0"/>
              <w:rPr>
                <w:sz w:val="20"/>
                <w:szCs w:val="20"/>
                <w:color w:val="auto"/>
              </w:rPr>
            </w:pPr>
            <w:r>
              <w:rPr>
                <w:rFonts w:ascii="Arial" w:cs="Arial" w:eastAsia="Arial" w:hAnsi="Arial"/>
                <w:sz w:val="18"/>
                <w:szCs w:val="18"/>
                <w:color w:val="auto"/>
              </w:rPr>
              <w:t>0.81%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three months ended March 31, 2012, we granted 62,367 restricted stock units with a grant date fair value of $25.32 per share. These restricted stock units vest over a four year period and, upon vesting, the holder is entitled to receive shares of our common stock.</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recorded a provision for income taxes of $153,000 and $29,000 for the three months ended March 31, 2012 and 2011, respectively. We record our interim provision for income taxes based on our estimated annual effective tax rate for the year. Our provisions for income taxes included current federal alternative minimum tax expense and current foreign and state income tax expense. In addition, our provision for income taxes for the three months ended March 31, 2012 included deferred tax expense.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periods prior to the fourth quarter of 2011, a full valuation allowance was recorded against all of our deferred tax assets as it was more-likely-than-not that we would not realize these deferred tax assets, largely due to our history of taxable losses since inception. Based on our assessment during the fourth quarter of 2011, we determined that it was more-likely-than-not that we would be able to realize approximately $12.8 million of our deferred tax assets, which enabled us to release a substantial portion of the valuation allowance previously recorded. This determination was based on weighing both the positive and negative evidence available including, but not limited to, our earnings history, our projected future taxable income, our business strategy and the nature of each of our deferred tax assets.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As of March 31, 2012, we are generally subject to tax examinations for all prior years due to our net operating loss carryforwards.</w:t>
      </w:r>
    </w:p>
    <w:p>
      <w:pPr>
        <w:spacing w:after="0" w:line="132"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As of March 31, 2012,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2012</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Options to purchase common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860"/>
              <w:spacing w:after="0"/>
              <w:rPr>
                <w:sz w:val="20"/>
                <w:szCs w:val="20"/>
                <w:color w:val="auto"/>
              </w:rPr>
            </w:pPr>
            <w:r>
              <w:rPr>
                <w:rFonts w:ascii="Arial" w:cs="Arial" w:eastAsia="Arial" w:hAnsi="Arial"/>
                <w:sz w:val="18"/>
                <w:szCs w:val="18"/>
                <w:color w:val="auto"/>
              </w:rPr>
              <w:t>Restricted stock units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diluted</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13,185</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the three months ended March 31, 2012, all outstanding potential common shares were included in the calculation of diluted net income per share. For the three months ended March 31, 2011, the effect of approximately 235,000 outstanding potential common shares was excluded from the calculation of diluted net income per share because they were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three months ended March 31, 2012,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2011 as filed with the Securities and Exchange Commission on March 9, 2012.</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2012, there were no significant changes in our critical accounting policies or estimates.</w:t>
      </w:r>
    </w:p>
    <w:p>
      <w:pPr>
        <w:spacing w:after="0" w:line="17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2011, as filed with the Securities and Exchange Commission on March 9, 2012, for additional information regarding our critical accounting policies, as well as a description of our other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March 31,</w:t>
            </w: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w w:val="83"/>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76"/>
              </w:rPr>
              <w:t>2011</w:t>
            </w:r>
          </w:p>
        </w:tc>
        <w:tc>
          <w:tcPr>
            <w:tcW w:w="4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840" w:type="dxa"/>
            <w:vAlign w:val="bottom"/>
          </w:tcPr>
          <w:p>
            <w:pPr>
              <w:jc w:val="right"/>
              <w:ind w:right="475"/>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16,534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12,649</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87"/>
              </w:rPr>
              <w:t>$3,885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4,448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26.3</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1,127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12,086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9,328</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73.7</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2,758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1,321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1,732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492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733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260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11,627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69.7</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2,806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4.0</w:t>
            </w:r>
          </w:p>
        </w:tc>
        <w:tc>
          <w:tcPr>
            <w:tcW w:w="840" w:type="dxa"/>
            <w:vAlign w:val="bottom"/>
            <w:vMerge w:val="restart"/>
          </w:tcPr>
          <w:p>
            <w:pPr>
              <w:jc w:val="right"/>
              <w:ind w:right="195"/>
              <w:spacing w:after="0"/>
              <w:rPr>
                <w:sz w:val="20"/>
                <w:szCs w:val="20"/>
                <w:color w:val="auto"/>
              </w:rPr>
            </w:pPr>
            <w:r>
              <w:rPr>
                <w:rFonts w:ascii="Arial" w:cs="Arial" w:eastAsia="Arial" w:hAnsi="Arial"/>
                <w:sz w:val="18"/>
                <w:szCs w:val="18"/>
                <w:color w:val="auto"/>
              </w:rPr>
              <w:t>(48)</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3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0.1</w:t>
            </w:r>
          </w:p>
        </w:tc>
        <w:tc>
          <w:tcPr>
            <w:tcW w:w="840" w:type="dxa"/>
            <w:vAlign w:val="bottom"/>
            <w:vMerge w:val="restart"/>
          </w:tcPr>
          <w:p>
            <w:pPr>
              <w:jc w:val="right"/>
              <w:ind w:right="195"/>
              <w:spacing w:after="0"/>
              <w:rPr>
                <w:sz w:val="20"/>
                <w:szCs w:val="20"/>
                <w:color w:val="auto"/>
              </w:rPr>
            </w:pPr>
            <w:r>
              <w:rPr>
                <w:rFonts w:ascii="Arial" w:cs="Arial" w:eastAsia="Arial" w:hAnsi="Arial"/>
                <w:sz w:val="18"/>
                <w:szCs w:val="18"/>
                <w:color w:val="auto"/>
              </w:rPr>
              <w:t>(64)</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3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(112)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(124)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(236)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compared to Three Months Ended March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March 31, 2012 increased $3.9 million, or 31%, to $16.5 million from $12.6 million for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Our fiscal quarter ended March 31, 2012 represented our 45</w:t>
      </w:r>
      <w:r>
        <w:rPr>
          <w:rFonts w:ascii="Arial" w:cs="Arial" w:eastAsia="Arial" w:hAnsi="Arial"/>
          <w:sz w:val="11"/>
          <w:szCs w:val="11"/>
          <w:color w:val="auto"/>
        </w:rPr>
        <w:t>th</w:t>
      </w:r>
      <w:r>
        <w:rPr>
          <w:rFonts w:ascii="Arial" w:cs="Arial" w:eastAsia="Arial" w:hAnsi="Arial"/>
          <w:sz w:val="18"/>
          <w:szCs w:val="18"/>
          <w:color w:val="auto"/>
        </w:rPr>
        <w:t xml:space="preserve"> consecutive quarter of increased revenues.</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51"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26% to 16,433 at March 31, 2012 from 13,040 at March 31, 2011.</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306"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increased 7% to $3,529 for the three months ended March 31, 2012 from $3,291 for the same period in 2011. This increase was primarily attributable to increased fees resulting from increased usage of our solutions by our recurring revenue customers, including growth in large enterprise customers.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Recurring revenues from recurring revenue customers accounted for 87% of our total revenues for the three months ended March 31, 2012, compared to 83% for the same period in 2011.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March 31, 2012 increased $1.1 million, or 34%, to $4.4 million from $3.3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2011. The increase was attributable to increased costs for personnel, network services, referral fees and stock-based compensation. As a percentage of revenues, cost of revenues was 27% for the three months ended March 31, 2012, compared to 26% for the same period in 2011. Going forward, we anticipate that cost of revenues will continue to increase in absolute dollars as we build our business.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March 31, 2012 increased $1.3 million, or 26%, to $6.4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$5.1 million for the same period in 2011. The increase in sales and marketing expenses was primarily due to increased personnel costs and higher commissions earned by sales personnel from new business. As a percentage of revenues, sales and marketing expenses were 39% for the three months ended March 31, 2012, compared to 41% for the same period in 2011. As we build our business, we will continue to add resources to our sales and marketing efforts over time, and we expect that these expenses will continue to increase in absolute dollars.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Research and development expenses for the three months ended March 31, 2012 increased $492,000, or 40%, to $1.7</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from $1.2 million for the same period in 2011. The increase in research and development expenses was due primarily to increased personnel costs. As a percentage of revenues, research and development expenses were 11% for the three months ended March 31, 2012, compared to 10% for the same period in 2011. As we enhance and expand our solutions and applications, we expect that research and development expenses will continue to increase in absolute dollars.</w:t>
      </w:r>
    </w:p>
    <w:p>
      <w:pPr>
        <w:spacing w:after="0" w:line="9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2012 increased $733,000, or 30%, to</w:t>
      </w:r>
      <w:r>
        <w:rPr>
          <w:rFonts w:ascii="Arial" w:cs="Arial" w:eastAsia="Arial" w:hAnsi="Arial"/>
          <w:sz w:val="16"/>
          <w:szCs w:val="16"/>
          <w:i w:val="1"/>
          <w:iCs w:val="1"/>
          <w:color w:val="auto"/>
        </w:rPr>
        <w:t xml:space="preserve"> </w:t>
      </w:r>
      <w:r>
        <w:rPr>
          <w:rFonts w:ascii="Arial" w:cs="Arial" w:eastAsia="Arial" w:hAnsi="Arial"/>
          <w:sz w:val="16"/>
          <w:szCs w:val="16"/>
          <w:color w:val="auto"/>
        </w:rPr>
        <w:t>$3.2 million from $2.5 million for the same period in 2011. The increase in general and administrative expenses was primarily due to increased personnel costs, as well as increased stock-based compensation, professional services and credit card processing expenses. As a percentage of revenues, general and administrative expenses were 19% for each of the three months ended March 31, 2012 and 2011. Going forward, we expect that general and administrative expenses will continue to increase in absolute dollars as we build our business.</w:t>
      </w:r>
    </w:p>
    <w:p>
      <w:pPr>
        <w:spacing w:after="0" w:line="1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$260,000 for the three months ended March 31, 2012 related to intangible assets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acquisition of Direct EDI in May 2011. There was no amortization expense for the comparable period in 2011.</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Interest income for the three months ended March 31, 2012 and 2011 was $15,000 and $32,000, respectively. Other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2012 and 2011 was $65,000 and $18,000, respectively.</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$153,000 and $29,000 for the three months ended March 31, 2012 and 2011, respectively. We record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provision for income taxes based on our estimated annual effective tax rate for the year. Our provisions for income taxes included current federal alternative minimum tax expense and current foreign and state income tax expense. In addition, our provision for income taxes for the three months ended March 31, 2012 included deferred tax expense. The increase in income tax expense was primarily due to the reversal of substantially of the valuation allowance on our deferred tax assets in the fourth quarter of 2011 and the subsequent normal tax effect on our pretax income in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color w:val="auto"/>
                <w:w w:val="93"/>
              </w:rPr>
              <w:t>Three Months Ended</w:t>
            </w:r>
          </w:p>
        </w:tc>
      </w:tr>
      <w:tr>
        <w:trPr>
          <w:trHeight w:val="159"/>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3"/>
              <w:spacing w:after="0" w:line="159" w:lineRule="exact"/>
              <w:rPr>
                <w:sz w:val="20"/>
                <w:szCs w:val="20"/>
                <w:color w:val="auto"/>
              </w:rPr>
            </w:pPr>
            <w:r>
              <w:rPr>
                <w:rFonts w:ascii="Arial" w:cs="Arial" w:eastAsia="Arial" w:hAnsi="Arial"/>
                <w:sz w:val="14"/>
                <w:szCs w:val="14"/>
                <w:color w:val="auto"/>
              </w:rPr>
              <w:t>March 31,</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200"/>
              <w:spacing w:after="0"/>
              <w:rPr>
                <w:sz w:val="20"/>
                <w:szCs w:val="20"/>
                <w:color w:val="auto"/>
              </w:rPr>
            </w:pPr>
            <w:r>
              <w:rPr>
                <w:rFonts w:ascii="Arial" w:cs="Arial" w:eastAsia="Arial" w:hAnsi="Arial"/>
                <w:sz w:val="14"/>
                <w:szCs w:val="14"/>
                <w:color w:val="auto"/>
              </w:rPr>
              <w:t>Three Months Ended</w:t>
            </w:r>
          </w:p>
        </w:tc>
      </w:tr>
      <w:tr>
        <w:trPr>
          <w:trHeight w:val="159"/>
        </w:trPr>
        <w:tc>
          <w:tcPr>
            <w:tcW w:w="40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23"/>
              <w:spacing w:after="0" w:line="159" w:lineRule="exact"/>
              <w:rPr>
                <w:sz w:val="20"/>
                <w:szCs w:val="20"/>
                <w:color w:val="auto"/>
              </w:rPr>
            </w:pPr>
            <w:r>
              <w:rPr>
                <w:rFonts w:ascii="Arial" w:cs="Arial" w:eastAsia="Arial" w:hAnsi="Arial"/>
                <w:sz w:val="14"/>
                <w:szCs w:val="14"/>
                <w:color w:val="auto"/>
                <w:w w:val="86"/>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Non-GAAP income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used to compute non-GAAP income per share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Basic</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12,163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11,864</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13,185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12,698</w:t>
            </w:r>
          </w:p>
        </w:tc>
        <w:tc>
          <w:tcPr>
            <w:tcW w:w="100" w:type="dxa"/>
            <w:vAlign w:val="bottom"/>
            <w:shd w:val="clear" w:color="auto" w:fill="CCEEFF"/>
          </w:tcPr>
          <w:p>
            <w:pPr>
              <w:spacing w:after="0"/>
              <w:rPr>
                <w:sz w:val="18"/>
                <w:szCs w:val="18"/>
                <w:color w:val="auto"/>
              </w:rPr>
            </w:pPr>
          </w:p>
        </w:tc>
      </w:tr>
      <w:tr>
        <w:trPr>
          <w:trHeight w:val="323"/>
        </w:trPr>
        <w:tc>
          <w:tcPr>
            <w:tcW w:w="400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2860" w:type="dxa"/>
            <w:vAlign w:val="bottom"/>
          </w:tcPr>
          <w:p>
            <w:pPr>
              <w:jc w:val="right"/>
              <w:ind w:right="235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March 31, 2012, our principal sources of liquidity were cash and cash equivalents of $33.1 million and accounts receivable, net of allowance for doubtful accounts, of $8.0 million. Our working capital at March 31, 2012 was $38.6 million compared to $36.8 million at December 31, 2011. The increase in working capital from December 31, 2011 to March 31, 2012 resulted primarily from the following:</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$1.1 million increase in cash and cash equivalents, due primarily to cash provided by operations, slightly offset by cash used for capital expenditures;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$337,000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$131,000 increase in prepaid expenses and other current assets, primarily related to prepaid service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$171,000 decrease in accounts payable, primarily due to timing of payments;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$570,000 decrease in accrued compensation and benefits, due payments made in early 2012 for bonuses accrued as of December 31, 2011 slightly offset by an increase in salary accruals;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$214,000 increase in accrued expenses and other current liabilities, primarily due to an increase in accruals for professional services;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$237,000 increase in deferred revenue, current, due to new business for the three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cash provided by operating activities was $1.6 million for the three months ended March 31, 2012 compared to $560,000 for the same period in 2011. The $236,000 decrease in net income was more than offset by the changes in non-cash expenses, including increased amortization and stock-based compensation, and the changes in working capital accounts discussed above, resulting in the overall increase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Net cash used in investing activities was $630,000 for the three months ended March 31, 2012 and $488,000 for the same period in 2011, all for capital expenditures. Our capital expenditures are for supporting our business growth and existing customer base, as well as for our internal use such as equipment for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cash provided by financing activities was $104,000 for the three months ended March 31, 2012, representing the proceeds and excess tax benefit from the exercise of stock options. Net cash used in financing activities was $98,000 for the three months ended March 31, 2011, representing repayments of capital lease obligations slightly offset by proceeds from the exercise of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March 31, 2012 and we were in compliance with all covenants under the revolving credit agreement as of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2012.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March 31, 2012. We therefore do not have any material risk to interest rate fluctuations unless we borrow under our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2012 that have materially affected, or are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2011 as filed with the Securities and Exchange Commission on March 9, 2012.</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8, 2012</w:t>
      </w:r>
      <w:r>
        <w:rPr>
          <w:sz w:val="20"/>
          <w:szCs w:val="20"/>
          <w:color w:val="auto"/>
        </w:rPr>
        <w:tab/>
      </w:r>
      <w:r>
        <w:rPr>
          <w:rFonts w:ascii="Arial" w:cs="Arial" w:eastAsia="Arial" w:hAnsi="Arial"/>
          <w:sz w:val="16"/>
          <w:szCs w:val="16"/>
          <w:b w:val="1"/>
          <w:bCs w:val="1"/>
          <w:color w:val="auto"/>
        </w:rPr>
        <w:t>SPS COMMERCE,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240" w:top="459"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460" w:type="dxa"/>
            <w:vAlign w:val="bottom"/>
          </w:tcPr>
          <w:p>
            <w:pPr>
              <w:jc w:val="center"/>
              <w:spacing w:after="0"/>
              <w:rPr>
                <w:sz w:val="20"/>
                <w:szCs w:val="20"/>
                <w:color w:val="auto"/>
              </w:rPr>
            </w:pPr>
            <w:r>
              <w:rPr>
                <w:rFonts w:ascii="Arial" w:cs="Arial" w:eastAsia="Arial" w:hAnsi="Arial"/>
                <w:sz w:val="14"/>
                <w:szCs w:val="14"/>
                <w:i w:val="1"/>
                <w:iCs w:val="1"/>
                <w:color w:val="auto"/>
                <w:w w:val="95"/>
              </w:rPr>
              <w:t>Exhibit</w:t>
            </w:r>
          </w:p>
        </w:tc>
        <w:tc>
          <w:tcPr>
            <w:tcW w:w="56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i w:val="1"/>
                <w:iCs w:val="1"/>
                <w:color w:val="auto"/>
                <w:w w:val="88"/>
              </w:rPr>
              <w:t>Number</w:t>
            </w:r>
          </w:p>
        </w:tc>
        <w:tc>
          <w:tcPr>
            <w:tcW w:w="560" w:type="dxa"/>
            <w:vAlign w:val="bottom"/>
          </w:tcPr>
          <w:p>
            <w:pPr>
              <w:spacing w:after="0"/>
              <w:rPr>
                <w:sz w:val="13"/>
                <w:szCs w:val="13"/>
                <w:color w:val="auto"/>
              </w:rPr>
            </w:pPr>
          </w:p>
        </w:tc>
        <w:tc>
          <w:tcPr>
            <w:tcW w:w="10400" w:type="dxa"/>
            <w:vAlign w:val="bottom"/>
          </w:tcPr>
          <w:p>
            <w:pPr>
              <w:spacing w:after="0" w:line="159" w:lineRule="exact"/>
              <w:rPr>
                <w:sz w:val="20"/>
                <w:szCs w:val="20"/>
                <w:color w:val="auto"/>
              </w:rPr>
            </w:pPr>
            <w:r>
              <w:rPr>
                <w:rFonts w:ascii="Arial" w:cs="Arial" w:eastAsia="Arial" w:hAnsi="Arial"/>
                <w:sz w:val="14"/>
                <w:szCs w:val="14"/>
                <w:i w:val="1"/>
                <w:i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56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400" w:type="dxa"/>
            <w:vAlign w:val="bottom"/>
          </w:tcPr>
          <w:p>
            <w:pPr>
              <w:spacing w:after="0" w:line="189" w:lineRule="exact"/>
              <w:rPr>
                <w:sz w:val="20"/>
                <w:szCs w:val="20"/>
                <w:color w:val="auto"/>
              </w:rPr>
            </w:pPr>
            <w:r>
              <w:rPr>
                <w:rFonts w:ascii="Arial" w:cs="Arial" w:eastAsia="Arial" w:hAnsi="Arial"/>
                <w:sz w:val="18"/>
                <w:szCs w:val="18"/>
                <w:color w:val="auto"/>
                <w:w w:val="94"/>
              </w:rPr>
              <w:t>Standard Form Office Lease, dated February 14, 2012, by and between the registrant and CSDV-MN Limited Partnership (incorporated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reference to Exhibit 10.1 to the registrant’s Current Report on Form 8-K filed with the Commission on February 17, 2012 (File No. 001-34702)).</w:t>
            </w:r>
          </w:p>
        </w:tc>
        <w:tc>
          <w:tcPr>
            <w:tcW w:w="0" w:type="dxa"/>
            <w:vAlign w:val="bottom"/>
          </w:tcPr>
          <w:p>
            <w:pPr>
              <w:spacing w:after="0"/>
              <w:rPr>
                <w:sz w:val="1"/>
                <w:szCs w:val="1"/>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Form of Incentive Stock Option Agreement under 2010 Equity Incentive Plan (incorporated by reference to Exhibit 10.2 to the registrant’s Current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Report on Form 8-K filed with the Commission on February 17, 2012 (File No. 001-34702)).</w:t>
            </w:r>
          </w:p>
        </w:tc>
        <w:tc>
          <w:tcPr>
            <w:tcW w:w="0" w:type="dxa"/>
            <w:vAlign w:val="bottom"/>
          </w:tcPr>
          <w:p>
            <w:pPr>
              <w:spacing w:after="0"/>
              <w:rPr>
                <w:sz w:val="1"/>
                <w:szCs w:val="1"/>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Form of Non-Statutory Stock Option Agreement (Employee) under 2010 Equity Incentive Plan (incorporated by reference to Exhibit 10.3 to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registrant’s Current Report on Form 8-K filed with the Commission on February 17, 2012 (File No. 001-34702)).</w:t>
            </w:r>
          </w:p>
        </w:tc>
        <w:tc>
          <w:tcPr>
            <w:tcW w:w="0" w:type="dxa"/>
            <w:vAlign w:val="bottom"/>
          </w:tcPr>
          <w:p>
            <w:pPr>
              <w:spacing w:after="0"/>
              <w:rPr>
                <w:sz w:val="1"/>
                <w:szCs w:val="1"/>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Form of Non-Statutory Stock Option Agreement (Director) under 2010 Equity Incentive Plan (incorporated by reference to Exhibit 10.4 to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registrant’s Current Report on Form 8-K filed with the Commission on February 17, 2012 (File No. 001-34702)).</w:t>
            </w:r>
          </w:p>
        </w:tc>
        <w:tc>
          <w:tcPr>
            <w:tcW w:w="0" w:type="dxa"/>
            <w:vAlign w:val="bottom"/>
          </w:tcPr>
          <w:p>
            <w:pPr>
              <w:spacing w:after="0"/>
              <w:rPr>
                <w:sz w:val="1"/>
                <w:szCs w:val="1"/>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Form of Restricted Stock Unit Award Agreement under 2010 Equity Incentive Plan (incorporated by reference to Exhibit 10.5 to the registrant’s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Current Report on Form 8-K filed with the Commission on February 17, 2012 (File No. 001-34702)).</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Restricted Stock Award Agreement under 2010 Equity Incentive Plan (filed herewith).</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Certification of Principal Executive Officer pursuant to Rules 13a-14(a) under the Securities Exchange Act of 1934, as amended (filed herewith).</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Rules 13a-14(a) under the Securities Exchange Act of 1934, as amended (filed herewith).</w:t>
            </w:r>
          </w:p>
        </w:tc>
        <w:tc>
          <w:tcPr>
            <w:tcW w:w="0" w:type="dxa"/>
            <w:vAlign w:val="bottom"/>
          </w:tcPr>
          <w:p>
            <w:pPr>
              <w:spacing w:after="0"/>
              <w:rPr>
                <w:sz w:val="1"/>
                <w:szCs w:val="1"/>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 1350, as adopted pursuant to Section 906 of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10.6</w:t>
      </w:r>
    </w:p>
    <w:p>
      <w:pPr>
        <w:spacing w:after="0" w:line="9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2010 Equity Incentive Plan (Director)</w:t>
      </w:r>
    </w:p>
    <w:p>
      <w:pPr>
        <w:spacing w:after="0" w:line="16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SPS Commerce, Inc. (the “Company”), pursuant to its 2010 Equity Incentive Plan (the “Plan”), hereby grants an award of Restricted Stock to you, the Participant named below. The terms and conditions of this Restricted Stock Award are set forth in this Restricted Stock Award Agreement (the “Agreement”), consisting of this cover page and the Terms and Conditions on the following pages, and in the Plan document, a copy of which has been provided to you. To the extent any capitalized term used in this Agreement is not defined, it shall have the meaning assigned to it in the Plan as it currently exists or as it is amended in the future.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gridSpan w:val="3"/>
          </w:tcPr>
          <w:p>
            <w:pPr>
              <w:spacing w:after="0"/>
              <w:rPr>
                <w:sz w:val="20"/>
                <w:szCs w:val="20"/>
                <w:color w:val="auto"/>
              </w:rPr>
            </w:pPr>
            <w:r>
              <w:rPr>
                <w:rFonts w:ascii="Arial" w:cs="Arial" w:eastAsia="Arial" w:hAnsi="Arial"/>
                <w:sz w:val="18"/>
                <w:szCs w:val="18"/>
                <w:color w:val="auto"/>
              </w:rPr>
              <w:t>Name of Participant:**[</w:t>
            </w:r>
          </w:p>
        </w:tc>
        <w:tc>
          <w:tcPr>
            <w:tcW w:w="460" w:type="dxa"/>
            <w:vAlign w:val="bottom"/>
          </w:tcPr>
          <w:p>
            <w:pPr>
              <w:spacing w:after="0"/>
              <w:rPr>
                <w:sz w:val="19"/>
                <w:szCs w:val="19"/>
                <w:color w:val="auto"/>
              </w:rPr>
            </w:pPr>
          </w:p>
        </w:tc>
        <w:tc>
          <w:tcPr>
            <w:tcW w:w="4180" w:type="dxa"/>
            <w:vAlign w:val="bottom"/>
          </w:tcPr>
          <w:p>
            <w:pPr>
              <w:jc w:val="right"/>
              <w:ind w:right="3892"/>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24"/>
        </w:trPr>
        <w:tc>
          <w:tcPr>
            <w:tcW w:w="3260" w:type="dxa"/>
            <w:vAlign w:val="bottom"/>
            <w:gridSpan w:val="3"/>
          </w:tcPr>
          <w:p>
            <w:pPr>
              <w:spacing w:after="0"/>
              <w:rPr>
                <w:sz w:val="20"/>
                <w:szCs w:val="20"/>
                <w:color w:val="auto"/>
              </w:rPr>
            </w:pPr>
            <w:r>
              <w:rPr>
                <w:rFonts w:ascii="Arial" w:cs="Arial" w:eastAsia="Arial" w:hAnsi="Arial"/>
                <w:sz w:val="18"/>
                <w:szCs w:val="18"/>
                <w:color w:val="auto"/>
                <w:w w:val="97"/>
              </w:rPr>
              <w:t>Number of Shares of Restricted Stock: **[</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60" w:type="dxa"/>
            <w:vAlign w:val="bottom"/>
            <w:gridSpan w:val="2"/>
          </w:tcPr>
          <w:p>
            <w:pPr>
              <w:ind w:left="4180"/>
              <w:spacing w:after="0"/>
              <w:rPr>
                <w:sz w:val="20"/>
                <w:szCs w:val="20"/>
                <w:color w:val="auto"/>
              </w:rPr>
            </w:pPr>
            <w:r>
              <w:rPr>
                <w:rFonts w:ascii="Arial" w:cs="Arial" w:eastAsia="Arial" w:hAnsi="Arial"/>
                <w:sz w:val="18"/>
                <w:szCs w:val="18"/>
                <w:color w:val="auto"/>
              </w:rPr>
              <w:t>Grant Date:</w:t>
            </w:r>
          </w:p>
        </w:tc>
        <w:tc>
          <w:tcPr>
            <w:tcW w:w="1400" w:type="dxa"/>
            <w:vAlign w:val="bottom"/>
          </w:tcPr>
          <w:p>
            <w:pPr>
              <w:jc w:val="right"/>
              <w:ind w:right="592"/>
              <w:spacing w:after="0"/>
              <w:rPr>
                <w:sz w:val="20"/>
                <w:szCs w:val="20"/>
                <w:color w:val="auto"/>
              </w:rPr>
            </w:pPr>
            <w:r>
              <w:rPr>
                <w:rFonts w:ascii="Arial" w:cs="Arial" w:eastAsia="Arial" w:hAnsi="Arial"/>
                <w:sz w:val="18"/>
                <w:szCs w:val="18"/>
                <w:color w:val="auto"/>
              </w:rPr>
              <w:t>, 20</w:t>
            </w:r>
          </w:p>
        </w:tc>
      </w:tr>
      <w:tr>
        <w:trPr>
          <w:trHeight w:val="324"/>
        </w:trPr>
        <w:tc>
          <w:tcPr>
            <w:tcW w:w="3260" w:type="dxa"/>
            <w:vAlign w:val="bottom"/>
            <w:gridSpan w:val="3"/>
          </w:tcPr>
          <w:p>
            <w:pPr>
              <w:spacing w:after="0"/>
              <w:rPr>
                <w:sz w:val="20"/>
                <w:szCs w:val="20"/>
                <w:color w:val="auto"/>
              </w:rPr>
            </w:pPr>
            <w:r>
              <w:rPr>
                <w:rFonts w:ascii="Arial" w:cs="Arial" w:eastAsia="Arial" w:hAnsi="Arial"/>
                <w:sz w:val="18"/>
                <w:szCs w:val="18"/>
                <w:color w:val="auto"/>
              </w:rPr>
              <w:t>Vesting Schedule:</w:t>
            </w:r>
          </w:p>
        </w:tc>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6"/>
        </w:trPr>
        <w:tc>
          <w:tcPr>
            <w:tcW w:w="15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5"/>
              </w:rPr>
              <w:t>Vesting Dates</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3"/>
          </w:tcPr>
          <w:p>
            <w:pPr>
              <w:ind w:left="4180"/>
              <w:spacing w:after="0"/>
              <w:rPr>
                <w:sz w:val="20"/>
                <w:szCs w:val="20"/>
                <w:color w:val="auto"/>
              </w:rPr>
            </w:pPr>
            <w:r>
              <w:rPr>
                <w:rFonts w:ascii="Arial" w:cs="Arial" w:eastAsia="Arial" w:hAnsi="Arial"/>
                <w:sz w:val="18"/>
                <w:szCs w:val="18"/>
                <w:color w:val="auto"/>
                <w:w w:val="86"/>
              </w:rPr>
              <w:t>Number of Restricted Shares that Vest</w:t>
            </w:r>
          </w:p>
        </w:tc>
      </w:tr>
      <w:tr>
        <w:trPr>
          <w:trHeight w:val="20"/>
        </w:trPr>
        <w:tc>
          <w:tcPr>
            <w:tcW w:w="1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8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Shares of Restricted Stock specified in the table above.</w:t>
      </w:r>
    </w:p>
    <w:p>
      <w:pPr>
        <w:spacing w:after="0" w:line="26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SPS COMMERCE, INC.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SPS Commerce, Inc.</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2010 Equity Incentive Plan</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Restricted Stock Award Agreement</w:t>
      </w:r>
    </w:p>
    <w:p>
      <w:pPr>
        <w:spacing w:after="0" w:line="15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90" w:lineRule="exact"/>
        <w:rPr>
          <w:sz w:val="20"/>
          <w:szCs w:val="20"/>
          <w:color w:val="auto"/>
        </w:rPr>
      </w:pPr>
    </w:p>
    <w:p>
      <w:pPr>
        <w:ind w:left="452" w:right="40" w:hanging="452"/>
        <w:spacing w:after="0" w:line="25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color w:val="auto"/>
        </w:rPr>
        <w:t>. The Company hereby grants to you, as of the Grant Date specified on the cover page of this Agreement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in this Agreement and the Plan, an Award of the number of Shares of Restricted Stock specified on the cover page of this Agreement. Unless and until these Shares vest as provided in Section 4 below, they are subject to the restrictions provided for in Section 3 of this Agreement and are referred to as “Restricted Shares.”</w:t>
      </w:r>
    </w:p>
    <w:p>
      <w:pPr>
        <w:spacing w:after="0" w:line="55" w:lineRule="exact"/>
        <w:rPr>
          <w:rFonts w:ascii="Arial" w:cs="Arial" w:eastAsia="Arial" w:hAnsi="Arial"/>
          <w:sz w:val="18"/>
          <w:szCs w:val="18"/>
          <w:color w:val="auto"/>
        </w:rPr>
      </w:pPr>
    </w:p>
    <w:p>
      <w:pPr>
        <w:jc w:val="both"/>
        <w:ind w:left="452" w:right="40" w:hanging="452"/>
        <w:spacing w:after="0" w:line="262"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Restricted Shares</w:t>
      </w:r>
      <w:r>
        <w:rPr>
          <w:rFonts w:ascii="Arial" w:cs="Arial" w:eastAsia="Arial" w:hAnsi="Arial"/>
          <w:sz w:val="18"/>
          <w:szCs w:val="18"/>
          <w:color w:val="auto"/>
        </w:rPr>
        <w:t>. Until the Restricted Shares vest as provided in Section 4, the Restricted Shares will be evidenced either by a book-entry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name with the Company’s transfer agent or by one or more stock certificates issued in your name. Any such stock certificate(s) will be deposited with the Company or its designee and will bear the following legend:</w:t>
      </w:r>
    </w:p>
    <w:p>
      <w:pPr>
        <w:spacing w:after="0" w:line="57" w:lineRule="exact"/>
        <w:rPr>
          <w:sz w:val="20"/>
          <w:szCs w:val="20"/>
          <w:color w:val="auto"/>
        </w:rPr>
      </w:pPr>
    </w:p>
    <w:p>
      <w:pPr>
        <w:ind w:left="912"/>
        <w:spacing w:after="0" w:line="256" w:lineRule="auto"/>
        <w:rPr>
          <w:sz w:val="20"/>
          <w:szCs w:val="20"/>
          <w:color w:val="auto"/>
        </w:rPr>
      </w:pPr>
      <w:r>
        <w:rPr>
          <w:rFonts w:ascii="Arial" w:cs="Arial" w:eastAsia="Arial" w:hAnsi="Arial"/>
          <w:sz w:val="18"/>
          <w:szCs w:val="18"/>
          <w:color w:val="auto"/>
        </w:rPr>
        <w:t>“This Certificate and the shares of stock evidenced hereby are subject to the terms and conditions (including possible forfeiture and restrictions on transfer) contained in the Restricted Stock Award Agreement (the “Agreement”) between the registered owner of the shares evidenced hereby and the Company. Release from such terms and conditions shall be made only in accordance with the provisions of the Agreement, a copy of which is on file in the office of the Company’s Secretary.”</w:t>
      </w:r>
    </w:p>
    <w:p>
      <w:pPr>
        <w:spacing w:after="0" w:line="62"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Any book-entry will be accompanied by a similar legend and shall be subject to such stop-transfer orders and other restrictions as the Company may deem advisable. Simultaneously with the execution and delivery of this Agreement, you shall deliver to the Company one or more stock powers endorsed in blank relating to the Restricted Shares.</w:t>
      </w:r>
    </w:p>
    <w:p>
      <w:pPr>
        <w:spacing w:after="0" w:line="53" w:lineRule="exact"/>
        <w:rPr>
          <w:sz w:val="20"/>
          <w:szCs w:val="20"/>
          <w:color w:val="auto"/>
        </w:rPr>
      </w:pPr>
    </w:p>
    <w:p>
      <w:pPr>
        <w:ind w:left="452" w:right="40" w:hanging="452"/>
        <w:spacing w:after="0" w:line="296"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Restrictions, Possible Forfeiture and Rights as Shareholder</w:t>
      </w:r>
      <w:r>
        <w:rPr>
          <w:rFonts w:ascii="Arial" w:cs="Arial" w:eastAsia="Arial" w:hAnsi="Arial"/>
          <w:sz w:val="16"/>
          <w:szCs w:val="16"/>
          <w:color w:val="auto"/>
        </w:rPr>
        <w:t>. Until the Restricted Shares vest as provided in Section 4, you are not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sell, transfer, assign, pledge or otherwise encumber or dispose of the Restricted Shares, and the Restricted Shares remain subject to possible forfeiture as provided in Section 5. Except as otherwise provided in this Agreement, you are entitled at all times on and after the Grant Date specified on the cover page of this Agreement to all the rights of a shareholder with respect to the Restricted Shares, including the right to vote the Restricted Shares and the right to receive regular cash dividends thereon (subject to applicable tax withholding).</w:t>
      </w:r>
    </w:p>
    <w:p>
      <w:pPr>
        <w:spacing w:after="0" w:line="26" w:lineRule="exact"/>
        <w:rPr>
          <w:rFonts w:ascii="Arial" w:cs="Arial" w:eastAsia="Arial" w:hAnsi="Arial"/>
          <w:sz w:val="16"/>
          <w:szCs w:val="16"/>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Restricted Shares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52" w:right="100"/>
        <w:spacing w:after="0" w:line="370" w:lineRule="auto"/>
        <w:rPr>
          <w:rFonts w:ascii="Arial" w:cs="Arial" w:eastAsia="Arial" w:hAnsi="Arial"/>
          <w:sz w:val="18"/>
          <w:szCs w:val="18"/>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Scheduled Vesting</w:t>
      </w:r>
      <w:r>
        <w:rPr>
          <w:rFonts w:ascii="Arial" w:cs="Arial" w:eastAsia="Arial" w:hAnsi="Arial"/>
          <w:sz w:val="15"/>
          <w:szCs w:val="15"/>
          <w:color w:val="auto"/>
        </w:rPr>
        <w:t>. If you remain a Service Provider to the Company continuously from the Grant Date specified on the cover page of this Agreement, then the Restricted Shares will vest in the number(s) and on the date(s) specified in the Vesting Schedule on the cover page of this Agreement.</w:t>
      </w:r>
    </w:p>
    <w:p>
      <w:pPr>
        <w:spacing w:after="0" w:line="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u w:val="single" w:color="auto"/>
          <w:color w:val="auto"/>
        </w:rPr>
        <w:t>Accelerated Vesting</w:t>
      </w:r>
      <w:r>
        <w:rPr>
          <w:rFonts w:ascii="Arial" w:cs="Arial" w:eastAsia="Arial" w:hAnsi="Arial"/>
          <w:sz w:val="18"/>
          <w:szCs w:val="18"/>
          <w:color w:val="auto"/>
        </w:rPr>
        <w:t>. Notwithstanding Section 4(a), the Restricted Shares will vest in full upon the occurrence of a Change in Control.</w:t>
      </w:r>
    </w:p>
    <w:p>
      <w:pPr>
        <w:spacing w:after="0" w:line="84" w:lineRule="exact"/>
        <w:rPr>
          <w:sz w:val="20"/>
          <w:szCs w:val="20"/>
          <w:color w:val="auto"/>
        </w:rPr>
      </w:pPr>
    </w:p>
    <w:p>
      <w:pPr>
        <w:ind w:left="460" w:right="320" w:hanging="452"/>
        <w:spacing w:after="0" w:line="33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Termination of Service</w:t>
      </w:r>
      <w:r>
        <w:rPr>
          <w:rFonts w:ascii="Arial" w:cs="Arial" w:eastAsia="Arial" w:hAnsi="Arial"/>
          <w:sz w:val="16"/>
          <w:szCs w:val="16"/>
          <w:color w:val="auto"/>
        </w:rPr>
        <w:t>. Except as otherwise provided in accordance with Section 4(b), if you cease to be a Service Provider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Vesting Date(s) specified on the cover page of this Agreement, you will forfeit all unvested Restricted Shares.</w:t>
      </w:r>
    </w:p>
    <w:p>
      <w:pPr>
        <w:spacing w:after="0" w:line="1"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Unrestricted Shares</w:t>
      </w:r>
      <w:r>
        <w:rPr>
          <w:rFonts w:ascii="Arial" w:cs="Arial" w:eastAsia="Arial" w:hAnsi="Arial"/>
          <w:sz w:val="18"/>
          <w:szCs w:val="18"/>
          <w:color w:val="auto"/>
        </w:rPr>
        <w:t>. After any Restricted Shares vest pursuant to Section 4, the Company shall, as soon as practicable, cause to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to you, or to your designated beneficiary or estate in the event of your death, the applicable number of unrestricted Shares. Delivery of the unrestricted Shares shall be effected by the removal of restrictions on the book-entry in the stock register maintained by the Company’s transfer agent with a corresponding notice provided to you, by the electronic delivery of the Shares to a brokerage account you designate, or by delivery to you of a stock certificate without restrictive legend.</w:t>
      </w:r>
    </w:p>
    <w:p>
      <w:pPr>
        <w:spacing w:after="0" w:line="57"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unless you make a proper and timely Section 83(b) election as further described below, then at the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vest, you will be obligated to recognize ordinary income in an amount equal to the Fair Market Value as of the date of vesting of the Restricted Shares then vesting. You will be responsible for all tax obligations that arise as a result of the vesting of Restricted Shares. You understand that, with respect to the grant of this Restricted Stock Award, you may file an election with the Internal Revenue Service, within 30 days of the date of grant, electing pursuant to Section 83(b) of the Internal Revenue Code to be taxed currently on the Fair Market Value of the Restricted Shares as of the Grant Date. You acknowledge that it is your sole responsibility to timely file an election under Section 83(b) of the Code. If you make such an election, you must promptly provide the Company with a copy.</w:t>
      </w:r>
    </w:p>
    <w:p>
      <w:pPr>
        <w:spacing w:after="0" w:line="32" w:lineRule="exact"/>
        <w:rPr>
          <w:rFonts w:ascii="Arial" w:cs="Arial" w:eastAsia="Arial" w:hAnsi="Arial"/>
          <w:sz w:val="16"/>
          <w:szCs w:val="16"/>
          <w:color w:val="auto"/>
        </w:rPr>
      </w:pPr>
    </w:p>
    <w:p>
      <w:pPr>
        <w:ind w:left="460" w:right="260" w:hanging="452"/>
        <w:spacing w:after="0" w:line="30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Plan Document</w:t>
      </w:r>
      <w:r>
        <w:rPr>
          <w:rFonts w:ascii="Arial" w:cs="Arial" w:eastAsia="Arial" w:hAnsi="Arial"/>
          <w:sz w:val="16"/>
          <w:szCs w:val="16"/>
          <w:color w:val="auto"/>
        </w:rPr>
        <w:t>. This Agreement and the Award are subject to all the provisions of the Plan, and to all interpretations,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which may, from time to time, be adopted and promulgated by the Committee pursuant to the Plan. If there is any conflict between the provisions of this Agreement and the Plan, the provisions of the Plan will govern. All decisions and interpretations made by the Committee with regard to any question arising hereunder or under the Plan shall be binding and conclusive upon the Company and you.</w:t>
      </w:r>
    </w:p>
    <w:p>
      <w:pPr>
        <w:spacing w:after="0" w:line="22" w:lineRule="exact"/>
        <w:rPr>
          <w:rFonts w:ascii="Arial" w:cs="Arial" w:eastAsia="Arial" w:hAnsi="Arial"/>
          <w:sz w:val="16"/>
          <w:szCs w:val="16"/>
          <w:color w:val="auto"/>
        </w:rPr>
      </w:pPr>
    </w:p>
    <w:p>
      <w:pPr>
        <w:ind w:left="460" w:right="160" w:hanging="452"/>
        <w:spacing w:after="0" w:line="27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will be interpreted and enforced under the laws of the state of Minnesota (without regard to its conflicts or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w:t>
      </w:r>
    </w:p>
    <w:p>
      <w:pPr>
        <w:spacing w:after="0" w:line="38" w:lineRule="exact"/>
        <w:rPr>
          <w:rFonts w:ascii="Arial" w:cs="Arial" w:eastAsia="Arial" w:hAnsi="Arial"/>
          <w:sz w:val="18"/>
          <w:szCs w:val="18"/>
          <w:color w:val="auto"/>
        </w:rPr>
      </w:pPr>
    </w:p>
    <w:p>
      <w:pPr>
        <w:ind w:left="460" w:right="100" w:hanging="452"/>
        <w:spacing w:after="0" w:line="27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will be binding in all respects on your heirs, representatives, successors and assigns, and on the successors and assigns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38"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Service</w:t>
      </w:r>
      <w:r>
        <w:rPr>
          <w:rFonts w:ascii="Arial" w:cs="Arial" w:eastAsia="Arial" w:hAnsi="Arial"/>
          <w:sz w:val="18"/>
          <w:szCs w:val="18"/>
          <w:color w:val="auto"/>
        </w:rPr>
        <w:t>. Neither this Agreement nor the Award gives you a right to continued Service with the Company, nor interfere in any way with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terminate such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signing the cover page of this Agreement, you agree to all the terms and conditions described above and in the Plan document.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right="2400" w:firstLine="2391"/>
        <w:spacing w:after="0" w:line="347"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2019-12-09T14:05:42Z</dcterms:created>
  <dcterms:modified xsi:type="dcterms:W3CDTF">2019-12-09T14:05:42Z</dcterms:modified>
</cp:coreProperties>
</file>