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80" w:hanging="452"/>
        <w:spacing w:after="0" w:line="23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48"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3923030</wp:posOffset>
            </wp:positionH>
            <wp:positionV relativeFrom="paragraph">
              <wp:posOffset>-7620</wp:posOffset>
            </wp:positionV>
            <wp:extent cx="837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001-34702</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30480</wp:posOffset>
            </wp:positionV>
            <wp:extent cx="574675" cy="574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467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ectPr>
          <w:pgSz w:w="11900" w:h="16838" w:orient="portrait"/>
          <w:cols w:equalWidth="0" w:num="1">
            <w:col w:w="11240"/>
          </w:cols>
          <w:pgMar w:left="320" w:top="206" w:right="339" w:bottom="1440" w:gutter="0" w:footer="0" w:header="0"/>
        </w:sectPr>
      </w:pPr>
    </w:p>
    <w:p>
      <w:pPr>
        <w:spacing w:after="0" w:line="127"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41-2015127</w:t>
      </w:r>
    </w:p>
    <w:p>
      <w:pPr>
        <w:spacing w:after="0" w:line="31" w:lineRule="exact"/>
        <w:rPr>
          <w:sz w:val="24"/>
          <w:szCs w:val="24"/>
          <w:color w:val="auto"/>
        </w:rPr>
      </w:pPr>
    </w:p>
    <w:p>
      <w:pPr>
        <w:sectPr>
          <w:pgSz w:w="11900" w:h="16838" w:orient="portrait"/>
          <w:cols w:equalWidth="0" w:num="2">
            <w:col w:w="7280" w:space="720"/>
            <w:col w:w="3240"/>
          </w:cols>
          <w:pgMar w:left="320" w:top="206" w:right="339" w:bottom="1440" w:gutter="0" w:footer="0" w:header="0"/>
          <w:type w:val="continuous"/>
        </w:sectPr>
      </w:pPr>
    </w:p>
    <w:p>
      <w:pPr>
        <w:spacing w:after="0" w:line="19" w:lineRule="exact"/>
        <w:rPr>
          <w:sz w:val="24"/>
          <w:szCs w:val="24"/>
          <w:color w:val="auto"/>
        </w:rPr>
      </w:pPr>
    </w:p>
    <w:p>
      <w:pPr>
        <w:ind w:left="1960"/>
        <w:spacing w:after="0"/>
        <w:rPr>
          <w:sz w:val="20"/>
          <w:szCs w:val="20"/>
          <w:color w:val="auto"/>
        </w:rPr>
      </w:pPr>
      <w:r>
        <w:rPr>
          <w:rFonts w:ascii="Arial" w:cs="Arial" w:eastAsia="Arial" w:hAnsi="Arial"/>
          <w:sz w:val="12"/>
          <w:szCs w:val="12"/>
          <w:b w:val="1"/>
          <w:bCs w:val="1"/>
          <w:i w:val="1"/>
          <w:iCs w:val="1"/>
          <w:color w:val="auto"/>
        </w:rPr>
        <w:t>(State or other jurisdiction of</w:t>
      </w:r>
    </w:p>
    <w:p>
      <w:pPr>
        <w:spacing w:after="0" w:line="4" w:lineRule="exact"/>
        <w:rPr>
          <w:sz w:val="24"/>
          <w:szCs w:val="24"/>
          <w:color w:val="auto"/>
        </w:rPr>
      </w:pPr>
    </w:p>
    <w:p>
      <w:pPr>
        <w:ind w:left="1900"/>
        <w:spacing w:after="0"/>
        <w:rPr>
          <w:sz w:val="20"/>
          <w:szCs w:val="20"/>
          <w:color w:val="auto"/>
        </w:rPr>
      </w:pPr>
      <w:r>
        <w:rPr>
          <w:rFonts w:ascii="Arial" w:cs="Arial" w:eastAsia="Arial" w:hAnsi="Arial"/>
          <w:sz w:val="12"/>
          <w:szCs w:val="12"/>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Arial" w:cs="Arial" w:eastAsia="Arial" w:hAnsi="Arial"/>
          <w:sz w:val="14"/>
          <w:szCs w:val="14"/>
          <w:b w:val="1"/>
          <w:bCs w:val="1"/>
          <w:i w:val="1"/>
          <w:iCs w:val="1"/>
          <w:color w:val="auto"/>
        </w:rPr>
        <w:t>(I.R.S. Employer</w:t>
      </w:r>
    </w:p>
    <w:p>
      <w:pPr>
        <w:jc w:val="center"/>
        <w:ind w:right="2260"/>
        <w:spacing w:after="0"/>
        <w:rPr>
          <w:sz w:val="20"/>
          <w:szCs w:val="20"/>
          <w:color w:val="auto"/>
        </w:rPr>
      </w:pPr>
      <w:r>
        <w:rPr>
          <w:rFonts w:ascii="Arial" w:cs="Arial" w:eastAsia="Arial" w:hAnsi="Arial"/>
          <w:sz w:val="13"/>
          <w:szCs w:val="13"/>
          <w:b w:val="1"/>
          <w:bCs w:val="1"/>
          <w:i w:val="1"/>
          <w:iCs w:val="1"/>
          <w:color w:val="auto"/>
        </w:rPr>
        <w:t>Identification No.)</w:t>
      </w:r>
    </w:p>
    <w:p>
      <w:pPr>
        <w:spacing w:after="0" w:line="109" w:lineRule="exact"/>
        <w:rPr>
          <w:sz w:val="24"/>
          <w:szCs w:val="24"/>
          <w:color w:val="auto"/>
        </w:rPr>
      </w:pPr>
    </w:p>
    <w:p>
      <w:pPr>
        <w:sectPr>
          <w:pgSz w:w="11900" w:h="16838" w:orient="portrait"/>
          <w:cols w:equalWidth="0" w:num="2">
            <w:col w:w="7160" w:space="720"/>
            <w:col w:w="3360"/>
          </w:cols>
          <w:pgMar w:left="320" w:top="206"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333 South Seventh Street, Suite 1000, Minneapolis, MN 55402</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(Address of principal executive offices, including Zip Code)</w:t>
      </w:r>
    </w:p>
    <w:p>
      <w:pPr>
        <w:sectPr>
          <w:pgSz w:w="11900" w:h="16838" w:orient="portrait"/>
          <w:cols w:equalWidth="0" w:num="1">
            <w:col w:w="11240"/>
          </w:cols>
          <w:pgMar w:left="320" w:top="206" w:right="339" w:bottom="1440" w:gutter="0" w:footer="0" w:header="0"/>
          <w:type w:val="continuous"/>
        </w:sectPr>
      </w:pP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Trading Symbol</w:t>
            </w:r>
          </w:p>
        </w:tc>
        <w:tc>
          <w:tcPr>
            <w:tcW w:w="4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360" w:type="dxa"/>
            <w:vAlign w:val="bottom"/>
            <w:gridSpan w:val="2"/>
            <w:vMerge w:val="continue"/>
          </w:tcPr>
          <w:p>
            <w:pPr>
              <w:spacing w:after="0"/>
              <w:rPr>
                <w:sz w:val="14"/>
                <w:szCs w:val="14"/>
                <w:color w:val="auto"/>
              </w:rPr>
            </w:pPr>
          </w:p>
        </w:tc>
        <w:tc>
          <w:tcPr>
            <w:tcW w:w="4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$0.001 per share</w:t>
            </w:r>
          </w:p>
        </w:tc>
        <w:tc>
          <w:tcPr>
            <w:tcW w:w="12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SPSC</w:t>
            </w:r>
          </w:p>
        </w:tc>
        <w:tc>
          <w:tcPr>
            <w:tcW w:w="120" w:type="dxa"/>
            <w:vAlign w:val="bottom"/>
          </w:tcPr>
          <w:p>
            <w:pPr>
              <w:spacing w:after="0"/>
              <w:rPr>
                <w:sz w:val="15"/>
                <w:szCs w:val="15"/>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 (Nasdaq Global Market)</w:t>
            </w:r>
          </w:p>
        </w:tc>
        <w:tc>
          <w:tcPr>
            <w:tcW w:w="0" w:type="dxa"/>
            <w:vAlign w:val="bottom"/>
          </w:tcPr>
          <w:p>
            <w:pPr>
              <w:spacing w:after="0"/>
              <w:rPr>
                <w:sz w:val="1"/>
                <w:szCs w:val="1"/>
                <w:color w:val="auto"/>
              </w:rPr>
            </w:pPr>
          </w:p>
        </w:tc>
      </w:tr>
    </w:tbl>
    <w:p>
      <w:pPr>
        <w:spacing w:after="0" w:line="78" w:lineRule="exact"/>
        <w:rPr>
          <w:sz w:val="24"/>
          <w:szCs w:val="24"/>
          <w:color w:val="auto"/>
        </w:rPr>
      </w:pPr>
    </w:p>
    <w:p>
      <w:pPr>
        <w:jc w:val="both"/>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3"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94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94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5060" w:type="dxa"/>
            <w:vAlign w:val="bottom"/>
          </w:tcPr>
          <w:p>
            <w:pPr>
              <w:ind w:left="294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2580"/>
        <w:spacing w:after="0" w:line="27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of the registrant’s common stock, par value $0.001 per share, outstanding at April 21, 2022 was 36,095,129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type w:val="continuous"/>
        </w:sectPr>
      </w:pPr>
    </w:p>
    <w:bookmarkStart w:id="1" w:name="page2"/>
    <w:bookmarkEnd w:id="1"/>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100" w:type="dxa"/>
            <w:vAlign w:val="bottom"/>
            <w:gridSpan w:val="11"/>
            <w:vMerge w:val="restart"/>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1"/>
        </w:trPr>
        <w:tc>
          <w:tcPr>
            <w:tcW w:w="3080" w:type="dxa"/>
            <w:vAlign w:val="bottom"/>
            <w:tcBorders>
              <w:bottom w:val="single" w:sz="8" w:color="0000EE"/>
            </w:tcBorders>
            <w:gridSpan w:val="9"/>
            <w:vMerge w:val="continue"/>
          </w:tcPr>
          <w:p>
            <w:pPr>
              <w:spacing w:after="0"/>
              <w:rPr>
                <w:sz w:val="15"/>
                <w:szCs w:val="15"/>
                <w:color w:val="auto"/>
              </w:rPr>
            </w:pPr>
          </w:p>
        </w:tc>
        <w:tc>
          <w:tcPr>
            <w:tcW w:w="6100" w:type="dxa"/>
            <w:vAlign w:val="bottom"/>
            <w:gridSpan w:val="11"/>
            <w:vMerge w:val="continue"/>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780" w:type="dxa"/>
            <w:vAlign w:val="bottom"/>
            <w:gridSpan w:val="9"/>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29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5220" w:type="dxa"/>
            <w:vAlign w:val="bottom"/>
            <w:gridSpan w:val="8"/>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81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7"/>
        </w:trPr>
        <w:tc>
          <w:tcPr>
            <w:tcW w:w="102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Stockholders’ Equity</w:t>
              </w:r>
            </w:hyperlink>
          </w:p>
        </w:tc>
        <w:tc>
          <w:tcPr>
            <w:tcW w:w="280" w:type="dxa"/>
            <w:vAlign w:val="bottom"/>
            <w:tcBorders>
              <w:top w:val="single" w:sz="8" w:color="0000EE"/>
            </w:tcBorders>
            <w:gridSpan w:val="3"/>
          </w:tcPr>
          <w:p>
            <w:pPr>
              <w:spacing w:after="0"/>
              <w:rPr>
                <w:sz w:val="24"/>
                <w:szCs w:val="24"/>
                <w:color w:val="auto"/>
              </w:rPr>
            </w:pPr>
          </w:p>
        </w:tc>
        <w:tc>
          <w:tcPr>
            <w:tcW w:w="3580" w:type="dxa"/>
            <w:vAlign w:val="bottom"/>
            <w:gridSpan w:val="2"/>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37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4440" w:type="dxa"/>
            <w:vAlign w:val="bottom"/>
            <w:gridSpan w:val="7"/>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160" w:type="dxa"/>
            <w:vAlign w:val="bottom"/>
            <w:gridSpan w:val="6"/>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17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3800" w:type="dxa"/>
            <w:vAlign w:val="bottom"/>
            <w:gridSpan w:val="3"/>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6380" w:type="dxa"/>
            <w:vAlign w:val="bottom"/>
            <w:gridSpan w:val="12"/>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8"/>
        </w:trPr>
        <w:tc>
          <w:tcPr>
            <w:tcW w:w="27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6400" w:type="dxa"/>
            <w:vAlign w:val="bottom"/>
            <w:gridSpan w:val="13"/>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6820" w:type="dxa"/>
            <w:vAlign w:val="bottom"/>
            <w:gridSpan w:val="14"/>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816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816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3820" w:type="dxa"/>
            <w:vAlign w:val="bottom"/>
            <w:gridSpan w:val="4"/>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5840" w:type="dxa"/>
            <w:vAlign w:val="bottom"/>
            <w:gridSpan w:val="10"/>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Other Information</w:t>
              </w:r>
            </w:hyperlink>
          </w:p>
        </w:tc>
        <w:tc>
          <w:tcPr>
            <w:tcW w:w="6840" w:type="dxa"/>
            <w:vAlign w:val="bottom"/>
            <w:gridSpan w:val="15"/>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816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560" w:type="dxa"/>
            <w:vAlign w:val="bottom"/>
            <w:gridSpan w:val="17"/>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180" w:type="dxa"/>
            <w:vAlign w:val="bottom"/>
            <w:gridSpan w:val="20"/>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SIGNATURES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Quarterly Report on Form 10-Q, the words “we,” “us,” “our,” the “Company,” “SPS,” and “SPS Commerce” refer to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205740" cy="20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0"/>
        <w:spacing w:after="0"/>
        <w:tabs>
          <w:tab w:leader="none" w:pos="558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 w:name="page3"/>
    <w:bookmarkEnd w:id="2"/>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 – FINANCIAL INFORMATION</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00AAE5"/>
        </w:rPr>
        <w:t>Item 1.</w:t>
      </w:r>
      <w:r>
        <w:rPr>
          <w:sz w:val="20"/>
          <w:szCs w:val="20"/>
          <w:color w:val="auto"/>
        </w:rPr>
        <w:tab/>
      </w:r>
      <w:r>
        <w:rPr>
          <w:rFonts w:ascii="Arial" w:cs="Arial" w:eastAsia="Arial" w:hAnsi="Arial"/>
          <w:sz w:val="15"/>
          <w:szCs w:val="15"/>
          <w:b w:val="1"/>
          <w:bCs w:val="1"/>
          <w:color w:val="00AAE5"/>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CONDENSED CONSOLIDATED BALANCE SHEETS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 except shares)</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348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center"/>
              <w:ind w:right="520"/>
              <w:spacing w:after="0"/>
              <w:rPr>
                <w:sz w:val="20"/>
                <w:szCs w:val="20"/>
                <w:color w:val="auto"/>
              </w:rPr>
            </w:pPr>
            <w:r>
              <w:rPr>
                <w:rFonts w:ascii="Arial" w:cs="Arial" w:eastAsia="Arial" w:hAnsi="Arial"/>
                <w:sz w:val="16"/>
                <w:szCs w:val="16"/>
                <w:color w:val="auto"/>
                <w:w w:val="93"/>
              </w:rPr>
              <w:t>(unaudited)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203,088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207,552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39,968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49,758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43,065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380"/>
              <w:spacing w:after="0"/>
              <w:rPr>
                <w:sz w:val="20"/>
                <w:szCs w:val="20"/>
                <w:color w:val="auto"/>
              </w:rPr>
            </w:pPr>
            <w:r>
              <w:rPr>
                <w:rFonts w:ascii="Arial" w:cs="Arial" w:eastAsia="Arial" w:hAnsi="Arial"/>
                <w:sz w:val="16"/>
                <w:szCs w:val="16"/>
                <w:color w:val="auto"/>
              </w:rPr>
              <w:t>Allowance for credit losses</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(4,287)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(4,249)</w:t>
            </w:r>
          </w:p>
        </w:tc>
        <w:tc>
          <w:tcPr>
            <w:tcW w:w="0" w:type="dxa"/>
            <w:vAlign w:val="bottom"/>
          </w:tcPr>
          <w:p>
            <w:pPr>
              <w:spacing w:after="0"/>
              <w:rPr>
                <w:sz w:val="1"/>
                <w:szCs w:val="1"/>
                <w:color w:val="auto"/>
              </w:rPr>
            </w:pPr>
          </w:p>
        </w:tc>
      </w:tr>
      <w:tr>
        <w:trPr>
          <w:trHeight w:val="21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38,778</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34,562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Deferred costs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46,710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44,529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22,923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351,467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352,443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32,261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10,248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144,162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143,663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56,158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58,587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Deferred costs, non-current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15,900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assets, non-current</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2,913</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613,308</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615,846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0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4,731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8,330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compensation</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21,930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56,798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Operating lease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4,337</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94,428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102,872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 non-current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Operating lease liabilities, non-current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15,338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16,426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6,898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121,787</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131,587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 $0.001 par value; 5,000,000 shares authorized; 0 shares issued and outstanding</w:t>
            </w:r>
          </w:p>
        </w:tc>
        <w:tc>
          <w:tcPr>
            <w:tcW w:w="24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720" w:type="dxa"/>
            <w:vAlign w:val="bottom"/>
          </w:tcPr>
          <w:p>
            <w:pPr>
              <w:ind w:left="260"/>
              <w:spacing w:after="0"/>
              <w:rPr>
                <w:sz w:val="20"/>
                <w:szCs w:val="20"/>
                <w:color w:val="auto"/>
              </w:rPr>
            </w:pPr>
            <w:r>
              <w:rPr>
                <w:rFonts w:ascii="Arial" w:cs="Arial" w:eastAsia="Arial" w:hAnsi="Arial"/>
                <w:sz w:val="16"/>
                <w:szCs w:val="16"/>
                <w:color w:val="auto"/>
                <w:w w:val="92"/>
              </w:rPr>
              <w:t>Common stock, $0.001 par value; 110,000,000 shares authorized; 38,031,415 and 37,798,610 shares issued; and</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60"/>
              <w:spacing w:after="0"/>
              <w:rPr>
                <w:sz w:val="20"/>
                <w:szCs w:val="20"/>
                <w:color w:val="auto"/>
              </w:rPr>
            </w:pPr>
            <w:r>
              <w:rPr>
                <w:rFonts w:ascii="Arial" w:cs="Arial" w:eastAsia="Arial" w:hAnsi="Arial"/>
                <w:sz w:val="16"/>
                <w:szCs w:val="16"/>
                <w:color w:val="auto"/>
              </w:rPr>
              <w:t>36,120,518 and 36,009,257 shares outstanding, respectively</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Treasury Stock, at cost; 1,910,897 and 1,789,353 shares, respectively</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(100,903)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(85,677)</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442,405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433,258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150,690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138,087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(709)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21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491,521</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484,259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20" w:type="dxa"/>
            <w:vAlign w:val="bottom"/>
          </w:tcPr>
          <w:p>
            <w:pPr>
              <w:ind w:left="74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613,308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615,846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205740"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80"/>
        <w:spacing w:after="0"/>
        <w:tabs>
          <w:tab w:leader="none" w:pos="558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3</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 w:name="page4"/>
    <w:bookmarkEnd w:id="3"/>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CONDENSED CONSOLIDATED STATEMENTS OF COMPREHENSIVE INCOME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 (unaudited)</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105,193</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90,094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35,389</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69,804</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10,701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53,294</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16,510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16,933</w:t>
            </w:r>
          </w:p>
        </w:tc>
        <w:tc>
          <w:tcPr>
            <w:tcW w:w="2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4,330</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12,603</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investments, net of tax of ($1) and ($15)</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Reclassification of loss on investments into earnings, net of tax of $4 and $19</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other comprehensive income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13,341</w:t>
            </w:r>
          </w:p>
        </w:tc>
        <w:tc>
          <w:tcPr>
            <w:tcW w:w="28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income per share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0.34</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36,136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36,989</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20574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80"/>
        <w:spacing w:after="0"/>
        <w:tabs>
          <w:tab w:leader="none" w:pos="558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 w:name="page5"/>
    <w:bookmarkEnd w:id="4"/>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CONDENSED CONSOLIDATED STATEMENTS OF STOCKHOLDERS’ EQUITY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900" w:type="dxa"/>
            <w:vAlign w:val="bottom"/>
            <w:gridSpan w:val="6"/>
          </w:tcPr>
          <w:p>
            <w:pPr>
              <w:ind w:left="380"/>
              <w:spacing w:after="0"/>
              <w:rPr>
                <w:sz w:val="20"/>
                <w:szCs w:val="20"/>
                <w:color w:val="auto"/>
              </w:rPr>
            </w:pPr>
            <w:r>
              <w:rPr>
                <w:rFonts w:ascii="Arial" w:cs="Arial" w:eastAsia="Arial" w:hAnsi="Arial"/>
                <w:sz w:val="14"/>
                <w:szCs w:val="14"/>
                <w:b w:val="1"/>
                <w:bCs w:val="1"/>
                <w:color w:val="auto"/>
              </w:rPr>
              <w:t>Common Stock</w:t>
            </w:r>
          </w:p>
        </w:tc>
        <w:tc>
          <w:tcPr>
            <w:tcW w:w="1700" w:type="dxa"/>
            <w:vAlign w:val="bottom"/>
            <w:gridSpan w:val="5"/>
          </w:tcPr>
          <w:p>
            <w:pPr>
              <w:jc w:val="right"/>
              <w:ind w:right="368"/>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4"/>
                <w:szCs w:val="14"/>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Retained</w:t>
            </w:r>
          </w:p>
        </w:tc>
        <w:tc>
          <w:tcPr>
            <w:tcW w:w="1320" w:type="dxa"/>
            <w:vAlign w:val="bottom"/>
            <w:gridSpan w:val="4"/>
          </w:tcPr>
          <w:p>
            <w:pPr>
              <w:ind w:left="180"/>
              <w:spacing w:after="0"/>
              <w:rPr>
                <w:sz w:val="20"/>
                <w:szCs w:val="20"/>
                <w:color w:val="auto"/>
              </w:rPr>
            </w:pPr>
            <w:r>
              <w:rPr>
                <w:rFonts w:ascii="Arial" w:cs="Arial" w:eastAsia="Arial" w:hAnsi="Arial"/>
                <w:sz w:val="14"/>
                <w:szCs w:val="14"/>
                <w:b w:val="1"/>
                <w:bCs w:val="1"/>
                <w:color w:val="auto"/>
              </w:rPr>
              <w:t>Comprehensive</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36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(in thousands, except shares) (unaudited)</w:t>
            </w:r>
          </w:p>
        </w:tc>
        <w:tc>
          <w:tcPr>
            <w:tcW w:w="82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8"/>
              <w:spacing w:after="0" w:line="155"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Balances, December 31, 2020</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35,487,217</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1,613,250</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(65,247)</w:t>
            </w:r>
          </w:p>
        </w:tc>
        <w:tc>
          <w:tcPr>
            <w:tcW w:w="180" w:type="dxa"/>
            <w:vAlign w:val="bottom"/>
            <w:tcBorders>
              <w:bottom w:val="single" w:sz="8" w:color="CFF0FC"/>
            </w:tcBorders>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393,462</w:t>
            </w:r>
          </w:p>
        </w:tc>
        <w:tc>
          <w:tcPr>
            <w:tcW w:w="340" w:type="dxa"/>
            <w:vAlign w:val="bottom"/>
            <w:tcBorders>
              <w:bottom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93,490</w:t>
            </w:r>
          </w:p>
        </w:tc>
        <w:tc>
          <w:tcPr>
            <w:tcW w:w="36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(1,021)</w:t>
            </w:r>
          </w:p>
        </w:tc>
        <w:tc>
          <w:tcPr>
            <w:tcW w:w="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420,721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66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6,491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Shares issued pursuant to stock awards</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372,746</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2,802</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2,802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60" w:type="dxa"/>
            <w:vAlign w:val="bottom"/>
          </w:tcPr>
          <w:p>
            <w:pPr>
              <w:ind w:left="260"/>
              <w:spacing w:after="0"/>
              <w:rPr>
                <w:sz w:val="20"/>
                <w:szCs w:val="20"/>
                <w:color w:val="auto"/>
              </w:rPr>
            </w:pPr>
            <w:r>
              <w:rPr>
                <w:rFonts w:ascii="Arial" w:cs="Arial" w:eastAsia="Arial" w:hAnsi="Arial"/>
                <w:sz w:val="14"/>
                <w:szCs w:val="14"/>
                <w:color w:val="auto"/>
              </w:rPr>
              <w:t>Employee stock purchase plan activity</w:t>
            </w:r>
          </w:p>
        </w:tc>
        <w:tc>
          <w:tcPr>
            <w:tcW w:w="820" w:type="dxa"/>
            <w:vAlign w:val="bottom"/>
          </w:tcPr>
          <w:p>
            <w:pPr>
              <w:jc w:val="right"/>
              <w:spacing w:after="0"/>
              <w:rPr>
                <w:sz w:val="20"/>
                <w:szCs w:val="20"/>
                <w:color w:val="auto"/>
              </w:rPr>
            </w:pPr>
            <w:r>
              <w:rPr>
                <w:rFonts w:ascii="Arial" w:cs="Arial" w:eastAsia="Arial" w:hAnsi="Arial"/>
                <w:sz w:val="14"/>
                <w:szCs w:val="14"/>
                <w:color w:val="auto"/>
              </w:rPr>
              <w:t>1,621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6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9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10,200</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10,200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60" w:type="dxa"/>
            <w:vAlign w:val="bottom"/>
          </w:tcPr>
          <w:p>
            <w:pPr>
              <w:ind w:left="260"/>
              <w:spacing w:after="0"/>
              <w:rPr>
                <w:sz w:val="20"/>
                <w:szCs w:val="20"/>
                <w:color w:val="auto"/>
              </w:rPr>
            </w:pPr>
            <w:r>
              <w:rPr>
                <w:rFonts w:ascii="Arial" w:cs="Arial" w:eastAsia="Arial" w:hAnsi="Arial"/>
                <w:sz w:val="14"/>
                <w:szCs w:val="14"/>
                <w:color w:val="auto"/>
              </w:rPr>
              <w:t>Foreign currency translation adjustments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loss on investments, net of tax</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(45)</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(45</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3"/>
        </w:trPr>
        <w:tc>
          <w:tcPr>
            <w:tcW w:w="3660" w:type="dxa"/>
            <w:vAlign w:val="bottom"/>
          </w:tcPr>
          <w:p>
            <w:pPr>
              <w:ind w:left="260"/>
              <w:spacing w:after="0" w:line="143" w:lineRule="exact"/>
              <w:rPr>
                <w:sz w:val="20"/>
                <w:szCs w:val="20"/>
                <w:color w:val="auto"/>
              </w:rPr>
            </w:pPr>
            <w:r>
              <w:rPr>
                <w:rFonts w:ascii="Arial" w:cs="Arial" w:eastAsia="Arial" w:hAnsi="Arial"/>
                <w:sz w:val="14"/>
                <w:szCs w:val="14"/>
                <w:color w:val="auto"/>
                <w:w w:val="96"/>
              </w:rPr>
              <w:t>Reclassification of loss on investments into earnings, net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660" w:type="dxa"/>
            <w:vAlign w:val="bottom"/>
            <w:vMerge w:val="restart"/>
          </w:tcPr>
          <w:p>
            <w:pPr>
              <w:ind w:left="260"/>
              <w:spacing w:after="0"/>
              <w:rPr>
                <w:sz w:val="20"/>
                <w:szCs w:val="20"/>
                <w:color w:val="auto"/>
              </w:rPr>
            </w:pPr>
            <w:r>
              <w:rPr>
                <w:rFonts w:ascii="Arial" w:cs="Arial" w:eastAsia="Arial" w:hAnsi="Arial"/>
                <w:sz w:val="14"/>
                <w:szCs w:val="14"/>
                <w:color w:val="auto"/>
              </w:rPr>
              <w:t>of tax</w:t>
            </w:r>
          </w:p>
        </w:tc>
        <w:tc>
          <w:tcPr>
            <w:tcW w:w="9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660" w:type="dxa"/>
            <w:vAlign w:val="bottom"/>
            <w:tcBorders>
              <w:bottom w:val="single" w:sz="8" w:color="CFF0FC"/>
            </w:tcBorders>
            <w:vMerge w:val="continue"/>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0" w:type="dxa"/>
            <w:vAlign w:val="bottom"/>
            <w:tcBorders>
              <w:bottom w:val="single" w:sz="8" w:color="CFF0FC"/>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80" w:type="dxa"/>
            <w:vAlign w:val="bottom"/>
            <w:tcBorders>
              <w:bottom w:val="single" w:sz="8" w:color="CFF0FC"/>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FF0FC"/>
            </w:tcBorders>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0" w:type="dxa"/>
            <w:vAlign w:val="bottom"/>
            <w:tcBorders>
              <w:bottom w:val="single" w:sz="8" w:color="CFF0FC"/>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0" w:type="dxa"/>
            <w:vAlign w:val="bottom"/>
            <w:tcBorders>
              <w:bottom w:val="single" w:sz="8" w:color="CFF0FC"/>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Borders>
              <w:bottom w:val="single" w:sz="8" w:color="CFF0FC"/>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Balances, March 31, 2021</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35,861,584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1,613,250</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(65,247)</w:t>
            </w:r>
          </w:p>
        </w:tc>
        <w:tc>
          <w:tcPr>
            <w:tcW w:w="180" w:type="dxa"/>
            <w:vAlign w:val="bottom"/>
            <w:tcBorders>
              <w:bottom w:val="single" w:sz="8" w:color="CFF0FC"/>
            </w:tcBorders>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402,860</w:t>
            </w:r>
          </w:p>
        </w:tc>
        <w:tc>
          <w:tcPr>
            <w:tcW w:w="340" w:type="dxa"/>
            <w:vAlign w:val="bottom"/>
            <w:tcBorders>
              <w:bottom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103,690</w:t>
            </w:r>
          </w:p>
        </w:tc>
        <w:tc>
          <w:tcPr>
            <w:tcW w:w="36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(817)</w:t>
            </w:r>
          </w:p>
        </w:tc>
        <w:tc>
          <w:tcPr>
            <w:tcW w:w="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440,523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Balances, December 31, 2021</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36,009,257</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2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1,789,353</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(85,677)</w:t>
            </w:r>
          </w:p>
        </w:tc>
        <w:tc>
          <w:tcPr>
            <w:tcW w:w="180" w:type="dxa"/>
            <w:vAlign w:val="bottom"/>
            <w:tcBorders>
              <w:bottom w:val="single" w:sz="8" w:color="CFF0FC"/>
            </w:tcBorders>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433,258</w:t>
            </w:r>
          </w:p>
        </w:tc>
        <w:tc>
          <w:tcPr>
            <w:tcW w:w="340" w:type="dxa"/>
            <w:vAlign w:val="bottom"/>
            <w:tcBorders>
              <w:bottom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138,087</w:t>
            </w:r>
          </w:p>
        </w:tc>
        <w:tc>
          <w:tcPr>
            <w:tcW w:w="36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(1,447)</w:t>
            </w:r>
          </w:p>
        </w:tc>
        <w:tc>
          <w:tcPr>
            <w:tcW w:w="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484,259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Stock-based compensation</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vMerge w:val="continue"/>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8,496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8,496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Shares issued pursuant to stock awards</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231,107</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260"/>
              <w:spacing w:after="0"/>
              <w:rPr>
                <w:sz w:val="20"/>
                <w:szCs w:val="20"/>
                <w:color w:val="auto"/>
              </w:rPr>
            </w:pPr>
            <w:r>
              <w:rPr>
                <w:rFonts w:ascii="Arial" w:cs="Arial" w:eastAsia="Arial" w:hAnsi="Arial"/>
                <w:sz w:val="14"/>
                <w:szCs w:val="14"/>
                <w:color w:val="auto"/>
              </w:rPr>
              <w:t>Employee stock purchase plan activity</w:t>
            </w:r>
          </w:p>
        </w:tc>
        <w:tc>
          <w:tcPr>
            <w:tcW w:w="820" w:type="dxa"/>
            <w:vAlign w:val="bottom"/>
          </w:tcPr>
          <w:p>
            <w:pPr>
              <w:jc w:val="right"/>
              <w:spacing w:after="0"/>
              <w:rPr>
                <w:sz w:val="20"/>
                <w:szCs w:val="20"/>
                <w:color w:val="auto"/>
              </w:rPr>
            </w:pPr>
            <w:r>
              <w:rPr>
                <w:rFonts w:ascii="Arial" w:cs="Arial" w:eastAsia="Arial" w:hAnsi="Arial"/>
                <w:sz w:val="14"/>
                <w:szCs w:val="14"/>
                <w:color w:val="auto"/>
              </w:rPr>
              <w:t>1,698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Repurchases of common stock</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(121,544)</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121,544</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(15,226)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(15,226)</w:t>
            </w:r>
          </w:p>
        </w:tc>
        <w:tc>
          <w:tcPr>
            <w:tcW w:w="0" w:type="dxa"/>
            <w:vAlign w:val="bottom"/>
          </w:tcPr>
          <w:p>
            <w:pPr>
              <w:spacing w:after="0"/>
              <w:rPr>
                <w:sz w:val="1"/>
                <w:szCs w:val="1"/>
                <w:color w:val="auto"/>
              </w:rPr>
            </w:pPr>
          </w:p>
        </w:tc>
      </w:tr>
      <w:tr>
        <w:trPr>
          <w:trHeight w:val="162"/>
        </w:trPr>
        <w:tc>
          <w:tcPr>
            <w:tcW w:w="366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12,603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12,603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 adjustments</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730</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260"/>
              <w:spacing w:after="0"/>
              <w:rPr>
                <w:sz w:val="20"/>
                <w:szCs w:val="20"/>
                <w:color w:val="auto"/>
              </w:rPr>
            </w:pPr>
            <w:r>
              <w:rPr>
                <w:rFonts w:ascii="Arial" w:cs="Arial" w:eastAsia="Arial" w:hAnsi="Arial"/>
                <w:sz w:val="14"/>
                <w:szCs w:val="14"/>
                <w:color w:val="auto"/>
              </w:rPr>
              <w:t>Unrealized loss on investments, net of tax</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3"/>
        </w:trPr>
        <w:tc>
          <w:tcPr>
            <w:tcW w:w="36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6"/>
              </w:rPr>
              <w:t>Reclassification of loss on investments into earnings, net</w:t>
            </w:r>
          </w:p>
        </w:tc>
        <w:tc>
          <w:tcPr>
            <w:tcW w:w="9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660" w:type="dxa"/>
            <w:vAlign w:val="bottom"/>
            <w:vMerge w:val="restart"/>
            <w:shd w:val="clear" w:color="auto" w:fill="CFF0FC"/>
          </w:tcPr>
          <w:p>
            <w:pPr>
              <w:ind w:left="260"/>
              <w:spacing w:after="0"/>
              <w:rPr>
                <w:sz w:val="20"/>
                <w:szCs w:val="20"/>
                <w:color w:val="auto"/>
              </w:rPr>
            </w:pPr>
            <w:r>
              <w:rPr>
                <w:rFonts w:ascii="Arial" w:cs="Arial" w:eastAsia="Arial" w:hAnsi="Arial"/>
                <w:sz w:val="14"/>
                <w:szCs w:val="14"/>
                <w:color w:val="auto"/>
              </w:rPr>
              <w:t>of tax</w:t>
            </w:r>
          </w:p>
        </w:tc>
        <w:tc>
          <w:tcPr>
            <w:tcW w:w="940" w:type="dxa"/>
            <w:vAlign w:val="bottom"/>
            <w:gridSpan w:val="2"/>
            <w:vMerge w:val="continue"/>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20" w:type="dxa"/>
            <w:vAlign w:val="bottom"/>
            <w:gridSpan w:val="2"/>
            <w:vMerge w:val="continue"/>
            <w:shd w:val="clear" w:color="auto" w:fill="CFF0FC"/>
          </w:tcPr>
          <w:p>
            <w:pPr>
              <w:spacing w:after="0"/>
              <w:rPr>
                <w:sz w:val="8"/>
                <w:szCs w:val="8"/>
                <w:color w:val="auto"/>
              </w:rPr>
            </w:pPr>
          </w:p>
        </w:tc>
        <w:tc>
          <w:tcPr>
            <w:tcW w:w="700" w:type="dxa"/>
            <w:vAlign w:val="bottom"/>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40" w:type="dxa"/>
            <w:vAlign w:val="bottom"/>
            <w:gridSpan w:val="2"/>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60" w:type="dxa"/>
            <w:vAlign w:val="bottom"/>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80" w:type="dxa"/>
            <w:vAlign w:val="bottom"/>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2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660" w:type="dxa"/>
            <w:vAlign w:val="bottom"/>
            <w:vMerge w:val="continue"/>
            <w:shd w:val="clear" w:color="auto" w:fill="CFF0FC"/>
          </w:tcPr>
          <w:p>
            <w:pPr>
              <w:spacing w:after="0"/>
              <w:rPr>
                <w:sz w:val="5"/>
                <w:szCs w:val="5"/>
                <w:color w:val="auto"/>
              </w:rPr>
            </w:pPr>
          </w:p>
        </w:tc>
        <w:tc>
          <w:tcPr>
            <w:tcW w:w="820" w:type="dxa"/>
            <w:vAlign w:val="bottom"/>
            <w:tcBorders>
              <w:bottom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80" w:type="dxa"/>
            <w:vAlign w:val="bottom"/>
            <w:tcBorders>
              <w:bottom w:val="single" w:sz="8" w:color="auto"/>
            </w:tcBorders>
            <w:shd w:val="clear" w:color="auto" w:fill="CFF0FC"/>
          </w:tcPr>
          <w:p>
            <w:pPr>
              <w:spacing w:after="0"/>
              <w:rPr>
                <w:sz w:val="5"/>
                <w:szCs w:val="5"/>
                <w:color w:val="auto"/>
              </w:rPr>
            </w:pPr>
          </w:p>
        </w:tc>
        <w:tc>
          <w:tcPr>
            <w:tcW w:w="620" w:type="dxa"/>
            <w:vAlign w:val="bottom"/>
            <w:tcBorders>
              <w:bottom w:val="single" w:sz="8" w:color="auto"/>
            </w:tcBorders>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700" w:type="dxa"/>
            <w:vAlign w:val="bottom"/>
            <w:tcBorders>
              <w:bottom w:val="single" w:sz="8" w:color="auto"/>
            </w:tcBorders>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80" w:type="dxa"/>
            <w:vAlign w:val="bottom"/>
            <w:tcBorders>
              <w:bottom w:val="single" w:sz="8" w:color="auto"/>
            </w:tcBorders>
            <w:shd w:val="clear" w:color="auto" w:fill="CFF0FC"/>
          </w:tcPr>
          <w:p>
            <w:pPr>
              <w:spacing w:after="0"/>
              <w:rPr>
                <w:sz w:val="5"/>
                <w:szCs w:val="5"/>
                <w:color w:val="auto"/>
              </w:rPr>
            </w:pPr>
          </w:p>
        </w:tc>
        <w:tc>
          <w:tcPr>
            <w:tcW w:w="620" w:type="dxa"/>
            <w:vAlign w:val="bottom"/>
            <w:tcBorders>
              <w:bottom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0" w:type="dxa"/>
            <w:vAlign w:val="bottom"/>
            <w:tcBorders>
              <w:bottom w:val="single" w:sz="8" w:color="auto"/>
            </w:tcBorders>
            <w:shd w:val="clear" w:color="auto" w:fill="CFF0FC"/>
          </w:tcPr>
          <w:p>
            <w:pPr>
              <w:spacing w:after="0"/>
              <w:rPr>
                <w:sz w:val="5"/>
                <w:szCs w:val="5"/>
                <w:color w:val="auto"/>
              </w:rPr>
            </w:pPr>
          </w:p>
        </w:tc>
        <w:tc>
          <w:tcPr>
            <w:tcW w:w="600" w:type="dxa"/>
            <w:vAlign w:val="bottom"/>
            <w:tcBorders>
              <w:bottom w:val="single" w:sz="8" w:color="auto"/>
            </w:tcBorders>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60" w:type="dxa"/>
            <w:vAlign w:val="bottom"/>
            <w:tcBorders>
              <w:bottom w:val="single" w:sz="8" w:color="auto"/>
            </w:tcBorders>
            <w:shd w:val="clear" w:color="auto" w:fill="CFF0FC"/>
          </w:tcPr>
          <w:p>
            <w:pPr>
              <w:spacing w:after="0"/>
              <w:rPr>
                <w:sz w:val="5"/>
                <w:szCs w:val="5"/>
                <w:color w:val="auto"/>
              </w:rPr>
            </w:pPr>
          </w:p>
        </w:tc>
        <w:tc>
          <w:tcPr>
            <w:tcW w:w="560" w:type="dxa"/>
            <w:vAlign w:val="bottom"/>
            <w:tcBorders>
              <w:bottom w:val="single" w:sz="8" w:color="auto"/>
            </w:tcBorders>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80" w:type="dxa"/>
            <w:vAlign w:val="bottom"/>
            <w:tcBorders>
              <w:bottom w:val="single" w:sz="8" w:color="auto"/>
            </w:tcBorders>
            <w:shd w:val="clear" w:color="auto" w:fill="CFF0FC"/>
          </w:tcPr>
          <w:p>
            <w:pPr>
              <w:spacing w:after="0"/>
              <w:rPr>
                <w:sz w:val="5"/>
                <w:szCs w:val="5"/>
                <w:color w:val="auto"/>
              </w:rPr>
            </w:pPr>
          </w:p>
        </w:tc>
        <w:tc>
          <w:tcPr>
            <w:tcW w:w="780" w:type="dxa"/>
            <w:vAlign w:val="bottom"/>
            <w:tcBorders>
              <w:bottom w:val="single" w:sz="8" w:color="auto"/>
            </w:tcBorders>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160" w:type="dxa"/>
            <w:vAlign w:val="bottom"/>
            <w:tcBorders>
              <w:bottom w:val="single" w:sz="8" w:color="auto"/>
            </w:tcBorders>
            <w:shd w:val="clear" w:color="auto" w:fill="CFF0FC"/>
          </w:tcPr>
          <w:p>
            <w:pPr>
              <w:spacing w:after="0"/>
              <w:rPr>
                <w:sz w:val="5"/>
                <w:szCs w:val="5"/>
                <w:color w:val="auto"/>
              </w:rPr>
            </w:pPr>
          </w:p>
        </w:tc>
        <w:tc>
          <w:tcPr>
            <w:tcW w:w="720" w:type="dxa"/>
            <w:vAlign w:val="bottom"/>
            <w:tcBorders>
              <w:bottom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line="155" w:lineRule="exact"/>
              <w:rPr>
                <w:sz w:val="20"/>
                <w:szCs w:val="20"/>
                <w:color w:val="auto"/>
              </w:rPr>
            </w:pPr>
            <w:r>
              <w:rPr>
                <w:rFonts w:ascii="Arial" w:cs="Arial" w:eastAsia="Arial" w:hAnsi="Arial"/>
                <w:sz w:val="14"/>
                <w:szCs w:val="14"/>
                <w:color w:val="auto"/>
              </w:rPr>
              <w:t>Balances, March 31, 2022</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36,120,518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w:t>
            </w:r>
          </w:p>
        </w:tc>
        <w:tc>
          <w:tcPr>
            <w:tcW w:w="20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1,910,897</w:t>
            </w: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(100,903</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442,405</w:t>
            </w:r>
          </w:p>
        </w:tc>
        <w:tc>
          <w:tcPr>
            <w:tcW w:w="1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150,690</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(709)</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491,521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20574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80"/>
        <w:spacing w:after="0"/>
        <w:tabs>
          <w:tab w:leader="none" w:pos="558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Borders>
              <w:bottom w:val="single" w:sz="8" w:color="0000EE"/>
            </w:tcBorders>
            <w:gridSpan w:val="2"/>
          </w:tcPr>
          <w:p>
            <w:pPr>
              <w:jc w:val="right"/>
              <w:spacing w:after="0"/>
              <w:rPr>
                <w:rFonts w:ascii="Arial" w:cs="Arial" w:eastAsia="Arial" w:hAnsi="Arial"/>
                <w:sz w:val="13"/>
                <w:szCs w:val="13"/>
                <w:color w:val="0000EE"/>
                <w:w w:val="91"/>
              </w:rPr>
            </w:pPr>
            <w:hyperlink w:anchor="page2">
              <w:r>
                <w:rPr>
                  <w:rFonts w:ascii="Arial" w:cs="Arial" w:eastAsia="Arial" w:hAnsi="Arial"/>
                  <w:sz w:val="13"/>
                  <w:szCs w:val="13"/>
                  <w:color w:val="0000EE"/>
                  <w:w w:val="91"/>
                </w:rPr>
                <w:t>Table of Contents</w:t>
              </w:r>
            </w:hyperlink>
          </w:p>
        </w:tc>
        <w:tc>
          <w:tcPr>
            <w:tcW w:w="0" w:type="dxa"/>
            <w:vAlign w:val="bottom"/>
          </w:tcPr>
          <w:p>
            <w:pPr>
              <w:spacing w:after="0"/>
              <w:rPr>
                <w:sz w:val="1"/>
                <w:szCs w:val="1"/>
                <w:color w:val="auto"/>
              </w:rPr>
            </w:pPr>
          </w:p>
        </w:tc>
      </w:tr>
      <w:tr>
        <w:trPr>
          <w:trHeight w:val="407"/>
        </w:trPr>
        <w:tc>
          <w:tcPr>
            <w:tcW w:w="7720" w:type="dxa"/>
            <w:vAlign w:val="bottom"/>
          </w:tcPr>
          <w:p>
            <w:pPr>
              <w:ind w:left="3780"/>
              <w:spacing w:after="0"/>
              <w:rPr>
                <w:sz w:val="20"/>
                <w:szCs w:val="20"/>
                <w:color w:val="auto"/>
              </w:rPr>
            </w:pPr>
            <w:r>
              <w:rPr>
                <w:rFonts w:ascii="Arial" w:cs="Arial" w:eastAsia="Arial" w:hAnsi="Arial"/>
                <w:sz w:val="18"/>
                <w:szCs w:val="18"/>
                <w:b w:val="1"/>
                <w:bCs w:val="1"/>
                <w:color w:val="00AAE5"/>
              </w:rPr>
              <w:t>SPS COMMERCE, INC. AND SUBSIDIARIES</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40" w:type="dxa"/>
            <w:vAlign w:val="bottom"/>
            <w:gridSpan w:val="2"/>
          </w:tcPr>
          <w:p>
            <w:pPr>
              <w:ind w:left="2920"/>
              <w:spacing w:after="0"/>
              <w:rPr>
                <w:sz w:val="20"/>
                <w:szCs w:val="20"/>
                <w:color w:val="auto"/>
              </w:rPr>
            </w:pPr>
            <w:r>
              <w:rPr>
                <w:rFonts w:ascii="Arial" w:cs="Arial" w:eastAsia="Arial" w:hAnsi="Arial"/>
                <w:sz w:val="18"/>
                <w:szCs w:val="18"/>
                <w:b w:val="1"/>
                <w:bCs w:val="1"/>
                <w:color w:val="00AAE5"/>
                <w:w w:val="98"/>
              </w:rPr>
              <w:t>CONDENSED CONSOLIDATED STATEMENTS OF CASH FLOWS</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(unaudited)</w:t>
            </w:r>
          </w:p>
        </w:tc>
        <w:tc>
          <w:tcPr>
            <w:tcW w:w="6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w w:val="89"/>
              </w:rPr>
              <w:t>2022</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56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12,603</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6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5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 of property and equipment</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Amortization of intangible assets</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credit losses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9,015</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net</w:t>
            </w:r>
          </w:p>
        </w:tc>
        <w:tc>
          <w:tcPr>
            <w:tcW w:w="6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w:t>
            </w:r>
          </w:p>
        </w:tc>
        <w:tc>
          <w:tcPr>
            <w:tcW w:w="5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Changes in assets and liabilities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6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(5,563)</w:t>
            </w:r>
          </w:p>
        </w:tc>
        <w:tc>
          <w:tcPr>
            <w:tcW w:w="5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Deferred costs</w:t>
            </w:r>
          </w:p>
        </w:tc>
        <w:tc>
          <w:tcPr>
            <w:tcW w:w="6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(2,797)</w:t>
            </w:r>
          </w:p>
        </w:tc>
        <w:tc>
          <w:tcPr>
            <w:tcW w:w="58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current and non-current assets</w:t>
            </w:r>
          </w:p>
        </w:tc>
        <w:tc>
          <w:tcPr>
            <w:tcW w:w="6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(6,736)</w:t>
            </w:r>
          </w:p>
        </w:tc>
        <w:tc>
          <w:tcPr>
            <w:tcW w:w="5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(3,229)</w:t>
            </w:r>
          </w:p>
        </w:tc>
        <w:tc>
          <w:tcPr>
            <w:tcW w:w="58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compensation</w:t>
            </w:r>
          </w:p>
        </w:tc>
        <w:tc>
          <w:tcPr>
            <w:tcW w:w="6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(10,495)</w:t>
            </w:r>
          </w:p>
        </w:tc>
        <w:tc>
          <w:tcPr>
            <w:tcW w:w="5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6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(1,746)</w:t>
            </w:r>
          </w:p>
        </w:tc>
        <w:tc>
          <w:tcPr>
            <w:tcW w:w="58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Operating leases</w:t>
            </w:r>
          </w:p>
        </w:tc>
        <w:tc>
          <w:tcPr>
            <w:tcW w:w="6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58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4,347</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21,605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6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(4,355)</w:t>
            </w:r>
          </w:p>
        </w:tc>
        <w:tc>
          <w:tcPr>
            <w:tcW w:w="5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investments</w:t>
            </w:r>
          </w:p>
        </w:tc>
        <w:tc>
          <w:tcPr>
            <w:tcW w:w="6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(54,977)</w:t>
            </w:r>
          </w:p>
        </w:tc>
        <w:tc>
          <w:tcPr>
            <w:tcW w:w="58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(14,039)</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investments</w:t>
            </w: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65,000</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5,668</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Repurchases of common stock</w:t>
            </w:r>
          </w:p>
        </w:tc>
        <w:tc>
          <w:tcPr>
            <w:tcW w:w="6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(15,226)</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exercise of options to purchase common stock</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proceeds from employee stock purchase plan activity</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for contingent consideration</w:t>
            </w:r>
          </w:p>
        </w:tc>
        <w:tc>
          <w:tcPr>
            <w:tcW w:w="6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6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(14,575)</w:t>
            </w:r>
          </w:p>
        </w:tc>
        <w:tc>
          <w:tcPr>
            <w:tcW w:w="28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currency exchange rate changes</w:t>
            </w: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(4,464)</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207,552</w:t>
            </w:r>
          </w:p>
        </w:tc>
        <w:tc>
          <w:tcPr>
            <w:tcW w:w="2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149,692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203,088</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169,274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20574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80"/>
        <w:spacing w:after="0"/>
        <w:tabs>
          <w:tab w:leader="none" w:pos="558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Business Description</w:t>
      </w:r>
    </w:p>
    <w:p>
      <w:pPr>
        <w:spacing w:after="0" w:line="117"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SPS Commerce is a leading provider of cloud-based supply chain management services across our global retail network. Our products make it easier for retailers, suppliers, grocers, distributors, and logistics firms to orchestrate the management of item data, order fulfillment, inventory control, and sales analytics across omnichannel retail channels. SPS Commerce delivers our products using a full-service model whereby our internal experts monitor, update, and boost network performance on our customers’ behalf.</w:t>
      </w:r>
    </w:p>
    <w:p>
      <w:pPr>
        <w:spacing w:after="0" w:line="79"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The services offered by SPS Commerce eliminate the need for on-premise software and support staff by taking on that capability on the customer’s behalf. The services we provide enable our customers to increase their supply cycle agility, optimize their inventory levels and sell-through, reduce operational costs and gain increased visibility into customer orders, to help ensure that suppliers, grocers, distributors, and logistics firms can satisfy exacting retailer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Basis of Presentation</w:t>
      </w:r>
    </w:p>
    <w:p>
      <w:pPr>
        <w:spacing w:after="0" w:line="117" w:lineRule="exact"/>
        <w:rPr>
          <w:sz w:val="20"/>
          <w:szCs w:val="20"/>
          <w:color w:val="auto"/>
        </w:rPr>
      </w:pPr>
    </w:p>
    <w:p>
      <w:pPr>
        <w:ind w:right="420" w:firstLine="749"/>
        <w:spacing w:after="0" w:line="263"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condensed consolidated financial statements.</w:t>
      </w:r>
    </w:p>
    <w:p>
      <w:pPr>
        <w:spacing w:after="0" w:line="76"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This interim financial information has been prepared under the instructions to Form 10-Q and Rule 10-01 of Regulation S-X. Accordingly, these condensed consolidated financial statements do not include all of the information and notes required by GAAP. Therefore, these condensed consolidated financial statements should be read in conjunction with the consolidated financial statements and notes included in our Annual Report on Form 10-K for the year ended December 31, 2021, as filed with the Securities and Exchange Commission (“SEC”). We have included all normal recurring adjustments considered necessary to provide a fair presentation of our financial position, results of operations, stockholders’ equity, and cash flows for the interim periods presented. Operating results for these interim periods are not necessarily indicative of the results to be expected for the full year.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Use of Estimates</w:t>
      </w:r>
    </w:p>
    <w:p>
      <w:pPr>
        <w:spacing w:after="0" w:line="117" w:lineRule="exact"/>
        <w:rPr>
          <w:sz w:val="20"/>
          <w:szCs w:val="20"/>
          <w:color w:val="auto"/>
        </w:rPr>
      </w:pPr>
    </w:p>
    <w:p>
      <w:pPr>
        <w:ind w:right="120" w:firstLine="749"/>
        <w:spacing w:after="0" w:line="263"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Significant Accounting Policies</w:t>
      </w:r>
    </w:p>
    <w:p>
      <w:pPr>
        <w:spacing w:after="0" w:line="117"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There were no material changes in our significant accounting policies during the three months ended March 31, 2022. See Note A to the consolidated financial statements included in our Annual Report on Form 10-K for the year ended December 31, 2021, as filed with the SEC, for additional information regarding our significant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Accounting Pronouncements Not Yet Adopted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Standard</w:t>
            </w:r>
          </w:p>
        </w:tc>
        <w:tc>
          <w:tcPr>
            <w:tcW w:w="1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Date of Issuance</w:t>
            </w:r>
          </w:p>
        </w:tc>
        <w:tc>
          <w:tcPr>
            <w:tcW w:w="34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Date of Required</w:t>
            </w:r>
          </w:p>
        </w:tc>
        <w:tc>
          <w:tcPr>
            <w:tcW w:w="32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Effect on the Financial Statements</w:t>
            </w:r>
          </w:p>
        </w:tc>
        <w:tc>
          <w:tcPr>
            <w:tcW w:w="0" w:type="dxa"/>
            <w:vAlign w:val="bottom"/>
          </w:tcPr>
          <w:p>
            <w:pPr>
              <w:spacing w:after="0"/>
              <w:rPr>
                <w:sz w:val="1"/>
                <w:szCs w:val="1"/>
                <w:color w:val="auto"/>
              </w:rPr>
            </w:pPr>
          </w:p>
        </w:tc>
      </w:tr>
      <w:tr>
        <w:trPr>
          <w:trHeight w:val="171"/>
        </w:trPr>
        <w:tc>
          <w:tcPr>
            <w:tcW w:w="212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340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Adoption</w:t>
            </w:r>
          </w:p>
        </w:tc>
        <w:tc>
          <w:tcPr>
            <w:tcW w:w="3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ASU 2021-08</w:t>
            </w:r>
            <w:r>
              <w:rPr>
                <w:rFonts w:ascii="Arial" w:cs="Arial" w:eastAsia="Arial" w:hAnsi="Arial"/>
                <w:sz w:val="18"/>
                <w:szCs w:val="18"/>
                <w:color w:val="auto"/>
              </w:rPr>
              <w:t>, Business</w:t>
            </w:r>
          </w:p>
        </w:tc>
        <w:tc>
          <w:tcPr>
            <w:tcW w:w="12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October 2021</w:t>
            </w: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6"/>
              </w:rPr>
              <w:t>This amendment requires that an acquirer</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January 2023</w:t>
            </w:r>
          </w:p>
        </w:tc>
        <w:tc>
          <w:tcPr>
            <w:tcW w:w="32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2"/>
              </w:rPr>
              <w:t>The adoption of this standard may have a</w:t>
            </w: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Combinations (Topic 805)</w:t>
            </w:r>
          </w:p>
        </w:tc>
        <w:tc>
          <w:tcPr>
            <w:tcW w:w="1220" w:type="dxa"/>
            <w:vAlign w:val="bottom"/>
            <w:shd w:val="clear" w:color="auto" w:fill="CFF0FC"/>
          </w:tcPr>
          <w:p>
            <w:pPr>
              <w:spacing w:after="0"/>
              <w:rPr>
                <w:sz w:val="18"/>
                <w:szCs w:val="18"/>
                <w:color w:val="auto"/>
              </w:rPr>
            </w:pP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recognize and</w:t>
            </w:r>
          </w:p>
        </w:tc>
        <w:tc>
          <w:tcPr>
            <w:tcW w:w="1300" w:type="dxa"/>
            <w:vAlign w:val="bottom"/>
            <w:shd w:val="clear" w:color="auto" w:fill="CFF0FC"/>
          </w:tcPr>
          <w:p>
            <w:pPr>
              <w:spacing w:after="0"/>
              <w:rPr>
                <w:sz w:val="18"/>
                <w:szCs w:val="18"/>
                <w:color w:val="auto"/>
              </w:rPr>
            </w:pPr>
          </w:p>
        </w:tc>
        <w:tc>
          <w:tcPr>
            <w:tcW w:w="3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material impact on the purchase</w:t>
            </w: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 Accounting for Contract</w:t>
            </w:r>
          </w:p>
        </w:tc>
        <w:tc>
          <w:tcPr>
            <w:tcW w:w="1220" w:type="dxa"/>
            <w:vAlign w:val="bottom"/>
            <w:shd w:val="clear" w:color="auto" w:fill="CFF0FC"/>
          </w:tcPr>
          <w:p>
            <w:pPr>
              <w:spacing w:after="0"/>
              <w:rPr>
                <w:sz w:val="18"/>
                <w:szCs w:val="18"/>
                <w:color w:val="auto"/>
              </w:rPr>
            </w:pP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measure contract assets and contract</w:t>
            </w:r>
          </w:p>
        </w:tc>
        <w:tc>
          <w:tcPr>
            <w:tcW w:w="1300" w:type="dxa"/>
            <w:vAlign w:val="bottom"/>
            <w:shd w:val="clear" w:color="auto" w:fill="CFF0FC"/>
          </w:tcPr>
          <w:p>
            <w:pPr>
              <w:spacing w:after="0"/>
              <w:rPr>
                <w:sz w:val="18"/>
                <w:szCs w:val="18"/>
                <w:color w:val="auto"/>
              </w:rPr>
            </w:pPr>
          </w:p>
        </w:tc>
        <w:tc>
          <w:tcPr>
            <w:tcW w:w="3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accounting for business combinations</w:t>
            </w: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Assets and Contract</w:t>
            </w:r>
          </w:p>
        </w:tc>
        <w:tc>
          <w:tcPr>
            <w:tcW w:w="1220" w:type="dxa"/>
            <w:vAlign w:val="bottom"/>
            <w:shd w:val="clear" w:color="auto" w:fill="CFF0FC"/>
          </w:tcPr>
          <w:p>
            <w:pPr>
              <w:spacing w:after="0"/>
              <w:rPr>
                <w:sz w:val="18"/>
                <w:szCs w:val="18"/>
                <w:color w:val="auto"/>
              </w:rPr>
            </w:pP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liabilities acquired in a business</w:t>
            </w:r>
          </w:p>
        </w:tc>
        <w:tc>
          <w:tcPr>
            <w:tcW w:w="1300" w:type="dxa"/>
            <w:vAlign w:val="bottom"/>
            <w:shd w:val="clear" w:color="auto" w:fill="CFF0FC"/>
          </w:tcPr>
          <w:p>
            <w:pPr>
              <w:spacing w:after="0"/>
              <w:rPr>
                <w:sz w:val="18"/>
                <w:szCs w:val="18"/>
                <w:color w:val="auto"/>
              </w:rPr>
            </w:pPr>
          </w:p>
        </w:tc>
        <w:tc>
          <w:tcPr>
            <w:tcW w:w="3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depending on the specific amount of</w:t>
            </w: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Liabilities from Contracts</w:t>
            </w:r>
          </w:p>
        </w:tc>
        <w:tc>
          <w:tcPr>
            <w:tcW w:w="1220" w:type="dxa"/>
            <w:vAlign w:val="bottom"/>
            <w:shd w:val="clear" w:color="auto" w:fill="CFF0FC"/>
          </w:tcPr>
          <w:p>
            <w:pPr>
              <w:spacing w:after="0"/>
              <w:rPr>
                <w:sz w:val="18"/>
                <w:szCs w:val="18"/>
                <w:color w:val="auto"/>
              </w:rPr>
            </w:pP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5"/>
              </w:rPr>
              <w:t>combination in accordance with Topic 606,</w:t>
            </w:r>
          </w:p>
        </w:tc>
        <w:tc>
          <w:tcPr>
            <w:tcW w:w="1300" w:type="dxa"/>
            <w:vAlign w:val="bottom"/>
            <w:shd w:val="clear" w:color="auto" w:fill="CFF0FC"/>
          </w:tcPr>
          <w:p>
            <w:pPr>
              <w:spacing w:after="0"/>
              <w:rPr>
                <w:sz w:val="18"/>
                <w:szCs w:val="18"/>
                <w:color w:val="auto"/>
              </w:rPr>
            </w:pPr>
          </w:p>
        </w:tc>
        <w:tc>
          <w:tcPr>
            <w:tcW w:w="3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contract assets and liabilities being</w:t>
            </w:r>
          </w:p>
        </w:tc>
        <w:tc>
          <w:tcPr>
            <w:tcW w:w="0" w:type="dxa"/>
            <w:vAlign w:val="bottom"/>
          </w:tcPr>
          <w:p>
            <w:pPr>
              <w:spacing w:after="0"/>
              <w:rPr>
                <w:sz w:val="1"/>
                <w:szCs w:val="1"/>
                <w:color w:val="auto"/>
              </w:rPr>
            </w:pPr>
          </w:p>
        </w:tc>
      </w:tr>
      <w:tr>
        <w:trPr>
          <w:trHeight w:val="216"/>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with Customers</w:t>
            </w:r>
          </w:p>
        </w:tc>
        <w:tc>
          <w:tcPr>
            <w:tcW w:w="1220" w:type="dxa"/>
            <w:vAlign w:val="bottom"/>
            <w:shd w:val="clear" w:color="auto" w:fill="CFF0FC"/>
          </w:tcPr>
          <w:p>
            <w:pPr>
              <w:spacing w:after="0"/>
              <w:rPr>
                <w:sz w:val="18"/>
                <w:szCs w:val="18"/>
                <w:color w:val="auto"/>
              </w:rPr>
            </w:pP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effective for all business combinations in</w:t>
            </w:r>
          </w:p>
        </w:tc>
        <w:tc>
          <w:tcPr>
            <w:tcW w:w="1300" w:type="dxa"/>
            <w:vAlign w:val="bottom"/>
            <w:shd w:val="clear" w:color="auto" w:fill="CFF0FC"/>
          </w:tcPr>
          <w:p>
            <w:pPr>
              <w:spacing w:after="0"/>
              <w:rPr>
                <w:sz w:val="18"/>
                <w:szCs w:val="18"/>
                <w:color w:val="auto"/>
              </w:rPr>
            </w:pPr>
          </w:p>
        </w:tc>
        <w:tc>
          <w:tcPr>
            <w:tcW w:w="3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acquired.</w:t>
            </w: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 year of adoption and thereafter.</w:t>
            </w:r>
          </w:p>
        </w:tc>
        <w:tc>
          <w:tcPr>
            <w:tcW w:w="1300" w:type="dxa"/>
            <w:vAlign w:val="bottom"/>
            <w:shd w:val="clear" w:color="auto" w:fill="CFF0FC"/>
          </w:tcPr>
          <w:p>
            <w:pPr>
              <w:spacing w:after="0"/>
              <w:rPr>
                <w:sz w:val="20"/>
                <w:szCs w:val="20"/>
                <w:color w:val="auto"/>
              </w:rPr>
            </w:pPr>
          </w:p>
        </w:tc>
        <w:tc>
          <w:tcPr>
            <w:tcW w:w="3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920"/>
        </w:trPr>
        <w:tc>
          <w:tcPr>
            <w:tcW w:w="2120" w:type="dxa"/>
            <w:vAlign w:val="bottom"/>
          </w:tcPr>
          <w:p>
            <w:pPr>
              <w:ind w:left="480"/>
              <w:spacing w:after="0"/>
              <w:rPr>
                <w:sz w:val="20"/>
                <w:szCs w:val="20"/>
                <w:color w:val="auto"/>
              </w:rPr>
            </w:pPr>
            <w:r>
              <w:rPr>
                <w:rFonts w:ascii="Arial" w:cs="Arial" w:eastAsia="Arial" w:hAnsi="Arial"/>
                <w:sz w:val="14"/>
                <w:szCs w:val="14"/>
                <w:b w:val="1"/>
                <w:bCs w:val="1"/>
                <w:color w:val="auto"/>
              </w:rPr>
              <w:t>SPS COMMERCE, INC.</w:t>
            </w:r>
          </w:p>
        </w:tc>
        <w:tc>
          <w:tcPr>
            <w:tcW w:w="1220" w:type="dxa"/>
            <w:vAlign w:val="bottom"/>
          </w:tcPr>
          <w:p>
            <w:pPr>
              <w:spacing w:after="0"/>
              <w:rPr>
                <w:sz w:val="24"/>
                <w:szCs w:val="24"/>
                <w:color w:val="auto"/>
              </w:rPr>
            </w:pPr>
          </w:p>
        </w:tc>
        <w:tc>
          <w:tcPr>
            <w:tcW w:w="3400" w:type="dxa"/>
            <w:vAlign w:val="bottom"/>
          </w:tcPr>
          <w:p>
            <w:pPr>
              <w:ind w:left="2260"/>
              <w:spacing w:after="0"/>
              <w:rPr>
                <w:sz w:val="20"/>
                <w:szCs w:val="20"/>
                <w:color w:val="auto"/>
              </w:rPr>
            </w:pPr>
            <w:r>
              <w:rPr>
                <w:rFonts w:ascii="Arial" w:cs="Arial" w:eastAsia="Arial" w:hAnsi="Arial"/>
                <w:sz w:val="14"/>
                <w:szCs w:val="14"/>
                <w:color w:val="auto"/>
              </w:rPr>
              <w:t>7</w:t>
            </w:r>
          </w:p>
        </w:tc>
        <w:tc>
          <w:tcPr>
            <w:tcW w:w="1300" w:type="dxa"/>
            <w:vAlign w:val="bottom"/>
          </w:tcPr>
          <w:p>
            <w:pPr>
              <w:spacing w:after="0"/>
              <w:rPr>
                <w:sz w:val="24"/>
                <w:szCs w:val="24"/>
                <w:color w:val="auto"/>
              </w:rPr>
            </w:pPr>
          </w:p>
        </w:tc>
        <w:tc>
          <w:tcPr>
            <w:tcW w:w="3200" w:type="dxa"/>
            <w:vAlign w:val="bottom"/>
          </w:tcPr>
          <w:p>
            <w:pPr>
              <w:ind w:left="480"/>
              <w:spacing w:after="0"/>
              <w:rPr>
                <w:sz w:val="20"/>
                <w:szCs w:val="20"/>
                <w:color w:val="auto"/>
              </w:rPr>
            </w:pPr>
            <w:r>
              <w:rPr>
                <w:rFonts w:ascii="Arial" w:cs="Arial" w:eastAsia="Arial" w:hAnsi="Arial"/>
                <w:sz w:val="11"/>
                <w:szCs w:val="11"/>
                <w:b w:val="1"/>
                <w:bCs w:val="1"/>
                <w:color w:val="auto"/>
                <w:w w:val="90"/>
              </w:rPr>
              <w:t>Form 10-Q for the Quarterly Period ended March 31, 2022</w:t>
            </w:r>
          </w:p>
        </w:tc>
        <w:tc>
          <w:tcPr>
            <w:tcW w:w="0" w:type="dxa"/>
            <w:vAlign w:val="bottom"/>
          </w:tcPr>
          <w:p>
            <w:pPr>
              <w:spacing w:after="0"/>
              <w:rPr>
                <w:sz w:val="1"/>
                <w:szCs w:val="1"/>
                <w:color w:val="auto"/>
              </w:rPr>
            </w:pPr>
          </w:p>
        </w:tc>
      </w:tr>
      <w:tr>
        <w:trPr>
          <w:trHeight w:val="167"/>
        </w:trPr>
        <w:tc>
          <w:tcPr>
            <w:tcW w:w="212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340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32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Borders>
              <w:bottom w:val="single" w:sz="8" w:color="0000EE"/>
            </w:tcBorders>
            <w:gridSpan w:val="2"/>
          </w:tcPr>
          <w:p>
            <w:pPr>
              <w:spacing w:after="0"/>
              <w:rPr>
                <w:rFonts w:ascii="Arial" w:cs="Arial" w:eastAsia="Arial" w:hAnsi="Arial"/>
                <w:sz w:val="13"/>
                <w:szCs w:val="13"/>
                <w:color w:val="0000EE"/>
                <w:w w:val="91"/>
              </w:rPr>
            </w:pPr>
            <w:hyperlink w:anchor="page2">
              <w:r>
                <w:rPr>
                  <w:rFonts w:ascii="Arial" w:cs="Arial" w:eastAsia="Arial" w:hAnsi="Arial"/>
                  <w:sz w:val="13"/>
                  <w:szCs w:val="13"/>
                  <w:color w:val="0000EE"/>
                  <w:w w:val="91"/>
                </w:rPr>
                <w:t>Table of Contents</w:t>
              </w:r>
            </w:hyperlink>
          </w:p>
        </w:tc>
        <w:tc>
          <w:tcPr>
            <w:tcW w:w="0" w:type="dxa"/>
            <w:vAlign w:val="bottom"/>
          </w:tcPr>
          <w:p>
            <w:pPr>
              <w:spacing w:after="0"/>
              <w:rPr>
                <w:sz w:val="1"/>
                <w:szCs w:val="1"/>
                <w:color w:val="auto"/>
              </w:rPr>
            </w:pPr>
          </w:p>
        </w:tc>
      </w:tr>
      <w:tr>
        <w:trPr>
          <w:trHeight w:val="655"/>
        </w:trPr>
        <w:tc>
          <w:tcPr>
            <w:tcW w:w="7720" w:type="dxa"/>
            <w:vAlign w:val="bottom"/>
          </w:tcPr>
          <w:p>
            <w:pPr>
              <w:spacing w:after="0"/>
              <w:rPr>
                <w:sz w:val="20"/>
                <w:szCs w:val="20"/>
                <w:color w:val="auto"/>
              </w:rPr>
            </w:pPr>
            <w:r>
              <w:rPr>
                <w:rFonts w:ascii="Arial" w:cs="Arial" w:eastAsia="Arial" w:hAnsi="Arial"/>
                <w:sz w:val="18"/>
                <w:szCs w:val="18"/>
                <w:b w:val="1"/>
                <w:bCs w:val="1"/>
                <w:color w:val="00AAE5"/>
              </w:rPr>
              <w:t>NOTE B – Revenue</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720" w:type="dxa"/>
            <w:vAlign w:val="bottom"/>
          </w:tcPr>
          <w:p>
            <w:pPr>
              <w:ind w:left="760"/>
              <w:spacing w:after="0"/>
              <w:rPr>
                <w:sz w:val="20"/>
                <w:szCs w:val="20"/>
                <w:color w:val="auto"/>
              </w:rPr>
            </w:pPr>
            <w:r>
              <w:rPr>
                <w:rFonts w:ascii="Arial" w:cs="Arial" w:eastAsia="Arial" w:hAnsi="Arial"/>
                <w:sz w:val="18"/>
                <w:szCs w:val="18"/>
                <w:color w:val="auto"/>
              </w:rPr>
              <w:t>We derive our revenues from the following revenue streams: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57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Fulfillment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84,731</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71,404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Analytics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97,567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82,801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One-time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7,626</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105,193</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90,094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color w:val="auto"/>
        </w:rPr>
        <w:t>Revenues are the amount that reflects the consideration we are contractually and legally entitled to, as well as expect to collect, in exchange for those services.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Recurring Revenues</w:t>
      </w:r>
    </w:p>
    <w:p>
      <w:pPr>
        <w:spacing w:after="0" w:line="117"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Recurring revenues consist of recurring subscriptions from customers that utilize our Fulfillment, Analytics, and Other supply chain management products. Revenue for these products is generally recognized on a ratable basis over the contract term beginning on the date that our service is made available to the customer. Our contracts with our recurring revenue customers are recurring in nature, generally ranging from monthly to annual, and generally allow the customer to cancel the contract for any reason with 30 to 90 days’ notice. Timing of billings varies by customer and by contract type and generally are either in advance or within 30 days of the service being performed.</w:t>
      </w:r>
    </w:p>
    <w:p>
      <w:pPr>
        <w:spacing w:after="0" w:line="184"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Given that the recurring revenue contracts are for one year or less, we have applied the optional exemption to not disclose information about the remaining performance obligations for recurring revenue contracts.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One-time Revenues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One-time revenues consist of set-up fees and miscellaneous fees from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Set-up revenues</w:t>
      </w:r>
    </w:p>
    <w:p>
      <w:pPr>
        <w:spacing w:after="0" w:line="117" w:lineRule="exact"/>
        <w:rPr>
          <w:sz w:val="20"/>
          <w:szCs w:val="20"/>
          <w:color w:val="auto"/>
        </w:rPr>
      </w:pPr>
    </w:p>
    <w:p>
      <w:pPr>
        <w:ind w:right="200" w:firstLine="749"/>
        <w:spacing w:after="0" w:line="359" w:lineRule="auto"/>
        <w:rPr>
          <w:sz w:val="20"/>
          <w:szCs w:val="20"/>
          <w:color w:val="auto"/>
        </w:rPr>
      </w:pPr>
      <w:r>
        <w:rPr>
          <w:rFonts w:ascii="Arial" w:cs="Arial" w:eastAsia="Arial" w:hAnsi="Arial"/>
          <w:sz w:val="16"/>
          <w:szCs w:val="16"/>
          <w:color w:val="auto"/>
        </w:rPr>
        <w:t>Set-up fees are specific for each connection a customer has with a trading partner. These nonrefundable fees are necessary for our customers to utilize our services and do not provide any standalone value. Many of our customers have connections with numerous trading partners.</w:t>
      </w:r>
    </w:p>
    <w:p>
      <w:pPr>
        <w:spacing w:after="0" w:line="3" w:lineRule="exact"/>
        <w:rPr>
          <w:sz w:val="20"/>
          <w:szCs w:val="20"/>
          <w:color w:val="auto"/>
        </w:rPr>
      </w:pPr>
    </w:p>
    <w:p>
      <w:pPr>
        <w:jc w:val="both"/>
        <w:ind w:right="140" w:firstLine="749"/>
        <w:spacing w:after="0" w:line="311" w:lineRule="auto"/>
        <w:rPr>
          <w:sz w:val="20"/>
          <w:szCs w:val="20"/>
          <w:color w:val="auto"/>
        </w:rPr>
      </w:pPr>
      <w:r>
        <w:rPr>
          <w:rFonts w:ascii="Arial" w:cs="Arial" w:eastAsia="Arial" w:hAnsi="Arial"/>
          <w:sz w:val="16"/>
          <w:szCs w:val="16"/>
          <w:color w:val="auto"/>
        </w:rPr>
        <w:t>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 costs are deferred and recognized ratably over two years, which is the estimated period for which a material right is present for our customers.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Invoiced set-up fees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Recognized set-up fees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(3,524)</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14,938</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The entire balance of deferred set-up fees will be recognized within two years. Those that will be recognized within the next year are classified as current, whereas the remainder are classified as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20574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80"/>
        <w:spacing w:after="0"/>
        <w:tabs>
          <w:tab w:leader="none" w:pos="558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8</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one-time revenues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Miscellaneous one-time fees consist of professional services and testing and certification.</w:t>
      </w:r>
    </w:p>
    <w:p>
      <w:pPr>
        <w:spacing w:after="0" w:line="117" w:lineRule="exact"/>
        <w:rPr>
          <w:sz w:val="20"/>
          <w:szCs w:val="20"/>
          <w:color w:val="auto"/>
        </w:rPr>
      </w:pPr>
    </w:p>
    <w:p>
      <w:pPr>
        <w:ind w:right="260" w:firstLine="749"/>
        <w:spacing w:after="0" w:line="263" w:lineRule="auto"/>
        <w:rPr>
          <w:sz w:val="20"/>
          <w:szCs w:val="20"/>
          <w:color w:val="auto"/>
        </w:rPr>
      </w:pPr>
      <w:r>
        <w:rPr>
          <w:rFonts w:ascii="Arial" w:cs="Arial" w:eastAsia="Arial" w:hAnsi="Arial"/>
          <w:sz w:val="18"/>
          <w:szCs w:val="18"/>
          <w:color w:val="auto"/>
        </w:rPr>
        <w:t>The contract period for these one-time fees is for one year or less and recognized at the time service is provided. We have applied the optional exemption to not disclose information about the remaining performance obligations for miscellaneous one-time fee contracts since they have original durations of one year or less.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C – Deferred Costs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deferred costs activity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center"/>
              <w:ind w:left="64"/>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40" w:type="dxa"/>
            <w:vAlign w:val="bottom"/>
            <w:tcBorders>
              <w:bottom w:val="single" w:sz="8" w:color="CFF0FC"/>
            </w:tcBorders>
            <w:vMerge w:val="continue"/>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59,720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260"/>
              <w:spacing w:after="0"/>
              <w:rPr>
                <w:sz w:val="20"/>
                <w:szCs w:val="20"/>
                <w:color w:val="auto"/>
              </w:rPr>
            </w:pPr>
            <w:r>
              <w:rPr>
                <w:rFonts w:ascii="Arial" w:cs="Arial" w:eastAsia="Arial" w:hAnsi="Arial"/>
                <w:sz w:val="18"/>
                <w:szCs w:val="18"/>
                <w:color w:val="auto"/>
              </w:rPr>
              <w:t>Incurred deferred costs</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17,781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deferred costs</w:t>
            </w: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(14,891)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(12,482)</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Arial" w:cs="Arial" w:eastAsia="Arial" w:hAnsi="Arial"/>
                <w:sz w:val="18"/>
                <w:szCs w:val="18"/>
                <w:color w:val="auto"/>
              </w:rPr>
              <w:t>Balance, end of period</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62,610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8"/>
                <w:szCs w:val="18"/>
                <w:b w:val="1"/>
                <w:bCs w:val="1"/>
                <w:color w:val="00AAE5"/>
              </w:rPr>
              <w:t>NOTE D – Financial Instruments</w:t>
            </w: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9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940" w:type="dxa"/>
            <w:vAlign w:val="bottom"/>
          </w:tcPr>
          <w:p>
            <w:pPr>
              <w:spacing w:after="0"/>
              <w:rPr>
                <w:sz w:val="20"/>
                <w:szCs w:val="20"/>
                <w:color w:val="auto"/>
              </w:rPr>
            </w:pPr>
            <w:r>
              <w:rPr>
                <w:rFonts w:ascii="Arial" w:cs="Arial" w:eastAsia="Arial" w:hAnsi="Arial"/>
                <w:sz w:val="18"/>
                <w:szCs w:val="18"/>
                <w:b w:val="1"/>
                <w:bCs w:val="1"/>
                <w:i w:val="1"/>
                <w:iCs w:val="1"/>
                <w:color w:val="1F282C"/>
                <w:w w:val="98"/>
              </w:rPr>
              <w:t>Cash equivalents and investments</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gridSpan w:val="6"/>
          </w:tcPr>
          <w:p>
            <w:pPr>
              <w:ind w:left="760"/>
              <w:spacing w:after="0"/>
              <w:rPr>
                <w:sz w:val="20"/>
                <w:szCs w:val="20"/>
                <w:color w:val="auto"/>
              </w:rPr>
            </w:pPr>
            <w:r>
              <w:rPr>
                <w:rFonts w:ascii="Arial" w:cs="Arial" w:eastAsia="Arial" w:hAnsi="Arial"/>
                <w:sz w:val="18"/>
                <w:szCs w:val="18"/>
                <w:color w:val="auto"/>
                <w:w w:val="97"/>
              </w:rPr>
              <w:t>Cash equivalents and investments consisted of the following:</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6"/>
              </w:rPr>
              <w:t>March 31, 2022</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1"/>
                <w:szCs w:val="11"/>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860" w:type="dxa"/>
            <w:vAlign w:val="bottom"/>
          </w:tcPr>
          <w:p>
            <w:pPr>
              <w:jc w:val="center"/>
              <w:ind w:left="108"/>
              <w:spacing w:after="0" w:line="133"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Amortized Cost</w:t>
            </w:r>
          </w:p>
        </w:tc>
        <w:tc>
          <w:tcPr>
            <w:tcW w:w="280" w:type="dxa"/>
            <w:vAlign w:val="bottom"/>
          </w:tcPr>
          <w:p>
            <w:pPr>
              <w:spacing w:after="0"/>
              <w:rPr>
                <w:sz w:val="11"/>
                <w:szCs w:val="11"/>
                <w:color w:val="auto"/>
              </w:rPr>
            </w:pPr>
          </w:p>
        </w:tc>
        <w:tc>
          <w:tcPr>
            <w:tcW w:w="1340" w:type="dxa"/>
            <w:vAlign w:val="bottom"/>
            <w:gridSpan w:val="5"/>
          </w:tcPr>
          <w:p>
            <w:pPr>
              <w:spacing w:after="0" w:line="133" w:lineRule="exact"/>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9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860" w:type="dxa"/>
            <w:vAlign w:val="bottom"/>
          </w:tcPr>
          <w:p>
            <w:pPr>
              <w:jc w:val="center"/>
              <w:ind w:left="108"/>
              <w:spacing w:after="0"/>
              <w:rPr>
                <w:sz w:val="20"/>
                <w:szCs w:val="20"/>
                <w:color w:val="auto"/>
              </w:rPr>
            </w:pPr>
            <w:r>
              <w:rPr>
                <w:rFonts w:ascii="Arial" w:cs="Arial" w:eastAsia="Arial" w:hAnsi="Arial"/>
                <w:sz w:val="14"/>
                <w:szCs w:val="14"/>
                <w:b w:val="1"/>
                <w:bCs w:val="1"/>
                <w:color w:val="auto"/>
                <w:w w:val="88"/>
              </w:rPr>
              <w:t>Losses, net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(Losses), net</w:t>
            </w: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3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6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135,238</w:t>
            </w:r>
          </w:p>
        </w:tc>
        <w:tc>
          <w:tcPr>
            <w:tcW w:w="280" w:type="dxa"/>
            <w:vAlign w:val="bottom"/>
          </w:tcPr>
          <w:p>
            <w:pPr>
              <w:spacing w:after="0"/>
              <w:rPr>
                <w:sz w:val="19"/>
                <w:szCs w:val="19"/>
                <w:color w:val="auto"/>
              </w:rPr>
            </w:pPr>
          </w:p>
        </w:tc>
        <w:tc>
          <w:tcPr>
            <w:tcW w:w="860" w:type="dxa"/>
            <w:vAlign w:val="bottom"/>
          </w:tcPr>
          <w:p>
            <w:pPr>
              <w:jc w:val="right"/>
              <w:ind w:right="708"/>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135,238</w:t>
            </w:r>
          </w:p>
        </w:tc>
        <w:tc>
          <w:tcPr>
            <w:tcW w:w="260" w:type="dxa"/>
            <w:vAlign w:val="bottom"/>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138,205</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Certificates of deposit</w:t>
            </w: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7,497</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7,497</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7,268</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29,973</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34,984</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2,498</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CFF0FC"/>
          </w:tcPr>
          <w:p>
            <w:pPr>
              <w:spacing w:after="0" w:line="20" w:lineRule="exact"/>
              <w:rPr>
                <w:sz w:val="1"/>
                <w:szCs w:val="1"/>
                <w:color w:val="auto"/>
              </w:rPr>
            </w:pPr>
          </w:p>
        </w:tc>
        <w:tc>
          <w:tcPr>
            <w:tcW w:w="3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40" w:type="dxa"/>
            <w:vAlign w:val="bottom"/>
            <w:shd w:val="clear" w:color="auto" w:fill="CFF0FC"/>
          </w:tcPr>
          <w:p>
            <w:pPr>
              <w:spacing w:after="0"/>
              <w:rPr>
                <w:sz w:val="19"/>
                <w:szCs w:val="19"/>
                <w:color w:val="auto"/>
              </w:rPr>
            </w:pPr>
          </w:p>
        </w:tc>
        <w:tc>
          <w:tcPr>
            <w:tcW w:w="38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175,211</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175,206</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187,957</w:t>
            </w:r>
          </w:p>
        </w:tc>
        <w:tc>
          <w:tcPr>
            <w:tcW w:w="280" w:type="dxa"/>
            <w:vAlign w:val="bottom"/>
            <w:vMerge w:val="continue"/>
            <w:shd w:val="clear" w:color="auto" w:fill="CFF0FC"/>
          </w:tcPr>
          <w:p>
            <w:pPr>
              <w:spacing w:after="0"/>
              <w:rPr>
                <w:sz w:val="19"/>
                <w:szCs w:val="19"/>
                <w:color w:val="auto"/>
              </w:rPr>
            </w:pPr>
          </w:p>
        </w:tc>
        <w:tc>
          <w:tcPr>
            <w:tcW w:w="6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Recurring fair value measurements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details the fair value hierarchy of our assets and liabilities measured at a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6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3"/>
                <w:szCs w:val="13"/>
                <w:color w:val="auto"/>
              </w:rPr>
            </w:pPr>
          </w:p>
        </w:tc>
        <w:tc>
          <w:tcPr>
            <w:tcW w:w="8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3"/>
                <w:szCs w:val="13"/>
                <w:color w:val="auto"/>
              </w:rPr>
            </w:pPr>
          </w:p>
        </w:tc>
        <w:tc>
          <w:tcPr>
            <w:tcW w:w="66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8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8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3"/>
                <w:szCs w:val="13"/>
                <w:color w:val="auto"/>
              </w:rPr>
            </w:pPr>
          </w:p>
        </w:tc>
        <w:tc>
          <w:tcPr>
            <w:tcW w:w="66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135,238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135,238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138,205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138,205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7,497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29,973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29,973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34,991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U.S. treasury securities</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142,735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32,471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175,206</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145,473</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42,490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187,963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28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9</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9"/>
          </w:tcPr>
          <w:p>
            <w:pPr>
              <w:ind w:left="40"/>
              <w:spacing w:after="0"/>
              <w:rPr>
                <w:sz w:val="20"/>
                <w:szCs w:val="20"/>
                <w:color w:val="auto"/>
              </w:rPr>
            </w:pPr>
            <w:r>
              <w:rPr>
                <w:rFonts w:ascii="Arial" w:cs="Arial" w:eastAsia="Arial" w:hAnsi="Arial"/>
                <w:sz w:val="11"/>
                <w:szCs w:val="11"/>
                <w:b w:val="1"/>
                <w:bCs w:val="1"/>
                <w:color w:val="auto"/>
                <w:w w:val="90"/>
              </w:rPr>
              <w:t>Form 10-Q for the Quarterly Period ended March 31, 2022</w:t>
            </w:r>
          </w:p>
        </w:tc>
        <w:tc>
          <w:tcPr>
            <w:tcW w:w="0" w:type="dxa"/>
            <w:vAlign w:val="bottom"/>
          </w:tcPr>
          <w:p>
            <w:pPr>
              <w:spacing w:after="0"/>
              <w:rPr>
                <w:sz w:val="1"/>
                <w:szCs w:val="1"/>
                <w:color w:val="auto"/>
              </w:rPr>
            </w:pPr>
          </w:p>
        </w:tc>
      </w:tr>
      <w:tr>
        <w:trPr>
          <w:trHeight w:val="167"/>
        </w:trPr>
        <w:tc>
          <w:tcPr>
            <w:tcW w:w="28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20574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9" w:name="page10"/>
    <w:bookmarkEnd w:id="9"/>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60" w:right="40"/>
        <w:spacing w:after="0" w:line="277" w:lineRule="auto"/>
        <w:rPr>
          <w:sz w:val="20"/>
          <w:szCs w:val="20"/>
          <w:color w:val="auto"/>
        </w:rPr>
      </w:pPr>
      <w:r>
        <w:rPr>
          <w:rFonts w:ascii="Arial" w:cs="Arial" w:eastAsia="Arial" w:hAnsi="Arial"/>
          <w:sz w:val="18"/>
          <w:szCs w:val="18"/>
          <w:i w:val="1"/>
          <w:iCs w:val="1"/>
          <w:color w:val="auto"/>
        </w:rPr>
        <w:t>See Note E to the consolidated financial statements included in our Annual Report on Form 10-K for the year ended December 31, 2021, as filed with the SEC, for additional information regarding the three levels of inputs that may be used to measure fair value.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E – Allowance for Credit Losses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allowance for credit losses activity, included in accounts receivable, net,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center"/>
              <w:ind w:left="718"/>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right="233"/>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60" w:type="dxa"/>
            <w:vAlign w:val="bottom"/>
            <w:tcBorders>
              <w:bottom w:val="single" w:sz="8" w:color="CFF0FC"/>
            </w:tcBorders>
            <w:gridSpan w:val="2"/>
            <w:vMerge w:val="continue"/>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561"/>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4"/>
              </w:rPr>
              <w:t>4,249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4,233</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1,144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1,205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FF0FC"/>
          </w:tcPr>
          <w:p>
            <w:pPr>
              <w:spacing w:after="0"/>
              <w:rPr>
                <w:sz w:val="19"/>
                <w:szCs w:val="19"/>
                <w:color w:val="auto"/>
              </w:rPr>
            </w:pPr>
          </w:p>
        </w:tc>
        <w:tc>
          <w:tcPr>
            <w:tcW w:w="4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Write-offs, net of recoveries</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(1,106)</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4,287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4,001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00AAE5"/>
              </w:rPr>
              <w:t>NOTE F – Property and Equipment, Net</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0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 w:type="dxa"/>
            <w:vAlign w:val="bottom"/>
          </w:tcPr>
          <w:p>
            <w:pPr>
              <w:spacing w:after="0"/>
              <w:rPr>
                <w:sz w:val="24"/>
                <w:szCs w:val="24"/>
                <w:color w:val="auto"/>
              </w:rPr>
            </w:pPr>
          </w:p>
        </w:tc>
        <w:tc>
          <w:tcPr>
            <w:tcW w:w="4980" w:type="dxa"/>
            <w:vAlign w:val="bottom"/>
          </w:tcPr>
          <w:p>
            <w:pPr>
              <w:ind w:left="680"/>
              <w:spacing w:after="0"/>
              <w:rPr>
                <w:sz w:val="20"/>
                <w:szCs w:val="20"/>
                <w:color w:val="auto"/>
              </w:rPr>
            </w:pPr>
            <w:r>
              <w:rPr>
                <w:rFonts w:ascii="Arial" w:cs="Arial" w:eastAsia="Arial" w:hAnsi="Arial"/>
                <w:sz w:val="18"/>
                <w:szCs w:val="18"/>
                <w:color w:val="auto"/>
                <w:w w:val="97"/>
              </w:rPr>
              <w:t>Property and equipment, net consisted of the following:</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21"/>
                <w:szCs w:val="21"/>
                <w:color w:val="auto"/>
              </w:rPr>
            </w:pPr>
          </w:p>
        </w:tc>
        <w:tc>
          <w:tcPr>
            <w:tcW w:w="168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Internally developed software</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48,013</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44,981</w:t>
            </w: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30,609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29,329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16,693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16,685</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Office equipment and furniture</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10,963</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10,972</w:t>
            </w: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shd w:val="clear" w:color="auto" w:fill="CFF0FC"/>
          </w:tcPr>
          <w:p>
            <w:pPr>
              <w:spacing w:after="0"/>
              <w:rPr>
                <w:sz w:val="19"/>
                <w:szCs w:val="19"/>
                <w:color w:val="auto"/>
              </w:rPr>
            </w:pPr>
          </w:p>
        </w:tc>
        <w:tc>
          <w:tcPr>
            <w:tcW w:w="4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Property and equipment, cost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106,278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101,967</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8"/>
                <w:szCs w:val="18"/>
                <w:color w:val="auto"/>
              </w:rPr>
              <w:t>(74,017)</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(70,066)</w:t>
            </w:r>
          </w:p>
        </w:tc>
        <w:tc>
          <w:tcPr>
            <w:tcW w:w="0" w:type="dxa"/>
            <w:vAlign w:val="bottom"/>
          </w:tcPr>
          <w:p>
            <w:pPr>
              <w:spacing w:after="0"/>
              <w:rPr>
                <w:sz w:val="1"/>
                <w:szCs w:val="1"/>
                <w:color w:val="auto"/>
              </w:rPr>
            </w:pPr>
          </w:p>
        </w:tc>
      </w:tr>
      <w:tr>
        <w:trPr>
          <w:trHeight w:val="223"/>
        </w:trPr>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980" w:type="dxa"/>
            <w:vAlign w:val="bottom"/>
            <w:tcBorders>
              <w:top w:val="single" w:sz="8" w:color="CFF0FC"/>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property and equipment, net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32,261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31,901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00AAE5"/>
              </w:rPr>
              <w:t>NOTE G – Goodwill and Intangible Assets, Net</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0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60" w:type="dxa"/>
            <w:vAlign w:val="bottom"/>
            <w:gridSpan w:val="2"/>
          </w:tcPr>
          <w:p>
            <w:pPr>
              <w:spacing w:after="0"/>
              <w:rPr>
                <w:sz w:val="20"/>
                <w:szCs w:val="20"/>
                <w:color w:val="auto"/>
              </w:rPr>
            </w:pPr>
            <w:r>
              <w:rPr>
                <w:rFonts w:ascii="Arial" w:cs="Arial" w:eastAsia="Arial" w:hAnsi="Arial"/>
                <w:sz w:val="18"/>
                <w:szCs w:val="18"/>
                <w:b w:val="1"/>
                <w:bCs w:val="1"/>
                <w:i w:val="1"/>
                <w:iCs w:val="1"/>
                <w:color w:val="1F282C"/>
              </w:rPr>
              <w:t>Goodwill</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4980" w:type="dxa"/>
            <w:vAlign w:val="bottom"/>
          </w:tcPr>
          <w:p>
            <w:pPr>
              <w:ind w:left="680"/>
              <w:spacing w:after="0"/>
              <w:rPr>
                <w:sz w:val="20"/>
                <w:szCs w:val="20"/>
                <w:color w:val="auto"/>
              </w:rPr>
            </w:pPr>
            <w:r>
              <w:rPr>
                <w:rFonts w:ascii="Arial" w:cs="Arial" w:eastAsia="Arial" w:hAnsi="Arial"/>
                <w:sz w:val="18"/>
                <w:szCs w:val="18"/>
                <w:color w:val="auto"/>
              </w:rPr>
              <w:t>The activity in goodwill was as follows: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6"/>
          </w:tcPr>
          <w:p>
            <w:pPr>
              <w:jc w:val="center"/>
              <w:ind w:left="718"/>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right="233"/>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60" w:type="dxa"/>
            <w:vAlign w:val="bottom"/>
            <w:tcBorders>
              <w:bottom w:val="single" w:sz="8" w:color="CFF0FC"/>
            </w:tcBorders>
            <w:gridSpan w:val="2"/>
            <w:vMerge w:val="continue"/>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561"/>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143,663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134,853</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shd w:val="clear" w:color="auto" w:fill="CFF0FC"/>
          </w:tcPr>
          <w:p>
            <w:pPr>
              <w:spacing w:after="0"/>
              <w:rPr>
                <w:sz w:val="19"/>
                <w:szCs w:val="19"/>
                <w:color w:val="auto"/>
              </w:rPr>
            </w:pPr>
          </w:p>
        </w:tc>
        <w:tc>
          <w:tcPr>
            <w:tcW w:w="49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5"/>
              </w:rPr>
              <w:t>Remeasurement from provisional purchase accounting amount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144,162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135,263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1F282C"/>
              </w:rPr>
              <w:t>Intangible Assets</w:t>
            </w: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0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4980" w:type="dxa"/>
            <w:vAlign w:val="bottom"/>
          </w:tcPr>
          <w:p>
            <w:pPr>
              <w:ind w:left="680"/>
              <w:spacing w:after="0"/>
              <w:rPr>
                <w:sz w:val="20"/>
                <w:szCs w:val="20"/>
                <w:color w:val="auto"/>
              </w:rPr>
            </w:pPr>
            <w:r>
              <w:rPr>
                <w:rFonts w:ascii="Arial" w:cs="Arial" w:eastAsia="Arial" w:hAnsi="Arial"/>
                <w:sz w:val="18"/>
                <w:szCs w:val="18"/>
                <w:color w:val="auto"/>
              </w:rPr>
              <w:t>Intangible assets, net consisted of the following:</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4"/>
                <w:szCs w:val="14"/>
                <w:b w:val="1"/>
                <w:bCs w:val="1"/>
                <w:color w:val="auto"/>
                <w:w w:val="98"/>
              </w:rPr>
              <w:t>March 31, 2022</w:t>
            </w: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10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8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8"/>
              <w:spacing w:after="0"/>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50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 except weighted average amortization period)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45,162</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(16,569)</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gridSpan w:val="2"/>
            <w:shd w:val="clear" w:color="auto" w:fill="CFF0FC"/>
          </w:tcPr>
          <w:p>
            <w:pPr>
              <w:ind w:left="180"/>
              <w:spacing w:after="0"/>
              <w:rPr>
                <w:sz w:val="20"/>
                <w:szCs w:val="20"/>
                <w:color w:val="auto"/>
              </w:rPr>
            </w:pPr>
            <w:r>
              <w:rPr>
                <w:rFonts w:ascii="Arial" w:cs="Arial" w:eastAsia="Arial" w:hAnsi="Arial"/>
                <w:sz w:val="18"/>
                <w:szCs w:val="18"/>
                <w:color w:val="auto"/>
                <w:w w:val="90"/>
              </w:rPr>
              <w:t>28,634</w:t>
            </w: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center"/>
              <w:ind w:right="40"/>
              <w:spacing w:after="0"/>
              <w:rPr>
                <w:sz w:val="20"/>
                <w:szCs w:val="20"/>
                <w:color w:val="auto"/>
              </w:rPr>
            </w:pPr>
            <w:r>
              <w:rPr>
                <w:rFonts w:ascii="Arial" w:cs="Arial" w:eastAsia="Arial" w:hAnsi="Arial"/>
                <w:sz w:val="18"/>
                <w:szCs w:val="18"/>
                <w:color w:val="auto"/>
                <w:w w:val="88"/>
              </w:rPr>
              <w:t>6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Acquired technology</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(6,376)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w w:val="90"/>
              </w:rPr>
              <w:t>27,524</w:t>
            </w:r>
          </w:p>
        </w:tc>
        <w:tc>
          <w:tcPr>
            <w:tcW w:w="200" w:type="dxa"/>
            <w:vAlign w:val="bottom"/>
          </w:tcPr>
          <w:p>
            <w:pPr>
              <w:spacing w:after="0"/>
              <w:rPr>
                <w:sz w:val="19"/>
                <w:szCs w:val="19"/>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7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9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FF0FC"/>
          </w:tcPr>
          <w:p>
            <w:pPr>
              <w:ind w:left="180"/>
              <w:spacing w:after="0"/>
              <w:rPr>
                <w:sz w:val="20"/>
                <w:szCs w:val="20"/>
                <w:color w:val="auto"/>
              </w:rPr>
            </w:pPr>
            <w:r>
              <w:rPr>
                <w:rFonts w:ascii="Arial" w:cs="Arial" w:eastAsia="Arial" w:hAnsi="Arial"/>
                <w:sz w:val="18"/>
                <w:szCs w:val="18"/>
                <w:color w:val="auto"/>
                <w:w w:val="90"/>
              </w:rPr>
              <w:t>56,158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center"/>
              <w:ind w:right="40"/>
              <w:spacing w:after="0"/>
              <w:rPr>
                <w:sz w:val="20"/>
                <w:szCs w:val="20"/>
                <w:color w:val="auto"/>
              </w:rPr>
            </w:pPr>
            <w:r>
              <w:rPr>
                <w:rFonts w:ascii="Arial" w:cs="Arial" w:eastAsia="Arial" w:hAnsi="Arial"/>
                <w:sz w:val="18"/>
                <w:szCs w:val="18"/>
                <w:color w:val="auto"/>
                <w:w w:val="88"/>
              </w:rPr>
              <w:t>7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9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SPS COMMERCE, INC.</w:t>
            </w: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8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580"/>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10"/>
          </w:tcPr>
          <w:p>
            <w:pPr>
              <w:ind w:left="580"/>
              <w:spacing w:after="0"/>
              <w:rPr>
                <w:sz w:val="20"/>
                <w:szCs w:val="20"/>
                <w:color w:val="auto"/>
              </w:rPr>
            </w:pPr>
            <w:r>
              <w:rPr>
                <w:rFonts w:ascii="Arial" w:cs="Arial" w:eastAsia="Arial" w:hAnsi="Arial"/>
                <w:sz w:val="11"/>
                <w:szCs w:val="11"/>
                <w:b w:val="1"/>
                <w:bCs w:val="1"/>
                <w:color w:val="auto"/>
                <w:w w:val="90"/>
              </w:rPr>
              <w:t>Form 10-Q for the Quarterly Period ended March 31, 2022</w:t>
            </w:r>
          </w:p>
        </w:tc>
        <w:tc>
          <w:tcPr>
            <w:tcW w:w="0" w:type="dxa"/>
            <w:vAlign w:val="bottom"/>
          </w:tcPr>
          <w:p>
            <w:pPr>
              <w:spacing w:after="0"/>
              <w:rPr>
                <w:sz w:val="1"/>
                <w:szCs w:val="1"/>
                <w:color w:val="auto"/>
              </w:rPr>
            </w:pPr>
          </w:p>
        </w:tc>
      </w:tr>
      <w:tr>
        <w:trPr>
          <w:trHeight w:val="168"/>
        </w:trPr>
        <w:tc>
          <w:tcPr>
            <w:tcW w:w="80" w:type="dxa"/>
            <w:vAlign w:val="bottom"/>
            <w:tcBorders>
              <w:bottom w:val="single" w:sz="8" w:color="9A9A9A"/>
            </w:tcBorders>
          </w:tcPr>
          <w:p>
            <w:pPr>
              <w:spacing w:after="0"/>
              <w:rPr>
                <w:sz w:val="14"/>
                <w:szCs w:val="14"/>
                <w:color w:val="auto"/>
              </w:rPr>
            </w:pPr>
          </w:p>
        </w:tc>
        <w:tc>
          <w:tcPr>
            <w:tcW w:w="49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4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spacing w:after="0"/>
              <w:rPr>
                <w:rFonts w:ascii="Arial" w:cs="Arial" w:eastAsia="Arial" w:hAnsi="Arial"/>
                <w:sz w:val="13"/>
                <w:szCs w:val="13"/>
                <w:color w:val="0000EE"/>
                <w:w w:val="93"/>
              </w:rPr>
            </w:pPr>
            <w:hyperlink w:anchor="page2">
              <w:r>
                <w:rPr>
                  <w:rFonts w:ascii="Arial" w:cs="Arial" w:eastAsia="Arial" w:hAnsi="Arial"/>
                  <w:sz w:val="13"/>
                  <w:szCs w:val="13"/>
                  <w:color w:val="0000EE"/>
                  <w:w w:val="93"/>
                </w:rPr>
                <w:t>Table of Contents</w:t>
              </w:r>
            </w:hyperlink>
          </w:p>
        </w:tc>
      </w:tr>
      <w:tr>
        <w:trPr>
          <w:trHeight w:val="898"/>
        </w:trPr>
        <w:tc>
          <w:tcPr>
            <w:tcW w:w="4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December 31, 2021</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4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Weighted Average</w:t>
            </w:r>
          </w:p>
        </w:tc>
        <w:tc>
          <w:tcPr>
            <w:tcW w:w="20" w:type="dxa"/>
            <w:vAlign w:val="bottom"/>
          </w:tcPr>
          <w:p>
            <w:pPr>
              <w:spacing w:after="0"/>
              <w:rPr>
                <w:sz w:val="12"/>
                <w:szCs w:val="12"/>
                <w:color w:val="auto"/>
              </w:rPr>
            </w:pPr>
          </w:p>
        </w:tc>
      </w:tr>
      <w:tr>
        <w:trPr>
          <w:trHeight w:val="162"/>
        </w:trPr>
        <w:tc>
          <w:tcPr>
            <w:tcW w:w="4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99"/>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Remaining</w:t>
            </w:r>
          </w:p>
        </w:tc>
      </w:tr>
      <w:tr>
        <w:trPr>
          <w:trHeight w:val="162"/>
        </w:trPr>
        <w:tc>
          <w:tcPr>
            <w:tcW w:w="4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99"/>
              <w:spacing w:after="0"/>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Currency</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Amortization</w:t>
            </w:r>
          </w:p>
        </w:tc>
      </w:tr>
      <w:tr>
        <w:trPr>
          <w:trHeight w:val="171"/>
        </w:trPr>
        <w:tc>
          <w:tcPr>
            <w:tcW w:w="4480" w:type="dxa"/>
            <w:vAlign w:val="bottom"/>
          </w:tcPr>
          <w:p>
            <w:pPr>
              <w:spacing w:after="0"/>
              <w:rPr>
                <w:sz w:val="20"/>
                <w:szCs w:val="20"/>
                <w:color w:val="auto"/>
              </w:rPr>
            </w:pPr>
            <w:r>
              <w:rPr>
                <w:rFonts w:ascii="Arial" w:cs="Arial" w:eastAsia="Arial" w:hAnsi="Arial"/>
                <w:sz w:val="14"/>
                <w:szCs w:val="14"/>
                <w:b w:val="1"/>
                <w:bCs w:val="1"/>
                <w:color w:val="auto"/>
              </w:rPr>
              <w:t>(in thousands, except weighted average amortization period)</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Period</w:t>
            </w: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7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61,270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(29,866)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center"/>
              <w:ind w:right="120"/>
              <w:spacing w:after="0"/>
              <w:rPr>
                <w:sz w:val="20"/>
                <w:szCs w:val="20"/>
                <w:color w:val="auto"/>
              </w:rPr>
            </w:pPr>
            <w:r>
              <w:rPr>
                <w:rFonts w:ascii="Arial" w:cs="Arial" w:eastAsia="Arial" w:hAnsi="Arial"/>
                <w:sz w:val="18"/>
                <w:szCs w:val="18"/>
                <w:color w:val="auto"/>
                <w:w w:val="88"/>
              </w:rPr>
              <w:t>6 years</w:t>
            </w:r>
          </w:p>
        </w:tc>
        <w:tc>
          <w:tcPr>
            <w:tcW w:w="20" w:type="dxa"/>
            <w:vAlign w:val="bottom"/>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Acquired technology</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(6,738)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28,578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center"/>
              <w:ind w:right="120"/>
              <w:spacing w:after="0"/>
              <w:rPr>
                <w:sz w:val="20"/>
                <w:szCs w:val="20"/>
                <w:color w:val="auto"/>
              </w:rPr>
            </w:pPr>
            <w:r>
              <w:rPr>
                <w:rFonts w:ascii="Arial" w:cs="Arial" w:eastAsia="Arial" w:hAnsi="Arial"/>
                <w:sz w:val="18"/>
                <w:szCs w:val="18"/>
                <w:color w:val="auto"/>
                <w:w w:val="88"/>
              </w:rPr>
              <w:t>7 years</w:t>
            </w:r>
          </w:p>
        </w:tc>
        <w:tc>
          <w:tcPr>
            <w:tcW w:w="20" w:type="dxa"/>
            <w:vAlign w:val="bottom"/>
          </w:tcPr>
          <w:p>
            <w:pPr>
              <w:spacing w:after="0"/>
              <w:rPr>
                <w:sz w:val="19"/>
                <w:szCs w:val="19"/>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96,586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center"/>
              <w:ind w:right="120"/>
              <w:spacing w:after="0"/>
              <w:rPr>
                <w:sz w:val="20"/>
                <w:szCs w:val="20"/>
                <w:color w:val="auto"/>
              </w:rPr>
            </w:pPr>
            <w:r>
              <w:rPr>
                <w:rFonts w:ascii="Arial" w:cs="Arial" w:eastAsia="Arial" w:hAnsi="Arial"/>
                <w:sz w:val="18"/>
                <w:szCs w:val="18"/>
                <w:color w:val="auto"/>
                <w:w w:val="88"/>
              </w:rPr>
              <w:t>7 years</w:t>
            </w:r>
          </w:p>
        </w:tc>
        <w:tc>
          <w:tcPr>
            <w:tcW w:w="2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estimated future annual amortization expense related to intangible assets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Remainder of 2022</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gridSpan w:val="5"/>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7,431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9,831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8,396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14,573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future amortization</w:t>
            </w: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gridSpan w:val="3"/>
            <w:shd w:val="clear" w:color="auto" w:fill="CFF0FC"/>
          </w:tcPr>
          <w:p>
            <w:pPr>
              <w:jc w:val="right"/>
              <w:ind w:right="180"/>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56,158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00AAE5"/>
              </w:rPr>
              <w:t>NOTE H – Commitments and Contingencies</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7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gridSpan w:val="2"/>
          </w:tcPr>
          <w:p>
            <w:pPr>
              <w:spacing w:after="0"/>
              <w:rPr>
                <w:sz w:val="20"/>
                <w:szCs w:val="20"/>
                <w:color w:val="auto"/>
              </w:rPr>
            </w:pPr>
            <w:r>
              <w:rPr>
                <w:rFonts w:ascii="Arial" w:cs="Arial" w:eastAsia="Arial" w:hAnsi="Arial"/>
                <w:sz w:val="18"/>
                <w:szCs w:val="18"/>
                <w:b w:val="1"/>
                <w:bCs w:val="1"/>
                <w:i w:val="1"/>
                <w:iCs w:val="1"/>
                <w:color w:val="1F282C"/>
              </w:rPr>
              <w:t>Leases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20" w:type="dxa"/>
            <w:vAlign w:val="bottom"/>
            <w:gridSpan w:val="2"/>
          </w:tcPr>
          <w:p>
            <w:pPr>
              <w:ind w:left="760"/>
              <w:spacing w:after="0"/>
              <w:rPr>
                <w:sz w:val="20"/>
                <w:szCs w:val="20"/>
                <w:color w:val="auto"/>
              </w:rPr>
            </w:pPr>
            <w:r>
              <w:rPr>
                <w:rFonts w:ascii="Arial" w:cs="Arial" w:eastAsia="Arial" w:hAnsi="Arial"/>
                <w:sz w:val="18"/>
                <w:szCs w:val="18"/>
                <w:color w:val="auto"/>
              </w:rPr>
              <w:t>The components of lease expense were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12"/>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gridSpan w:val="12"/>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gridSpan w:val="2"/>
            <w:vMerge w:val="continue"/>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759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Variable lease cost</w:t>
            </w: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793</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1,552</w:t>
            </w:r>
          </w:p>
        </w:tc>
        <w:tc>
          <w:tcPr>
            <w:tcW w:w="2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ind w:left="76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12"/>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gridSpan w:val="12"/>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gridSpan w:val="2"/>
            <w:vMerge w:val="continue"/>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1,095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w w:val="86"/>
              </w:rPr>
              <w:t>521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7720" w:type="dxa"/>
            <w:vAlign w:val="bottom"/>
            <w:gridSpan w:val="2"/>
          </w:tcPr>
          <w:p>
            <w:pPr>
              <w:ind w:left="76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6"/>
          </w:tcPr>
          <w:p>
            <w:pPr>
              <w:ind w:left="20"/>
              <w:spacing w:after="0"/>
              <w:rPr>
                <w:sz w:val="20"/>
                <w:szCs w:val="20"/>
                <w:color w:val="auto"/>
              </w:rPr>
            </w:pPr>
            <w:r>
              <w:rPr>
                <w:rFonts w:ascii="Arial" w:cs="Arial" w:eastAsia="Arial" w:hAnsi="Arial"/>
                <w:sz w:val="14"/>
                <w:szCs w:val="14"/>
                <w:b w:val="1"/>
                <w:bCs w:val="1"/>
                <w:color w:val="auto"/>
              </w:rPr>
              <w:t>March 31, 2022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 years</w:t>
            </w:r>
          </w:p>
        </w:tc>
        <w:tc>
          <w:tcPr>
            <w:tcW w:w="360" w:type="dxa"/>
            <w:vAlign w:val="bottom"/>
            <w:tcBorders>
              <w:top w:val="single" w:sz="8" w:color="CFF0FC"/>
            </w:tcBorders>
            <w:gridSpan w:val="4"/>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 years</w:t>
            </w:r>
          </w:p>
        </w:tc>
        <w:tc>
          <w:tcPr>
            <w:tcW w:w="180" w:type="dxa"/>
            <w:vAlign w:val="bottom"/>
            <w:tcBorders>
              <w:top w:val="single" w:sz="8" w:color="CFF0FC"/>
            </w:tcBorders>
            <w:gridSpan w:val="3"/>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Weighted-average discount rate - operating leases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5"/>
          </w:tcPr>
          <w:p>
            <w:pPr>
              <w:jc w:val="right"/>
              <w:ind w:right="20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4"/>
          </w:tcPr>
          <w:p>
            <w:pPr>
              <w:ind w:left="1140"/>
              <w:spacing w:after="0"/>
              <w:rPr>
                <w:sz w:val="20"/>
                <w:szCs w:val="20"/>
                <w:color w:val="auto"/>
              </w:rPr>
            </w:pPr>
            <w:r>
              <w:rPr>
                <w:rFonts w:ascii="Arial" w:cs="Arial" w:eastAsia="Arial" w:hAnsi="Arial"/>
                <w:sz w:val="18"/>
                <w:szCs w:val="18"/>
                <w:color w:val="auto"/>
                <w:w w:val="97"/>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0"/>
        <w:spacing w:after="0"/>
        <w:tabs>
          <w:tab w:leader="none" w:pos="554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11</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9"/>
        </w:trPr>
        <w:tc>
          <w:tcPr>
            <w:tcW w:w="8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Borders>
              <w:bottom w:val="single" w:sz="8" w:color="0000EE"/>
            </w:tcBorders>
            <w:gridSpan w:val="2"/>
          </w:tcPr>
          <w:p>
            <w:pPr>
              <w:jc w:val="right"/>
              <w:spacing w:after="0"/>
              <w:rPr>
                <w:rFonts w:ascii="Arial" w:cs="Arial" w:eastAsia="Arial" w:hAnsi="Arial"/>
                <w:sz w:val="13"/>
                <w:szCs w:val="13"/>
                <w:color w:val="0000EE"/>
                <w:w w:val="91"/>
              </w:rPr>
            </w:pPr>
            <w:hyperlink w:anchor="page2">
              <w:r>
                <w:rPr>
                  <w:rFonts w:ascii="Arial" w:cs="Arial" w:eastAsia="Arial" w:hAnsi="Arial"/>
                  <w:sz w:val="13"/>
                  <w:szCs w:val="13"/>
                  <w:color w:val="0000EE"/>
                  <w:w w:val="91"/>
                </w:rPr>
                <w:t>Table of Contents</w:t>
              </w:r>
            </w:hyperlink>
          </w:p>
        </w:tc>
      </w:tr>
      <w:tr>
        <w:trPr>
          <w:trHeight w:val="763"/>
        </w:trPr>
        <w:tc>
          <w:tcPr>
            <w:tcW w:w="8280" w:type="dxa"/>
            <w:vAlign w:val="bottom"/>
          </w:tcPr>
          <w:p>
            <w:pPr>
              <w:ind w:left="760"/>
              <w:spacing w:after="0"/>
              <w:rPr>
                <w:sz w:val="20"/>
                <w:szCs w:val="20"/>
                <w:color w:val="auto"/>
              </w:rPr>
            </w:pPr>
            <w:r>
              <w:rPr>
                <w:rFonts w:ascii="Arial" w:cs="Arial" w:eastAsia="Arial" w:hAnsi="Arial"/>
                <w:sz w:val="18"/>
                <w:szCs w:val="18"/>
                <w:color w:val="auto"/>
              </w:rPr>
              <w:t>At March 31, 2022, our future minimum payments under operating leases were as follows:</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2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2022</w:t>
            </w:r>
          </w:p>
        </w:tc>
        <w:tc>
          <w:tcPr>
            <w:tcW w:w="9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3,780</w:t>
            </w:r>
          </w:p>
        </w:tc>
        <w:tc>
          <w:tcPr>
            <w:tcW w:w="100" w:type="dxa"/>
            <w:vAlign w:val="bottom"/>
            <w:shd w:val="clear" w:color="auto" w:fill="CFF0FC"/>
          </w:tcPr>
          <w:p>
            <w:pPr>
              <w:spacing w:after="0"/>
              <w:rPr>
                <w:sz w:val="19"/>
                <w:szCs w:val="19"/>
                <w:color w:val="auto"/>
              </w:rPr>
            </w:pPr>
          </w:p>
        </w:tc>
      </w:tr>
      <w:tr>
        <w:trPr>
          <w:trHeight w:val="229"/>
        </w:trPr>
        <w:tc>
          <w:tcPr>
            <w:tcW w:w="8280" w:type="dxa"/>
            <w:vAlign w:val="bottom"/>
          </w:tcPr>
          <w:p>
            <w:pPr>
              <w:spacing w:after="0"/>
              <w:rPr>
                <w:sz w:val="20"/>
                <w:szCs w:val="20"/>
                <w:color w:val="auto"/>
              </w:rPr>
            </w:pPr>
            <w:r>
              <w:rPr>
                <w:rFonts w:ascii="Arial" w:cs="Arial" w:eastAsia="Arial" w:hAnsi="Arial"/>
                <w:sz w:val="18"/>
                <w:szCs w:val="18"/>
                <w:color w:val="auto"/>
              </w:rPr>
              <w:t>2023</w:t>
            </w: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4,698</w:t>
            </w:r>
          </w:p>
        </w:tc>
        <w:tc>
          <w:tcPr>
            <w:tcW w:w="100" w:type="dxa"/>
            <w:vAlign w:val="bottom"/>
          </w:tcPr>
          <w:p>
            <w:pPr>
              <w:spacing w:after="0"/>
              <w:rPr>
                <w:sz w:val="19"/>
                <w:szCs w:val="19"/>
                <w:color w:val="auto"/>
              </w:rPr>
            </w:pPr>
          </w:p>
        </w:tc>
      </w:tr>
      <w:tr>
        <w:trPr>
          <w:trHeight w:val="230"/>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9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w:t>
            </w:r>
          </w:p>
        </w:tc>
        <w:tc>
          <w:tcPr>
            <w:tcW w:w="100" w:type="dxa"/>
            <w:vAlign w:val="bottom"/>
            <w:shd w:val="clear" w:color="auto" w:fill="CFF0FC"/>
          </w:tcPr>
          <w:p>
            <w:pPr>
              <w:spacing w:after="0"/>
              <w:rPr>
                <w:sz w:val="19"/>
                <w:szCs w:val="19"/>
                <w:color w:val="auto"/>
              </w:rPr>
            </w:pPr>
          </w:p>
        </w:tc>
      </w:tr>
      <w:tr>
        <w:trPr>
          <w:trHeight w:val="229"/>
        </w:trPr>
        <w:tc>
          <w:tcPr>
            <w:tcW w:w="8280" w:type="dxa"/>
            <w:vAlign w:val="bottom"/>
          </w:tcPr>
          <w:p>
            <w:pPr>
              <w:spacing w:after="0"/>
              <w:rPr>
                <w:sz w:val="20"/>
                <w:szCs w:val="20"/>
                <w:color w:val="auto"/>
              </w:rPr>
            </w:pPr>
            <w:r>
              <w:rPr>
                <w:rFonts w:ascii="Arial" w:cs="Arial" w:eastAsia="Arial" w:hAnsi="Arial"/>
                <w:sz w:val="18"/>
                <w:szCs w:val="18"/>
                <w:color w:val="auto"/>
              </w:rPr>
              <w:t>2025</w:t>
            </w: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19"/>
                <w:szCs w:val="19"/>
                <w:color w:val="auto"/>
              </w:rPr>
            </w:pPr>
          </w:p>
        </w:tc>
      </w:tr>
      <w:tr>
        <w:trPr>
          <w:trHeight w:val="230"/>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9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3,774</w:t>
            </w:r>
          </w:p>
        </w:tc>
        <w:tc>
          <w:tcPr>
            <w:tcW w:w="100" w:type="dxa"/>
            <w:vAlign w:val="bottom"/>
            <w:shd w:val="clear" w:color="auto" w:fill="CFF0FC"/>
          </w:tcPr>
          <w:p>
            <w:pPr>
              <w:spacing w:after="0"/>
              <w:rPr>
                <w:sz w:val="19"/>
                <w:szCs w:val="19"/>
                <w:color w:val="auto"/>
              </w:rPr>
            </w:pPr>
          </w:p>
        </w:tc>
      </w:tr>
      <w:tr>
        <w:trPr>
          <w:trHeight w:val="229"/>
        </w:trPr>
        <w:tc>
          <w:tcPr>
            <w:tcW w:w="8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FF0FC"/>
            </w:tcBorders>
          </w:tcPr>
          <w:p>
            <w:pPr>
              <w:spacing w:after="0"/>
              <w:rPr>
                <w:sz w:val="19"/>
                <w:szCs w:val="19"/>
                <w:color w:val="auto"/>
              </w:rPr>
            </w:pPr>
          </w:p>
        </w:tc>
      </w:tr>
      <w:tr>
        <w:trPr>
          <w:trHeight w:val="223"/>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Total future gross payments</w:t>
            </w:r>
          </w:p>
        </w:tc>
        <w:tc>
          <w:tcPr>
            <w:tcW w:w="9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21,648</w:t>
            </w:r>
          </w:p>
        </w:tc>
        <w:tc>
          <w:tcPr>
            <w:tcW w:w="100" w:type="dxa"/>
            <w:vAlign w:val="bottom"/>
            <w:shd w:val="clear" w:color="auto" w:fill="CFF0FC"/>
          </w:tcPr>
          <w:p>
            <w:pPr>
              <w:spacing w:after="0"/>
              <w:rPr>
                <w:sz w:val="19"/>
                <w:szCs w:val="19"/>
                <w:color w:val="auto"/>
              </w:rPr>
            </w:pPr>
          </w:p>
        </w:tc>
      </w:tr>
      <w:tr>
        <w:trPr>
          <w:trHeight w:val="229"/>
        </w:trPr>
        <w:tc>
          <w:tcPr>
            <w:tcW w:w="8280" w:type="dxa"/>
            <w:vAlign w:val="bottom"/>
          </w:tcPr>
          <w:p>
            <w:pPr>
              <w:spacing w:after="0"/>
              <w:rPr>
                <w:sz w:val="20"/>
                <w:szCs w:val="20"/>
                <w:color w:val="auto"/>
              </w:rPr>
            </w:pPr>
            <w:r>
              <w:rPr>
                <w:rFonts w:ascii="Arial" w:cs="Arial" w:eastAsia="Arial" w:hAnsi="Arial"/>
                <w:sz w:val="18"/>
                <w:szCs w:val="18"/>
                <w:color w:val="auto"/>
              </w:rPr>
              <w:t>Less: imputed interest</w:t>
            </w: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(1,973)</w:t>
            </w:r>
          </w:p>
        </w:tc>
      </w:tr>
      <w:tr>
        <w:trPr>
          <w:trHeight w:val="223"/>
        </w:trPr>
        <w:tc>
          <w:tcPr>
            <w:tcW w:w="8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Purchase Commitments</w:t>
      </w:r>
    </w:p>
    <w:p>
      <w:pPr>
        <w:spacing w:after="0" w:line="117" w:lineRule="exact"/>
        <w:rPr>
          <w:sz w:val="20"/>
          <w:szCs w:val="20"/>
          <w:color w:val="auto"/>
        </w:rPr>
      </w:pPr>
    </w:p>
    <w:p>
      <w:pPr>
        <w:ind w:right="460" w:firstLine="749"/>
        <w:spacing w:after="0" w:line="277" w:lineRule="auto"/>
        <w:rPr>
          <w:sz w:val="20"/>
          <w:szCs w:val="20"/>
          <w:color w:val="auto"/>
        </w:rPr>
      </w:pPr>
      <w:r>
        <w:rPr>
          <w:rFonts w:ascii="Arial" w:cs="Arial" w:eastAsia="Arial" w:hAnsi="Arial"/>
          <w:sz w:val="18"/>
          <w:szCs w:val="18"/>
          <w:color w:val="auto"/>
        </w:rPr>
        <w:t>We have entered into separate noncancelable agreements with computing infrastructure and customer relationship management vendors for services through 2023. At March 31, 2022, the total remaining purchase commitments were $8.0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I –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Stock Repurchase Programs</w:t>
      </w:r>
    </w:p>
    <w:p>
      <w:pPr>
        <w:spacing w:after="0" w:line="117" w:lineRule="exact"/>
        <w:rPr>
          <w:sz w:val="20"/>
          <w:szCs w:val="20"/>
          <w:color w:val="auto"/>
        </w:rPr>
      </w:pPr>
    </w:p>
    <w:p>
      <w:pPr>
        <w:ind w:right="500" w:firstLine="749"/>
        <w:spacing w:after="0" w:line="277" w:lineRule="auto"/>
        <w:rPr>
          <w:sz w:val="20"/>
          <w:szCs w:val="20"/>
          <w:color w:val="auto"/>
        </w:rPr>
      </w:pPr>
      <w:r>
        <w:rPr>
          <w:rFonts w:ascii="Arial" w:cs="Arial" w:eastAsia="Arial" w:hAnsi="Arial"/>
          <w:sz w:val="18"/>
          <w:szCs w:val="18"/>
          <w:color w:val="212529"/>
        </w:rPr>
        <w:t>Our board of directors has authorized multiple non-concurrent programs to repurchase our common stock. Details of the plans and activity thereunder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Share Value</w:t>
            </w:r>
          </w:p>
        </w:tc>
        <w:tc>
          <w:tcPr>
            <w:tcW w:w="172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Share Value</w:t>
            </w: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Unused &amp; Expired</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Share Value</w:t>
            </w: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150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4"/>
              </w:rPr>
              <w:t>Effective Date</w:t>
            </w:r>
          </w:p>
        </w:tc>
        <w:tc>
          <w:tcPr>
            <w:tcW w:w="15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Expiration Date</w:t>
            </w: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Authorized for</w:t>
            </w:r>
          </w:p>
        </w:tc>
        <w:tc>
          <w:tcPr>
            <w:tcW w:w="1720" w:type="dxa"/>
            <w:vAlign w:val="bottom"/>
            <w:gridSpan w:val="4"/>
            <w:vMerge w:val="continue"/>
          </w:tcPr>
          <w:p>
            <w:pPr>
              <w:spacing w:after="0"/>
              <w:rPr>
                <w:sz w:val="12"/>
                <w:szCs w:val="12"/>
                <w:color w:val="auto"/>
              </w:rPr>
            </w:pPr>
          </w:p>
        </w:tc>
        <w:tc>
          <w:tcPr>
            <w:tcW w:w="14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Share Repurchase</w:t>
            </w: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71"/>
        </w:trPr>
        <w:tc>
          <w:tcPr>
            <w:tcW w:w="18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tcBorders>
          </w:tcPr>
          <w:p>
            <w:pPr>
              <w:jc w:val="center"/>
              <w:ind w:left="61"/>
              <w:spacing w:after="0"/>
              <w:rPr>
                <w:sz w:val="20"/>
                <w:szCs w:val="20"/>
                <w:color w:val="auto"/>
              </w:rPr>
            </w:pPr>
            <w:r>
              <w:rPr>
                <w:rFonts w:ascii="Arial" w:cs="Arial" w:eastAsia="Arial" w:hAnsi="Arial"/>
                <w:sz w:val="14"/>
                <w:szCs w:val="14"/>
                <w:b w:val="1"/>
                <w:bCs w:val="1"/>
                <w:color w:val="auto"/>
                <w:w w:val="89"/>
              </w:rPr>
              <w:t>Repurchase</w:t>
            </w:r>
          </w:p>
        </w:tc>
        <w:tc>
          <w:tcPr>
            <w:tcW w:w="100" w:type="dxa"/>
            <w:vAlign w:val="bottom"/>
            <w:tcBorders>
              <w:bottom w:val="single" w:sz="8" w:color="CFF0FC"/>
            </w:tcBorders>
          </w:tcPr>
          <w:p>
            <w:pPr>
              <w:spacing w:after="0"/>
              <w:rPr>
                <w:sz w:val="14"/>
                <w:szCs w:val="14"/>
                <w:color w:val="auto"/>
              </w:rPr>
            </w:pPr>
          </w:p>
        </w:tc>
        <w:tc>
          <w:tcPr>
            <w:tcW w:w="1520" w:type="dxa"/>
            <w:vAlign w:val="bottom"/>
            <w:tcBorders>
              <w:bottom w:val="single" w:sz="8" w:color="auto"/>
            </w:tcBorders>
            <w:gridSpan w:val="2"/>
          </w:tcPr>
          <w:p>
            <w:pPr>
              <w:jc w:val="right"/>
              <w:ind w:right="227"/>
              <w:spacing w:after="0"/>
              <w:rPr>
                <w:sz w:val="20"/>
                <w:szCs w:val="20"/>
                <w:color w:val="auto"/>
              </w:rPr>
            </w:pPr>
            <w:r>
              <w:rPr>
                <w:rFonts w:ascii="Arial" w:cs="Arial" w:eastAsia="Arial" w:hAnsi="Arial"/>
                <w:sz w:val="14"/>
                <w:szCs w:val="14"/>
                <w:b w:val="1"/>
                <w:bCs w:val="1"/>
                <w:color w:val="auto"/>
              </w:rPr>
              <w:t>Repurchased</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left="219"/>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Repurchase</w:t>
            </w:r>
          </w:p>
        </w:tc>
        <w:tc>
          <w:tcPr>
            <w:tcW w:w="120" w:type="dxa"/>
            <w:vAlign w:val="bottom"/>
            <w:tcBorders>
              <w:bottom w:val="single" w:sz="8" w:color="CFF0F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rPr>
              <w:t>2019 Program</w:t>
            </w:r>
          </w:p>
        </w:tc>
        <w:tc>
          <w:tcPr>
            <w:tcW w:w="1500" w:type="dxa"/>
            <w:vAlign w:val="bottom"/>
            <w:shd w:val="clear" w:color="auto" w:fill="CFF0FC"/>
          </w:tcPr>
          <w:p>
            <w:pPr>
              <w:jc w:val="center"/>
              <w:ind w:right="16"/>
              <w:spacing w:after="0"/>
              <w:rPr>
                <w:sz w:val="20"/>
                <w:szCs w:val="20"/>
                <w:color w:val="auto"/>
              </w:rPr>
            </w:pPr>
            <w:r>
              <w:rPr>
                <w:rFonts w:ascii="Arial" w:cs="Arial" w:eastAsia="Arial" w:hAnsi="Arial"/>
                <w:sz w:val="18"/>
                <w:szCs w:val="18"/>
                <w:color w:val="auto"/>
                <w:w w:val="90"/>
              </w:rPr>
              <w:t>November 2019</w:t>
            </w:r>
          </w:p>
        </w:tc>
        <w:tc>
          <w:tcPr>
            <w:tcW w:w="15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November 2021</w:t>
            </w:r>
          </w:p>
        </w:tc>
        <w:tc>
          <w:tcPr>
            <w:tcW w:w="15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   50,000,000</w:t>
            </w:r>
          </w:p>
        </w:tc>
        <w:tc>
          <w:tcPr>
            <w:tcW w:w="1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   29,611,000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gridSpan w:val="3"/>
            <w:shd w:val="clear" w:color="auto" w:fill="CFF0FC"/>
          </w:tcPr>
          <w:p>
            <w:pPr>
              <w:jc w:val="right"/>
              <w:ind w:right="107"/>
              <w:spacing w:after="0"/>
              <w:rPr>
                <w:sz w:val="20"/>
                <w:szCs w:val="20"/>
                <w:color w:val="auto"/>
              </w:rPr>
            </w:pPr>
            <w:r>
              <w:rPr>
                <w:rFonts w:ascii="Arial" w:cs="Arial" w:eastAsia="Arial" w:hAnsi="Arial"/>
                <w:sz w:val="18"/>
                <w:szCs w:val="18"/>
                <w:color w:val="auto"/>
                <w:w w:val="99"/>
              </w:rPr>
              <w:t>$  20,389,000</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60" w:type="dxa"/>
            <w:vAlign w:val="bottom"/>
            <w:gridSpan w:val="3"/>
            <w:shd w:val="clear" w:color="auto" w:fill="CFF0FC"/>
          </w:tcPr>
          <w:p>
            <w:pPr>
              <w:jc w:val="center"/>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2021 Program</w:t>
            </w:r>
          </w:p>
        </w:tc>
        <w:tc>
          <w:tcPr>
            <w:tcW w:w="1500" w:type="dxa"/>
            <w:vAlign w:val="bottom"/>
          </w:tcPr>
          <w:p>
            <w:pPr>
              <w:jc w:val="center"/>
              <w:ind w:right="16"/>
              <w:spacing w:after="0"/>
              <w:rPr>
                <w:sz w:val="20"/>
                <w:szCs w:val="20"/>
                <w:color w:val="auto"/>
              </w:rPr>
            </w:pPr>
            <w:r>
              <w:rPr>
                <w:rFonts w:ascii="Arial" w:cs="Arial" w:eastAsia="Arial" w:hAnsi="Arial"/>
                <w:sz w:val="18"/>
                <w:szCs w:val="18"/>
                <w:color w:val="auto"/>
                <w:w w:val="90"/>
              </w:rPr>
              <w:t>November 2021</w:t>
            </w:r>
          </w:p>
        </w:tc>
        <w:tc>
          <w:tcPr>
            <w:tcW w:w="1580" w:type="dxa"/>
            <w:vAlign w:val="bottom"/>
          </w:tcPr>
          <w:p>
            <w:pPr>
              <w:jc w:val="right"/>
              <w:ind w:right="96"/>
              <w:spacing w:after="0"/>
              <w:rPr>
                <w:sz w:val="20"/>
                <w:szCs w:val="20"/>
                <w:color w:val="auto"/>
              </w:rPr>
            </w:pPr>
            <w:r>
              <w:rPr>
                <w:rFonts w:ascii="Arial" w:cs="Arial" w:eastAsia="Arial" w:hAnsi="Arial"/>
                <w:sz w:val="18"/>
                <w:szCs w:val="18"/>
                <w:color w:val="auto"/>
              </w:rPr>
              <w:t>November 2023</w:t>
            </w:r>
          </w:p>
        </w:tc>
        <w:tc>
          <w:tcPr>
            <w:tcW w:w="1540" w:type="dxa"/>
            <w:vAlign w:val="bottom"/>
          </w:tcPr>
          <w:p>
            <w:pPr>
              <w:jc w:val="right"/>
              <w:ind w:right="161"/>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20"/>
                <w:szCs w:val="20"/>
                <w:color w:val="auto"/>
              </w:rPr>
            </w:pPr>
          </w:p>
        </w:tc>
        <w:tc>
          <w:tcPr>
            <w:tcW w:w="1520" w:type="dxa"/>
            <w:vAlign w:val="bottom"/>
            <w:gridSpan w:val="2"/>
          </w:tcPr>
          <w:p>
            <w:pPr>
              <w:jc w:val="right"/>
              <w:ind w:right="167"/>
              <w:spacing w:after="0"/>
              <w:rPr>
                <w:sz w:val="20"/>
                <w:szCs w:val="20"/>
                <w:color w:val="auto"/>
              </w:rPr>
            </w:pPr>
            <w:r>
              <w:rPr>
                <w:rFonts w:ascii="Arial" w:cs="Arial" w:eastAsia="Arial" w:hAnsi="Arial"/>
                <w:sz w:val="18"/>
                <w:szCs w:val="18"/>
                <w:color w:val="auto"/>
              </w:rPr>
              <w:t>24,995,000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left="219"/>
              <w:spacing w:after="0"/>
              <w:rPr>
                <w:sz w:val="20"/>
                <w:szCs w:val="20"/>
                <w:color w:val="auto"/>
              </w:rPr>
            </w:pPr>
            <w:r>
              <w:rPr>
                <w:rFonts w:ascii="Arial" w:cs="Arial" w:eastAsia="Arial" w:hAnsi="Arial"/>
                <w:sz w:val="18"/>
                <w:szCs w:val="18"/>
                <w:color w:val="auto"/>
                <w:w w:val="99"/>
              </w:rPr>
              <w:t>N/A</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right"/>
              <w:ind w:right="118"/>
              <w:spacing w:after="0"/>
              <w:rPr>
                <w:sz w:val="20"/>
                <w:szCs w:val="20"/>
                <w:color w:val="auto"/>
              </w:rPr>
            </w:pPr>
            <w:r>
              <w:rPr>
                <w:rFonts w:ascii="Arial" w:cs="Arial" w:eastAsia="Arial" w:hAnsi="Arial"/>
                <w:sz w:val="18"/>
                <w:szCs w:val="18"/>
                <w:color w:val="auto"/>
              </w:rPr>
              <w:t>$  25,005,000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940" w:type="dxa"/>
            <w:vAlign w:val="bottom"/>
            <w:gridSpan w:val="3"/>
          </w:tcPr>
          <w:p>
            <w:pPr>
              <w:jc w:val="right"/>
              <w:ind w:right="96"/>
              <w:spacing w:after="0"/>
              <w:rPr>
                <w:sz w:val="20"/>
                <w:szCs w:val="20"/>
                <w:color w:val="auto"/>
              </w:rPr>
            </w:pPr>
            <w:r>
              <w:rPr>
                <w:rFonts w:ascii="Arial" w:cs="Arial" w:eastAsia="Arial" w:hAnsi="Arial"/>
                <w:sz w:val="18"/>
                <w:szCs w:val="18"/>
                <w:color w:val="212529"/>
              </w:rPr>
              <w:t>The stock repurchase activity by period was as follows: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5"/>
          </w:tcPr>
          <w:p>
            <w:pPr>
              <w:jc w:val="center"/>
              <w:ind w:left="59"/>
              <w:spacing w:after="0"/>
              <w:rPr>
                <w:sz w:val="20"/>
                <w:szCs w:val="20"/>
                <w:color w:val="auto"/>
              </w:rPr>
            </w:pPr>
            <w:r>
              <w:rPr>
                <w:rFonts w:ascii="Arial" w:cs="Arial" w:eastAsia="Arial" w:hAnsi="Arial"/>
                <w:sz w:val="14"/>
                <w:szCs w:val="14"/>
                <w:b w:val="1"/>
                <w:bCs w:val="1"/>
                <w:color w:val="auto"/>
                <w:w w:val="93"/>
              </w:rPr>
              <w:t>Three Months Ended</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5"/>
          </w:tcPr>
          <w:p>
            <w:pPr>
              <w:jc w:val="center"/>
              <w:ind w:left="99"/>
              <w:spacing w:after="0"/>
              <w:rPr>
                <w:sz w:val="20"/>
                <w:szCs w:val="20"/>
                <w:color w:val="auto"/>
              </w:rPr>
            </w:pPr>
            <w:r>
              <w:rPr>
                <w:rFonts w:ascii="Arial" w:cs="Arial" w:eastAsia="Arial" w:hAnsi="Arial"/>
                <w:sz w:val="14"/>
                <w:szCs w:val="14"/>
                <w:b w:val="1"/>
                <w:bCs w:val="1"/>
                <w:color w:val="auto"/>
                <w:w w:val="95"/>
              </w:rPr>
              <w:t>March 31,</w:t>
            </w:r>
          </w:p>
        </w:tc>
        <w:tc>
          <w:tcPr>
            <w:tcW w:w="1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86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8"/>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860" w:type="dxa"/>
            <w:vAlign w:val="bottom"/>
            <w:shd w:val="clear" w:color="auto" w:fill="CFF0FC"/>
          </w:tcPr>
          <w:p>
            <w:pPr>
              <w:spacing w:after="0"/>
              <w:rPr>
                <w:sz w:val="20"/>
                <w:szCs w:val="20"/>
                <w:color w:val="auto"/>
              </w:rPr>
            </w:pPr>
            <w:r>
              <w:rPr>
                <w:rFonts w:ascii="Arial" w:cs="Arial" w:eastAsia="Arial" w:hAnsi="Arial"/>
                <w:sz w:val="18"/>
                <w:szCs w:val="18"/>
                <w:color w:val="auto"/>
                <w:w w:val="91"/>
              </w:rPr>
              <w:t>Shares repurchased cost</w:t>
            </w:r>
          </w:p>
        </w:tc>
        <w:tc>
          <w:tcPr>
            <w:tcW w:w="15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15,226,000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gridSpan w:val="2"/>
          </w:tcPr>
          <w:p>
            <w:pPr>
              <w:spacing w:after="0"/>
              <w:rPr>
                <w:sz w:val="20"/>
                <w:szCs w:val="20"/>
                <w:color w:val="auto"/>
              </w:rPr>
            </w:pPr>
            <w:r>
              <w:rPr>
                <w:rFonts w:ascii="Arial" w:cs="Arial" w:eastAsia="Arial" w:hAnsi="Arial"/>
                <w:sz w:val="18"/>
                <w:szCs w:val="18"/>
                <w:color w:val="auto"/>
              </w:rPr>
              <w:t>Number of shares repurchased</w:t>
            </w:r>
          </w:p>
        </w:tc>
        <w:tc>
          <w:tcPr>
            <w:tcW w:w="1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121,544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60" w:type="dxa"/>
            <w:vAlign w:val="bottom"/>
            <w:gridSpan w:val="2"/>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Average price per repurchased share</w:t>
            </w:r>
          </w:p>
        </w:tc>
        <w:tc>
          <w:tcPr>
            <w:tcW w:w="1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125.27</w:t>
            </w:r>
          </w:p>
        </w:tc>
        <w:tc>
          <w:tcPr>
            <w:tcW w:w="140" w:type="dxa"/>
            <w:vAlign w:val="bottom"/>
          </w:tcPr>
          <w:p>
            <w:pPr>
              <w:spacing w:after="0"/>
              <w:rPr>
                <w:sz w:val="20"/>
                <w:szCs w:val="20"/>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20574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80"/>
        <w:spacing w:after="0"/>
        <w:tabs>
          <w:tab w:leader="none" w:pos="554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12</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J – Stock-Based Compensation</w:t>
      </w:r>
    </w:p>
    <w:p>
      <w:pPr>
        <w:spacing w:after="0" w:line="229"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Our equity compensation plans provide for the grant of incentive and nonqualified stock options, as well as other stock-based awards including performance share units (“PSUs”), restricted stock awards (“RSAs”), restricted stock units (“RSUs”), and deferred stock units (“DSUs”), to employees, non-employee directors and other consultants who provide services to us. We also provide an employee stock purchase plan (“ESPP”) and 401(k) match to eligible participants.</w:t>
      </w:r>
    </w:p>
    <w:p>
      <w:pPr>
        <w:spacing w:after="0" w:line="187"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We recognize stock-based compensation expense based on grant date award fair value. This cost is recognized over the period for which the employee is required to provide service in exchange for the award or the award performance period, except for expenses relating to retirement-eligible employees that have not given their required notice, which is recognized on a pro-rata basis over the notice period prior to retirement. At March 31, 2022, there were 13.2 million shares available for grant under approved equity compensation plans.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Stock-based compensation expense was allocated in the condensed consolidated statements of comprehensive income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5"/>
          </w:tcPr>
          <w:p>
            <w:pPr>
              <w:jc w:val="center"/>
              <w:ind w:left="556"/>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left="556"/>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2,179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2,032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1,474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3,330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9,015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760"/>
              <w:spacing w:after="0"/>
              <w:rPr>
                <w:sz w:val="20"/>
                <w:szCs w:val="20"/>
                <w:color w:val="auto"/>
              </w:rPr>
            </w:pPr>
            <w:r>
              <w:rPr>
                <w:rFonts w:ascii="Arial" w:cs="Arial" w:eastAsia="Arial" w:hAnsi="Arial"/>
                <w:sz w:val="18"/>
                <w:szCs w:val="18"/>
                <w:color w:val="auto"/>
              </w:rPr>
              <w:t>Stock-based compensation expense by grant type or plan was as follows:</w:t>
            </w: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7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5"/>
          </w:tcPr>
          <w:p>
            <w:pPr>
              <w:jc w:val="center"/>
              <w:ind w:left="516"/>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left="516"/>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PSUs</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4,638</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RSAs &amp; DSUs</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401(k) stock match</w:t>
            </w: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9,015</w:t>
            </w: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ind w:right="407"/>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6,925</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00" w:firstLine="749"/>
        <w:spacing w:after="0" w:line="277" w:lineRule="auto"/>
        <w:rPr>
          <w:sz w:val="20"/>
          <w:szCs w:val="20"/>
          <w:color w:val="auto"/>
        </w:rPr>
      </w:pPr>
      <w:r>
        <w:rPr>
          <w:rFonts w:ascii="Arial" w:cs="Arial" w:eastAsia="Arial" w:hAnsi="Arial"/>
          <w:sz w:val="18"/>
          <w:szCs w:val="18"/>
          <w:color w:val="auto"/>
        </w:rPr>
        <w:t>As of March 31, 2022, there was $50.9 million of unrecognized stock-based compensation expense under our equity compensation plans, which is expected to be recognized on a straight-line basis over a weighted average period of 2.8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Stock Options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stock option activity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18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6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 2022</w:t>
            </w: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6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tcPr>
          <w:p>
            <w:pPr>
              <w:jc w:val="center"/>
              <w:ind w:right="337"/>
              <w:spacing w:after="0" w:line="147"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2"/>
                <w:szCs w:val="12"/>
                <w:color w:val="auto"/>
              </w:rPr>
            </w:pPr>
          </w:p>
        </w:tc>
      </w:tr>
      <w:tr>
        <w:trPr>
          <w:trHeight w:val="148"/>
        </w:trPr>
        <w:tc>
          <w:tcPr>
            <w:tcW w:w="6680" w:type="dxa"/>
            <w:vAlign w:val="bottom"/>
          </w:tcPr>
          <w:p>
            <w:pPr>
              <w:spacing w:after="0"/>
              <w:rPr>
                <w:sz w:val="12"/>
                <w:szCs w:val="12"/>
                <w:color w:val="auto"/>
              </w:rPr>
            </w:pPr>
          </w:p>
        </w:tc>
        <w:tc>
          <w:tcPr>
            <w:tcW w:w="1380" w:type="dxa"/>
            <w:vAlign w:val="bottom"/>
          </w:tcPr>
          <w:p>
            <w:pPr>
              <w:ind w:left="780"/>
              <w:spacing w:after="0" w:line="149" w:lineRule="exact"/>
              <w:rPr>
                <w:sz w:val="20"/>
                <w:szCs w:val="20"/>
                <w:color w:val="auto"/>
              </w:rPr>
            </w:pPr>
            <w:r>
              <w:rPr>
                <w:rFonts w:ascii="Arial" w:cs="Arial" w:eastAsia="Arial" w:hAnsi="Arial"/>
                <w:sz w:val="14"/>
                <w:szCs w:val="14"/>
                <w:b w:val="1"/>
                <w:bCs w:val="1"/>
                <w:color w:val="auto"/>
              </w:rPr>
              <w:t>Options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Exercise Price</w:t>
            </w:r>
          </w:p>
        </w:tc>
      </w:tr>
      <w:tr>
        <w:trPr>
          <w:trHeight w:val="171"/>
        </w:trPr>
        <w:tc>
          <w:tcPr>
            <w:tcW w:w="8060" w:type="dxa"/>
            <w:vAlign w:val="bottom"/>
            <w:gridSpan w:val="2"/>
          </w:tcPr>
          <w:p>
            <w:pPr>
              <w:ind w:left="76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($/share)</w:t>
            </w: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13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678,650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06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31,829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130.16</w:t>
            </w:r>
          </w:p>
        </w:tc>
        <w:tc>
          <w:tcPr>
            <w:tcW w:w="100" w:type="dxa"/>
            <w:vAlign w:val="bottom"/>
          </w:tcPr>
          <w:p>
            <w:pPr>
              <w:spacing w:after="0"/>
              <w:rPr>
                <w:sz w:val="19"/>
                <w:szCs w:val="19"/>
                <w:color w:val="auto"/>
              </w:rPr>
            </w:pPr>
          </w:p>
        </w:tc>
      </w:tr>
      <w:tr>
        <w:trPr>
          <w:trHeight w:val="229"/>
        </w:trPr>
        <w:tc>
          <w:tcPr>
            <w:tcW w:w="80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(13,320)</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37.86</w:t>
            </w:r>
          </w:p>
        </w:tc>
        <w:tc>
          <w:tcPr>
            <w:tcW w:w="100" w:type="dxa"/>
            <w:vAlign w:val="bottom"/>
            <w:shd w:val="clear" w:color="auto" w:fill="CFF0FC"/>
          </w:tcPr>
          <w:p>
            <w:pPr>
              <w:spacing w:after="0"/>
              <w:rPr>
                <w:sz w:val="19"/>
                <w:szCs w:val="19"/>
                <w:color w:val="auto"/>
              </w:rPr>
            </w:pPr>
          </w:p>
        </w:tc>
      </w:tr>
      <w:tr>
        <w:trPr>
          <w:trHeight w:val="230"/>
        </w:trPr>
        <w:tc>
          <w:tcPr>
            <w:tcW w:w="806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84.06</w:t>
            </w:r>
          </w:p>
        </w:tc>
        <w:tc>
          <w:tcPr>
            <w:tcW w:w="100" w:type="dxa"/>
            <w:vAlign w:val="bottom"/>
          </w:tcPr>
          <w:p>
            <w:pPr>
              <w:spacing w:after="0"/>
              <w:rPr>
                <w:sz w:val="19"/>
                <w:szCs w:val="19"/>
                <w:color w:val="auto"/>
              </w:rPr>
            </w:pPr>
          </w:p>
        </w:tc>
      </w:tr>
      <w:tr>
        <w:trPr>
          <w:trHeight w:val="223"/>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138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694,525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CFF0FC"/>
              <w:bottom w:val="single" w:sz="8" w:color="CFF0FC"/>
            </w:tcBorders>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tabs>
          <w:tab w:leader="none" w:pos="554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13</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3" w:name="page14"/>
    <w:bookmarkEnd w:id="13"/>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right="580" w:firstLine="749"/>
        <w:spacing w:after="0" w:line="277" w:lineRule="auto"/>
        <w:rPr>
          <w:sz w:val="20"/>
          <w:szCs w:val="20"/>
          <w:color w:val="auto"/>
        </w:rPr>
      </w:pPr>
      <w:r>
        <w:rPr>
          <w:rFonts w:ascii="Arial" w:cs="Arial" w:eastAsia="Arial" w:hAnsi="Arial"/>
          <w:sz w:val="18"/>
          <w:szCs w:val="18"/>
          <w:color w:val="auto"/>
        </w:rPr>
        <w:t>Of the total outstanding options at March 31, 2022, 0.6 million were exercisable. The outstanding and exercisable options had a weighted average exercise price of $40.46 per share and a weighted average remaining contractual life of 3.2 years.</w:t>
      </w:r>
    </w:p>
    <w:p>
      <w:pPr>
        <w:spacing w:after="0" w:line="170" w:lineRule="exact"/>
        <w:rPr>
          <w:sz w:val="20"/>
          <w:szCs w:val="20"/>
          <w:color w:val="auto"/>
        </w:rPr>
      </w:pPr>
    </w:p>
    <w:p>
      <w:pPr>
        <w:ind w:right="340" w:firstLine="749"/>
        <w:spacing w:after="0" w:line="308" w:lineRule="auto"/>
        <w:rPr>
          <w:sz w:val="20"/>
          <w:szCs w:val="20"/>
          <w:color w:val="auto"/>
        </w:rPr>
      </w:pPr>
      <w:r>
        <w:rPr>
          <w:rFonts w:ascii="Arial" w:cs="Arial" w:eastAsia="Arial" w:hAnsi="Arial"/>
          <w:sz w:val="17"/>
          <w:szCs w:val="17"/>
          <w:color w:val="auto"/>
        </w:rPr>
        <w:t>The weighted average grant date fair value of options granted during the three months ended March 31, 2022 was $41.59 per share. This was estimated on the date of grant using the Black-Scholes option pricing model with the following weighted-average assumptions: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Dividend yield</w:t>
            </w:r>
          </w:p>
        </w:tc>
        <w:tc>
          <w:tcPr>
            <w:tcW w:w="50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4.0</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80" w:type="dxa"/>
            <w:vAlign w:val="bottom"/>
          </w:tcPr>
          <w:p>
            <w:pPr>
              <w:jc w:val="right"/>
              <w:spacing w:after="0"/>
              <w:rPr>
                <w:sz w:val="20"/>
                <w:szCs w:val="20"/>
                <w:color w:val="auto"/>
              </w:rPr>
            </w:pPr>
            <w:r>
              <w:rPr>
                <w:rFonts w:ascii="Arial" w:cs="Arial" w:eastAsia="Arial" w:hAnsi="Arial"/>
                <w:sz w:val="18"/>
                <w:szCs w:val="18"/>
                <w:color w:val="auto"/>
              </w:rPr>
              <w:t>1.82%</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Performance Share Units, Restricted Stock Units and Awards, and Deferred Stock Units</w:t>
      </w:r>
    </w:p>
    <w:p>
      <w:pPr>
        <w:spacing w:after="0" w:line="225"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In each of the quarters ended March 31, 2022, 2021, 2020 and 2019 we granted PSU awards with a target performance level. These awards are earned based upon our Company’s total shareholder return as compared to an indexed total shareholder return over the course of a fiscal based three-year performance period, starting in the year of grant. Earned awards vest in the quarter following the conclusion of the performance period. In the three months ended March 31, 2022, PSU awards granted in 2019 vested at the maximum performance level and less than 0.1 million shares of common stock were issued.</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Activity for our PSUs, RSUs, RSAs, and DSUs in aggregate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0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 2022</w:t>
            </w: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tcPr>
          <w:p>
            <w:pPr>
              <w:jc w:val="center"/>
              <w:ind w:right="337"/>
              <w:spacing w:after="0" w:line="147"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40" w:type="dxa"/>
            <w:vAlign w:val="bottom"/>
            <w:gridSpan w:val="2"/>
            <w:vMerge w:val="restart"/>
          </w:tcPr>
          <w:p>
            <w:pPr>
              <w:ind w:left="76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79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Value ($/share)</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1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702,160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233,255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(218,957)</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12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708,219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CFF0FC"/>
              <w:bottom w:val="single" w:sz="8" w:color="CFF0FC"/>
            </w:tcBorders>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number of PSUs, RSUs, RSAs, and DSUs outstanding at March 31, 2022 included less than 0.1 million units that have vested, but the shares of common stock have not yet been issued, pursuant to the terms of the underlying agreements.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Employee Stock Purchase Plan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ESPP activity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center"/>
              <w:ind w:left="541"/>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1"/>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Amounts for shares purchased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Shares purchased</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1,698</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total of 1.8 million shares of common stock are reserved for issuance under the ESPP as of March 31, 2022.</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fair value was estimated based on the market price of our common stock at the beginning of the offering period using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assumptions:</w:t>
            </w:r>
          </w:p>
        </w:tc>
        <w:tc>
          <w:tcPr>
            <w:tcW w:w="5080" w:type="dxa"/>
            <w:vAlign w:val="bottom"/>
          </w:tcPr>
          <w:p>
            <w:pPr>
              <w:spacing w:after="0"/>
              <w:rPr>
                <w:sz w:val="20"/>
                <w:szCs w:val="20"/>
                <w:color w:val="auto"/>
              </w:rPr>
            </w:pPr>
          </w:p>
        </w:tc>
      </w:tr>
      <w:tr>
        <w:trPr>
          <w:trHeight w:val="202"/>
        </w:trPr>
        <w:tc>
          <w:tcPr>
            <w:tcW w:w="6160" w:type="dxa"/>
            <w:vAlign w:val="bottom"/>
          </w:tcPr>
          <w:p>
            <w:pPr>
              <w:spacing w:after="0"/>
              <w:rPr>
                <w:sz w:val="17"/>
                <w:szCs w:val="17"/>
                <w:color w:val="auto"/>
              </w:rPr>
            </w:pPr>
          </w:p>
        </w:tc>
        <w:tc>
          <w:tcPr>
            <w:tcW w:w="5080" w:type="dxa"/>
            <w:vAlign w:val="bottom"/>
          </w:tcPr>
          <w:p>
            <w:pPr>
              <w:spacing w:after="0"/>
              <w:rPr>
                <w:sz w:val="17"/>
                <w:szCs w:val="17"/>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Dividend yield</w:t>
            </w:r>
          </w:p>
        </w:tc>
        <w:tc>
          <w:tcPr>
            <w:tcW w:w="50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80" w:type="dxa"/>
            <w:vAlign w:val="bottom"/>
          </w:tcPr>
          <w:p>
            <w:pPr>
              <w:jc w:val="right"/>
              <w:spacing w:after="0"/>
              <w:rPr>
                <w:sz w:val="20"/>
                <w:szCs w:val="20"/>
                <w:color w:val="auto"/>
              </w:rPr>
            </w:pPr>
            <w:r>
              <w:rPr>
                <w:rFonts w:ascii="Arial" w:cs="Arial" w:eastAsia="Arial" w:hAnsi="Arial"/>
                <w:sz w:val="18"/>
                <w:szCs w:val="18"/>
                <w:color w:val="auto"/>
              </w:rPr>
              <w:t>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0"/>
        <w:spacing w:after="0"/>
        <w:tabs>
          <w:tab w:leader="none" w:pos="554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14</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4" w:name="page15"/>
    <w:bookmarkEnd w:id="14"/>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K – Income Taxes</w:t>
      </w:r>
    </w:p>
    <w:p>
      <w:pPr>
        <w:spacing w:after="0" w:line="121"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credits and tax benefits associated with foreign-derived intangible income.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Our provisions for income taxes includes current federal, state, and foreign income tax expense, as well as deferred tax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L – Other Income and Expense</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income (expense), net included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6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8"/>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Realized gain (loss) from foreign currency on cash and investments held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w:t>
            </w:r>
          </w:p>
        </w:tc>
        <w:tc>
          <w:tcPr>
            <w:tcW w:w="5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7860" w:type="dxa"/>
            <w:vAlign w:val="bottom"/>
          </w:tcPr>
          <w:p>
            <w:pPr>
              <w:ind w:left="26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M – Net Income Per Share</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components and computation of basic and diluted net income per share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12,603</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36,136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Options to purchase common stock</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PSUs, RSUs, RSAs, and DSUs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36,989</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36,722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0.34</w:t>
            </w:r>
          </w:p>
        </w:tc>
        <w:tc>
          <w:tcPr>
            <w:tcW w:w="28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The number of outstanding potential common shares that were excluded from the calculation of diluted net income per share as they were anti-dilutive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2720" w:type="dxa"/>
            <w:vAlign w:val="bottom"/>
            <w:gridSpan w:val="3"/>
          </w:tcPr>
          <w:p>
            <w:pPr>
              <w:jc w:val="center"/>
              <w:ind w:left="1024"/>
              <w:spacing w:after="0"/>
              <w:rPr>
                <w:sz w:val="20"/>
                <w:szCs w:val="20"/>
                <w:color w:val="auto"/>
              </w:rPr>
            </w:pPr>
            <w:r>
              <w:rPr>
                <w:rFonts w:ascii="Arial" w:cs="Arial" w:eastAsia="Arial" w:hAnsi="Arial"/>
                <w:sz w:val="14"/>
                <w:szCs w:val="14"/>
                <w:b w:val="1"/>
                <w:bCs w:val="1"/>
                <w:color w:val="auto"/>
                <w:w w:val="93"/>
              </w:rPr>
              <w:t>Three Months Ended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20" w:type="dxa"/>
            <w:vAlign w:val="bottom"/>
            <w:tcBorders>
              <w:bottom w:val="single" w:sz="8" w:color="auto"/>
            </w:tcBorders>
            <w:gridSpan w:val="3"/>
          </w:tcPr>
          <w:p>
            <w:pPr>
              <w:jc w:val="center"/>
              <w:ind w:left="1024"/>
              <w:spacing w:after="0"/>
              <w:rPr>
                <w:sz w:val="20"/>
                <w:szCs w:val="20"/>
                <w:color w:val="auto"/>
              </w:rPr>
            </w:pPr>
            <w:r>
              <w:rPr>
                <w:rFonts w:ascii="Arial" w:cs="Arial" w:eastAsia="Arial" w:hAnsi="Arial"/>
                <w:sz w:val="14"/>
                <w:szCs w:val="14"/>
                <w:b w:val="1"/>
                <w:bCs w:val="1"/>
                <w:color w:val="auto"/>
                <w:w w:val="95"/>
              </w:rPr>
              <w:t>March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00" w:type="dxa"/>
            <w:vAlign w:val="bottom"/>
            <w:tcBorders>
              <w:bottom w:val="single" w:sz="8" w:color="CFF0FC"/>
            </w:tcBorders>
            <w:vMerge w:val="continue"/>
          </w:tcPr>
          <w:p>
            <w:pPr>
              <w:spacing w:after="0"/>
              <w:rPr>
                <w:sz w:val="13"/>
                <w:szCs w:val="13"/>
                <w:color w:val="auto"/>
              </w:rPr>
            </w:pPr>
          </w:p>
        </w:tc>
        <w:tc>
          <w:tcPr>
            <w:tcW w:w="1640" w:type="dxa"/>
            <w:vAlign w:val="bottom"/>
            <w:tcBorders>
              <w:bottom w:val="single" w:sz="8" w:color="auto"/>
            </w:tcBorders>
          </w:tcPr>
          <w:p>
            <w:pPr>
              <w:jc w:val="right"/>
              <w:ind w:right="604"/>
              <w:spacing w:after="0" w:line="155" w:lineRule="exact"/>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19"/>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Antidilutive shares</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5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tabs>
          <w:tab w:leader="none" w:pos="554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15</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5" w:name="page16"/>
    <w:bookmarkEnd w:id="15"/>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N –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percentage of domestic revenue, which we define as the percentage of consolidated revenue that was attributable to customers based within the U.S., was as follows:</w:t>
      </w:r>
    </w:p>
    <w:p>
      <w:pPr>
        <w:spacing w:after="0" w:line="40"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20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r>
      <w:tr>
        <w:trPr>
          <w:trHeight w:val="223"/>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Domestic revenue</w:t>
            </w:r>
          </w:p>
        </w:tc>
        <w:tc>
          <w:tcPr>
            <w:tcW w:w="1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0"/>
              <w:spacing w:after="0"/>
              <w:rPr>
                <w:sz w:val="20"/>
                <w:szCs w:val="20"/>
                <w:color w:val="auto"/>
              </w:rPr>
            </w:pPr>
            <w:r>
              <w:rPr>
                <w:rFonts w:ascii="Arial" w:cs="Arial" w:eastAsia="Arial" w:hAnsi="Arial"/>
                <w:sz w:val="18"/>
                <w:szCs w:val="18"/>
                <w:color w:val="auto"/>
              </w:rPr>
              <w:t>84%</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single jurisdiction outside of the U.S. had revenues in excess of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percentage of property and equipment, net located in subsidiary and office locations outside of the U.S. was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March 31, 2022</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25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CFF0FC"/>
            </w:tcBorders>
          </w:tcPr>
          <w:p>
            <w:pPr>
              <w:spacing w:after="0"/>
              <w:rPr>
                <w:sz w:val="14"/>
                <w:szCs w:val="14"/>
                <w:color w:val="auto"/>
              </w:rPr>
            </w:pPr>
          </w:p>
        </w:tc>
      </w:tr>
      <w:tr>
        <w:trPr>
          <w:trHeight w:val="223"/>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International property and equipment</w:t>
            </w:r>
          </w:p>
        </w:tc>
        <w:tc>
          <w:tcPr>
            <w:tcW w:w="14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12%</w:t>
            </w:r>
          </w:p>
        </w:tc>
        <w:tc>
          <w:tcPr>
            <w:tcW w:w="2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642620</wp:posOffset>
            </wp:positionV>
            <wp:extent cx="20574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80"/>
        <w:spacing w:after="0"/>
        <w:tabs>
          <w:tab w:leader="none" w:pos="554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16</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6" w:name="page17"/>
    <w:bookmarkEnd w:id="16"/>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6"/>
          <w:szCs w:val="16"/>
          <w:b w:val="1"/>
          <w:bCs w:val="1"/>
          <w:color w:val="00AAE5"/>
        </w:rPr>
        <w:t>Management’s Discussion and Analysis of Financial Condition and Results of Operations</w:t>
      </w:r>
    </w:p>
    <w:p>
      <w:pPr>
        <w:spacing w:after="0" w:line="121" w:lineRule="exact"/>
        <w:rPr>
          <w:sz w:val="20"/>
          <w:szCs w:val="20"/>
          <w:color w:val="auto"/>
        </w:rPr>
      </w:pPr>
    </w:p>
    <w:p>
      <w:pPr>
        <w:ind w:right="60" w:firstLine="749"/>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U.S. Private Securities Litigation Reform Act of 1995. Forward-looking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under the heading “Risk Factors” appearing in our Annual Report on Form 10-K for the year ended December 31, 2021, as may be updated in our subsequent Quarterly Reports on Form 10-Q from time to time.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Overview</w:t>
      </w:r>
    </w:p>
    <w:p>
      <w:pPr>
        <w:spacing w:after="0" w:line="121" w:lineRule="exact"/>
        <w:rPr>
          <w:sz w:val="20"/>
          <w:szCs w:val="20"/>
          <w:color w:val="auto"/>
        </w:rPr>
      </w:pPr>
    </w:p>
    <w:p>
      <w:pPr>
        <w:jc w:val="both"/>
        <w:ind w:right="160" w:firstLine="749"/>
        <w:spacing w:after="0" w:line="259" w:lineRule="auto"/>
        <w:rPr>
          <w:sz w:val="20"/>
          <w:szCs w:val="20"/>
          <w:color w:val="auto"/>
        </w:rPr>
      </w:pPr>
      <w:r>
        <w:rPr>
          <w:rFonts w:ascii="Arial" w:cs="Arial" w:eastAsia="Arial" w:hAnsi="Arial"/>
          <w:sz w:val="18"/>
          <w:szCs w:val="18"/>
          <w:color w:val="auto"/>
        </w:rPr>
        <w:t>SPS Commerce is a leading provider of cloud-based supply chain management services across our global retail network. Our products make it easier for retailers, suppliers, grocers, distributors, and logistics firms to orchestrate the management of item data, order fulfillment, inventory control and sales analytics across omnichannel retail channels. SPS Commerce delivers our products using a full-service model whereby our internal experts monitor, update, and boost network performance on our customers’ behalf.</w:t>
      </w:r>
    </w:p>
    <w:p>
      <w:pPr>
        <w:spacing w:after="0" w:line="187"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The services offered by SPS Commerce eliminate the need for on-premise software and support staff by taking on that capability on the customer’s behalf. The services we provide enable our customers to increase their supply cycle agility, optimize their inventory levels and sell-through, reduce operational costs and gain increased visibility into customer orders, to help ensure that suppliers, grocers, distributors, and logistics firms can satisfy exacting retailer requirements.</w:t>
      </w:r>
    </w:p>
    <w:p>
      <w:pPr>
        <w:spacing w:after="0" w:line="187"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products and applications. We also intend to selectively pursue acquisitions that will add customers, allow us to expand into new regions, or allow us to offer new functionalities.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Key Financial Terms, Metrics and Non-GAAP Measures</w:t>
      </w:r>
    </w:p>
    <w:p>
      <w:pPr>
        <w:spacing w:after="0" w:line="121" w:lineRule="exact"/>
        <w:rPr>
          <w:sz w:val="20"/>
          <w:szCs w:val="20"/>
          <w:color w:val="auto"/>
        </w:rPr>
      </w:pPr>
    </w:p>
    <w:p>
      <w:pPr>
        <w:ind w:right="320" w:firstLine="749"/>
        <w:spacing w:after="0" w:line="308" w:lineRule="auto"/>
        <w:rPr>
          <w:sz w:val="20"/>
          <w:szCs w:val="20"/>
          <w:color w:val="auto"/>
        </w:rPr>
      </w:pPr>
      <w:r>
        <w:rPr>
          <w:rFonts w:ascii="Arial" w:cs="Arial" w:eastAsia="Arial" w:hAnsi="Arial"/>
          <w:sz w:val="17"/>
          <w:szCs w:val="17"/>
          <w:color w:val="auto"/>
        </w:rPr>
        <w:t>We have several key financial terms and metrics, as discussed in our Annual Report on Form 10-K for the year ended December 31, 2021, as filed with the SEC, under the heading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146" w:lineRule="exact"/>
        <w:rPr>
          <w:sz w:val="20"/>
          <w:szCs w:val="20"/>
          <w:color w:val="auto"/>
        </w:rPr>
      </w:pPr>
    </w:p>
    <w:p>
      <w:pPr>
        <w:ind w:right="80" w:firstLine="749"/>
        <w:spacing w:after="0" w:line="275" w:lineRule="auto"/>
        <w:rPr>
          <w:sz w:val="20"/>
          <w:szCs w:val="20"/>
          <w:color w:val="auto"/>
        </w:rPr>
      </w:pPr>
      <w:r>
        <w:rPr>
          <w:rFonts w:ascii="Arial" w:cs="Arial" w:eastAsia="Arial" w:hAnsi="Arial"/>
          <w:sz w:val="17"/>
          <w:szCs w:val="17"/>
          <w:color w:val="auto"/>
        </w:rPr>
        <w:t>To supplement our financial statements, we provide investors with Adjusted EBITDA, Adjusted EBITDA Margin, and non-GAAP income per share, all of which are non-GAAP financial measures. We believe that these non-GAAP measures provide useful information to our management, board of directors, and investors regarding certain financial and business trends relating to our financial condition and results of operations. Our management uses these non-GAAP measures to compare our performance to that of prior periods for trend analyses and planning purposes. Adjusted EBITDA is also used for purposes of determining executive and senior management incentive compensation.</w:t>
      </w:r>
    </w:p>
    <w:p>
      <w:pPr>
        <w:spacing w:after="0" w:line="176" w:lineRule="exact"/>
        <w:rPr>
          <w:sz w:val="20"/>
          <w:szCs w:val="20"/>
          <w:color w:val="auto"/>
        </w:rPr>
      </w:pPr>
    </w:p>
    <w:p>
      <w:pPr>
        <w:ind w:right="260" w:firstLine="749"/>
        <w:spacing w:after="0" w:line="279" w:lineRule="auto"/>
        <w:rPr>
          <w:sz w:val="20"/>
          <w:szCs w:val="20"/>
          <w:color w:val="auto"/>
        </w:rPr>
      </w:pPr>
      <w:r>
        <w:rPr>
          <w:rFonts w:ascii="Arial" w:cs="Arial" w:eastAsia="Arial" w:hAnsi="Arial"/>
          <w:sz w:val="17"/>
          <w:szCs w:val="17"/>
          <w:color w:val="auto"/>
        </w:rPr>
        <w:t>These non-GAAP measures should not be considered a substitute for, or superior to, financial measures calculated in accordance with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20574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80"/>
        <w:spacing w:after="0"/>
        <w:tabs>
          <w:tab w:leader="none" w:pos="554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17</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7" w:name="page18"/>
    <w:bookmarkEnd w:id="17"/>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Critical Accounting Policies and Estimates</w:t>
      </w:r>
    </w:p>
    <w:p>
      <w:pPr>
        <w:spacing w:after="0" w:line="121" w:lineRule="exact"/>
        <w:rPr>
          <w:sz w:val="20"/>
          <w:szCs w:val="20"/>
          <w:color w:val="auto"/>
        </w:rPr>
      </w:pPr>
    </w:p>
    <w:p>
      <w:pPr>
        <w:ind w:right="320" w:firstLine="749"/>
        <w:spacing w:after="0" w:line="255" w:lineRule="auto"/>
        <w:rPr>
          <w:sz w:val="20"/>
          <w:szCs w:val="20"/>
          <w:color w:val="auto"/>
        </w:rPr>
      </w:pPr>
      <w:r>
        <w:rPr>
          <w:rFonts w:ascii="Arial" w:cs="Arial" w:eastAsia="Arial" w:hAnsi="Arial"/>
          <w:sz w:val="18"/>
          <w:szCs w:val="18"/>
          <w:color w:val="auto"/>
        </w:rPr>
        <w:t>This discussion of our financial condition and results of operations is based upon our condensed consolidated financial statements, which are prepared in accordance with GAAP and with the instructions to Form 10-Q and Rule 10-01 of Regulation S-X. The preparation of these financial statements requires us to make estimates, judgments and assumptions that affect the reported amounts of assets, liabilities, revenues,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92"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A critical accounting policy or estimate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internal-use software, and business combinations are the most critical to fully understand and evaluate our financial condition and results of operations.</w:t>
      </w:r>
    </w:p>
    <w:p>
      <w:pPr>
        <w:spacing w:after="0" w:line="18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During the three months ended March 31, 2022, there were no changes in our critical accounting policies or estimates. For additional information regarding our critical accounting policies and estimates, see the discussion under “Critical Accounting Policies and Estimates” in “Management’s Discussion and Analysis of Financial Condition and Results of Operations” included in our Annual Report on Form 10-K for the year ended December 31, 2021, as filed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Three Months Ended March 31, 2022 Compared to Three Months Ended March 31, 2021</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Three Months Ended March 31,</w:t>
            </w:r>
          </w:p>
        </w:tc>
        <w:tc>
          <w:tcPr>
            <w:tcW w:w="10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2"/>
          </w:tcPr>
          <w:p>
            <w:pPr>
              <w:jc w:val="right"/>
              <w:ind w:right="852"/>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right"/>
              <w:ind w:right="85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38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of revenue</w:t>
            </w:r>
            <w:r>
              <w:rPr>
                <w:rFonts w:ascii="Arial" w:cs="Arial" w:eastAsia="Arial" w:hAnsi="Arial"/>
                <w:sz w:val="12"/>
                <w:szCs w:val="12"/>
                <w:b w:val="1"/>
                <w:bCs w:val="1"/>
                <w:color w:val="auto"/>
              </w:rPr>
              <w:t>(1)</w:t>
            </w:r>
          </w:p>
        </w:tc>
        <w:tc>
          <w:tcPr>
            <w:tcW w:w="260" w:type="dxa"/>
            <w:vAlign w:val="bottom"/>
          </w:tcPr>
          <w:p>
            <w:pPr>
              <w:spacing w:after="0"/>
              <w:rPr>
                <w:sz w:val="14"/>
                <w:szCs w:val="14"/>
                <w:color w:val="auto"/>
              </w:rPr>
            </w:pPr>
          </w:p>
        </w:tc>
        <w:tc>
          <w:tcPr>
            <w:tcW w:w="6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of revenue</w:t>
            </w:r>
            <w:r>
              <w:rPr>
                <w:rFonts w:ascii="Arial" w:cs="Arial" w:eastAsia="Arial" w:hAnsi="Arial"/>
                <w:sz w:val="12"/>
                <w:szCs w:val="12"/>
                <w:b w:val="1"/>
                <w:bCs w:val="1"/>
                <w:color w:val="auto"/>
              </w:rPr>
              <w:t>(1)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6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3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9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105,193</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90,094</w:t>
            </w: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12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15,099</w:t>
            </w:r>
          </w:p>
        </w:tc>
        <w:tc>
          <w:tcPr>
            <w:tcW w:w="4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7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35,389</w:t>
            </w:r>
          </w:p>
        </w:tc>
        <w:tc>
          <w:tcPr>
            <w:tcW w:w="1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33.6</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29,970</w:t>
            </w:r>
          </w:p>
        </w:tc>
        <w:tc>
          <w:tcPr>
            <w:tcW w:w="1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w:t>
            </w:r>
          </w:p>
        </w:tc>
        <w:tc>
          <w:tcPr>
            <w:tcW w:w="4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69,804</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60,124</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9,680</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21,355</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10,701</w:t>
            </w:r>
          </w:p>
        </w:tc>
        <w:tc>
          <w:tcPr>
            <w:tcW w:w="118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8,706</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1,995</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15,468</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14,737</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60"/>
              <w:spacing w:after="0"/>
              <w:rPr>
                <w:sz w:val="20"/>
                <w:szCs w:val="20"/>
                <w:color w:val="auto"/>
              </w:rPr>
            </w:pPr>
            <w:r>
              <w:rPr>
                <w:rFonts w:ascii="Arial" w:cs="Arial" w:eastAsia="Arial" w:hAnsi="Arial"/>
                <w:sz w:val="18"/>
                <w:szCs w:val="18"/>
                <w:color w:val="auto"/>
              </w:rPr>
              <w:t>Amortization of intangible assets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2,470</w:t>
            </w: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2,664</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(194)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53,294</w:t>
            </w:r>
          </w:p>
        </w:tc>
        <w:tc>
          <w:tcPr>
            <w:tcW w:w="1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47,462</w:t>
            </w:r>
          </w:p>
        </w:tc>
        <w:tc>
          <w:tcPr>
            <w:tcW w:w="1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5,832</w:t>
            </w:r>
          </w:p>
        </w:tc>
        <w:tc>
          <w:tcPr>
            <w:tcW w:w="4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16,510</w:t>
            </w:r>
          </w:p>
        </w:tc>
        <w:tc>
          <w:tcPr>
            <w:tcW w:w="118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12,662</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3,848</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(325)</w:t>
            </w: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16,933</w:t>
            </w: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12,337</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4,596</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7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4,330</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2,137</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12,603</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10,200</w:t>
            </w:r>
          </w:p>
        </w:tc>
        <w:tc>
          <w:tcPr>
            <w:tcW w:w="1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4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Amounts in column may not foot due to rounding.</w:t>
      </w:r>
    </w:p>
    <w:p>
      <w:pPr>
        <w:spacing w:after="0" w:line="329" w:lineRule="exact"/>
        <w:rPr>
          <w:sz w:val="20"/>
          <w:szCs w:val="20"/>
          <w:color w:val="auto"/>
        </w:rPr>
      </w:pPr>
    </w:p>
    <w:p>
      <w:pPr>
        <w:ind w:right="260" w:firstLine="749"/>
        <w:spacing w:after="0" w:line="263" w:lineRule="auto"/>
        <w:rPr>
          <w:sz w:val="20"/>
          <w:szCs w:val="20"/>
          <w:color w:val="auto"/>
        </w:rPr>
      </w:pPr>
      <w:r>
        <w:rPr>
          <w:rFonts w:ascii="Arial" w:cs="Arial" w:eastAsia="Arial" w:hAnsi="Arial"/>
          <w:sz w:val="18"/>
          <w:szCs w:val="18"/>
          <w:b w:val="1"/>
          <w:bCs w:val="1"/>
          <w:i w:val="1"/>
          <w:iCs w:val="1"/>
          <w:color w:val="1F282C"/>
        </w:rPr>
        <w:t xml:space="preserve">Revenues </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Revenues increased for the 85</w:t>
      </w:r>
      <w:r>
        <w:rPr>
          <w:rFonts w:ascii="Arial" w:cs="Arial" w:eastAsia="Arial" w:hAnsi="Arial"/>
          <w:sz w:val="15"/>
          <w:szCs w:val="15"/>
          <w:color w:val="000000"/>
        </w:rPr>
        <w:t>th</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consecutive quarter. The increase resulted from two primary factors: the increase in recurring</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revenue customers, which is driven primarily by continued business growth and by business acquisitions, and the increase in average recurring revenues per recurring revenue customer, which we also refer to as wallet share.</w:t>
      </w:r>
    </w:p>
    <w:p>
      <w:pPr>
        <w:spacing w:after="0" w:line="76" w:lineRule="exact"/>
        <w:rPr>
          <w:sz w:val="20"/>
          <w:szCs w:val="20"/>
          <w:color w:val="auto"/>
        </w:rPr>
      </w:pPr>
    </w:p>
    <w:p>
      <w:pPr>
        <w:ind w:left="1300" w:right="80" w:hanging="496"/>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12% to 37,900 at March 31, 2022 from 33,850 at March 31, 2021 primarily due to sales and marketing efforts to acquire new customers and due to recent acquisitions.</w:t>
      </w:r>
    </w:p>
    <w:p>
      <w:pPr>
        <w:spacing w:after="0" w:line="62" w:lineRule="exact"/>
        <w:rPr>
          <w:rFonts w:ascii="Arial" w:cs="Arial" w:eastAsia="Arial" w:hAnsi="Arial"/>
          <w:sz w:val="18"/>
          <w:szCs w:val="18"/>
          <w:color w:val="auto"/>
        </w:rPr>
      </w:pPr>
    </w:p>
    <w:p>
      <w:pPr>
        <w:ind w:left="1300" w:right="360" w:hanging="496"/>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Wallet share increased 5% to $10,350 for the three months ended March 31, 2022 from $9,900 for the same period in 2021. This was primarily attributable to increased usage of our products by our recurring revenue customers.</w:t>
      </w:r>
    </w:p>
    <w:p>
      <w:pPr>
        <w:spacing w:after="0" w:line="170" w:lineRule="exact"/>
        <w:rPr>
          <w:sz w:val="20"/>
          <w:szCs w:val="20"/>
          <w:color w:val="auto"/>
        </w:rPr>
      </w:pPr>
    </w:p>
    <w:p>
      <w:pPr>
        <w:jc w:val="both"/>
        <w:ind w:right="120" w:firstLine="749"/>
        <w:spacing w:after="0" w:line="259" w:lineRule="auto"/>
        <w:rPr>
          <w:sz w:val="20"/>
          <w:szCs w:val="20"/>
          <w:color w:val="auto"/>
        </w:rPr>
      </w:pPr>
      <w:r>
        <w:rPr>
          <w:rFonts w:ascii="Arial" w:cs="Arial" w:eastAsia="Arial" w:hAnsi="Arial"/>
          <w:sz w:val="18"/>
          <w:szCs w:val="18"/>
          <w:color w:val="auto"/>
        </w:rPr>
        <w:t>Recurring revenues increased 18% to $97.6 million for the three months ended March 31, 2022 compared to the three months ended March 31, 2021. Recurring revenues from recurring revenue customers accounted for 93% and 92% of our total revenues for the three months ended March 31, 2022 and 2021, respectively. We anticipate that the number of recurring revenue customers and wallet share will continue to increase as we execute our growth strategy focused on further penetrations of our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20574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80"/>
        <w:spacing w:after="0"/>
        <w:tabs>
          <w:tab w:leader="none" w:pos="554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18</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8" w:name="page19"/>
    <w:bookmarkEnd w:id="18"/>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b w:val="1"/>
          <w:bCs w:val="1"/>
          <w:i w:val="1"/>
          <w:iCs w:val="1"/>
          <w:color w:val="1F282C"/>
        </w:rPr>
        <w:t xml:space="preserve">Cost of Revenues - </w:t>
      </w:r>
      <w:r>
        <w:rPr>
          <w:rFonts w:ascii="Arial" w:cs="Arial" w:eastAsia="Arial" w:hAnsi="Arial"/>
          <w:sz w:val="18"/>
          <w:szCs w:val="18"/>
          <w:color w:val="000000"/>
        </w:rPr>
        <w:t>The increase in cost of revenues was primarily due to increased headcount, which resulted in an increase of $3.8 million in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personnel-related costs and an increase of $0.7 million in stock-based compensation.</w:t>
      </w:r>
    </w:p>
    <w:p>
      <w:pPr>
        <w:spacing w:after="0" w:line="170" w:lineRule="exact"/>
        <w:rPr>
          <w:sz w:val="20"/>
          <w:szCs w:val="20"/>
          <w:color w:val="auto"/>
        </w:rPr>
      </w:pPr>
    </w:p>
    <w:p>
      <w:pPr>
        <w:ind w:right="260" w:firstLine="749"/>
        <w:spacing w:after="0" w:line="263" w:lineRule="auto"/>
        <w:rPr>
          <w:sz w:val="20"/>
          <w:szCs w:val="20"/>
          <w:color w:val="auto"/>
        </w:rPr>
      </w:pPr>
      <w:r>
        <w:rPr>
          <w:rFonts w:ascii="Arial" w:cs="Arial" w:eastAsia="Arial" w:hAnsi="Arial"/>
          <w:sz w:val="18"/>
          <w:szCs w:val="18"/>
          <w:b w:val="1"/>
          <w:bCs w:val="1"/>
          <w:i w:val="1"/>
          <w:iCs w:val="1"/>
          <w:color w:val="1F282C"/>
        </w:rPr>
        <w:t xml:space="preserve">Sales and Marketing Expenses - </w:t>
      </w:r>
      <w:r>
        <w:rPr>
          <w:rFonts w:ascii="Arial" w:cs="Arial" w:eastAsia="Arial" w:hAnsi="Arial"/>
          <w:sz w:val="18"/>
          <w:szCs w:val="18"/>
          <w:color w:val="000000"/>
        </w:rPr>
        <w:t>The increase in sales and marketing expense was primarily due to increased headcount, which resulted in an</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increase of $1.8 million in personnel-related costs, an increase of $0.6 million in stock-based compensation, and an increase of $0.6 million in variable compensation earned by sales personnel and referral partners.</w:t>
      </w:r>
    </w:p>
    <w:p>
      <w:pPr>
        <w:spacing w:after="0" w:line="184"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b w:val="1"/>
          <w:bCs w:val="1"/>
          <w:i w:val="1"/>
          <w:iCs w:val="1"/>
          <w:color w:val="1F282C"/>
        </w:rPr>
        <w:t xml:space="preserve">Research and Development Expenses - </w:t>
      </w:r>
      <w:r>
        <w:rPr>
          <w:rFonts w:ascii="Arial" w:cs="Arial" w:eastAsia="Arial" w:hAnsi="Arial"/>
          <w:sz w:val="18"/>
          <w:szCs w:val="18"/>
          <w:color w:val="000000"/>
        </w:rPr>
        <w:t>The increase in research and development expense was primarily due to increased headcount, which</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resulted in an increase of personnel costs of $1.2 million and an increase in stock-based compensation of $0.6 million.</w:t>
      </w:r>
    </w:p>
    <w:p>
      <w:pPr>
        <w:spacing w:after="0" w:line="170" w:lineRule="exact"/>
        <w:rPr>
          <w:sz w:val="20"/>
          <w:szCs w:val="20"/>
          <w:color w:val="auto"/>
        </w:rPr>
      </w:pPr>
    </w:p>
    <w:p>
      <w:pPr>
        <w:ind w:right="520" w:firstLine="749"/>
        <w:spacing w:after="0" w:line="308" w:lineRule="auto"/>
        <w:rPr>
          <w:sz w:val="20"/>
          <w:szCs w:val="20"/>
          <w:color w:val="auto"/>
        </w:rPr>
      </w:pPr>
      <w:r>
        <w:rPr>
          <w:rFonts w:ascii="Arial" w:cs="Arial" w:eastAsia="Arial" w:hAnsi="Arial"/>
          <w:sz w:val="17"/>
          <w:szCs w:val="17"/>
          <w:b w:val="1"/>
          <w:bCs w:val="1"/>
          <w:i w:val="1"/>
          <w:iCs w:val="1"/>
          <w:color w:val="1F282C"/>
        </w:rPr>
        <w:t xml:space="preserve">General and Administrative Expenses </w:t>
      </w:r>
      <w:r>
        <w:rPr>
          <w:rFonts w:ascii="Arial" w:cs="Arial" w:eastAsia="Arial" w:hAnsi="Arial"/>
          <w:sz w:val="17"/>
          <w:szCs w:val="17"/>
          <w:color w:val="1F282C"/>
        </w:rPr>
        <w:t>-</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The increase in general and administrative expense was primarily related to supporting continued</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business growth, including an increase in headcount which resulted in an increase in personnel-related costs of $0.8 million.</w:t>
      </w:r>
    </w:p>
    <w:p>
      <w:pPr>
        <w:spacing w:after="0" w:line="146"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b w:val="1"/>
          <w:bCs w:val="1"/>
          <w:i w:val="1"/>
          <w:iCs w:val="1"/>
          <w:color w:val="1F282C"/>
        </w:rPr>
        <w:t xml:space="preserve">Amortization of Intangible Assets - </w:t>
      </w:r>
      <w:r>
        <w:rPr>
          <w:rFonts w:ascii="Arial" w:cs="Arial" w:eastAsia="Arial" w:hAnsi="Arial"/>
          <w:sz w:val="18"/>
          <w:szCs w:val="18"/>
          <w:color w:val="000000"/>
        </w:rPr>
        <w:t>The decrease in amortization of intangible assets was driven by the full amortization of previously acquired</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intangible assets as partially offset by acquired intangible assets related to recent business combinations.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1F282C"/>
        </w:rPr>
        <w:t xml:space="preserve">Other Income (Expense), Net - </w:t>
      </w:r>
      <w:r>
        <w:rPr>
          <w:rFonts w:ascii="Arial" w:cs="Arial" w:eastAsia="Arial" w:hAnsi="Arial"/>
          <w:sz w:val="18"/>
          <w:szCs w:val="18"/>
          <w:color w:val="000000"/>
        </w:rPr>
        <w:t>The change was primarily due to favorable foreign currency exchange rate changes.</w:t>
      </w:r>
    </w:p>
    <w:p>
      <w:pPr>
        <w:spacing w:after="0" w:line="225" w:lineRule="exact"/>
        <w:rPr>
          <w:sz w:val="20"/>
          <w:szCs w:val="20"/>
          <w:color w:val="auto"/>
        </w:rPr>
      </w:pPr>
    </w:p>
    <w:p>
      <w:pPr>
        <w:jc w:val="both"/>
        <w:ind w:right="400" w:firstLine="749"/>
        <w:spacing w:after="0" w:line="259" w:lineRule="auto"/>
        <w:rPr>
          <w:sz w:val="20"/>
          <w:szCs w:val="20"/>
          <w:color w:val="auto"/>
        </w:rPr>
      </w:pPr>
      <w:r>
        <w:rPr>
          <w:rFonts w:ascii="Arial" w:cs="Arial" w:eastAsia="Arial" w:hAnsi="Arial"/>
          <w:sz w:val="18"/>
          <w:szCs w:val="18"/>
          <w:b w:val="1"/>
          <w:bCs w:val="1"/>
          <w:i w:val="1"/>
          <w:iCs w:val="1"/>
          <w:color w:val="1F282C"/>
        </w:rPr>
        <w:t xml:space="preserve">Income Tax Expense - </w:t>
      </w:r>
      <w:r>
        <w:rPr>
          <w:rFonts w:ascii="Arial" w:cs="Arial" w:eastAsia="Arial" w:hAnsi="Arial"/>
          <w:sz w:val="18"/>
          <w:szCs w:val="18"/>
          <w:color w:val="000000"/>
        </w:rPr>
        <w:t>The increase in income tax expense was driven by a decrease in the excess tax deductions due to the current quarter</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equity award settlements, partially offset by a decrease in nondeductible executive compensation. Excess tax benefits generated upon the settlement or exercise of stock awards are recognized as a reduction to income tax expense and, as a result, we expect that our annual effective income tax rate will fluctuate.</w:t>
      </w:r>
    </w:p>
    <w:p>
      <w:pPr>
        <w:spacing w:after="0" w:line="187"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b w:val="1"/>
          <w:bCs w:val="1"/>
          <w:i w:val="1"/>
          <w:iCs w:val="1"/>
          <w:color w:val="1F282C"/>
        </w:rPr>
        <w:t xml:space="preserve">Adjusted EBITDA - </w:t>
      </w:r>
      <w:r>
        <w:rPr>
          <w:rFonts w:ascii="Arial" w:cs="Arial" w:eastAsia="Arial" w:hAnsi="Arial"/>
          <w:sz w:val="16"/>
          <w:szCs w:val="16"/>
          <w:color w:val="000000"/>
        </w:rPr>
        <w:t>Adjusted EBITDA, which is a non-GAAP measure of financial performance, consists of net income adjusted for income tax</w:t>
      </w:r>
      <w:r>
        <w:rPr>
          <w:rFonts w:ascii="Arial" w:cs="Arial" w:eastAsia="Arial" w:hAnsi="Arial"/>
          <w:sz w:val="16"/>
          <w:szCs w:val="16"/>
          <w:b w:val="1"/>
          <w:bCs w:val="1"/>
          <w:i w:val="1"/>
          <w:iCs w:val="1"/>
          <w:color w:val="1F282C"/>
        </w:rPr>
        <w:t xml:space="preserve"> </w:t>
      </w:r>
      <w:r>
        <w:rPr>
          <w:rFonts w:ascii="Arial" w:cs="Arial" w:eastAsia="Arial" w:hAnsi="Arial"/>
          <w:sz w:val="16"/>
          <w:szCs w:val="16"/>
          <w:color w:val="000000"/>
        </w:rPr>
        <w:t>expense, depreciation and amortization expense, stock-based compensation expense, realized gain or loss from foreign currency on cash and investments held, investment income or loss, and other adjustments as necessary for a fair presentation. For the three months ended March 31, 2021, other adjustments included accelerated tenant improvement benefit, which was incurred as part of executing a lease agreement. This tenant improvement adjustment was partially offset by accelerated depreciation, which is included within Depreciation and amortization of property and equipment and was also incurred as part of executing a lease agreement. The following table provides a reconciliation of net income to Adjusted EBITDA: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07"/>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of property and equipment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Realized (gain) loss from foreign currency on cash and investments held</w:t>
            </w:r>
          </w:p>
        </w:tc>
        <w:tc>
          <w:tcPr>
            <w:tcW w:w="3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income</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31,766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20574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0"/>
        <w:spacing w:after="0"/>
        <w:tabs>
          <w:tab w:leader="none" w:pos="554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19</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9" w:name="page20"/>
    <w:bookmarkEnd w:id="19"/>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b w:val="1"/>
          <w:bCs w:val="1"/>
          <w:i w:val="1"/>
          <w:iCs w:val="1"/>
          <w:color w:val="1F282C"/>
        </w:rPr>
        <w:t xml:space="preserve">Adjusted EBITDA Margin - </w:t>
      </w:r>
      <w:r>
        <w:rPr>
          <w:rFonts w:ascii="Arial" w:cs="Arial" w:eastAsia="Arial" w:hAnsi="Arial"/>
          <w:sz w:val="18"/>
          <w:szCs w:val="18"/>
          <w:color w:val="000000"/>
        </w:rPr>
        <w:t>Adjusted EBITDA Margin, which is a non-GAAP measure of financial performance, consists of Adjusted EBITDA</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divided by revenue. Margin, the comparable GAAP measure of financial performance, consists of net income divided by revenue. The following table provides a comparison of Margin to Adjusted EBITDA Margin: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Margin and Adjusted EBITDA Margin)</w:t>
            </w:r>
          </w:p>
        </w:tc>
        <w:tc>
          <w:tcPr>
            <w:tcW w:w="19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700" w:type="dxa"/>
            <w:vAlign w:val="bottom"/>
            <w:vMerge w:val="continue"/>
          </w:tcPr>
          <w:p>
            <w:pPr>
              <w:spacing w:after="0"/>
              <w:rPr>
                <w:sz w:val="14"/>
                <w:szCs w:val="14"/>
                <w:color w:val="auto"/>
              </w:rPr>
            </w:pPr>
          </w:p>
        </w:tc>
        <w:tc>
          <w:tcPr>
            <w:tcW w:w="2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700" w:type="dxa"/>
            <w:vAlign w:val="bottom"/>
          </w:tcPr>
          <w:p>
            <w:pPr>
              <w:spacing w:after="0"/>
              <w:rPr>
                <w:sz w:val="4"/>
                <w:szCs w:val="4"/>
                <w:color w:val="auto"/>
              </w:rPr>
            </w:pPr>
          </w:p>
        </w:tc>
        <w:tc>
          <w:tcPr>
            <w:tcW w:w="284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9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105,193</w:t>
            </w:r>
          </w:p>
        </w:tc>
        <w:tc>
          <w:tcPr>
            <w:tcW w:w="3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90,094</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9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12,603</w:t>
            </w:r>
          </w:p>
        </w:tc>
        <w:tc>
          <w:tcPr>
            <w:tcW w:w="3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00" w:type="dxa"/>
            <w:vAlign w:val="bottom"/>
          </w:tcPr>
          <w:p>
            <w:pPr>
              <w:spacing w:after="0"/>
              <w:rPr>
                <w:sz w:val="20"/>
                <w:szCs w:val="20"/>
                <w:color w:val="auto"/>
              </w:rPr>
            </w:pPr>
            <w:r>
              <w:rPr>
                <w:rFonts w:ascii="Arial" w:cs="Arial" w:eastAsia="Arial" w:hAnsi="Arial"/>
                <w:sz w:val="18"/>
                <w:szCs w:val="18"/>
                <w:color w:val="auto"/>
              </w:rPr>
              <w:t>Margin</w:t>
            </w:r>
          </w:p>
        </w:tc>
        <w:tc>
          <w:tcPr>
            <w:tcW w:w="1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5700" w:type="dxa"/>
            <w:vAlign w:val="bottom"/>
            <w:tcBorders>
              <w:top w:val="single" w:sz="8" w:color="CFF0FC"/>
            </w:tcBorders>
            <w:shd w:val="clear" w:color="auto" w:fill="CFF0FC"/>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19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31,766</w:t>
            </w:r>
          </w:p>
        </w:tc>
        <w:tc>
          <w:tcPr>
            <w:tcW w:w="3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25,457</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w:t>
            </w:r>
          </w:p>
        </w:tc>
        <w:tc>
          <w:tcPr>
            <w:tcW w:w="19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w:t>
            </w:r>
          </w:p>
        </w:tc>
        <w:tc>
          <w:tcPr>
            <w:tcW w:w="5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749"/>
        <w:spacing w:after="0" w:line="296" w:lineRule="auto"/>
        <w:rPr>
          <w:sz w:val="20"/>
          <w:szCs w:val="20"/>
          <w:color w:val="auto"/>
        </w:rPr>
      </w:pPr>
      <w:r>
        <w:rPr>
          <w:rFonts w:ascii="Arial" w:cs="Arial" w:eastAsia="Arial" w:hAnsi="Arial"/>
          <w:sz w:val="16"/>
          <w:szCs w:val="16"/>
          <w:b w:val="1"/>
          <w:bCs w:val="1"/>
          <w:i w:val="1"/>
          <w:iCs w:val="1"/>
          <w:color w:val="1F282C"/>
        </w:rPr>
        <w:t xml:space="preserve">Non-GAAP Income per Share - </w:t>
      </w:r>
      <w:r>
        <w:rPr>
          <w:rFonts w:ascii="Arial" w:cs="Arial" w:eastAsia="Arial" w:hAnsi="Arial"/>
          <w:sz w:val="16"/>
          <w:szCs w:val="16"/>
          <w:color w:val="000000"/>
        </w:rPr>
        <w:t>Non-GAAP income per share, which is a non-GAAP measure of financial performance, consists of net income</w:t>
      </w:r>
      <w:r>
        <w:rPr>
          <w:rFonts w:ascii="Arial" w:cs="Arial" w:eastAsia="Arial" w:hAnsi="Arial"/>
          <w:sz w:val="16"/>
          <w:szCs w:val="16"/>
          <w:b w:val="1"/>
          <w:bCs w:val="1"/>
          <w:i w:val="1"/>
          <w:iCs w:val="1"/>
          <w:color w:val="1F282C"/>
        </w:rPr>
        <w:t xml:space="preserve"> </w:t>
      </w:r>
      <w:r>
        <w:rPr>
          <w:rFonts w:ascii="Arial" w:cs="Arial" w:eastAsia="Arial" w:hAnsi="Arial"/>
          <w:sz w:val="16"/>
          <w:szCs w:val="16"/>
          <w:color w:val="000000"/>
        </w:rPr>
        <w:t>plus stock-based compensation expense, amortization expense related to intangible assets, realized gain or loss from foreign currency on cash and investments held, other adjustments as necessary for a fair presentation, and the corresponding tax impacts of the adjustments to net income, divided by the weighted average number of shares of common and diluted stock outstanding during each period. For the three months ended March 31, 2021, other adjustments included accelerated tenant improvement benefit, which was incurred as part of executing a lease agreement.</w:t>
      </w:r>
    </w:p>
    <w:p>
      <w:pPr>
        <w:spacing w:after="0" w:line="53"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provides a reconciliation of net income to non-GAAP income per share: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12,603</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9,015</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Realized (gain) loss from foreign currency on cash and investments held</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(3,219)</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36,136</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35,751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36,989</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0.56</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tabs>
          <w:tab w:leader="none" w:pos="554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20</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0" w:name="page21"/>
    <w:bookmarkEnd w:id="20"/>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Liquidity and Capital Resources</w:t>
      </w:r>
    </w:p>
    <w:p>
      <w:pPr>
        <w:spacing w:after="0" w:line="121"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As of March 31, 2022, our principal sources of liquidity were cash and cash equivalents and short-term investments totaling $243.1 million and net accounts receivable of $38.8 million. Our investments are selected in accordance with our investment policy, with a goal of maintaining liquidity and capital preservation. Our cash equivalents and short-term investments are held in highly liquid money market funds, certificates of deposits, commercial paper, and U.S. treasury securities.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summary of activity within the condensed consolidated statements of cash flows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center"/>
              <w:ind w:left="539"/>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7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5,668</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(14,575)</w:t>
            </w: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Operating Activities</w:t>
      </w:r>
    </w:p>
    <w:p>
      <w:pPr>
        <w:spacing w:after="0" w:line="117"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The decrease in cash provided by operating activities was primarily driven by changes in the amount and timing of settlement of operating assets and liabilities.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Investing Activities</w:t>
      </w:r>
    </w:p>
    <w:p>
      <w:pPr>
        <w:spacing w:after="0" w:line="117" w:lineRule="exact"/>
        <w:rPr>
          <w:sz w:val="20"/>
          <w:szCs w:val="20"/>
          <w:color w:val="auto"/>
        </w:rPr>
      </w:pPr>
    </w:p>
    <w:p>
      <w:pPr>
        <w:ind w:right="580" w:firstLine="749"/>
        <w:spacing w:after="0" w:line="277" w:lineRule="auto"/>
        <w:rPr>
          <w:sz w:val="20"/>
          <w:szCs w:val="20"/>
          <w:color w:val="auto"/>
        </w:rPr>
      </w:pPr>
      <w:r>
        <w:rPr>
          <w:rFonts w:ascii="Arial" w:cs="Arial" w:eastAsia="Arial" w:hAnsi="Arial"/>
          <w:sz w:val="18"/>
          <w:szCs w:val="18"/>
          <w:color w:val="auto"/>
        </w:rPr>
        <w:t>The change in net cash flows from investing activities was primarily due to the increased maturities of investments, partially offset by the increased purchases of investments.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Financing Activities</w:t>
      </w:r>
    </w:p>
    <w:p>
      <w:pPr>
        <w:spacing w:after="0" w:line="117" w:lineRule="exact"/>
        <w:rPr>
          <w:sz w:val="20"/>
          <w:szCs w:val="20"/>
          <w:color w:val="auto"/>
        </w:rPr>
      </w:pPr>
    </w:p>
    <w:p>
      <w:pPr>
        <w:ind w:right="560" w:firstLine="749"/>
        <w:spacing w:after="0" w:line="277" w:lineRule="auto"/>
        <w:rPr>
          <w:sz w:val="20"/>
          <w:szCs w:val="20"/>
          <w:color w:val="auto"/>
        </w:rPr>
      </w:pPr>
      <w:r>
        <w:rPr>
          <w:rFonts w:ascii="Arial" w:cs="Arial" w:eastAsia="Arial" w:hAnsi="Arial"/>
          <w:sz w:val="18"/>
          <w:szCs w:val="18"/>
          <w:color w:val="auto"/>
        </w:rPr>
        <w:t>The change in net cash flows from financing activities was primarily due to the increases in cash used for share repurchases and lower net proceeds from stock option exercises.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Contractual and Commercial Commitment Summary</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contractual obligations and commercial commitments as of March 31, 2022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left="657"/>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97"/>
              <w:spacing w:after="0" w:line="147" w:lineRule="exact"/>
              <w:rPr>
                <w:sz w:val="20"/>
                <w:szCs w:val="20"/>
                <w:color w:val="auto"/>
              </w:rPr>
            </w:pPr>
            <w:r>
              <w:rPr>
                <w:rFonts w:ascii="Arial" w:cs="Arial" w:eastAsia="Arial" w:hAnsi="Arial"/>
                <w:sz w:val="14"/>
                <w:szCs w:val="14"/>
                <w:b w:val="1"/>
                <w:bCs w:val="1"/>
                <w:color w:val="auto"/>
                <w:w w:val="95"/>
              </w:rPr>
              <w:t>Less Than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8"/>
              </w:rPr>
              <w:t>More Than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52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860" w:type="dxa"/>
            <w:vAlign w:val="bottom"/>
          </w:tcPr>
          <w:p>
            <w:pPr>
              <w:jc w:val="right"/>
              <w:ind w:right="217"/>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3-5 Years</w:t>
            </w:r>
          </w:p>
        </w:tc>
        <w:tc>
          <w:tcPr>
            <w:tcW w:w="1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5 Years</w:t>
            </w:r>
          </w:p>
        </w:tc>
        <w:tc>
          <w:tcPr>
            <w:tcW w:w="2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obligations, including imputed interest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21,648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Purchase commitments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7,978</w:t>
            </w:r>
          </w:p>
        </w:tc>
        <w:tc>
          <w:tcPr>
            <w:tcW w:w="120" w:type="dxa"/>
            <w:vAlign w:val="bottom"/>
          </w:tcPr>
          <w:p>
            <w:pPr>
              <w:spacing w:after="0"/>
              <w:rPr>
                <w:sz w:val="19"/>
                <w:szCs w:val="19"/>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Future Capital Requirements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300" w:hanging="496"/>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to develop and implement new products and applications, if any;</w:t>
      </w:r>
    </w:p>
    <w:p>
      <w:pPr>
        <w:spacing w:after="0" w:line="130" w:lineRule="exact"/>
        <w:rPr>
          <w:rFonts w:ascii="Arial" w:cs="Arial" w:eastAsia="Arial" w:hAnsi="Arial"/>
          <w:sz w:val="18"/>
          <w:szCs w:val="18"/>
          <w:color w:val="auto"/>
        </w:rPr>
      </w:pPr>
    </w:p>
    <w:p>
      <w:pPr>
        <w:ind w:left="1300" w:right="140" w:hanging="496"/>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products and applications that we may develop;</w:t>
      </w:r>
    </w:p>
    <w:p>
      <w:pPr>
        <w:spacing w:after="0" w:line="62" w:lineRule="exact"/>
        <w:rPr>
          <w:rFonts w:ascii="Arial" w:cs="Arial" w:eastAsia="Arial" w:hAnsi="Arial"/>
          <w:sz w:val="18"/>
          <w:szCs w:val="18"/>
          <w:color w:val="auto"/>
        </w:rPr>
      </w:pPr>
    </w:p>
    <w:p>
      <w:pPr>
        <w:ind w:left="1300" w:hanging="496"/>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of our operations in the U.S. and internationally;</w:t>
      </w:r>
    </w:p>
    <w:p>
      <w:pPr>
        <w:spacing w:after="0" w:line="130" w:lineRule="exact"/>
        <w:rPr>
          <w:rFonts w:ascii="Arial" w:cs="Arial" w:eastAsia="Arial" w:hAnsi="Arial"/>
          <w:sz w:val="18"/>
          <w:szCs w:val="18"/>
          <w:color w:val="auto"/>
        </w:rPr>
      </w:pPr>
    </w:p>
    <w:p>
      <w:pPr>
        <w:ind w:left="1300" w:hanging="496"/>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response of competitors to our products and applications; and</w:t>
      </w:r>
    </w:p>
    <w:p>
      <w:pPr>
        <w:spacing w:after="0" w:line="130" w:lineRule="exact"/>
        <w:rPr>
          <w:rFonts w:ascii="Arial" w:cs="Arial" w:eastAsia="Arial" w:hAnsi="Arial"/>
          <w:sz w:val="18"/>
          <w:szCs w:val="18"/>
          <w:color w:val="auto"/>
        </w:rPr>
      </w:pPr>
    </w:p>
    <w:p>
      <w:pPr>
        <w:ind w:left="1300" w:hanging="496"/>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39"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20574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80"/>
        <w:spacing w:after="0"/>
        <w:tabs>
          <w:tab w:leader="none" w:pos="554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21</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1" w:name="page22"/>
    <w:bookmarkEnd w:id="21"/>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We believe our cash, cash equivalents, investments and our cash flows from operations will be sufficient to meet our working capital and capital expenditure requirements for at least the next twelve months.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Off-Balance Sheet Arrangements</w:t>
      </w:r>
    </w:p>
    <w:p>
      <w:pPr>
        <w:spacing w:after="0" w:line="117"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Foreign Currency Exchange and Inflation Rate Changes</w:t>
      </w:r>
    </w:p>
    <w:p>
      <w:pPr>
        <w:spacing w:after="0" w:line="117" w:lineRule="exact"/>
        <w:rPr>
          <w:sz w:val="20"/>
          <w:szCs w:val="20"/>
          <w:color w:val="auto"/>
        </w:rPr>
      </w:pPr>
    </w:p>
    <w:p>
      <w:pPr>
        <w:ind w:right="120" w:firstLine="749"/>
        <w:spacing w:after="0" w:line="308" w:lineRule="auto"/>
        <w:rPr>
          <w:sz w:val="20"/>
          <w:szCs w:val="20"/>
          <w:color w:val="auto"/>
        </w:rPr>
      </w:pPr>
      <w:r>
        <w:rPr>
          <w:rFonts w:ascii="Arial" w:cs="Arial" w:eastAsia="Arial" w:hAnsi="Arial"/>
          <w:sz w:val="17"/>
          <w:szCs w:val="17"/>
          <w:color w:val="auto"/>
        </w:rPr>
        <w:t>For information regarding the effect of foreign currency exchange rate changes, refer to the section entitled “Foreign Currency Exchange Risk,” included in Part I, Item 3, “Quantitative and Qualitative Disclosures About Market Risk” of this Quarterly Report on Form 10-Q.</w:t>
      </w:r>
    </w:p>
    <w:p>
      <w:pPr>
        <w:spacing w:after="0" w:line="146"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three months ended March 31, 2022 and we do not expect that inflation or changing prices will materially affect our business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871855</wp:posOffset>
            </wp:positionV>
            <wp:extent cx="20574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80"/>
        <w:spacing w:after="0"/>
        <w:tabs>
          <w:tab w:leader="none" w:pos="554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22</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2" w:name="page23"/>
    <w:bookmarkEnd w:id="22"/>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6"/>
          <w:szCs w:val="16"/>
          <w:b w:val="1"/>
          <w:bCs w:val="1"/>
          <w:color w:val="00AAE5"/>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Interest Rate Sensitivity Risk</w:t>
      </w:r>
    </w:p>
    <w:p>
      <w:pPr>
        <w:spacing w:after="0" w:line="117" w:lineRule="exact"/>
        <w:rPr>
          <w:sz w:val="20"/>
          <w:szCs w:val="20"/>
          <w:color w:val="auto"/>
        </w:rPr>
      </w:pPr>
    </w:p>
    <w:p>
      <w:pPr>
        <w:ind w:right="20" w:firstLine="749"/>
        <w:spacing w:after="0" w:line="311" w:lineRule="auto"/>
        <w:rPr>
          <w:sz w:val="20"/>
          <w:szCs w:val="20"/>
          <w:color w:val="auto"/>
        </w:rPr>
      </w:pPr>
      <w:r>
        <w:rPr>
          <w:rFonts w:ascii="Arial" w:cs="Arial" w:eastAsia="Arial" w:hAnsi="Arial"/>
          <w:sz w:val="16"/>
          <w:szCs w:val="16"/>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cash, cash equivalents, and investments, we believe there is no material risk of exposure. We do not enter into investments for trading or speculative purposes.</w:t>
      </w:r>
    </w:p>
    <w:p>
      <w:pPr>
        <w:spacing w:after="0" w:line="149"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We did not have any variable interest rate outstanding debt as of March 31, 2022. Therefore, we do not have any material risk to interest rate fluctuations.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Foreign Currency Exchange Risk</w:t>
      </w:r>
    </w:p>
    <w:p>
      <w:pPr>
        <w:spacing w:after="0" w:line="117" w:lineRule="exact"/>
        <w:rPr>
          <w:sz w:val="20"/>
          <w:szCs w:val="20"/>
          <w:color w:val="auto"/>
        </w:rPr>
      </w:pPr>
    </w:p>
    <w:p>
      <w:pPr>
        <w:jc w:val="both"/>
        <w:ind w:right="220" w:firstLine="749"/>
        <w:spacing w:after="0" w:line="311" w:lineRule="auto"/>
        <w:rPr>
          <w:sz w:val="20"/>
          <w:szCs w:val="20"/>
          <w:color w:val="auto"/>
        </w:rPr>
      </w:pPr>
      <w:r>
        <w:rPr>
          <w:rFonts w:ascii="Arial" w:cs="Arial" w:eastAsia="Arial" w:hAnsi="Arial"/>
          <w:sz w:val="16"/>
          <w:szCs w:val="16"/>
          <w:color w:val="auto"/>
        </w:rPr>
        <w:t>Due to international operations, we have revenue, expenses, assets, and liabilities that are denominated in currencies other than the U.S. dollar, primarily the Australian and Canadian dollars. Our condensed consolidated balance sheet, results of operations, and cash flows are, therefore, subject to fluctuations due to changes in foreign currency exchange rates and may be adversely affected in the future due to changes in foreign exchange rates.</w:t>
      </w:r>
    </w:p>
    <w:p>
      <w:pPr>
        <w:spacing w:after="0" w:line="41" w:lineRule="exact"/>
        <w:rPr>
          <w:sz w:val="20"/>
          <w:szCs w:val="20"/>
          <w:color w:val="auto"/>
        </w:rPr>
      </w:pPr>
    </w:p>
    <w:p>
      <w:pPr>
        <w:ind w:right="120" w:firstLine="749"/>
        <w:spacing w:after="0" w:line="342" w:lineRule="auto"/>
        <w:rPr>
          <w:sz w:val="20"/>
          <w:szCs w:val="20"/>
          <w:color w:val="auto"/>
        </w:rPr>
      </w:pPr>
      <w:r>
        <w:rPr>
          <w:rFonts w:ascii="Arial" w:cs="Arial" w:eastAsia="Arial" w:hAnsi="Arial"/>
          <w:sz w:val="16"/>
          <w:szCs w:val="16"/>
          <w:color w:val="auto"/>
        </w:rPr>
        <w:t>Our sales are primarily denominated in U.S. dollars. Our expenses are generally denominated in the local currencies in which our operations are located. As of March 31, 2022, we maintained approximately 6% of our total cash and cash equivalents and investments in foreign currencies.</w:t>
      </w:r>
    </w:p>
    <w:p>
      <w:pPr>
        <w:spacing w:after="0" w:line="16" w:lineRule="exact"/>
        <w:rPr>
          <w:sz w:val="20"/>
          <w:szCs w:val="20"/>
          <w:color w:val="auto"/>
        </w:rPr>
      </w:pPr>
    </w:p>
    <w:p>
      <w:pPr>
        <w:ind w:right="100" w:firstLine="749"/>
        <w:spacing w:after="0" w:line="308" w:lineRule="auto"/>
        <w:rPr>
          <w:sz w:val="20"/>
          <w:szCs w:val="20"/>
          <w:color w:val="auto"/>
        </w:rPr>
      </w:pPr>
      <w:r>
        <w:rPr>
          <w:rFonts w:ascii="Arial" w:cs="Arial" w:eastAsia="Arial" w:hAnsi="Arial"/>
          <w:sz w:val="17"/>
          <w:szCs w:val="17"/>
          <w:color w:val="auto"/>
        </w:rPr>
        <w:t>We believe that a hypothetical 10% change in foreign currency exchange rates or an inability to access foreign funds would not materially affect our ability to meet our operational needs, result in a material foreign currency loss or have a material impact on our consolidated financials.</w:t>
      </w:r>
    </w:p>
    <w:p>
      <w:pPr>
        <w:spacing w:after="0" w:line="38"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We have not used any forward contracts or currency borrowings to hedge our exposure to foreign currency exchange risk, although we may do so in the future.</w:t>
      </w:r>
    </w:p>
    <w:p>
      <w:pPr>
        <w:spacing w:after="0" w:line="2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5"/>
          <w:szCs w:val="15"/>
          <w:b w:val="1"/>
          <w:bCs w:val="1"/>
          <w:color w:val="00AAE5"/>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Evaluation of Disclosure Controls and Procedures</w:t>
      </w:r>
    </w:p>
    <w:p>
      <w:pPr>
        <w:spacing w:after="0" w:line="117" w:lineRule="exact"/>
        <w:rPr>
          <w:sz w:val="20"/>
          <w:szCs w:val="20"/>
          <w:color w:val="auto"/>
        </w:rPr>
      </w:pPr>
    </w:p>
    <w:p>
      <w:pPr>
        <w:ind w:right="180" w:firstLine="749"/>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March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Changes in Internal Control over Financial Reporting</w:t>
      </w:r>
    </w:p>
    <w:p>
      <w:pPr>
        <w:spacing w:after="0" w:line="117" w:lineRule="exact"/>
        <w:rPr>
          <w:sz w:val="20"/>
          <w:szCs w:val="20"/>
          <w:color w:val="auto"/>
        </w:rPr>
      </w:pPr>
    </w:p>
    <w:p>
      <w:pPr>
        <w:ind w:right="200" w:firstLine="749"/>
        <w:spacing w:after="0" w:line="293" w:lineRule="auto"/>
        <w:rPr>
          <w:sz w:val="20"/>
          <w:szCs w:val="20"/>
          <w:color w:val="auto"/>
        </w:rPr>
      </w:pPr>
      <w:r>
        <w:rPr>
          <w:rFonts w:ascii="Arial" w:cs="Arial" w:eastAsia="Arial" w:hAnsi="Arial"/>
          <w:sz w:val="16"/>
          <w:szCs w:val="16"/>
          <w:color w:val="auto"/>
        </w:rPr>
        <w:t>In November 2021, we acquired the Genius Central business. Pursuant to the SEC’s general guidance that an assessment of a recently acquired business may be omitted from our scope for a period not to exceed one year from the date of acquisition, the scope of our most recent assessment did not include Genius Central. We are currently in the process of incorporating internal controls specific to Genius Central that we believe are appropriate and necessary to consolidate and report upon our financial results. Our assessment of the effectiveness of internal control over financial reporting as of December 31, 2022 will include Genius Central. As of and for the three months ended March 31, 2022, excluding net intangible assets and goodwill, Genius Central represented less than 1% of our consolidated assets and approximately 1% of our consolidated revenues.</w:t>
      </w:r>
    </w:p>
    <w:p>
      <w:pPr>
        <w:spacing w:after="0" w:line="56"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2022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20574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80"/>
        <w:spacing w:after="0"/>
        <w:tabs>
          <w:tab w:leader="none" w:pos="554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23</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3" w:name="page24"/>
    <w:bookmarkEnd w:id="23"/>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w:t>
      </w:r>
      <w:r>
        <w:rPr>
          <w:sz w:val="20"/>
          <w:szCs w:val="20"/>
          <w:color w:val="auto"/>
        </w:rPr>
        <w:tab/>
      </w:r>
      <w:r>
        <w:rPr>
          <w:rFonts w:ascii="Arial" w:cs="Arial" w:eastAsia="Arial" w:hAnsi="Arial"/>
          <w:sz w:val="15"/>
          <w:szCs w:val="15"/>
          <w:b w:val="1"/>
          <w:bCs w:val="1"/>
          <w:color w:val="00AAE5"/>
        </w:rPr>
        <w:t>Legal Proceedings</w:t>
      </w:r>
    </w:p>
    <w:p>
      <w:pPr>
        <w:spacing w:after="0" w:line="121"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1A.</w:t>
      </w:r>
      <w:r>
        <w:rPr>
          <w:sz w:val="20"/>
          <w:szCs w:val="20"/>
          <w:color w:val="auto"/>
        </w:rPr>
        <w:tab/>
      </w:r>
      <w:r>
        <w:rPr>
          <w:rFonts w:ascii="Arial" w:cs="Arial" w:eastAsia="Arial" w:hAnsi="Arial"/>
          <w:sz w:val="16"/>
          <w:szCs w:val="16"/>
          <w:b w:val="1"/>
          <w:bCs w:val="1"/>
          <w:color w:val="00AAE5"/>
        </w:rPr>
        <w:t>Risk Factors</w:t>
      </w:r>
    </w:p>
    <w:p>
      <w:pPr>
        <w:spacing w:after="0" w:line="121"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2021, as filed with the SEC.</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00AAE5"/>
              </w:rPr>
              <w:t>Item 2.</w:t>
            </w:r>
          </w:p>
        </w:tc>
        <w:tc>
          <w:tcPr>
            <w:tcW w:w="5180" w:type="dxa"/>
            <w:vAlign w:val="bottom"/>
            <w:gridSpan w:val="2"/>
          </w:tcPr>
          <w:p>
            <w:pPr>
              <w:ind w:left="360"/>
              <w:spacing w:after="0"/>
              <w:rPr>
                <w:sz w:val="20"/>
                <w:szCs w:val="20"/>
                <w:color w:val="auto"/>
              </w:rPr>
            </w:pPr>
            <w:r>
              <w:rPr>
                <w:rFonts w:ascii="Arial" w:cs="Arial" w:eastAsia="Arial" w:hAnsi="Arial"/>
                <w:sz w:val="18"/>
                <w:szCs w:val="18"/>
                <w:b w:val="1"/>
                <w:bCs w:val="1"/>
                <w:color w:val="00AAE5"/>
                <w:w w:val="92"/>
              </w:rPr>
              <w:t>Unregistered Sales of Equity Securities and Use of Proceeds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60" w:type="dxa"/>
            <w:vAlign w:val="bottom"/>
          </w:tcPr>
          <w:p>
            <w:pPr>
              <w:spacing w:after="0"/>
              <w:rPr>
                <w:sz w:val="24"/>
                <w:szCs w:val="24"/>
                <w:color w:val="auto"/>
              </w:rPr>
            </w:pPr>
          </w:p>
        </w:tc>
        <w:tc>
          <w:tcPr>
            <w:tcW w:w="5180" w:type="dxa"/>
            <w:vAlign w:val="bottom"/>
            <w:gridSpan w:val="2"/>
          </w:tcPr>
          <w:p>
            <w:pPr>
              <w:ind w:left="100"/>
              <w:spacing w:after="0"/>
              <w:rPr>
                <w:sz w:val="20"/>
                <w:szCs w:val="20"/>
                <w:color w:val="auto"/>
              </w:rPr>
            </w:pPr>
            <w:r>
              <w:rPr>
                <w:rFonts w:ascii="Arial" w:cs="Arial" w:eastAsia="Arial" w:hAnsi="Arial"/>
                <w:sz w:val="18"/>
                <w:szCs w:val="18"/>
                <w:b w:val="1"/>
                <w:bCs w:val="1"/>
                <w:color w:val="1F282C"/>
              </w:rPr>
              <w:t>(c) Share Repurchases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May Yet be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180" w:type="dxa"/>
            <w:vAlign w:val="bottom"/>
            <w:gridSpan w:val="2"/>
            <w:vMerge w:val="restart"/>
          </w:tcPr>
          <w:p>
            <w:pPr>
              <w:ind w:left="2000"/>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518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Paid per 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Program</w:t>
            </w:r>
            <w:r>
              <w:rPr>
                <w:rFonts w:ascii="Arial" w:cs="Arial" w:eastAsia="Arial" w:hAnsi="Arial"/>
                <w:sz w:val="12"/>
                <w:szCs w:val="12"/>
                <w:b w:val="1"/>
                <w:bCs w:val="1"/>
                <w:color w:val="auto"/>
                <w:w w:val="96"/>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23"/>
        </w:trPr>
        <w:tc>
          <w:tcPr>
            <w:tcW w:w="57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January 1 - 31, 2022</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121.51</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35,796,000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tcPr>
          <w:p>
            <w:pPr>
              <w:spacing w:after="0"/>
              <w:rPr>
                <w:sz w:val="20"/>
                <w:szCs w:val="20"/>
                <w:color w:val="auto"/>
              </w:rPr>
            </w:pPr>
            <w:r>
              <w:rPr>
                <w:rFonts w:ascii="Arial" w:cs="Arial" w:eastAsia="Arial" w:hAnsi="Arial"/>
                <w:sz w:val="18"/>
                <w:szCs w:val="18"/>
                <w:color w:val="auto"/>
              </w:rPr>
              <w:t>February 1 - 28, 2022</w:t>
            </w:r>
          </w:p>
        </w:tc>
        <w:tc>
          <w:tcPr>
            <w:tcW w:w="1140" w:type="dxa"/>
            <w:vAlign w:val="bottom"/>
          </w:tcPr>
          <w:p>
            <w:pPr>
              <w:jc w:val="right"/>
              <w:spacing w:after="0"/>
              <w:rPr>
                <w:sz w:val="20"/>
                <w:szCs w:val="20"/>
                <w:color w:val="auto"/>
              </w:rPr>
            </w:pPr>
            <w:r>
              <w:rPr>
                <w:rFonts w:ascii="Arial" w:cs="Arial" w:eastAsia="Arial" w:hAnsi="Arial"/>
                <w:sz w:val="18"/>
                <w:szCs w:val="18"/>
                <w:color w:val="auto"/>
              </w:rPr>
              <w:t>38,000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125.24</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31,037,000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March 1 - 31, 2022</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47,044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128.22</w:t>
            </w:r>
          </w:p>
        </w:tc>
        <w:tc>
          <w:tcPr>
            <w:tcW w:w="2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47,044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Total</w:t>
            </w:r>
          </w:p>
        </w:tc>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125.27</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25,005,000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20" w:right="160" w:hanging="370"/>
        <w:spacing w:after="0" w:line="275" w:lineRule="auto"/>
        <w:tabs>
          <w:tab w:leader="none" w:pos="1120" w:val="left"/>
        </w:tabs>
        <w:numPr>
          <w:ilvl w:val="0"/>
          <w:numId w:val="6"/>
        </w:numPr>
        <w:rPr>
          <w:rFonts w:ascii="Arial" w:cs="Arial" w:eastAsia="Arial" w:hAnsi="Arial"/>
          <w:sz w:val="17"/>
          <w:szCs w:val="17"/>
          <w:color w:val="212529"/>
        </w:rPr>
      </w:pPr>
      <w:r>
        <w:rPr>
          <w:rFonts w:ascii="Arial" w:cs="Arial" w:eastAsia="Arial" w:hAnsi="Arial"/>
          <w:sz w:val="17"/>
          <w:szCs w:val="17"/>
          <w:color w:val="auto"/>
        </w:rPr>
        <w:t>Under our share repurchase program announced by our board of directors on October 28, 2021, we can repurchase up to $50.0 million of our common stock in the open market or in privately negotiated purchases, or both, through November 28, 2023. Our stock repurchase activity under this program during the three months ended March 31, 2022 is included in this column. Our prior stock repurchase program expired on November 2021. For more information regarding our stock repurchase programs, refer to Note I to our condensed consolidated financial statements, included in Part I of this Quarterly Report on Form 10-Q.</w:t>
      </w:r>
    </w:p>
    <w:p>
      <w:pPr>
        <w:spacing w:after="0" w:line="200" w:lineRule="exact"/>
        <w:rPr>
          <w:sz w:val="20"/>
          <w:szCs w:val="20"/>
          <w:color w:val="auto"/>
        </w:rPr>
      </w:pPr>
    </w:p>
    <w:p>
      <w:pPr>
        <w:spacing w:after="0" w:line="25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6"/>
          <w:szCs w:val="16"/>
          <w:b w:val="1"/>
          <w:bCs w:val="1"/>
          <w:color w:val="00AAE5"/>
        </w:rPr>
        <w:t>Defaults Upon Senior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5"/>
          <w:szCs w:val="15"/>
          <w:b w:val="1"/>
          <w:bCs w:val="1"/>
          <w:color w:val="00AAE5"/>
        </w:rPr>
        <w:t>Mine Safety Disclosures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5.</w:t>
      </w:r>
      <w:r>
        <w:rPr>
          <w:sz w:val="20"/>
          <w:szCs w:val="20"/>
          <w:color w:val="auto"/>
        </w:rPr>
        <w:tab/>
      </w:r>
      <w:r>
        <w:rPr>
          <w:rFonts w:ascii="Arial" w:cs="Arial" w:eastAsia="Arial" w:hAnsi="Arial"/>
          <w:sz w:val="17"/>
          <w:szCs w:val="17"/>
          <w:b w:val="1"/>
          <w:bCs w:val="1"/>
          <w:color w:val="00AAE5"/>
        </w:rPr>
        <w:t>Other Information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20574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80"/>
        <w:spacing w:after="0"/>
        <w:tabs>
          <w:tab w:leader="none" w:pos="554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24</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4" w:name="page25"/>
    <w:bookmarkEnd w:id="24"/>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6.</w:t>
      </w:r>
      <w:r>
        <w:rPr>
          <w:sz w:val="20"/>
          <w:szCs w:val="20"/>
          <w:color w:val="auto"/>
        </w:rPr>
        <w:tab/>
      </w:r>
      <w:r>
        <w:rPr>
          <w:rFonts w:ascii="Arial" w:cs="Arial" w:eastAsia="Arial" w:hAnsi="Arial"/>
          <w:sz w:val="16"/>
          <w:szCs w:val="16"/>
          <w:b w:val="1"/>
          <w:bCs w:val="1"/>
          <w:color w:val="00AAE5"/>
        </w:rPr>
        <w:t>Exhibits</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 w:lineRule="exact"/>
        <w:rPr>
          <w:sz w:val="20"/>
          <w:szCs w:val="20"/>
          <w:color w:val="auto"/>
        </w:rPr>
      </w:pPr>
    </w:p>
    <w:p>
      <w:pPr>
        <w:ind w:left="700" w:right="100" w:hanging="687"/>
        <w:spacing w:after="0" w:line="259"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61">
        <w:r>
          <w:rPr>
            <w:rFonts w:ascii="Arial" w:cs="Arial" w:eastAsia="Arial" w:hAnsi="Arial"/>
            <w:sz w:val="18"/>
            <w:szCs w:val="18"/>
            <w:u w:val="single" w:color="auto"/>
            <w:color w:val="0000EE"/>
          </w:rPr>
          <w:t>Ninth Amended and Restated Certificate of Incorporation (incorporated by reference to Exhibit 3.2 to our Current Report on Form 8-K filed with</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the SEC on May 21, 2020).</w:t>
        </w:r>
      </w:hyperlink>
    </w:p>
    <w:p>
      <w:pPr>
        <w:spacing w:after="0" w:line="91"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62">
        <w:r>
          <w:rPr>
            <w:rFonts w:ascii="Arial" w:cs="Arial" w:eastAsia="Arial" w:hAnsi="Arial"/>
            <w:sz w:val="16"/>
            <w:szCs w:val="16"/>
            <w:u w:val="single" w:color="auto"/>
            <w:color w:val="0000EE"/>
          </w:rPr>
          <w:t>Amended and Restated Bylaws (incorporated by reference to Exhibit 3.1 to our Current Report on Form 8-K filed with the SEC on October 17,</w:t>
        </w:r>
      </w:hyperlink>
    </w:p>
    <w:p>
      <w:pPr>
        <w:spacing w:after="0" w:line="23" w:lineRule="exact"/>
        <w:rPr>
          <w:sz w:val="20"/>
          <w:szCs w:val="20"/>
          <w:color w:val="auto"/>
        </w:rPr>
      </w:pPr>
    </w:p>
    <w:p>
      <w:pPr>
        <w:ind w:left="700"/>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2017).</w:t>
        </w:r>
      </w:hyperlink>
    </w:p>
    <w:p>
      <w:pPr>
        <w:spacing w:after="0" w:line="116"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27">
        <w:r>
          <w:rPr>
            <w:rFonts w:ascii="Arial" w:cs="Arial" w:eastAsia="Arial" w:hAnsi="Arial"/>
            <w:sz w:val="16"/>
            <w:szCs w:val="16"/>
            <w:u w:val="single" w:color="auto"/>
            <w:color w:val="0000EE"/>
          </w:rPr>
          <w:t>Certification of Principal Executive Officer pursuant to Rules 13a-14(a) under the Securities Exchange Act of 1934, as amended (filed herewith).</w:t>
        </w:r>
      </w:hyperlink>
    </w:p>
    <w:p>
      <w:pPr>
        <w:spacing w:after="0" w:line="131"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28">
        <w:r>
          <w:rPr>
            <w:rFonts w:ascii="Arial" w:cs="Arial" w:eastAsia="Arial" w:hAnsi="Arial"/>
            <w:sz w:val="16"/>
            <w:szCs w:val="16"/>
            <w:u w:val="single" w:color="auto"/>
            <w:color w:val="0000EE"/>
          </w:rPr>
          <w:t>Certification of Principal Financial Officer pursuant to Rules 13a-14(a) under the Securities Exchange Act of 1934, as amended (filed herewith).</w:t>
        </w:r>
      </w:hyperlink>
    </w:p>
    <w:p>
      <w:pPr>
        <w:spacing w:after="0" w:line="131" w:lineRule="exact"/>
        <w:rPr>
          <w:sz w:val="20"/>
          <w:szCs w:val="20"/>
          <w:color w:val="auto"/>
        </w:rPr>
      </w:pPr>
    </w:p>
    <w:p>
      <w:pPr>
        <w:ind w:left="700" w:right="220" w:hanging="687"/>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29">
        <w:r>
          <w:rPr>
            <w:rFonts w:ascii="Arial" w:cs="Arial" w:eastAsia="Arial" w:hAnsi="Arial"/>
            <w:sz w:val="18"/>
            <w:szCs w:val="18"/>
            <w:u w:val="single" w:color="auto"/>
            <w:color w:val="0000EE"/>
          </w:rPr>
          <w:t>Certification of Chief Executive Officer and Chief Financial Officer pursuant to 18 U.S.C. Sec. 1350, as adopted pursuant to Section 906 of the</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Sarbanes-Oxley Act of 2002 (filed herewith).</w:t>
        </w:r>
      </w:hyperlink>
    </w:p>
    <w:p>
      <w:pPr>
        <w:spacing w:after="0" w:line="89" w:lineRule="exact"/>
        <w:rPr>
          <w:sz w:val="20"/>
          <w:szCs w:val="20"/>
          <w:color w:val="auto"/>
        </w:rPr>
      </w:pPr>
    </w:p>
    <w:p>
      <w:pPr>
        <w:ind w:left="700" w:right="200" w:hanging="692"/>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(filed herewith). The XBRL instance document does not appear in the Interactive Data File because its tags are embedded within the Inline XBRL document.</w:t>
      </w:r>
    </w:p>
    <w:p>
      <w:pPr>
        <w:spacing w:after="0" w:line="7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the Quarterly Report on Form 10-Q for the quarter ended March 31, 2022,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20574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0"/>
        <w:spacing w:after="0"/>
        <w:tabs>
          <w:tab w:leader="none" w:pos="554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25</w:t>
      </w:r>
      <w:r>
        <w:rPr>
          <w:sz w:val="20"/>
          <w:szCs w:val="20"/>
          <w:color w:val="auto"/>
        </w:rPr>
        <w:tab/>
      </w:r>
      <w:r>
        <w:rPr>
          <w:rFonts w:ascii="Arial" w:cs="Arial" w:eastAsia="Arial" w:hAnsi="Arial"/>
          <w:sz w:val="10"/>
          <w:szCs w:val="10"/>
          <w:b w:val="1"/>
          <w:bCs w:val="1"/>
          <w:color w:val="auto"/>
        </w:rPr>
        <w:t>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5" w:name="page26"/>
    <w:bookmarkEnd w:id="25"/>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SIGNATURES</w:t>
      </w:r>
    </w:p>
    <w:p>
      <w:pPr>
        <w:spacing w:after="0" w:line="229"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280" w:val="left"/>
        </w:tabs>
        <w:rPr>
          <w:sz w:val="20"/>
          <w:szCs w:val="20"/>
          <w:color w:val="auto"/>
        </w:rPr>
      </w:pPr>
      <w:r>
        <w:rPr>
          <w:rFonts w:ascii="Arial" w:cs="Arial" w:eastAsia="Arial" w:hAnsi="Arial"/>
          <w:sz w:val="18"/>
          <w:szCs w:val="18"/>
          <w:color w:val="auto"/>
        </w:rPr>
        <w:t>Dated: April 28, 2022</w:t>
      </w:r>
      <w:r>
        <w:rPr>
          <w:sz w:val="20"/>
          <w:szCs w:val="20"/>
          <w:color w:val="auto"/>
        </w:rPr>
        <w:tab/>
      </w:r>
      <w:r>
        <w:rPr>
          <w:rFonts w:ascii="Arial" w:cs="Arial" w:eastAsia="Arial" w:hAnsi="Arial"/>
          <w:sz w:val="17"/>
          <w:szCs w:val="17"/>
          <w:b w:val="1"/>
          <w:bCs w:val="1"/>
          <w:color w:val="auto"/>
        </w:rPr>
        <w:t>SPS COMMERCE, INC.</w:t>
      </w:r>
    </w:p>
    <w:p>
      <w:pPr>
        <w:spacing w:after="0" w:line="25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205740"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80"/>
        <w:spacing w:after="0"/>
        <w:tabs>
          <w:tab w:leader="none" w:pos="5540" w:val="left"/>
          <w:tab w:leader="none" w:pos="850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26</w:t>
      </w:r>
      <w:r>
        <w:rPr>
          <w:sz w:val="20"/>
          <w:szCs w:val="20"/>
          <w:color w:val="auto"/>
        </w:rPr>
        <w:tab/>
      </w:r>
      <w:r>
        <w:rPr>
          <w:rFonts w:ascii="Arial" w:cs="Arial" w:eastAsia="Arial" w:hAnsi="Arial"/>
          <w:sz w:val="10"/>
          <w:szCs w:val="10"/>
          <w:b w:val="1"/>
          <w:bCs w:val="1"/>
          <w:color w:val="auto"/>
        </w:rPr>
        <w:t>Form 10-Q for the Quarterly Period ended March 31, 2022</w:t>
      </w:r>
    </w:p>
    <w:p>
      <w:pPr>
        <w:sectPr>
          <w:pgSz w:w="11900" w:h="16838" w:orient="portrait"/>
          <w:cols w:equalWidth="0" w:num="1">
            <w:col w:w="11240"/>
          </w:cols>
          <w:pgMar w:left="320" w:top="129"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225"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38"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460" w:hanging="493"/>
        <w:spacing w:after="0" w:line="342"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8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80" w:hanging="500"/>
        <w:spacing w:after="0" w:line="286" w:lineRule="auto"/>
        <w:tabs>
          <w:tab w:leader="none" w:pos="15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40" w:hanging="500"/>
        <w:spacing w:after="0" w:line="263" w:lineRule="auto"/>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260" w:hanging="500"/>
        <w:spacing w:after="0" w:line="286" w:lineRule="auto"/>
        <w:tabs>
          <w:tab w:leader="none" w:pos="15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0" w:hanging="493"/>
        <w:spacing w:after="0" w:line="342"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460" w:hanging="500"/>
        <w:spacing w:after="0" w:line="277" w:lineRule="auto"/>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2022</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225"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38"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460" w:hanging="493"/>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8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80" w:hanging="500"/>
        <w:spacing w:after="0" w:line="286" w:lineRule="auto"/>
        <w:tabs>
          <w:tab w:leader="none" w:pos="15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40" w:hanging="500"/>
        <w:spacing w:after="0" w:line="263" w:lineRule="auto"/>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260" w:hanging="500"/>
        <w:spacing w:after="0" w:line="286" w:lineRule="auto"/>
        <w:tabs>
          <w:tab w:leader="none" w:pos="15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0" w:hanging="493"/>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460" w:hanging="500"/>
        <w:spacing w:after="0" w:line="277" w:lineRule="auto"/>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2022</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March 31, 2022,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41"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28,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0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jpe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jpe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61" Type="http://schemas.openxmlformats.org/officeDocument/2006/relationships/hyperlink" Target="http://www.sec.gov/Archives/edgar/data/1092699/000119312520148645/d833455dex32.htm" TargetMode="External"/><Relationship Id="rId62" Type="http://schemas.openxmlformats.org/officeDocument/2006/relationships/hyperlink" Target="http://www.sec.gov/Archives/edgar/data/1092699/000119312517311896/d43031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2022-04-29T06:36:00Z</dcterms:created>
  <dcterms:modified xsi:type="dcterms:W3CDTF">2022-04-29T06:36:00Z</dcterms:modified>
</cp:coreProperties>
</file>