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49"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8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3980180</wp:posOffset>
            </wp:positionH>
            <wp:positionV relativeFrom="paragraph">
              <wp:posOffset>-7620</wp:posOffset>
            </wp:positionV>
            <wp:extent cx="838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001-34702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111" w:lineRule="exact"/>
        <w:rPr>
          <w:sz w:val="24"/>
          <w:szCs w:val="24"/>
          <w:color w:val="auto"/>
        </w:rPr>
      </w:pPr>
    </w:p>
    <w:tbl>
      <w:tblPr>
        <w:tblLayout w:type="fixed"/>
        <w:tblInd w:w="1940" w:type="dxa"/>
        <w:tblCellMar>
          <w:top w:w="0" w:type="dxa"/>
          <w:left w:w="0" w:type="dxa"/>
          <w:bottom w:w="0" w:type="dxa"/>
          <w:right w:w="0" w:type="dxa"/>
        </w:tblCellMar>
      </w:tblPr>
      <w:tr>
        <w:trPr>
          <w:trHeight w:val="216"/>
        </w:trPr>
        <w:tc>
          <w:tcPr>
            <w:tcW w:w="39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39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i w:val="1"/>
                <w:iCs w:val="1"/>
                <w:color w:val="auto"/>
                <w:w w:val="90"/>
              </w:rPr>
              <w:t>(State or Other Jurisdiction of</w:t>
            </w:r>
          </w:p>
        </w:tc>
        <w:tc>
          <w:tcPr>
            <w:tcW w:w="3220" w:type="dxa"/>
            <w:vAlign w:val="bottom"/>
          </w:tcPr>
          <w:p>
            <w:pPr>
              <w:jc w:val="center"/>
              <w:ind w:left="2062"/>
              <w:spacing w:after="0" w:line="149" w:lineRule="exact"/>
              <w:rPr>
                <w:sz w:val="20"/>
                <w:szCs w:val="20"/>
                <w:color w:val="auto"/>
              </w:rPr>
            </w:pPr>
            <w:r>
              <w:rPr>
                <w:rFonts w:ascii="Arial" w:cs="Arial" w:eastAsia="Arial" w:hAnsi="Arial"/>
                <w:sz w:val="14"/>
                <w:szCs w:val="14"/>
                <w:b w:val="1"/>
                <w:bCs w:val="1"/>
                <w:i w:val="1"/>
                <w:iCs w:val="1"/>
                <w:color w:val="auto"/>
                <w:w w:val="93"/>
              </w:rPr>
              <w:t>(I.R.S. Employer</w:t>
            </w:r>
          </w:p>
        </w:tc>
      </w:tr>
      <w:tr>
        <w:trPr>
          <w:trHeight w:val="182"/>
        </w:trPr>
        <w:tc>
          <w:tcPr>
            <w:tcW w:w="3960" w:type="dxa"/>
            <w:vAlign w:val="bottom"/>
          </w:tcPr>
          <w:p>
            <w:pPr>
              <w:jc w:val="center"/>
              <w:ind w:right="2022"/>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3220" w:type="dxa"/>
            <w:vAlign w:val="bottom"/>
          </w:tcPr>
          <w:p>
            <w:pPr>
              <w:jc w:val="center"/>
              <w:ind w:left="2042"/>
              <w:spacing w:after="0"/>
              <w:rPr>
                <w:sz w:val="20"/>
                <w:szCs w:val="20"/>
                <w:color w:val="auto"/>
              </w:rPr>
            </w:pPr>
            <w:r>
              <w:rPr>
                <w:rFonts w:ascii="Arial" w:cs="Arial" w:eastAsia="Arial" w:hAnsi="Arial"/>
                <w:sz w:val="14"/>
                <w:szCs w:val="14"/>
                <w:b w:val="1"/>
                <w:bCs w:val="1"/>
                <w:i w:val="1"/>
                <w:iCs w:val="1"/>
                <w:color w:val="auto"/>
                <w:w w:val="92"/>
              </w:rPr>
              <w:t>Identification No.)</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(Address of Principal Executive Offices, Including Zip Code)</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29"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40" w:type="dxa"/>
            <w:vAlign w:val="bottom"/>
          </w:tcPr>
          <w:p>
            <w:pPr>
              <w:ind w:left="12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56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par value $0.001 per share, outstanding at October 23, 2017 was 17,224,320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1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680" w:type="dxa"/>
            <w:vAlign w:val="bottom"/>
            <w:gridSpan w:val="9"/>
            <w:vMerge w:val="restart"/>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0000EE"/>
            </w:tcBorders>
            <w:gridSpan w:val="11"/>
            <w:vMerge w:val="continue"/>
          </w:tcPr>
          <w:p>
            <w:pPr>
              <w:spacing w:after="0"/>
              <w:rPr>
                <w:sz w:val="15"/>
                <w:szCs w:val="15"/>
                <w:color w:val="auto"/>
              </w:rPr>
            </w:pPr>
          </w:p>
        </w:tc>
        <w:tc>
          <w:tcPr>
            <w:tcW w:w="7680" w:type="dxa"/>
            <w:vAlign w:val="bottom"/>
            <w:gridSpan w:val="9"/>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20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2017 (unaudited) and December 31, 2016</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20" w:type="dxa"/>
            <w:vAlign w:val="bottom"/>
            <w:gridSpan w:val="18"/>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Income for the three and nine months ended September 30, 2017 and 2016</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8580" w:type="dxa"/>
            <w:vAlign w:val="bottom"/>
            <w:tcBorders>
              <w:top w:val="single" w:sz="8" w:color="0000EE"/>
            </w:tcBorders>
            <w:gridSpan w:val="15"/>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nine months ended September 30, 2017 and 2016 (unaudited)</w:t>
              </w:r>
            </w:hyperlink>
          </w:p>
        </w:tc>
        <w:tc>
          <w:tcPr>
            <w:tcW w:w="12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48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20" w:type="dxa"/>
            <w:vAlign w:val="bottom"/>
            <w:gridSpan w:val="1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794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27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798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2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38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Unregistered Sales of Equity Securities and Use of Proceeds</w:t>
              </w:r>
            </w:hyperlink>
          </w:p>
        </w:tc>
        <w:tc>
          <w:tcPr>
            <w:tcW w:w="536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Defaults Upon Senior Securities</w:t>
              </w:r>
            </w:hyperlink>
          </w:p>
        </w:tc>
        <w:tc>
          <w:tcPr>
            <w:tcW w:w="738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Mine Safety Disclosures</w:t>
              </w:r>
            </w:hyperlink>
          </w:p>
        </w:tc>
        <w:tc>
          <w:tcPr>
            <w:tcW w:w="794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72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8400" w:type="dxa"/>
            <w:vAlign w:val="bottom"/>
            <w:gridSpan w:val="1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and “SPS” refer to SPS Commerce,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2016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96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128,984</w:t>
            </w:r>
          </w:p>
        </w:tc>
        <w:tc>
          <w:tcPr>
            <w:tcW w:w="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34,869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less allowance for doubtful accounts of $878 and $515,</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respectively</w:t>
            </w: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24,175</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23,326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9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5,853</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217,207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185,933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15,616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51,783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17,720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MARKETABLE SECURITIES, non-current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2,491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Deferred costs, non-current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6,475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asset, non-current</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26,628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non-current assets</w:t>
            </w: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339,021</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3,089</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12,681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3,991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16,209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1,655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37,625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OTHER LIABILITIES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non-current</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10,625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Deferred rent, non-current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3,498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liability, non-current</w:t>
            </w:r>
          </w:p>
        </w:tc>
        <w:tc>
          <w:tcPr>
            <w:tcW w:w="9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53,848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5,000,000 shares authorized; 0 shares issued</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w:t>
            </w: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960" w:type="dxa"/>
            <w:vAlign w:val="bottom"/>
          </w:tcPr>
          <w:p>
            <w:pPr>
              <w:ind w:left="260"/>
              <w:spacing w:after="0"/>
              <w:rPr>
                <w:sz w:val="20"/>
                <w:szCs w:val="20"/>
                <w:color w:val="auto"/>
              </w:rPr>
            </w:pPr>
            <w:r>
              <w:rPr>
                <w:rFonts w:ascii="Arial" w:cs="Arial" w:eastAsia="Arial" w:hAnsi="Arial"/>
                <w:sz w:val="18"/>
                <w:szCs w:val="18"/>
                <w:color w:val="auto"/>
              </w:rPr>
              <w:t>Common stock, $0.001 par value; 55,000,000 shares authorized; 17,224,060 and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380"/>
              <w:spacing w:after="0"/>
              <w:rPr>
                <w:sz w:val="20"/>
                <w:szCs w:val="20"/>
                <w:color w:val="auto"/>
              </w:rPr>
            </w:pPr>
            <w:r>
              <w:rPr>
                <w:rFonts w:ascii="Arial" w:cs="Arial" w:eastAsia="Arial" w:hAnsi="Arial"/>
                <w:sz w:val="18"/>
                <w:szCs w:val="18"/>
                <w:color w:val="auto"/>
              </w:rPr>
              <w:t>17,081,145 shares issued and outstanding, respectively</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294,943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(33,739)</w:t>
            </w: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1,013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9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285,173</w:t>
            </w: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339,021</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56,150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49,284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162,366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142,234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18,645</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16,171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54,166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37,505</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33,113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108,200</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95,210</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18,239</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16,526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54,059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49,092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6,549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5,574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17,023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8,744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7,149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24,709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1,128</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3,460</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34,660</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30,443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99,251</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90,346</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2,845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8,949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348</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2,922</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3,729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9,297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1,864</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2,509</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6,661</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0.38</w:t>
            </w:r>
          </w:p>
        </w:tc>
        <w:tc>
          <w:tcPr>
            <w:tcW w:w="50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to compute net income</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 share</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17,223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17,001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17,192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17,410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17,341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17,394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17,185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1,779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4,291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Unrealized gain (loss) on investments (net of tax of $10, ($50), $0, $12)</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w w:val="96"/>
              </w:rPr>
              <w:t>Reclassification of unrealized gain on investments into earnings (net of tax</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of $44, $14, $29, $13)</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3,732</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11,000</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4"/>
                <w:szCs w:val="14"/>
                <w:color w:val="auto"/>
              </w:rPr>
            </w:pPr>
          </w:p>
        </w:tc>
      </w:tr>
      <w:tr>
        <w:trPr>
          <w:trHeight w:val="171"/>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Borders>
              <w:bottom w:val="single" w:sz="8" w:color="auto"/>
            </w:tcBorders>
          </w:tcPr>
          <w:p>
            <w:pPr>
              <w:spacing w:after="0"/>
              <w:rPr>
                <w:sz w:val="14"/>
                <w:szCs w:val="14"/>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91"/>
              <w:spacing w:after="0" w:line="155" w:lineRule="exact"/>
              <w:rPr>
                <w:sz w:val="20"/>
                <w:szCs w:val="20"/>
                <w:color w:val="auto"/>
              </w:rPr>
            </w:pPr>
            <w:r>
              <w:rPr>
                <w:rFonts w:ascii="Arial" w:cs="Arial" w:eastAsia="Arial" w:hAnsi="Arial"/>
                <w:sz w:val="14"/>
                <w:szCs w:val="14"/>
                <w:b w:val="1"/>
                <w:bCs w:val="1"/>
                <w:color w:val="auto"/>
              </w:rPr>
              <w:t>2016</w:t>
            </w: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1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6,661</w:t>
            </w:r>
          </w:p>
        </w:tc>
        <w:tc>
          <w:tcPr>
            <w:tcW w:w="74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3,905</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1,968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Share-based earn-out liability</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5,261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4,883</w:t>
            </w: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3,460</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3,553</w:t>
            </w: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1,365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977</w:t>
            </w: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6,833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6,004</w:t>
            </w: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(3,879)</w:t>
            </w: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costs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Other current and non-current assets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(2,840)</w:t>
            </w: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632</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Accrued compensation</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173</w:t>
            </w: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126</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4,932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3,927</w:t>
            </w: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rent</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66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21,972</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10,353</w:t>
            </w: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(5,972)</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marketable securities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(29,819)</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(18,137)</w:t>
            </w: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Maturities of marketable securities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23,029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12,500</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of businesses and intangible assets, net of cash acquired</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(18,062)</w:t>
            </w: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(12,532)</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(29,671)</w:t>
            </w: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proceeds from exercise of options to purchase common stock</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1,307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3,520</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Excess tax benefits from exercise of options to purchase common stock</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2,710</w:t>
            </w:r>
          </w:p>
        </w:tc>
      </w:tr>
      <w:tr>
        <w:trPr>
          <w:trHeight w:val="230"/>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proceeds from employee stock purchase plan</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1,011</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786</w:t>
            </w:r>
          </w:p>
        </w:tc>
      </w:tr>
      <w:tr>
        <w:trPr>
          <w:trHeight w:val="223"/>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2,318</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7,016</w:t>
            </w:r>
          </w:p>
        </w:tc>
      </w:tr>
      <w:tr>
        <w:trPr>
          <w:trHeight w:val="22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currency exchange rate changes</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1,349</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399</w:t>
            </w: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13,107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w:t>
            </w: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115,877</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121,538</w:t>
            </w: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9"/>
              </w:rPr>
              <w:t>128,984</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109,635</w:t>
            </w: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suppliers, retailers, distributors and logistics firms orchestrate the sourcing, set up of new vendors and items, and fulfillment of the products that customers buy from retailers and suppliers. We derive the majority of our revenues from thousands of monthly recurring subscriptions from businesses that utilize our solutions.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and cash flows for the interim periods shown. Operating results for these interim periods are not necessarily indicative of the results to be expected for the full year. The December 31, 2016 condensed consolidated balance sheet data was derived from our audited financial statements at that date. For further information, refer to the consolidated financial statements and accompanying notes for the year ended December 31, 2016 included in our Annual Report on Form 10-K as filed with the Securities and Exchange Commission on February 27, 2017.</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560" w:firstLine="518"/>
        <w:spacing w:after="0" w:line="286" w:lineRule="auto"/>
        <w:rPr>
          <w:sz w:val="20"/>
          <w:szCs w:val="20"/>
          <w:color w:val="auto"/>
        </w:rPr>
      </w:pPr>
      <w:r>
        <w:rPr>
          <w:rFonts w:ascii="Arial" w:cs="Arial" w:eastAsia="Arial" w:hAnsi="Arial"/>
          <w:sz w:val="17"/>
          <w:szCs w:val="17"/>
          <w:color w:val="auto"/>
        </w:rPr>
        <w:t>During the nine months ended September 30, 2017, there were no material changes in our significant accounting policies. See Note A to the consolidated financial statements included in our Annual Report on Form 10-K for the year ended December 31, 2016, as filed with the Securities and Exchange Commission on February 27, 2017, for additional information regarding our significant accounting policies.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 xml:space="preserve">In March 2016, the Financial Accounting Standards Board (“FASB”) issued ASU 2016-09,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(“ASU 2016-09”). The new guidance requires excess tax benefits and tax deficiencies to be recorded in the income statement when the awards</w:t>
      </w:r>
      <w:r>
        <w:rPr>
          <w:rFonts w:ascii="Arial" w:cs="Arial" w:eastAsia="Arial" w:hAnsi="Arial"/>
          <w:sz w:val="17"/>
          <w:szCs w:val="17"/>
          <w:i w:val="1"/>
          <w:iCs w:val="1"/>
          <w:color w:val="auto"/>
        </w:rPr>
        <w:t xml:space="preserve"> </w:t>
      </w:r>
      <w:r>
        <w:rPr>
          <w:rFonts w:ascii="Arial" w:cs="Arial" w:eastAsia="Arial" w:hAnsi="Arial"/>
          <w:sz w:val="17"/>
          <w:szCs w:val="17"/>
          <w:color w:val="auto"/>
        </w:rPr>
        <w:t>vest or are settled and provides an accounting policy election to account for forfeitures as they occur. In addition, cash flows related to excess tax benefits will no longer be separately classified as a financing activity apart from other income tax cash flows within operating activities. The standard also allows entities to repurchase more of an employee’s shares for tax withholding purposes without triggering liability accounting and clarifies that all cash payments made on an employee’s behalf for withheld shares should be presented as a financing activity on the statements of cash flows. The standard is effective for fiscal years, and interim periods within those fiscal years, beginning after December 15, 2016, with early adoption permitted.</w:t>
      </w:r>
    </w:p>
    <w:p>
      <w:pPr>
        <w:spacing w:after="0" w:line="178"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adopted ASU 2016-09 during the nine months ended September 30, 2017. The impact to our consolidated balance sheet as of January 1, 2017 was a $16.3 million increase in deferred income tax assets, non-current and a corresponding $16.3 million decrease in accumulated deficit. This impact results from the cumulative-effect adjustment for previously unrecognized excess tax benefits using the modified retrospective method required by the new standard. We elected to adopt the changes in cash flow statement presentation prospectively to be consistent with the prospective transition for the treatment of excess tax benefits in the income statement. Accordingly, we no longer classify excess tax benefits as a financing activity subsequent to January 1, 2017.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requires an entity to recognize the amount of revenue to which it expects to be entitled for the transfer of promised goods or services to customers in an amount that reflects the consideration to which the entity expects to be entitled in exchange for those goods or services. This guidance will replace most existing revenue recognition guidance in GAAP when it becomes effective. These new requirements are effective for annual reporting periods beginning after December 15, 2017, and interim periods within those annual periods. We do not believe the new revenue recognition standard will materially impact our recognition of the primary fees received from customers for our cloud-based supply chain solutions. We believe the adoption of the new standard will impact our accounting for certain upfront set-up fees and the periods over which the related revenues are recognized, as well as the timing of cost recognition for some sales commissions. These impacts will not be material to our financial statements. We are currently finalizing our evaluation of implementation methods and the extent of the impact that implementation of this standard will have on our financial statement disclosures upon adoption.</w:t>
      </w:r>
    </w:p>
    <w:p>
      <w:pPr>
        <w:spacing w:after="0" w:line="167" w:lineRule="exact"/>
        <w:rPr>
          <w:sz w:val="20"/>
          <w:szCs w:val="20"/>
          <w:color w:val="auto"/>
        </w:rPr>
      </w:pPr>
    </w:p>
    <w:p>
      <w:pPr>
        <w:ind w:right="340" w:firstLine="518"/>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will supersede the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believe the adoption of the new lease accounting standard will materially impact our consolidated financial statements by increasing our non-current assets and non-current liabilities on our consolidated balance sheets in order to record the right of use assets and related lease liabilities for our existing operating leases. We are in the process of determining the financial statement impact and are currently unable to estimate the impact on our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Instruments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invest primarily in money market funds,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marketable securities. Investments with remaining maturities of more than one year from the balance sheet date are classified as marketable securities, non-current. Short-term marketable securities and marketable securities, non-current, are also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8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fixed-income investments are carried at fair value; and unrealized gains and losses on these investments are included in other comprehensive income in the condensed consolidated statements of comprehensive income. Realized gains or losses are included in other income (expense) in the condensed consolidated statements of comprehensive income. When a determination has been made that an other-than-temporary decline in fair value has occurred, the amount of the decline that is related to a credit loss is realized and is included in other income (expense), net in the condensed consolidated statements of comprehensive income.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and marketable securities,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35"/>
              <w:spacing w:after="0" w:line="147"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54"/>
              <w:spacing w:after="0" w:line="147"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1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Gains (Losses)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93"/>
              </w:rPr>
              <w:t>(Dollars in thousands)</w:t>
            </w: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76,507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76,507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2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14,998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U.S. treasury securities</w:t>
            </w:r>
          </w:p>
        </w:tc>
        <w:tc>
          <w:tcPr>
            <w:tcW w:w="2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12,404</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113,864</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113,867</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1140"/>
              <w:spacing w:after="0"/>
              <w:rPr>
                <w:sz w:val="20"/>
                <w:szCs w:val="20"/>
                <w:color w:val="auto"/>
              </w:rPr>
            </w:pPr>
            <w:r>
              <w:rPr>
                <w:rFonts w:ascii="Arial" w:cs="Arial" w:eastAsia="Arial" w:hAnsi="Arial"/>
                <w:sz w:val="18"/>
                <w:szCs w:val="18"/>
                <w:color w:val="auto"/>
              </w:rPr>
              <w:t>Due within one year</w:t>
            </w: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111,376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Due within two years</w:t>
            </w:r>
          </w:p>
        </w:tc>
        <w:tc>
          <w:tcPr>
            <w:tcW w:w="2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113,867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80" w:type="dxa"/>
            <w:vAlign w:val="bottom"/>
            <w:vMerge w:val="restart"/>
          </w:tcPr>
          <w:p>
            <w:pPr>
              <w:jc w:val="right"/>
              <w:ind w:right="69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79" w:right="219" w:bottom="1440" w:gutter="0" w:footer="0" w:header="0"/>
        </w:sectPr>
      </w:pPr>
    </w:p>
    <w:bookmarkStart w:id="7" w:name="page8"/>
    <w:bookmarkEnd w:id="7"/>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34"/>
              <w:spacing w:after="0" w:line="147"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52"/>
              <w:spacing w:after="0" w:line="147"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Gains (Losses)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93"/>
              </w:rPr>
              <w:t>(Dollars in thousands)</w:t>
            </w: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75,375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7"/>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75,375</w:t>
            </w:r>
          </w:p>
        </w:tc>
        <w:tc>
          <w:tcPr>
            <w:tcW w:w="8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15,585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agency obligations</w:t>
            </w:r>
          </w:p>
        </w:tc>
        <w:tc>
          <w:tcPr>
            <w:tcW w:w="1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FF0FC"/>
          </w:tcPr>
          <w:p>
            <w:pPr>
              <w:spacing w:after="0"/>
              <w:rPr>
                <w:sz w:val="19"/>
                <w:szCs w:val="19"/>
                <w:color w:val="auto"/>
              </w:rPr>
            </w:pPr>
          </w:p>
        </w:tc>
      </w:tr>
      <w:tr>
        <w:trPr>
          <w:trHeight w:val="27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106,019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105,946</w:t>
            </w:r>
          </w:p>
        </w:tc>
        <w:tc>
          <w:tcPr>
            <w:tcW w:w="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7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98,452</w:t>
            </w: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two years</w:t>
            </w:r>
          </w:p>
        </w:tc>
        <w:tc>
          <w:tcPr>
            <w:tcW w:w="17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We do not believe any of the unrealized losses represent an other-than-temporary impairment based on our valuation of available evidence as of September 30, 2017. We expect to receive the full principal and interest on all of these cash equivalents and marketable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39"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040" w:right="300" w:hanging="519"/>
        <w:spacing w:after="0" w:line="25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Measurements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cash equivalents held in money market funds are measured at fair value using level 1 inputs.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2 Measurements</w:t>
      </w:r>
    </w:p>
    <w:p>
      <w:pPr>
        <w:spacing w:after="0" w:line="117" w:lineRule="exact"/>
        <w:rPr>
          <w:sz w:val="20"/>
          <w:szCs w:val="20"/>
          <w:color w:val="auto"/>
        </w:rPr>
      </w:pPr>
    </w:p>
    <w:p>
      <w:pPr>
        <w:ind w:right="340" w:firstLine="518"/>
        <w:spacing w:after="0" w:line="308" w:lineRule="auto"/>
        <w:rPr>
          <w:sz w:val="20"/>
          <w:szCs w:val="20"/>
          <w:color w:val="auto"/>
        </w:rPr>
      </w:pPr>
      <w:r>
        <w:rPr>
          <w:rFonts w:ascii="Arial" w:cs="Arial" w:eastAsia="Arial" w:hAnsi="Arial"/>
          <w:sz w:val="17"/>
          <w:szCs w:val="17"/>
          <w:color w:val="auto"/>
        </w:rPr>
        <w:t>Our available-for-sale U.S. treasury securities, U.S. agency obligations, commercial paper and corporate debt securities are measured at fair value using level 2 inputs. We obtain the fair values of our level 2 available-for-sale securities from a professional pricing service.</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1" w:right="299" w:bottom="1440" w:gutter="0" w:footer="0" w:header="0"/>
        </w:sectPr>
      </w:pPr>
    </w:p>
    <w:bookmarkStart w:id="8" w:name="page9"/>
    <w:bookmarkEnd w:id="8"/>
    <w:p>
      <w:pPr>
        <w:ind w:right="440" w:firstLine="518"/>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4"/>
          </w:tcPr>
          <w:p>
            <w:pPr>
              <w:jc w:val="center"/>
              <w:spacing w:after="0" w:line="155" w:lineRule="exact"/>
              <w:rPr>
                <w:sz w:val="20"/>
                <w:szCs w:val="20"/>
                <w:color w:val="auto"/>
              </w:rPr>
            </w:pPr>
            <w:r>
              <w:rPr>
                <w:rFonts w:ascii="Arial" w:cs="Arial" w:eastAsia="Arial" w:hAnsi="Arial"/>
                <w:sz w:val="14"/>
                <w:szCs w:val="14"/>
                <w:color w:val="auto"/>
                <w:w w:val="93"/>
              </w:rPr>
              <w:t>(Dollars in thousands)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76,507</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76,507</w:t>
            </w: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bonds</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14,998</w:t>
            </w: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9,958</w:t>
            </w: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treasury securities</w:t>
            </w:r>
          </w:p>
        </w:tc>
        <w:tc>
          <w:tcPr>
            <w:tcW w:w="15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12,404</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12,404</w:t>
            </w:r>
          </w:p>
        </w:tc>
        <w:tc>
          <w:tcPr>
            <w:tcW w:w="100" w:type="dxa"/>
            <w:vAlign w:val="bottom"/>
            <w:tcBorders>
              <w:bottom w:val="single" w:sz="8" w:color="auto"/>
            </w:tcBorders>
            <w:shd w:val="clear" w:color="auto" w:fill="CFF0FC"/>
          </w:tcPr>
          <w:p>
            <w:pPr>
              <w:spacing w:after="0"/>
              <w:rPr>
                <w:sz w:val="19"/>
                <w:szCs w:val="19"/>
                <w:color w:val="auto"/>
              </w:rPr>
            </w:pPr>
          </w:p>
        </w:tc>
      </w:tr>
      <w:tr>
        <w:trPr>
          <w:trHeight w:val="223"/>
        </w:trPr>
        <w:tc>
          <w:tcPr>
            <w:tcW w:w="3780" w:type="dxa"/>
            <w:vAlign w:val="bottom"/>
          </w:tcPr>
          <w:p>
            <w:pPr>
              <w:ind w:left="74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76,507</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37,360</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113,867</w:t>
            </w:r>
          </w:p>
        </w:tc>
        <w:tc>
          <w:tcPr>
            <w:tcW w:w="100" w:type="dxa"/>
            <w:vAlign w:val="bottom"/>
            <w:tcBorders>
              <w:bottom w:val="single" w:sz="8" w:color="auto"/>
            </w:tcBorders>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4"/>
          </w:tcPr>
          <w:p>
            <w:pPr>
              <w:jc w:val="center"/>
              <w:spacing w:after="0" w:line="155" w:lineRule="exact"/>
              <w:rPr>
                <w:sz w:val="20"/>
                <w:szCs w:val="20"/>
                <w:color w:val="auto"/>
              </w:rPr>
            </w:pPr>
            <w:r>
              <w:rPr>
                <w:rFonts w:ascii="Arial" w:cs="Arial" w:eastAsia="Arial" w:hAnsi="Arial"/>
                <w:sz w:val="14"/>
                <w:szCs w:val="14"/>
                <w:color w:val="auto"/>
                <w:w w:val="93"/>
              </w:rPr>
              <w:t>(Dollars in thousands)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75,375</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75,375</w:t>
            </w: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bonds</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15,585</w:t>
            </w: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treasury securities</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Pr>
          <w:p>
            <w:pPr>
              <w:ind w:left="500"/>
              <w:spacing w:after="0"/>
              <w:rPr>
                <w:sz w:val="20"/>
                <w:szCs w:val="20"/>
                <w:color w:val="auto"/>
              </w:rPr>
            </w:pPr>
            <w:r>
              <w:rPr>
                <w:rFonts w:ascii="Arial" w:cs="Arial" w:eastAsia="Arial" w:hAnsi="Arial"/>
                <w:sz w:val="18"/>
                <w:szCs w:val="18"/>
                <w:color w:val="auto"/>
              </w:rPr>
              <w:t>U.S. agency obligations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r>
        <w:trPr>
          <w:trHeight w:val="223"/>
        </w:trPr>
        <w:tc>
          <w:tcPr>
            <w:tcW w:w="378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We classify our cash equivalents and marketable securities within Level 1 or Level 2 because we use quoted market prices or alternative pricing sources and models utilizing market observable inputs to determine their fair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Goodwill and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nine months ended September 30, 2017 are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156"/>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116"/>
              <w:spacing w:after="0" w:line="155" w:lineRule="exact"/>
              <w:rPr>
                <w:sz w:val="20"/>
                <w:szCs w:val="20"/>
                <w:color w:val="auto"/>
              </w:rPr>
            </w:pPr>
            <w:r>
              <w:rPr>
                <w:rFonts w:ascii="Arial" w:cs="Arial" w:eastAsia="Arial" w:hAnsi="Arial"/>
                <w:sz w:val="14"/>
                <w:szCs w:val="14"/>
                <w:color w:val="auto"/>
                <w:w w:val="93"/>
              </w:rPr>
              <w:t>(Dollars in thousands)</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49,777</w:t>
            </w: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Goodwill acquired during the period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2,006</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Balances, September 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51,783</w:t>
            </w: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Intangible assets subject to amortization primarily include subscriber relationships, non-competition agreements and acquired technology and are amortized over their respective useful lives (ranging from 1 to 9 years). Information regarding intangible assets included on our consolidated balance sheets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58"/>
              <w:spacing w:after="0" w:line="147" w:lineRule="exact"/>
              <w:rPr>
                <w:sz w:val="20"/>
                <w:szCs w:val="20"/>
                <w:color w:val="auto"/>
              </w:rPr>
            </w:pPr>
            <w:r>
              <w:rPr>
                <w:rFonts w:ascii="Arial" w:cs="Arial" w:eastAsia="Arial" w:hAnsi="Arial"/>
                <w:sz w:val="14"/>
                <w:szCs w:val="14"/>
                <w:b w:val="1"/>
                <w:bCs w:val="1"/>
                <w:color w:val="auto"/>
                <w:w w:val="89"/>
              </w:rPr>
              <w:t>Foreign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5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Net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4"/>
          </w:tcPr>
          <w:p>
            <w:pPr>
              <w:jc w:val="right"/>
              <w:ind w:right="538"/>
              <w:spacing w:after="0" w:line="155" w:lineRule="exact"/>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9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34,350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679</w:t>
            </w: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16,426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1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761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38,979</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17,720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4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9" w:name="page10"/>
    <w:bookmarkEnd w:id="9"/>
    <w:tbl>
      <w:tblPr>
        <w:tblLayout w:type="fixed"/>
        <w:tblInd w:w="5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9"/>
              </w:rPr>
              <w:t>Foreign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56"/>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Currency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r>
      <w:tr>
        <w:trPr>
          <w:trHeight w:val="156"/>
        </w:trPr>
        <w:tc>
          <w:tcPr>
            <w:tcW w:w="3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6"/>
          </w:tcPr>
          <w:p>
            <w:pPr>
              <w:jc w:val="center"/>
              <w:ind w:right="320"/>
              <w:spacing w:after="0" w:line="155" w:lineRule="exact"/>
              <w:rPr>
                <w:sz w:val="20"/>
                <w:szCs w:val="20"/>
                <w:color w:val="auto"/>
              </w:rPr>
            </w:pPr>
            <w:r>
              <w:rPr>
                <w:rFonts w:ascii="Arial" w:cs="Arial" w:eastAsia="Arial" w:hAnsi="Arial"/>
                <w:sz w:val="14"/>
                <w:szCs w:val="14"/>
                <w:color w:val="auto"/>
                <w:w w:val="93"/>
              </w:rPr>
              <w:t>(Dollars in thousands)</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7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(15,708)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18,323</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38,059</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19,788</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Total amortization expense for intangible assets during the three months ended September 30, 2017 and 2016 was $1.1 million and $1.2 million, respectively. Total amortization expense for intangible assets during the nine months ended September 30, 2017 and 2016 was $3.5 million and $3.6 million, respectively. The estimated annual amortization expense related to intangible assets subject to amortization for the next five years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2017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D – Commitments and Contingencies</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Operating Leases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40" w:type="dxa"/>
            <w:vAlign w:val="bottom"/>
            <w:gridSpan w:val="2"/>
          </w:tcPr>
          <w:p>
            <w:pPr>
              <w:ind w:left="520"/>
              <w:spacing w:after="0"/>
              <w:rPr>
                <w:sz w:val="20"/>
                <w:szCs w:val="20"/>
                <w:color w:val="auto"/>
              </w:rPr>
            </w:pPr>
            <w:r>
              <w:rPr>
                <w:rFonts w:ascii="Arial" w:cs="Arial" w:eastAsia="Arial" w:hAnsi="Arial"/>
                <w:sz w:val="18"/>
                <w:szCs w:val="18"/>
                <w:color w:val="auto"/>
                <w:w w:val="91"/>
              </w:rPr>
              <w:t>At September 30, 2017, our future minimum payments under operating leases were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2017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121"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February 2017, 1,024,868 additional shares were reserved for future issuance under our 2010 Equity Incentive Plan. At September 30, 2017, there were approximately 4.5 million shares available for grant under approved equity compensation plans.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60" w:right="359" w:bottom="1440" w:gutter="0" w:footer="0" w:header="0"/>
        </w:sectPr>
      </w:pPr>
    </w:p>
    <w:bookmarkStart w:id="10" w:name="page11"/>
    <w:bookmarkEnd w:id="10"/>
    <w:p>
      <w:pPr>
        <w:ind w:right="60" w:firstLine="518"/>
        <w:spacing w:after="0" w:line="264" w:lineRule="auto"/>
        <w:rPr>
          <w:sz w:val="20"/>
          <w:szCs w:val="20"/>
          <w:color w:val="auto"/>
        </w:rPr>
      </w:pPr>
      <w:r>
        <w:rPr>
          <w:rFonts w:ascii="Arial" w:cs="Arial" w:eastAsia="Arial" w:hAnsi="Arial"/>
          <w:sz w:val="18"/>
          <w:szCs w:val="18"/>
          <w:color w:val="auto"/>
        </w:rPr>
        <w:t>We recorded stock-based compensation expense of $2.3 million and $6.8 million for the three and nine months ended September 30, 2017 and $2.0 million and $6.0 million for the three and nine months ended September 30, 2016, respectively. This expense was allocated in the consolidated statements of comprehensive income as follows (in thousands):</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September 30, 2017, there was approximately $17.9 million of unrecognized stock-based compensation expense under our equity compensation plans, which is expected to be recognized on a straight-line basis over a weighted average period of 2.6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54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r>
      <w:tr>
        <w:trPr>
          <w:trHeight w:val="156"/>
        </w:trPr>
        <w:tc>
          <w:tcPr>
            <w:tcW w:w="5460" w:type="dxa"/>
            <w:vAlign w:val="bottom"/>
          </w:tcPr>
          <w:p>
            <w:pPr>
              <w:spacing w:after="0"/>
              <w:rPr>
                <w:sz w:val="13"/>
                <w:szCs w:val="13"/>
                <w:color w:val="auto"/>
              </w:rPr>
            </w:pPr>
          </w:p>
        </w:tc>
        <w:tc>
          <w:tcPr>
            <w:tcW w:w="1100" w:type="dxa"/>
            <w:vAlign w:val="bottom"/>
            <w:tcBorders>
              <w:top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1,016,012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8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169,451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56.02</w:t>
            </w:r>
          </w:p>
        </w:tc>
        <w:tc>
          <w:tcPr>
            <w:tcW w:w="8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(62,854)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8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(10,622)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56.12</w:t>
            </w:r>
          </w:p>
        </w:tc>
        <w:tc>
          <w:tcPr>
            <w:tcW w:w="80" w:type="dxa"/>
            <w:vAlign w:val="bottom"/>
          </w:tcPr>
          <w:p>
            <w:pPr>
              <w:spacing w:after="0"/>
              <w:rPr>
                <w:sz w:val="19"/>
                <w:szCs w:val="19"/>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2017</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1,111,987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Of the total outstanding options at September 30, 2017, 708,209 were exercisable with a weighted average exercise price of $43.91 per share. The total outstanding options had a weighted average remaining contractual life of 4.3 years.</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nine months of 2017 was $18.90 and this was estimated on the date of grant using the Black-Scholes option pricing model with the following weighted-average assumptions: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Dividend yield</w:t>
            </w:r>
          </w:p>
        </w:tc>
        <w:tc>
          <w:tcPr>
            <w:tcW w:w="2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29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4.5</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900" w:type="dxa"/>
            <w:vAlign w:val="bottom"/>
          </w:tcPr>
          <w:p>
            <w:pPr>
              <w:jc w:val="right"/>
              <w:spacing w:after="0"/>
              <w:rPr>
                <w:sz w:val="20"/>
                <w:szCs w:val="20"/>
                <w:color w:val="auto"/>
              </w:rPr>
            </w:pPr>
            <w:r>
              <w:rPr>
                <w:rFonts w:ascii="Arial" w:cs="Arial" w:eastAsia="Arial" w:hAnsi="Arial"/>
                <w:sz w:val="18"/>
                <w:szCs w:val="18"/>
                <w:color w:val="auto"/>
              </w:rPr>
              <w:t>1.85%</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Restricted Stock Units and Awards</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February 2017, our executive officers were granted performance share unit (“PSU”) awards with vesting contingent on successful attainment of pre-determined revenue targets over the course of a three-year performance period (fiscal years 2017 – 2019). During the three months ended March 31, 2017, we recognized expense of $169,000 for PSU awards; and during the three months ended June 30, 2017 we recognized a reversing benefit of $169,000 as the probability of attainment was decreased. We recognized no expense for PSU awards during the three months ended September 30, 2017.</w:t>
      </w:r>
    </w:p>
    <w:p>
      <w:pPr>
        <w:spacing w:after="0" w:line="154"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Activity for our performance share units and restricted stock units was as follows: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660" w:type="dxa"/>
            <w:vAlign w:val="bottom"/>
            <w:gridSpan w:val="3"/>
          </w:tcPr>
          <w:p>
            <w:pPr>
              <w:jc w:val="center"/>
              <w:ind w:left="834"/>
              <w:spacing w:after="0"/>
              <w:rPr>
                <w:sz w:val="20"/>
                <w:szCs w:val="20"/>
                <w:color w:val="auto"/>
              </w:rPr>
            </w:pPr>
            <w:r>
              <w:rPr>
                <w:rFonts w:ascii="Arial" w:cs="Arial" w:eastAsia="Arial" w:hAnsi="Arial"/>
                <w:sz w:val="14"/>
                <w:szCs w:val="14"/>
                <w:b w:val="1"/>
                <w:bCs w:val="1"/>
                <w:color w:val="auto"/>
                <w:w w:val="92"/>
              </w:rPr>
              <w:t>Performance Share and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3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Restricted Stock Units</w:t>
            </w:r>
          </w:p>
        </w:tc>
        <w:tc>
          <w:tcPr>
            <w:tcW w:w="6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r>
      <w:tr>
        <w:trPr>
          <w:trHeight w:val="156"/>
        </w:trPr>
        <w:tc>
          <w:tcPr>
            <w:tcW w:w="3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135"/>
              <w:spacing w:after="0" w:line="155" w:lineRule="exact"/>
              <w:rPr>
                <w:sz w:val="20"/>
                <w:szCs w:val="20"/>
                <w:color w:val="auto"/>
              </w:rPr>
            </w:pPr>
            <w:r>
              <w:rPr>
                <w:rFonts w:ascii="Arial" w:cs="Arial" w:eastAsia="Arial" w:hAnsi="Arial"/>
                <w:sz w:val="14"/>
                <w:szCs w:val="14"/>
                <w:b w:val="1"/>
                <w:bCs w:val="1"/>
                <w:color w:val="auto"/>
                <w:w w:val="92"/>
              </w:rPr>
              <w:t>($/share)</w:t>
            </w: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189,042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54.14</w:t>
            </w: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Granted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207,738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55.74</w:t>
            </w:r>
          </w:p>
        </w:tc>
      </w:tr>
      <w:tr>
        <w:trPr>
          <w:trHeight w:val="230"/>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 and common stock issued</w:t>
            </w:r>
          </w:p>
        </w:tc>
        <w:tc>
          <w:tcPr>
            <w:tcW w:w="26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(64,818)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53.63</w:t>
            </w: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660" w:type="dxa"/>
            <w:vAlign w:val="bottom"/>
            <w:gridSpan w:val="3"/>
          </w:tcPr>
          <w:p>
            <w:pPr>
              <w:jc w:val="right"/>
              <w:ind w:right="80"/>
              <w:spacing w:after="0"/>
              <w:rPr>
                <w:sz w:val="20"/>
                <w:szCs w:val="20"/>
                <w:color w:val="auto"/>
              </w:rPr>
            </w:pPr>
            <w:r>
              <w:rPr>
                <w:rFonts w:ascii="Arial" w:cs="Arial" w:eastAsia="Arial" w:hAnsi="Arial"/>
                <w:sz w:val="18"/>
                <w:szCs w:val="18"/>
                <w:color w:val="auto"/>
              </w:rPr>
              <w:t>(4,805)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54.55</w:t>
            </w: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2017</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55.25</w:t>
            </w:r>
          </w:p>
        </w:tc>
      </w:tr>
      <w:tr>
        <w:trPr>
          <w:trHeight w:val="20"/>
        </w:trPr>
        <w:tc>
          <w:tcPr>
            <w:tcW w:w="3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number of restricted stock units outstanding at September 30, 2017 included 30,907 units that have vested, but for which shares of common stock have not yet been issued pursuant to the terms of the agreement.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restricted stock awards activity was as follows: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Restricted Stock</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474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Awards</w:t>
            </w:r>
          </w:p>
        </w:tc>
        <w:tc>
          <w:tcPr>
            <w:tcW w:w="6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r>
      <w:tr>
        <w:trPr>
          <w:trHeight w:val="156"/>
        </w:trPr>
        <w:tc>
          <w:tcPr>
            <w:tcW w:w="4740" w:type="dxa"/>
            <w:vAlign w:val="bottom"/>
          </w:tcPr>
          <w:p>
            <w:pPr>
              <w:spacing w:after="0"/>
              <w:rPr>
                <w:sz w:val="13"/>
                <w:szCs w:val="13"/>
                <w:color w:val="auto"/>
              </w:rPr>
            </w:pPr>
          </w:p>
        </w:tc>
        <w:tc>
          <w:tcPr>
            <w:tcW w:w="14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135"/>
              <w:spacing w:after="0" w:line="155" w:lineRule="exact"/>
              <w:rPr>
                <w:sz w:val="20"/>
                <w:szCs w:val="20"/>
                <w:color w:val="auto"/>
              </w:rPr>
            </w:pPr>
            <w:r>
              <w:rPr>
                <w:rFonts w:ascii="Arial" w:cs="Arial" w:eastAsia="Arial" w:hAnsi="Arial"/>
                <w:sz w:val="14"/>
                <w:szCs w:val="14"/>
                <w:b w:val="1"/>
                <w:bCs w:val="1"/>
                <w:color w:val="auto"/>
                <w:w w:val="92"/>
              </w:rPr>
              <w:t>($/share)</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52.28</w:t>
            </w: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Restricted common stock issued</w:t>
            </w:r>
          </w:p>
        </w:tc>
        <w:tc>
          <w:tcPr>
            <w:tcW w:w="1460" w:type="dxa"/>
            <w:vAlign w:val="bottom"/>
          </w:tcPr>
          <w:p>
            <w:pPr>
              <w:jc w:val="right"/>
              <w:spacing w:after="0"/>
              <w:rPr>
                <w:sz w:val="20"/>
                <w:szCs w:val="20"/>
                <w:color w:val="auto"/>
              </w:rPr>
            </w:pPr>
            <w:r>
              <w:rPr>
                <w:rFonts w:ascii="Arial" w:cs="Arial" w:eastAsia="Arial" w:hAnsi="Arial"/>
                <w:sz w:val="18"/>
                <w:szCs w:val="18"/>
                <w:color w:val="auto"/>
              </w:rPr>
              <w:t>5,454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58.29</w:t>
            </w: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Restrictions lapsed</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(4,248)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56.13</w:t>
            </w: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2017</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58.30</w:t>
            </w:r>
          </w:p>
        </w:tc>
      </w:tr>
      <w:tr>
        <w:trPr>
          <w:trHeight w:val="20"/>
        </w:trPr>
        <w:tc>
          <w:tcPr>
            <w:tcW w:w="4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1.0 million shares of common stock are reserved for issuance under the plan.</w:t>
      </w:r>
    </w:p>
    <w:p>
      <w:pPr>
        <w:spacing w:after="0" w:line="188"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For the offering period that began on January 1, 2017 and ended on June 30, 2017, we withheld approximately $1,021,000 from employees participating in the plan. On June 30, 2017, approximately $1,011,000 of these funds were used to purchase 18,655 shares on behalf of the employees participating in the plan. The remaining funds were refunded to employees pursuant to the requirements of the plan. For the offering period that began on July 1, 2017 and will end on December 31, 2017, we have withheld approximately $599,000 as of September 30, 2017 from employees participating in the plan.</w:t>
      </w:r>
    </w:p>
    <w:p>
      <w:pPr>
        <w:spacing w:after="0" w:line="18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For the three and nine months ended September 30, 2017, we recorded approximately $152,000 and $444,000, respectively, of stock-based compensation expense associated with the employee stock purchase plan. The fair value was estimated based on the market price of our common stock at the beginning of the offering period using the Black-Scholes option pricing model with the following assumptions:</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Dividend yield</w:t>
            </w:r>
          </w:p>
        </w:tc>
        <w:tc>
          <w:tcPr>
            <w:tcW w:w="2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29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0.5</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900" w:type="dxa"/>
            <w:vAlign w:val="bottom"/>
          </w:tcPr>
          <w:p>
            <w:pPr>
              <w:jc w:val="right"/>
              <w:spacing w:after="0"/>
              <w:rPr>
                <w:sz w:val="20"/>
                <w:szCs w:val="20"/>
                <w:color w:val="auto"/>
              </w:rPr>
            </w:pPr>
            <w:r>
              <w:rPr>
                <w:rFonts w:ascii="Arial" w:cs="Arial" w:eastAsia="Arial" w:hAnsi="Arial"/>
                <w:sz w:val="18"/>
                <w:szCs w:val="18"/>
                <w:color w:val="auto"/>
              </w:rPr>
              <w:t>0.62%</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 Additionally, excess tax benefits generated upon settlement or exercise of stock awards are now recognized as a reduction to income tax expense as a discrete tax item in the quarter that the event occurs creating potentially significant fluctuation in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tax expense by quarter and by year. Our provisions for income taxes include current foreign and state income tax expense, as well as deferred tax expense.</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2017 we do not have any unrecognized tax benefits nor any accrued interest or tax penalties.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Net Income Per Share</w:t>
      </w:r>
    </w:p>
    <w:p>
      <w:pPr>
        <w:spacing w:after="0" w:line="121" w:lineRule="exact"/>
        <w:rPr>
          <w:sz w:val="20"/>
          <w:szCs w:val="20"/>
          <w:color w:val="auto"/>
        </w:rPr>
      </w:pPr>
    </w:p>
    <w:p>
      <w:pPr>
        <w:ind w:right="980" w:firstLine="518"/>
        <w:spacing w:after="0" w:line="286" w:lineRule="auto"/>
        <w:rPr>
          <w:sz w:val="20"/>
          <w:szCs w:val="20"/>
          <w:color w:val="auto"/>
        </w:rPr>
      </w:pPr>
      <w:r>
        <w:rPr>
          <w:rFonts w:ascii="Arial" w:cs="Arial" w:eastAsia="Arial" w:hAnsi="Arial"/>
          <w:sz w:val="17"/>
          <w:szCs w:val="17"/>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66"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6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9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500"/>
              <w:spacing w:after="0"/>
              <w:rPr>
                <w:sz w:val="20"/>
                <w:szCs w:val="20"/>
                <w:color w:val="auto"/>
              </w:rPr>
            </w:pPr>
            <w:r>
              <w:rPr>
                <w:rFonts w:ascii="Arial" w:cs="Arial" w:eastAsia="Arial" w:hAnsi="Arial"/>
                <w:sz w:val="18"/>
                <w:szCs w:val="18"/>
                <w:color w:val="auto"/>
              </w:rPr>
              <w:t>Diluted</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0.11</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0.14</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0.38</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common shares outstanding, basic</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500"/>
              <w:spacing w:after="0"/>
              <w:rPr>
                <w:sz w:val="20"/>
                <w:szCs w:val="20"/>
                <w:color w:val="auto"/>
              </w:rPr>
            </w:pPr>
            <w:r>
              <w:rPr>
                <w:rFonts w:ascii="Arial" w:cs="Arial" w:eastAsia="Arial" w:hAnsi="Arial"/>
                <w:sz w:val="18"/>
                <w:szCs w:val="18"/>
                <w:color w:val="auto"/>
              </w:rPr>
              <w:t>Options to purchase common stock</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Restricted stock units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20" w:type="dxa"/>
            <w:vAlign w:val="bottom"/>
          </w:tcPr>
          <w:p>
            <w:pPr>
              <w:ind w:left="500"/>
              <w:spacing w:after="0"/>
              <w:rPr>
                <w:sz w:val="20"/>
                <w:szCs w:val="20"/>
                <w:color w:val="auto"/>
              </w:rPr>
            </w:pPr>
            <w:r>
              <w:rPr>
                <w:rFonts w:ascii="Arial" w:cs="Arial" w:eastAsia="Arial" w:hAnsi="Arial"/>
                <w:sz w:val="18"/>
                <w:szCs w:val="18"/>
                <w:color w:val="auto"/>
              </w:rPr>
              <w:t>Employee stock purchase plan</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9"/>
              </w:rPr>
              <w:t>Weighted average common shares outstanding, diluted</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Antidilutive shares</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642"/>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13" w:name="page14"/>
    <w:bookmarkEnd w:id="13"/>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suppliers, retailers, distributors and logistics firms orchestrate the sourcing, set up of new vendors and items, and fulfillment of the products that customers buy from retailers and suppliers. We derive the majority of our revenues from thousands of monthly recurring subscriptions from businesses that utilize our solutions.</w:t>
      </w:r>
    </w:p>
    <w:p>
      <w:pPr>
        <w:spacing w:after="0" w:line="1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 the three months ended September 30, 2017, our revenues were $56.2 million, an increase of 14% from the comparable period in 2016, and</w:t>
      </w:r>
    </w:p>
    <w:p>
      <w:pPr>
        <w:spacing w:after="0" w:line="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represented our 67</w:t>
      </w:r>
      <w:r>
        <w:rPr>
          <w:rFonts w:ascii="Arial" w:cs="Arial" w:eastAsia="Arial" w:hAnsi="Arial"/>
          <w:sz w:val="15"/>
          <w:szCs w:val="15"/>
          <w:color w:val="auto"/>
        </w:rPr>
        <w:t>th</w:t>
      </w:r>
      <w:r>
        <w:rPr>
          <w:rFonts w:ascii="Arial" w:cs="Arial" w:eastAsia="Arial" w:hAnsi="Arial"/>
          <w:sz w:val="18"/>
          <w:szCs w:val="18"/>
          <w:color w:val="auto"/>
        </w:rPr>
        <w:t xml:space="preserve"> consecutive quarter of increased revenues. Total operating expenses increased 14% for the same period in 2017 from 2016. For the nine months ended September 30, 2017, our revenues were $162.4 million and total operating expenses were $99.3 million, representing increases of 14% and 10%, respectively, compared to the same period in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nine months ended September 30, 2017,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2016 as filed with the Securities and Exchange Commission on February 27, 2017.</w:t>
      </w:r>
    </w:p>
    <w:p>
      <w:pPr>
        <w:spacing w:after="0" w:line="15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7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U.S. generally accepted accounting principles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73"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income taxes, stock-based compensation and the valuation of goodwill and purchased intangible assets are the most critical to fully understand and evaluate our financial condition and results of operations.</w:t>
      </w:r>
    </w:p>
    <w:p>
      <w:pPr>
        <w:spacing w:after="0" w:line="17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During the nine months ended September 30, 2017, there were no changes in our significant accounting policies or estimates. See Note A to our condensed consolidated financial statements included in this Quarterly Report on Form 10-Q and in our Annual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4" w:name="page15"/>
    <w:bookmarkEnd w:id="14"/>
    <w:p>
      <w:pPr>
        <w:ind w:right="360"/>
        <w:spacing w:after="0" w:line="277" w:lineRule="auto"/>
        <w:rPr>
          <w:sz w:val="20"/>
          <w:szCs w:val="20"/>
          <w:color w:val="auto"/>
        </w:rPr>
      </w:pPr>
      <w:r>
        <w:rPr>
          <w:rFonts w:ascii="Arial" w:cs="Arial" w:eastAsia="Arial" w:hAnsi="Arial"/>
          <w:sz w:val="18"/>
          <w:szCs w:val="18"/>
          <w:color w:val="auto"/>
        </w:rPr>
        <w:t>Report on Form 10-K for the year ended December 31, 2016, as filed with the Securities and Exchange Commission on February 27, 2017, for additional information regarding our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2017 Compared to Three Months Ended September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4"/>
              </w:rPr>
              <w:t>Three Months Ended 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w w:val="94"/>
              </w:rPr>
              <w:t>% of revenue</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w w:val="94"/>
              </w:rPr>
              <w:t>% of revenue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872"/>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71"/>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56,150</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49,284</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6,866</w:t>
            </w: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18,645</w:t>
            </w:r>
          </w:p>
        </w:tc>
        <w:tc>
          <w:tcPr>
            <w:tcW w:w="1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16,171</w:t>
            </w:r>
          </w:p>
        </w:tc>
        <w:tc>
          <w:tcPr>
            <w:tcW w:w="1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ind w:right="432"/>
              <w:spacing w:after="0"/>
              <w:rPr>
                <w:sz w:val="20"/>
                <w:szCs w:val="20"/>
                <w:color w:val="auto"/>
              </w:rPr>
            </w:pPr>
            <w:r>
              <w:rPr>
                <w:rFonts w:ascii="Arial" w:cs="Arial" w:eastAsia="Arial" w:hAnsi="Arial"/>
                <w:sz w:val="18"/>
                <w:szCs w:val="18"/>
                <w:color w:val="auto"/>
              </w:rPr>
              <w:t>2,474</w:t>
            </w:r>
          </w:p>
        </w:tc>
        <w:tc>
          <w:tcPr>
            <w:tcW w:w="840" w:type="dxa"/>
            <w:vAlign w:val="bottom"/>
            <w:tcBorders>
              <w:bottom w:val="single" w:sz="8" w:color="CFF0FC"/>
            </w:tcBorders>
          </w:tcPr>
          <w:p>
            <w:pPr>
              <w:jc w:val="right"/>
              <w:ind w:right="5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37,505</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33,113</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4,392</w:t>
            </w: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18,239</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16,526</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1,713</w:t>
            </w: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6,549</w:t>
            </w:r>
          </w:p>
        </w:tc>
        <w:tc>
          <w:tcPr>
            <w:tcW w:w="1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5,574</w:t>
            </w:r>
          </w:p>
        </w:tc>
        <w:tc>
          <w:tcPr>
            <w:tcW w:w="1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432"/>
              <w:spacing w:after="0"/>
              <w:rPr>
                <w:sz w:val="20"/>
                <w:szCs w:val="20"/>
                <w:color w:val="auto"/>
              </w:rPr>
            </w:pPr>
            <w:r>
              <w:rPr>
                <w:rFonts w:ascii="Arial" w:cs="Arial" w:eastAsia="Arial" w:hAnsi="Arial"/>
                <w:sz w:val="18"/>
                <w:szCs w:val="18"/>
                <w:color w:val="auto"/>
              </w:rPr>
              <w:t>975</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8,744</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7,149</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1,595</w:t>
            </w: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1,128</w:t>
            </w:r>
          </w:p>
        </w:tc>
        <w:tc>
          <w:tcPr>
            <w:tcW w:w="1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1,194</w:t>
            </w:r>
          </w:p>
        </w:tc>
        <w:tc>
          <w:tcPr>
            <w:tcW w:w="1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ind w:right="352"/>
              <w:spacing w:after="0"/>
              <w:rPr>
                <w:sz w:val="20"/>
                <w:szCs w:val="20"/>
                <w:color w:val="auto"/>
              </w:rPr>
            </w:pPr>
            <w:r>
              <w:rPr>
                <w:rFonts w:ascii="Arial" w:cs="Arial" w:eastAsia="Arial" w:hAnsi="Arial"/>
                <w:sz w:val="18"/>
                <w:szCs w:val="18"/>
                <w:color w:val="auto"/>
              </w:rPr>
              <w:t>(66)</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34,660</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30,443</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4,217</w:t>
            </w: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436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2,845</w:t>
            </w:r>
          </w:p>
        </w:tc>
        <w:tc>
          <w:tcPr>
            <w:tcW w:w="1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2,670</w:t>
            </w:r>
          </w:p>
        </w:tc>
        <w:tc>
          <w:tcPr>
            <w:tcW w:w="1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432"/>
              <w:spacing w:after="0"/>
              <w:rPr>
                <w:sz w:val="20"/>
                <w:szCs w:val="20"/>
                <w:color w:val="auto"/>
              </w:rPr>
            </w:pPr>
            <w:r>
              <w:rPr>
                <w:rFonts w:ascii="Arial" w:cs="Arial" w:eastAsia="Arial" w:hAnsi="Arial"/>
                <w:sz w:val="18"/>
                <w:szCs w:val="18"/>
                <w:color w:val="auto"/>
              </w:rPr>
              <w:t>175</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432"/>
              <w:spacing w:after="0"/>
              <w:rPr>
                <w:sz w:val="20"/>
                <w:szCs w:val="20"/>
                <w:color w:val="auto"/>
              </w:rPr>
            </w:pPr>
            <w:r>
              <w:rPr>
                <w:rFonts w:ascii="Arial" w:cs="Arial" w:eastAsia="Arial" w:hAnsi="Arial"/>
                <w:sz w:val="18"/>
                <w:szCs w:val="18"/>
                <w:color w:val="auto"/>
              </w:rPr>
              <w:t>160</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947</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1,142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1,059</w:t>
            </w:r>
          </w:p>
        </w:tc>
        <w:tc>
          <w:tcPr>
            <w:tcW w:w="1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ind w:right="352"/>
              <w:spacing w:after="0"/>
              <w:rPr>
                <w:sz w:val="20"/>
                <w:szCs w:val="20"/>
                <w:color w:val="auto"/>
              </w:rPr>
            </w:pPr>
            <w:r>
              <w:rPr>
                <w:rFonts w:ascii="Arial" w:cs="Arial" w:eastAsia="Arial" w:hAnsi="Arial"/>
                <w:sz w:val="18"/>
                <w:szCs w:val="18"/>
                <w:color w:val="auto"/>
              </w:rPr>
              <w:t>(982)</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2,922</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3,729</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52"/>
              <w:spacing w:after="0"/>
              <w:rPr>
                <w:sz w:val="20"/>
                <w:szCs w:val="20"/>
                <w:color w:val="auto"/>
              </w:rPr>
            </w:pPr>
            <w:r>
              <w:rPr>
                <w:rFonts w:ascii="Arial" w:cs="Arial" w:eastAsia="Arial" w:hAnsi="Arial"/>
                <w:sz w:val="18"/>
                <w:szCs w:val="18"/>
                <w:color w:val="auto"/>
              </w:rPr>
              <w:t>(807)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ind w:right="352"/>
              <w:spacing w:after="0"/>
              <w:rPr>
                <w:sz w:val="20"/>
                <w:szCs w:val="20"/>
                <w:color w:val="auto"/>
              </w:rPr>
            </w:pPr>
            <w:r>
              <w:rPr>
                <w:rFonts w:ascii="Arial" w:cs="Arial" w:eastAsia="Arial" w:hAnsi="Arial"/>
                <w:sz w:val="18"/>
                <w:szCs w:val="18"/>
                <w:color w:val="auto"/>
              </w:rPr>
              <w:t>(162)</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1,864</w:t>
            </w:r>
          </w:p>
        </w:tc>
        <w:tc>
          <w:tcPr>
            <w:tcW w:w="1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2,509</w:t>
            </w:r>
          </w:p>
        </w:tc>
        <w:tc>
          <w:tcPr>
            <w:tcW w:w="1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FF0FC"/>
            </w:tcBorders>
            <w:shd w:val="clear" w:color="auto" w:fill="CFF0FC"/>
          </w:tcPr>
          <w:p>
            <w:pPr>
              <w:jc w:val="right"/>
              <w:ind w:right="352"/>
              <w:spacing w:after="0"/>
              <w:rPr>
                <w:sz w:val="20"/>
                <w:szCs w:val="20"/>
                <w:color w:val="auto"/>
              </w:rPr>
            </w:pPr>
            <w:r>
              <w:rPr>
                <w:rFonts w:ascii="Arial" w:cs="Arial" w:eastAsia="Arial" w:hAnsi="Arial"/>
                <w:sz w:val="18"/>
                <w:szCs w:val="18"/>
                <w:color w:val="auto"/>
              </w:rPr>
              <w:t>(645)</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2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September 30, 2017 increased $6.9 million, or 14%, to $56.2 million from $49.3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2016. The increase in revenues resulted from two primary factors: the increase in recurring revenue customers and the increase in annualized average recurring revenues per recurring revenue customer, which we also refer to as wallet share.</w:t>
      </w:r>
    </w:p>
    <w:p>
      <w:pPr>
        <w:spacing w:after="0" w:line="73"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3% to 25,359 at September 30, 2017 from 24,583 at September 30, 2016.</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or wallet share, increased 11% to $8,219 for the three months ended September 30, 2017 from $7,399 for the same period in 2016. This increase in wallet share was primarily attributable to increased usage of our solutions by our recurring revenue customers and growth in larger customers.</w:t>
      </w:r>
    </w:p>
    <w:p>
      <w:pPr>
        <w:spacing w:after="0" w:line="18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Recurring revenues from recurring revenue customers accounted for 92% of our total revenues for each of the three months ended September 30, 2017 and 2016. We anticipate that the number of recurring revenue customers and wallet share will continue to increase as we increase the number of solutions we offer and increase the penetration of those solutions across our customer base.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for the three months ended September 30, 2017 increased $2.5 million, or 15%, to $18.6 million from</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$16.2 million for the same period in 2016. The increase in cost of revenues for the three-month period in 2017 was primarily due to an increase in personnel-related costs of approximately $2.1 million, driven by increased headcount and an increase of $878,000 in consulting costs. Compared to the same period in 2016, stock-based compensation expense increased by $176,000. Additionally, as we continued to invest in the infrastructure supporting our platform, depreciation expense increased by $184,000 and direct network costs increased by $38,000 compared to the same period in 2016. As a percentage of revenues, cost of revenues was 33% for each of the three months ended September 30, 2017 and 2016. Going forward, we anticipate that cost of revenues will increase in absolute dollars as we continue to expand our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5" w:name="page16"/>
    <w:bookmarkEnd w:id="15"/>
    <w:p>
      <w:pPr>
        <w:ind w:left="520"/>
        <w:spacing w:after="0"/>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September 30, 2017 increased $1.7 million, or 10%,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$18.2 million from $16.5 million for the same period in 2016. The increase in sales and marketing expenses for the three-month period in 2017 was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headcount, which resulted in an increase of $737,000 in personnel-related costs, as well as an increase of $1.3 million in variable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earned by sales personnel and referral partners from new business, compared to the same period in 2016. We also incurred higher promotional costs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$152,000. These increased costs were partially offset by various immaterial decreases in other expense categories. As a percentage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revenues, sales and marketing expenses were 33% for each of the three months ended September 30, 2017 and 2016. As we expand our business, we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continue to add resources to our sales and marketing efforts over time, and we expect that these expenses will continue to increase in absolute dollars.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three months ended September 30, 2017 increased $975,000,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17%, to $6.5 million from $5.6 million for the same period in 2016. During the three months ended September 30, 2017, personnel costs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$612,000, costs of software and cloud-based subscriptions increased by $294,000 and stock-based compensation increased by $98,000 compared to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in 2016. As a percentage of revenues, research and development expenses were 12% and 11% for the three months ended September 30, 2017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respectively. As we enhance and expand our solutions and applications, we expect that research and development expenses will continue to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absolute dollars.</w:t>
      </w:r>
    </w:p>
    <w:p>
      <w:pPr>
        <w:spacing w:after="0" w:line="211"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September 30, 2017 increased $1.6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22%, to $8.7 million from $7.1 million for the same period in 2016. The increase in general and administrative expenses for the three-month period in 2017 was primarily due to headcount growth, which resulted in an increase of $914,000 in personnel-related costs and an increase of $116,000 in stock-based compensation compared to the same period in 2016. Additionally, legal, audit and tax fees increased by $205,000, bad debt expense increased by $108,000 and costs of software subscriptions increased by $213,000, while hardware maintenance costs decreased by $90,000 compared to the same period in 2016. As a percentage of revenues, general and administrative expenses were 16% and 15% for the three months ended September 30, 2017 and 2016, respectively. Going forward, we expect that general and administrative expenses will continue to increase in absolute dollars as we expand our business.</w:t>
      </w:r>
    </w:p>
    <w:p>
      <w:pPr>
        <w:spacing w:after="0" w:line="167"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for the three months ended September 30, 2016 included a $1.0 million adjustment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Toolbox Solutions share-based earn-out liability due to a change in our estimate of probability of attainment. There was no similar activity during the three months ended September 30, 2017 as the contingent consideration arrangement had been resolved.</w:t>
      </w:r>
    </w:p>
    <w:p>
      <w:pPr>
        <w:spacing w:after="0" w:line="166"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We recorded income tax expense of $1.1 million for the three months ended September 30, 2017 compared to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$1.2 million for three months ended September 30, 2016. The decrease in income tax expense for the three-month period in 2017 was primarily due to decreased pretax book income. Under ASU 2016-09, excess tax benefits generated upon the settlement or exercise of stock awards are no longer recognized as additional paid-in capital but are instead recognized as a reduction to income tax expense. As a result of recording these excess tax benefits in income tax expense, we expect that our annual effective income tax rate will be more volatile than it has been historically.</w:t>
      </w:r>
    </w:p>
    <w:p>
      <w:pPr>
        <w:spacing w:after="0" w:line="173"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adjusted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the fair value adjustment for the Toolbox Solutions share-based earn-out liability. The following table provides a reconciliation of net income to Adjusted EBITDA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540" w:type="dxa"/>
            <w:vAlign w:val="bottom"/>
            <w:gridSpan w:val="5"/>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84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1,864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Depreciation and amortization of property and equipment</w:t>
            </w: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1,830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1,128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1,058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2,347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ind w:left="1720"/>
              <w:spacing w:after="0"/>
              <w:rPr>
                <w:sz w:val="20"/>
                <w:szCs w:val="20"/>
                <w:color w:val="auto"/>
              </w:rPr>
            </w:pPr>
            <w:r>
              <w:rPr>
                <w:rFonts w:ascii="Arial" w:cs="Arial" w:eastAsia="Arial" w:hAnsi="Arial"/>
                <w:sz w:val="18"/>
                <w:szCs w:val="18"/>
                <w:color w:val="auto"/>
              </w:rPr>
              <w:t>Adjusted EBITDA</w:t>
            </w: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7,955</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70"/>
              <w:spacing w:after="0"/>
              <w:rPr>
                <w:sz w:val="20"/>
                <w:szCs w:val="20"/>
                <w:color w:val="auto"/>
              </w:rPr>
            </w:pPr>
            <w:r>
              <w:rPr>
                <w:rFonts w:ascii="Arial" w:cs="Arial" w:eastAsia="Arial" w:hAnsi="Arial"/>
                <w:sz w:val="18"/>
                <w:szCs w:val="18"/>
                <w:color w:val="auto"/>
              </w:rPr>
              <w:t>16</w:t>
            </w: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6" w:name="page17"/>
    <w:bookmarkEnd w:id="16"/>
    <w:p>
      <w:pPr>
        <w:ind w:right="140" w:firstLine="518"/>
        <w:spacing w:after="0" w:line="257"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plus stock-based compensation expense, amortization expense related to intangible assets and other adjustments necessary for a fair presentation divided by the weighted average number of shares of common stock outstanding during each period. Other adjustments included the impact of the fair value adjustment for the Toolbox Solutions share-based earn-out liability. The following table provides a reconciliation of net income to non-GAAP income per share (in thousands, except per share amounts):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effects of adjustments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w:t>
            </w:r>
          </w:p>
        </w:tc>
      </w:tr>
      <w:tr>
        <w:trPr>
          <w:trHeight w:val="26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r>
      <w:tr>
        <w:trPr>
          <w:trHeight w:val="224"/>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non-GAAP income per share</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17,001</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17,341</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0.21</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2017 Compared to Nine Months Ended September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4"/>
              </w:rPr>
              <w:t>Nine Months Ended 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51"/>
              <w:spacing w:after="0" w:line="155" w:lineRule="exact"/>
              <w:rPr>
                <w:sz w:val="20"/>
                <w:szCs w:val="20"/>
                <w:color w:val="auto"/>
              </w:rPr>
            </w:pPr>
            <w:r>
              <w:rPr>
                <w:rFonts w:ascii="Arial" w:cs="Arial" w:eastAsia="Arial" w:hAnsi="Arial"/>
                <w:sz w:val="14"/>
                <w:szCs w:val="14"/>
                <w:b w:val="1"/>
                <w:bCs w:val="1"/>
                <w:color w:val="auto"/>
                <w:w w:val="91"/>
              </w:rPr>
              <w:t>% of revenue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w w:val="91"/>
              </w:rPr>
              <w:t>% of revenue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812"/>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11"/>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162,366</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142,234</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92"/>
              <w:spacing w:after="0"/>
              <w:rPr>
                <w:sz w:val="20"/>
                <w:szCs w:val="20"/>
                <w:color w:val="auto"/>
              </w:rPr>
            </w:pPr>
            <w:r>
              <w:rPr>
                <w:rFonts w:ascii="Arial" w:cs="Arial" w:eastAsia="Arial" w:hAnsi="Arial"/>
                <w:sz w:val="18"/>
                <w:szCs w:val="18"/>
                <w:color w:val="auto"/>
              </w:rPr>
              <w:t>20,132</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9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54,166</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47,024</w:t>
            </w: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51"/>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ind w:right="392"/>
              <w:spacing w:after="0"/>
              <w:rPr>
                <w:sz w:val="20"/>
                <w:szCs w:val="20"/>
                <w:color w:val="auto"/>
              </w:rPr>
            </w:pPr>
            <w:r>
              <w:rPr>
                <w:rFonts w:ascii="Arial" w:cs="Arial" w:eastAsia="Arial" w:hAnsi="Arial"/>
                <w:sz w:val="18"/>
                <w:szCs w:val="18"/>
                <w:color w:val="auto"/>
              </w:rPr>
              <w:t>7,142</w:t>
            </w:r>
          </w:p>
        </w:tc>
        <w:tc>
          <w:tcPr>
            <w:tcW w:w="78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108,200</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95,210</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2"/>
              <w:spacing w:after="0"/>
              <w:rPr>
                <w:sz w:val="20"/>
                <w:szCs w:val="20"/>
                <w:color w:val="auto"/>
              </w:rPr>
            </w:pPr>
            <w:r>
              <w:rPr>
                <w:rFonts w:ascii="Arial" w:cs="Arial" w:eastAsia="Arial" w:hAnsi="Arial"/>
                <w:sz w:val="18"/>
                <w:szCs w:val="18"/>
                <w:color w:val="auto"/>
              </w:rPr>
              <w:t>12,990</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54,059</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49,092</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2"/>
              <w:spacing w:after="0"/>
              <w:rPr>
                <w:sz w:val="20"/>
                <w:szCs w:val="20"/>
                <w:color w:val="auto"/>
              </w:rPr>
            </w:pPr>
            <w:r>
              <w:rPr>
                <w:rFonts w:ascii="Arial" w:cs="Arial" w:eastAsia="Arial" w:hAnsi="Arial"/>
                <w:sz w:val="18"/>
                <w:szCs w:val="18"/>
                <w:color w:val="auto"/>
              </w:rPr>
              <w:t>4,967</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17,023</w:t>
            </w:r>
          </w:p>
        </w:tc>
        <w:tc>
          <w:tcPr>
            <w:tcW w:w="1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16,185</w:t>
            </w:r>
          </w:p>
        </w:tc>
        <w:tc>
          <w:tcPr>
            <w:tcW w:w="14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color w:val="auto"/>
              </w:rPr>
              <w:t>838</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24,709</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21,516</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2"/>
              <w:spacing w:after="0"/>
              <w:rPr>
                <w:sz w:val="20"/>
                <w:szCs w:val="20"/>
                <w:color w:val="auto"/>
              </w:rPr>
            </w:pPr>
            <w:r>
              <w:rPr>
                <w:rFonts w:ascii="Arial" w:cs="Arial" w:eastAsia="Arial" w:hAnsi="Arial"/>
                <w:sz w:val="18"/>
                <w:szCs w:val="18"/>
                <w:color w:val="auto"/>
              </w:rPr>
              <w:t>3,193</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3,460</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3,553</w:t>
            </w: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5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ind w:right="332"/>
              <w:spacing w:after="0"/>
              <w:rPr>
                <w:sz w:val="20"/>
                <w:szCs w:val="20"/>
                <w:color w:val="auto"/>
              </w:rPr>
            </w:pPr>
            <w:r>
              <w:rPr>
                <w:rFonts w:ascii="Arial" w:cs="Arial" w:eastAsia="Arial" w:hAnsi="Arial"/>
                <w:sz w:val="18"/>
                <w:szCs w:val="18"/>
                <w:color w:val="auto"/>
              </w:rPr>
              <w:t>(93)</w:t>
            </w: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99,251</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90,346</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2"/>
              <w:spacing w:after="0"/>
              <w:rPr>
                <w:sz w:val="20"/>
                <w:szCs w:val="20"/>
                <w:color w:val="auto"/>
              </w:rPr>
            </w:pPr>
            <w:r>
              <w:rPr>
                <w:rFonts w:ascii="Arial" w:cs="Arial" w:eastAsia="Arial" w:hAnsi="Arial"/>
                <w:sz w:val="18"/>
                <w:szCs w:val="18"/>
                <w:color w:val="auto"/>
              </w:rPr>
              <w:t>8,905</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386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8,949</w:t>
            </w:r>
          </w:p>
        </w:tc>
        <w:tc>
          <w:tcPr>
            <w:tcW w:w="1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4,864</w:t>
            </w:r>
          </w:p>
        </w:tc>
        <w:tc>
          <w:tcPr>
            <w:tcW w:w="14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color w:val="auto"/>
              </w:rPr>
              <w:t>4,085</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color w:val="auto"/>
              </w:rPr>
              <w:t>296</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2"/>
              <w:spacing w:after="0"/>
              <w:rPr>
                <w:sz w:val="20"/>
                <w:szCs w:val="20"/>
                <w:color w:val="auto"/>
              </w:rPr>
            </w:pPr>
            <w:r>
              <w:rPr>
                <w:rFonts w:ascii="Arial" w:cs="Arial" w:eastAsia="Arial" w:hAnsi="Arial"/>
                <w:sz w:val="18"/>
                <w:szCs w:val="18"/>
                <w:color w:val="auto"/>
              </w:rPr>
              <w:t>(1,222)</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 net</w:t>
            </w:r>
          </w:p>
        </w:tc>
        <w:tc>
          <w:tcPr>
            <w:tcW w:w="9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348</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1,274</w:t>
            </w: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5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ind w:right="332"/>
              <w:spacing w:after="0"/>
              <w:rPr>
                <w:sz w:val="20"/>
                <w:szCs w:val="20"/>
                <w:color w:val="auto"/>
              </w:rPr>
            </w:pPr>
            <w:r>
              <w:rPr>
                <w:rFonts w:ascii="Arial" w:cs="Arial" w:eastAsia="Arial" w:hAnsi="Arial"/>
                <w:sz w:val="18"/>
                <w:szCs w:val="18"/>
                <w:color w:val="auto"/>
              </w:rPr>
              <w:t>(926)</w:t>
            </w: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9,297</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6,138</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2"/>
              <w:spacing w:after="0"/>
              <w:rPr>
                <w:sz w:val="20"/>
                <w:szCs w:val="20"/>
                <w:color w:val="auto"/>
              </w:rPr>
            </w:pPr>
            <w:r>
              <w:rPr>
                <w:rFonts w:ascii="Arial" w:cs="Arial" w:eastAsia="Arial" w:hAnsi="Arial"/>
                <w:sz w:val="18"/>
                <w:szCs w:val="18"/>
                <w:color w:val="auto"/>
              </w:rPr>
              <w:t>3,159</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ind w:right="392"/>
              <w:spacing w:after="0"/>
              <w:rPr>
                <w:sz w:val="20"/>
                <w:szCs w:val="20"/>
                <w:color w:val="auto"/>
              </w:rPr>
            </w:pPr>
            <w:r>
              <w:rPr>
                <w:rFonts w:ascii="Arial" w:cs="Arial" w:eastAsia="Arial" w:hAnsi="Arial"/>
                <w:sz w:val="18"/>
                <w:szCs w:val="18"/>
                <w:color w:val="auto"/>
              </w:rPr>
              <w:t>403</w:t>
            </w:r>
          </w:p>
        </w:tc>
        <w:tc>
          <w:tcPr>
            <w:tcW w:w="78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6,661</w:t>
            </w: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3,905</w:t>
            </w:r>
          </w:p>
        </w:tc>
        <w:tc>
          <w:tcPr>
            <w:tcW w:w="1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FF0FC"/>
            </w:tcBorders>
            <w:shd w:val="clear" w:color="auto" w:fill="CFF0FC"/>
          </w:tcPr>
          <w:p>
            <w:pPr>
              <w:jc w:val="right"/>
              <w:ind w:right="392"/>
              <w:spacing w:after="0"/>
              <w:rPr>
                <w:sz w:val="20"/>
                <w:szCs w:val="20"/>
                <w:color w:val="auto"/>
              </w:rPr>
            </w:pPr>
            <w:r>
              <w:rPr>
                <w:rFonts w:ascii="Arial" w:cs="Arial" w:eastAsia="Arial" w:hAnsi="Arial"/>
                <w:sz w:val="18"/>
                <w:szCs w:val="18"/>
                <w:color w:val="auto"/>
              </w:rPr>
              <w:t>2,756</w:t>
            </w:r>
          </w:p>
        </w:tc>
        <w:tc>
          <w:tcPr>
            <w:tcW w:w="78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25"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nine months ended September 30, 2017 increased $20.1 million, or 14%, to $162.4 million from $142.2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2016. The increase in revenues resulted from two primary factors: the increase in recurring revenue customers and the increase in annualized average recurring revenues per recurring revenue customer, which we also refer to as wallet share.</w:t>
      </w:r>
    </w:p>
    <w:p>
      <w:pPr>
        <w:spacing w:after="0" w:line="73"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3% to 25,359 at September 30, 2017 from 24,583 at September 30, 2016.</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 w:name="page18"/>
    <w:bookmarkEnd w:id="17"/>
    <w:p>
      <w:pPr>
        <w:ind w:left="1040" w:right="320" w:hanging="519"/>
        <w:spacing w:after="0" w:line="286"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Annualized average recurring revenues per recurring revenue customer, or wallet share, increased 10% to $7,974 for the nine months ended September 30, 2017 from $7,227 for the same period in 2016. This increase in wallet share was primarily attributable to increased fees resulting from increased usage of our solutions by our recurring revenue customers and growth in larger customers.</w:t>
      </w:r>
    </w:p>
    <w:p>
      <w:pPr>
        <w:spacing w:after="0" w:line="166"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Recurring revenues from recurring revenue customers accounted for 91% and 92% of our total revenues for the nine months ended September 30, 2017 and 2016, respectively. We anticipate that the number of recurring revenue customers and wallet share will continue to increase as we increase the number of solutions we offer and increase the penetration of those solutions across our customer base.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for the nine months ended September 30, 2017 increased $7.1 million, or 15%, to $54.2 million from $47.0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same period in 2016. The increase in cost of revenues for the nine-month period in 2017 was primarily due to an increase in personnel-related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of approximately $5.4 million, driven by increased headcount and an increase of $2.4 million in consulting costs. Compared to the same period in 2016,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increased by $498,000 and occupancy costs increased by $68,000. Additionally, as we continued to invest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infrastructure supporting our platform, costs for software and cloud-based subscriptions increased by $934,000 and depreciation expense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$469,000, while direct network costs decreased by $175,000 compared to the same period in 2016. As a percentage of revenues, cost of revenues was 33%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of the nine months ended September 30, 2017 and 2016. Going forward, we anticipate that cost of revenues will increase in absolute dollars as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 to expand our business.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nine months ended September 30, 2017 increased $5.0 million, or 10%,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$54.1 million from $49.1 million for the same period in 2016. The increase in sales and marketing expenses for the nine-month period in 2017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to increased headcount, which resulted in an increase of $1.9 million in personnel-related costs, as well as an increase of $3.3 million in variable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earned by sales personnel and referral partners from new business compared to the same period in 2016. We also incurred higher promotional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of approximately $303,000, partially offset by a decrease in depreciation expense of $250,000 and a decrease in stock-based compensation of $257,000.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revenues, sales and marketing expenses were 33% and 35% for the nine months ended September 30, 2017 and 2016, respectively. As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expand our business, we will continue to add resources to our sales and marketing efforts over time, and we expect that these expenses will continue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increase in absolute dollars.</w:t>
      </w:r>
    </w:p>
    <w:p>
      <w:pPr>
        <w:spacing w:after="0" w:line="21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nine months ended September 30, 2017 increased $838,000, or 5%,</w:t>
      </w:r>
      <w:r>
        <w:rPr>
          <w:rFonts w:ascii="Arial" w:cs="Arial" w:eastAsia="Arial" w:hAnsi="Arial"/>
          <w:sz w:val="16"/>
          <w:szCs w:val="16"/>
          <w:i w:val="1"/>
          <w:iCs w:val="1"/>
          <w:color w:val="auto"/>
        </w:rPr>
        <w:t xml:space="preserve"> </w:t>
      </w:r>
      <w:r>
        <w:rPr>
          <w:rFonts w:ascii="Arial" w:cs="Arial" w:eastAsia="Arial" w:hAnsi="Arial"/>
          <w:sz w:val="16"/>
          <w:szCs w:val="16"/>
          <w:color w:val="auto"/>
        </w:rPr>
        <w:t>to $17.0 million from $16.2 million for the same period in 2016. During the nine months ended September 30, 2017, personnel costs increased by $56,000 and stock-based compensation increased by $277,000 compared to the same period in 2016. Additionally, occupancy costs increased by $127,000 and costs of software and cloud-based subscriptions increased by $498,000 during the nine months ended September 30, 2017 compared to the same period in 2016. As a percentage of revenues, research and development expenses was 11% for each of the nine months ended September 30, 2017 and 2016. As we enhance and expand our solutions and applications, we expect that research and development expenses will continue to increase in absolute dollars.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nine months ended September 30, 2017 increased $3.2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 to $24.7 million from $21.5 million for the same period in 2016. The increase in general and administrative expenses for the nine-month period in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headcount growth, which resulted in an increase of $1.9 million in personnel-related costs and an increase of $311,000 in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compared to the same period in 2016. Additionally, costs of software and cloud-based subscriptions increased by $696,000, bad debt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by $389,000 and credit card fees increased by $174,000, while legal, audit and tax fees decreased by $77,000 and hardware costs decreased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$228,000 compared to the same period in 2016. As a percentage of revenues, general and administrative expenses was 15% for each of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and 2016. Going forward, we expect that general and administrative expenses will continue to increase in absolute dollars as we expand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business.</w:t>
      </w:r>
    </w:p>
    <w:p>
      <w:pPr>
        <w:spacing w:after="0" w:line="211" w:lineRule="exact"/>
        <w:rPr>
          <w:sz w:val="20"/>
          <w:szCs w:val="20"/>
          <w:color w:val="auto"/>
        </w:rPr>
      </w:pPr>
    </w:p>
    <w:p>
      <w:pPr>
        <w:jc w:val="both"/>
        <w:ind w:right="240" w:firstLine="518"/>
        <w:spacing w:after="0" w:line="28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for the nine months ended September 30, 2016 included a $1.0 million adjustment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Toolbox Solutions share-based earn-out liability due to a change in our estimate of probability of attainment. There was no similar charge during the nine months ended September 30, 2017 as the contingent consideration arrangement had been resolved.</w:t>
      </w:r>
    </w:p>
    <w:p>
      <w:pPr>
        <w:spacing w:after="0" w:line="166"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income tax expense of $2.6 million for the nine months ended September 30, 2017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$2.2 million for nine months ended September 30, 2016. The increase in income tax expense for the nine-month period in 2017 was primarily due to increased pretax book income, offset by discrete tax benefits from the adoption of ASU 2016-09 relating to stock-based compensation. Under ASU 2016-09, excess tax benefits generated upon the settlement or exercise of stock awards are no longer recognized as additional paid-in capital but are instead recognized as a reduction to income tax</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8" w:name="page19"/>
    <w:bookmarkEnd w:id="18"/>
    <w:p>
      <w:pPr>
        <w:ind w:right="180"/>
        <w:spacing w:after="0" w:line="277" w:lineRule="auto"/>
        <w:rPr>
          <w:sz w:val="20"/>
          <w:szCs w:val="20"/>
          <w:color w:val="auto"/>
        </w:rPr>
      </w:pPr>
      <w:r>
        <w:rPr>
          <w:rFonts w:ascii="Arial" w:cs="Arial" w:eastAsia="Arial" w:hAnsi="Arial"/>
          <w:sz w:val="18"/>
          <w:szCs w:val="18"/>
          <w:color w:val="auto"/>
        </w:rPr>
        <w:t>expense. As a result of recording these excess tax benefits in income tax expense, we expect that our annual effective income tax rate will be more volatile than it has been historically.</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adjusted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the fair value adjustment for the Toolbox Solutions share-based earn-out liability. The following table provides a reconciliation of net income to Adjusted EBITDA (in thousands):</w:t>
      </w:r>
    </w:p>
    <w:p>
      <w:pPr>
        <w:spacing w:after="0" w:line="27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3,905</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4,883</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6,004</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24,147</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19,064</w:t>
            </w: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plus stock-based compensation expense, amortization expense related to intangible assets and other adjustments necessary for a fair presentation divided by the weighted average number of shares of common stock outstanding during each period. Other adjustments included the impact of the fair value adjustment for the Toolbox Solutions share-based earn-out liability. The following table provides a reconciliation of net income to non-GAAP income per share (in thousands, except per share amounts):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3,905</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6,004</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effects of adjustments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(3,399)</w:t>
            </w:r>
          </w:p>
        </w:tc>
      </w:tr>
      <w:tr>
        <w:trPr>
          <w:trHeight w:val="26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12,351</w:t>
            </w:r>
          </w:p>
        </w:tc>
        <w:tc>
          <w:tcPr>
            <w:tcW w:w="1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w:t>
            </w:r>
          </w:p>
        </w:tc>
      </w:tr>
      <w:tr>
        <w:trPr>
          <w:trHeight w:val="21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non-GAAP income per share</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16,916</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17,185</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0.52</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At September 30, 2017, our principal sources of liquidity were cash, cash equivalents and marketable securities of $166.3 million and accounts receivable, net of allowance for doubtful accounts, of $24.2 million.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Net cash provided by operating activities was $22.0 million and $10.4 million for the nine months ended September 30, 2017 and 2016, respectively. The increase in operating cash flows as compared to the same period in 2016 was primarily due to increased net income and deferred income taxes, along with increased cash flows from other assets, partially offset by a decrease in accrued compensation.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Net cash used in investing activities was $12.5 million and $29.7 million for the nine months ended September 30, 2017 and 2016, respectively. The decrease in net cash used in investing activities as compared to the same period in 2016 was primarily due to the prior year acquisition of Toolbox Solutions for $18.1 million. For the nine months ended September 30, 2017 and 2016, we purchased marketable securities, net of maturities, of $6.8 million and $5.6 million, respectively; and had capital expenditures of $5.2 million and $6.0 million, respectively. Our capital expenditures are for supporting our business growth and existing customer base, as well as for our internal use such as equipment for our employees.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Net cash provided by financing activities was $2.3 million and $7.0 million for the nine months ended September 30, 2017 and 2016, respectively, from the exercise of stock options, proceeds from employee stock purchase plan and excess tax benefit from the exercise of stock options.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approximately 11% of our total cash and cash equivalents outside of the United States in foreign currencies, primarily in Australian and Canadian dollars. We believe that a significant change in foreign currency exchange rates or an inability to access these funds would not affect our ability to meet our operational needs.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believe our cash, cash equivalents,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nine months ended September 30, 2017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and Commercial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September 30, 2017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1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62"/>
              <w:spacing w:after="0" w:line="147" w:lineRule="exact"/>
              <w:rPr>
                <w:sz w:val="20"/>
                <w:szCs w:val="20"/>
                <w:color w:val="auto"/>
              </w:rPr>
            </w:pPr>
            <w:r>
              <w:rPr>
                <w:rFonts w:ascii="Arial" w:cs="Arial" w:eastAsia="Arial" w:hAnsi="Arial"/>
                <w:sz w:val="14"/>
                <w:szCs w:val="14"/>
                <w:b w:val="1"/>
                <w:bCs w:val="1"/>
                <w:color w:val="auto"/>
                <w:w w:val="98"/>
              </w:rPr>
              <w:t>More Than</w:t>
            </w:r>
          </w:p>
        </w:tc>
        <w:tc>
          <w:tcPr>
            <w:tcW w:w="20" w:type="dxa"/>
            <w:vAlign w:val="bottom"/>
          </w:tcPr>
          <w:p>
            <w:pPr>
              <w:spacing w:after="0"/>
              <w:rPr>
                <w:sz w:val="12"/>
                <w:szCs w:val="12"/>
                <w:color w:val="auto"/>
              </w:rPr>
            </w:pPr>
          </w:p>
        </w:tc>
      </w:tr>
      <w:tr>
        <w:trPr>
          <w:trHeight w:val="178"/>
        </w:trPr>
        <w:tc>
          <w:tcPr>
            <w:tcW w:w="1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3"/>
              </w:rPr>
              <w:t>Contractual Obligations</w:t>
            </w: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5"/>
                <w:szCs w:val="15"/>
                <w:color w:val="auto"/>
              </w:rPr>
            </w:pP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5"/>
                <w:szCs w:val="15"/>
                <w:color w:val="auto"/>
              </w:rPr>
            </w:pPr>
          </w:p>
        </w:tc>
        <w:tc>
          <w:tcPr>
            <w:tcW w:w="11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5"/>
                <w:szCs w:val="15"/>
                <w:color w:val="auto"/>
              </w:rPr>
            </w:pPr>
          </w:p>
        </w:tc>
        <w:tc>
          <w:tcPr>
            <w:tcW w:w="1020" w:type="dxa"/>
            <w:vAlign w:val="bottom"/>
          </w:tcPr>
          <w:p>
            <w:pPr>
              <w:jc w:val="center"/>
              <w:ind w:right="162"/>
              <w:spacing w:after="0" w:line="158" w:lineRule="exact"/>
              <w:rPr>
                <w:sz w:val="20"/>
                <w:szCs w:val="20"/>
                <w:color w:val="auto"/>
              </w:rPr>
            </w:pPr>
            <w:r>
              <w:rPr>
                <w:rFonts w:ascii="Arial" w:cs="Arial" w:eastAsia="Arial" w:hAnsi="Arial"/>
                <w:sz w:val="14"/>
                <w:szCs w:val="14"/>
                <w:b w:val="1"/>
                <w:bCs w:val="1"/>
                <w:color w:val="auto"/>
                <w:w w:val="92"/>
              </w:rPr>
              <w:t>5 Years</w:t>
            </w:r>
          </w:p>
        </w:tc>
        <w:tc>
          <w:tcPr>
            <w:tcW w:w="20" w:type="dxa"/>
            <w:vAlign w:val="bottom"/>
          </w:tcPr>
          <w:p>
            <w:pPr>
              <w:spacing w:after="0"/>
              <w:rPr>
                <w:sz w:val="15"/>
                <w:szCs w:val="15"/>
                <w:color w:val="auto"/>
              </w:rPr>
            </w:pPr>
          </w:p>
        </w:tc>
      </w:tr>
      <w:tr>
        <w:trPr>
          <w:trHeight w:val="217"/>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12,445</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ind w:right="44"/>
              <w:spacing w:after="0"/>
              <w:rPr>
                <w:sz w:val="20"/>
                <w:szCs w:val="20"/>
                <w:color w:val="auto"/>
              </w:rPr>
            </w:pPr>
            <w:r>
              <w:rPr>
                <w:rFonts w:ascii="Arial" w:cs="Arial" w:eastAsia="Arial" w:hAnsi="Arial"/>
                <w:sz w:val="18"/>
                <w:szCs w:val="18"/>
                <w:color w:val="auto"/>
              </w:rPr>
              <w:t>3,613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6,300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18"/>
                <w:szCs w:val="18"/>
                <w:color w:val="auto"/>
              </w:rPr>
            </w:pPr>
          </w:p>
        </w:tc>
      </w:tr>
      <w:tr>
        <w:trPr>
          <w:trHeight w:val="647"/>
        </w:trPr>
        <w:tc>
          <w:tcPr>
            <w:tcW w:w="1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79" w:right="21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and marketable securities), we believe there is no material risk exposure. We do not enter into investments for trading or speculative purposes.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any outstanding debt as of September 30, 2017. Therefore, we do not have any material risk to interest rate fluctuations.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have revenue, expenses, assets and liabilities that are denominated in currencies other than the U.S. dollar, primarily the Australian dollar and Canadian dollar. As of September 30, 2017, we maintained approximately 11% of our total cash and cash equivalents outside of the United States in foreign currencies.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2016 as filed with the Securities and Exchange Commission on February 27, 2017.</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12"/>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Borders>
              <w:bottom w:val="single" w:sz="8" w:color="0000EE"/>
            </w:tcBorders>
            <w:gridSpan w:val="7"/>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Certificate of Incorporation (incorporated by reference to Exhibit 4.1 to our Registration Statement on Form S-3 (File No. 333-182097)</w:t>
              </w:r>
            </w:hyperlink>
          </w:p>
        </w:tc>
        <w:tc>
          <w:tcPr>
            <w:tcW w:w="36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filed with the Commission on September 13, 2012).</w:t>
              </w:r>
            </w:hyperlink>
          </w:p>
        </w:tc>
        <w:tc>
          <w:tcPr>
            <w:tcW w:w="6380" w:type="dxa"/>
            <w:vAlign w:val="bottom"/>
            <w:gridSpan w:val="6"/>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w w:val="94"/>
              </w:rPr>
            </w:pPr>
            <w:hyperlink r:id="rId36">
              <w:r>
                <w:rPr>
                  <w:rFonts w:ascii="Arial" w:cs="Arial" w:eastAsia="Arial" w:hAnsi="Arial"/>
                  <w:sz w:val="18"/>
                  <w:szCs w:val="18"/>
                  <w:color w:val="0000EE"/>
                  <w:w w:val="94"/>
                </w:rPr>
                <w:t>Amended and Restated Bylaws (incorporated by reference to Exhibit 3.1 to our Current Report on Form 8-K (File No. 001-34702) filed</w:t>
              </w:r>
            </w:hyperlink>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with the Commission on October 12, 2017).</w:t>
              </w:r>
            </w:hyperlink>
          </w:p>
        </w:tc>
        <w:tc>
          <w:tcPr>
            <w:tcW w:w="6600" w:type="dxa"/>
            <w:vAlign w:val="bottom"/>
            <w:tcBorders>
              <w:top w:val="single" w:sz="8" w:color="0000EE"/>
            </w:tcBorders>
            <w:gridSpan w:val="6"/>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Certification of Principal Executive Officer pursuant to Rules 13a-14(a) under the Securities Exchange Act of 1934, as amended (filed</w:t>
              </w:r>
            </w:hyperlink>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herewith).</w:t>
              </w:r>
            </w:hyperlink>
          </w:p>
        </w:tc>
        <w:tc>
          <w:tcPr>
            <w:tcW w:w="8940" w:type="dxa"/>
            <w:vAlign w:val="bottom"/>
            <w:tcBorders>
              <w:top w:val="single" w:sz="8" w:color="0000EE"/>
            </w:tcBorders>
            <w:gridSpan w:val="5"/>
          </w:tcPr>
          <w:p>
            <w:pPr>
              <w:spacing w:after="0"/>
              <w:rPr>
                <w:sz w:val="17"/>
                <w:szCs w:val="17"/>
                <w:color w:val="auto"/>
              </w:rPr>
            </w:pPr>
          </w:p>
        </w:tc>
        <w:tc>
          <w:tcPr>
            <w:tcW w:w="440" w:type="dxa"/>
            <w:vAlign w:val="bottom"/>
            <w:gridSpan w:val="4"/>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of Principal Financial Officer pursuant to Rules 13a-14(a) under the Securities Exchange Act of 1934, as amended (filed</w:t>
              </w:r>
            </w:hyperlink>
          </w:p>
        </w:tc>
        <w:tc>
          <w:tcPr>
            <w:tcW w:w="48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herewith).</w:t>
              </w:r>
            </w:hyperlink>
          </w:p>
        </w:tc>
        <w:tc>
          <w:tcPr>
            <w:tcW w:w="9380" w:type="dxa"/>
            <w:vAlign w:val="bottom"/>
            <w:gridSpan w:val="9"/>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of Chief Executive Officer and Chief Financial Officer pursuant to 18 U.S.C. Sec. 1350, as adopted pursuant to Section 906 of</w:t>
              </w:r>
            </w:hyperlink>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the Sarbanes-Oxley Act of 2002 (filed herewith).</w:t>
              </w:r>
            </w:hyperlink>
          </w:p>
        </w:tc>
        <w:tc>
          <w:tcPr>
            <w:tcW w:w="652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r>
    </w:tbl>
    <w:p>
      <w:pPr>
        <w:spacing w:after="0" w:line="134" w:lineRule="exact"/>
        <w:rPr>
          <w:sz w:val="20"/>
          <w:szCs w:val="20"/>
          <w:color w:val="auto"/>
        </w:rPr>
      </w:pPr>
    </w:p>
    <w:p>
      <w:pPr>
        <w:ind w:right="4440" w:firstLine="8"/>
        <w:spacing w:after="0" w:line="559" w:lineRule="auto"/>
        <w:tabs>
          <w:tab w:leader="none" w:pos="129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 Indicates management contract or compensatory plan or arrangement.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2" w:name="page23"/>
    <w:bookmarkEnd w:id="2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Dated: October 27, 2017</w:t>
      </w:r>
      <w:r>
        <w:rPr>
          <w:sz w:val="20"/>
          <w:szCs w:val="20"/>
          <w:color w:val="auto"/>
        </w:rPr>
        <w:tab/>
      </w:r>
      <w:r>
        <w:rPr>
          <w:rFonts w:ascii="Arial" w:cs="Arial" w:eastAsia="Arial" w:hAnsi="Arial"/>
          <w:sz w:val="17"/>
          <w:szCs w:val="17"/>
          <w:b w:val="1"/>
          <w:bCs w:val="1"/>
          <w:color w:val="auto"/>
        </w:rPr>
        <w:t>SPS COMMERCE, INC.</w:t>
      </w:r>
    </w:p>
    <w:p>
      <w:pPr>
        <w:spacing w:after="0" w:line="25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351"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220" w:hanging="506"/>
        <w:spacing w:after="0" w:line="286" w:lineRule="auto"/>
        <w:tabs>
          <w:tab w:leader="none" w:pos="154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00" w:hanging="506"/>
        <w:spacing w:after="0" w:line="342" w:lineRule="auto"/>
        <w:tabs>
          <w:tab w:leader="none" w:pos="15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 w:hanging="506"/>
        <w:spacing w:after="0" w:line="264"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20" w:hanging="506"/>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ectPr>
          <w:pgSz w:w="11900" w:h="16838" w:orient="portrait"/>
          <w:cols w:equalWidth="0" w:num="1">
            <w:col w:w="11420"/>
          </w:cols>
          <w:pgMar w:left="240" w:top="33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220" w:hanging="506"/>
        <w:spacing w:after="0" w:line="286" w:lineRule="auto"/>
        <w:tabs>
          <w:tab w:leader="none" w:pos="15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0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20" w:hanging="506"/>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ectPr>
          <w:pgSz w:w="11900" w:h="16838" w:orient="portrait"/>
          <w:cols w:equalWidth="0" w:num="1">
            <w:col w:w="11420"/>
          </w:cols>
          <w:pgMar w:left="240" w:top="33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September 30, 2017,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39"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35" Type="http://schemas.openxmlformats.org/officeDocument/2006/relationships/hyperlink" Target="http://www.sec.gov/Archives/edgar/data/1092699/000119312512269607/d365652dex41.htm" TargetMode="External"/><Relationship Id="rId36"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2019-12-29T03:29:22Z</dcterms:created>
  <dcterms:modified xsi:type="dcterms:W3CDTF">2019-12-29T03:29:22Z</dcterms:modified>
</cp:coreProperties>
</file>