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77" w:lineRule="exact"/>
        <w:rPr>
          <w:sz w:val="24"/>
          <w:szCs w:val="24"/>
          <w:color w:val="auto"/>
        </w:rPr>
      </w:pPr>
    </w:p>
    <w:p>
      <w:pPr>
        <w:ind w:left="1140" w:hanging="565"/>
        <w:spacing w:after="0"/>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w:t>
      </w:r>
    </w:p>
    <w:p>
      <w:pPr>
        <w:spacing w:after="0" w:line="27" w:lineRule="exact"/>
        <w:rPr>
          <w:rFonts w:ascii="MS PGothic" w:cs="MS PGothic" w:eastAsia="MS PGothic" w:hAnsi="MS PGothic"/>
          <w:sz w:val="22"/>
          <w:szCs w:val="22"/>
          <w:color w:val="auto"/>
        </w:rPr>
      </w:pPr>
    </w:p>
    <w:p>
      <w:pPr>
        <w:ind w:left="114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OF THE SECURITIES EXCHANGE ACT OF 1934</w:t>
      </w:r>
    </w:p>
    <w:p>
      <w:pPr>
        <w:spacing w:after="0" w:line="60"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2940" w:type="dxa"/>
            <w:vAlign w:val="bottom"/>
            <w:gridSpan w:val="2"/>
          </w:tcPr>
          <w:p>
            <w:pPr>
              <w:ind w:left="620"/>
              <w:spacing w:after="0"/>
              <w:rPr>
                <w:sz w:val="20"/>
                <w:szCs w:val="20"/>
                <w:color w:val="auto"/>
              </w:rPr>
            </w:pPr>
            <w:r>
              <w:rPr>
                <w:rFonts w:ascii="Arial" w:cs="Arial" w:eastAsia="Arial" w:hAnsi="Arial"/>
                <w:sz w:val="18"/>
                <w:szCs w:val="18"/>
                <w:b w:val="1"/>
                <w:bCs w:val="1"/>
                <w:color w:val="auto"/>
                <w:w w:val="88"/>
              </w:rPr>
              <w:t>For the Transition Period from</w:t>
            </w:r>
          </w:p>
        </w:tc>
        <w:tc>
          <w:tcPr>
            <w:tcW w:w="60" w:type="dxa"/>
            <w:vAlign w:val="bottom"/>
          </w:tcPr>
          <w:p>
            <w:pPr>
              <w:spacing w:after="0"/>
              <w:rPr>
                <w:sz w:val="19"/>
                <w:szCs w:val="19"/>
                <w:color w:val="auto"/>
              </w:rPr>
            </w:pPr>
          </w:p>
        </w:tc>
        <w:tc>
          <w:tcPr>
            <w:tcW w:w="3920" w:type="dxa"/>
            <w:vAlign w:val="bottom"/>
            <w:gridSpan w:val="2"/>
          </w:tcPr>
          <w:p>
            <w:pPr>
              <w:ind w:left="720"/>
              <w:spacing w:after="0"/>
              <w:rPr>
                <w:sz w:val="20"/>
                <w:szCs w:val="20"/>
                <w:color w:val="auto"/>
              </w:rPr>
            </w:pPr>
            <w:r>
              <w:rPr>
                <w:rFonts w:ascii="Arial" w:cs="Arial" w:eastAsia="Arial" w:hAnsi="Arial"/>
                <w:sz w:val="18"/>
                <w:szCs w:val="18"/>
                <w:b w:val="1"/>
                <w:bCs w:val="1"/>
                <w:color w:val="auto"/>
              </w:rPr>
              <w:t>to</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6"/>
        </w:trPr>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920" w:type="dxa"/>
            <w:vAlign w:val="bottom"/>
            <w:gridSpan w:val="2"/>
          </w:tcPr>
          <w:p>
            <w:pPr>
              <w:jc w:val="center"/>
              <w:ind w:left="500"/>
              <w:spacing w:after="0"/>
              <w:rPr>
                <w:sz w:val="20"/>
                <w:szCs w:val="20"/>
                <w:color w:val="auto"/>
              </w:rPr>
            </w:pPr>
            <w:r>
              <w:rPr>
                <w:rFonts w:ascii="Arial" w:cs="Arial" w:eastAsia="Arial" w:hAnsi="Arial"/>
                <w:sz w:val="18"/>
                <w:szCs w:val="18"/>
                <w:b w:val="1"/>
                <w:bCs w:val="1"/>
                <w:color w:val="auto"/>
                <w:w w:val="88"/>
              </w:rPr>
              <w:t>Commission file number 001-34702</w:t>
            </w: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532"/>
        </w:trPr>
        <w:tc>
          <w:tcPr>
            <w:tcW w:w="1820" w:type="dxa"/>
            <w:vAlign w:val="bottom"/>
          </w:tcPr>
          <w:p>
            <w:pPr>
              <w:spacing w:after="0"/>
              <w:rPr>
                <w:sz w:val="24"/>
                <w:szCs w:val="24"/>
                <w:color w:val="auto"/>
              </w:rPr>
            </w:pPr>
          </w:p>
        </w:tc>
        <w:tc>
          <w:tcPr>
            <w:tcW w:w="6480" w:type="dxa"/>
            <w:vAlign w:val="bottom"/>
            <w:gridSpan w:val="5"/>
          </w:tcPr>
          <w:p>
            <w:pPr>
              <w:jc w:val="center"/>
              <w:ind w:left="276"/>
              <w:spacing w:after="0"/>
              <w:rPr>
                <w:sz w:val="20"/>
                <w:szCs w:val="20"/>
                <w:color w:val="auto"/>
              </w:rPr>
            </w:pPr>
            <w:r>
              <w:rPr>
                <w:rFonts w:ascii="Arial" w:cs="Arial" w:eastAsia="Arial" w:hAnsi="Arial"/>
                <w:sz w:val="43"/>
                <w:szCs w:val="43"/>
                <w:b w:val="1"/>
                <w:bCs w:val="1"/>
                <w:color w:val="auto"/>
              </w:rPr>
              <w:t>SPS COMMERCE, INC.</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2"/>
          </w:tcPr>
          <w:p>
            <w:pPr>
              <w:jc w:val="center"/>
              <w:ind w:left="520"/>
              <w:spacing w:after="0"/>
              <w:rPr>
                <w:sz w:val="20"/>
                <w:szCs w:val="20"/>
                <w:color w:val="auto"/>
              </w:rPr>
            </w:pPr>
            <w:r>
              <w:rPr>
                <w:rFonts w:ascii="Arial" w:cs="Arial" w:eastAsia="Arial" w:hAnsi="Arial"/>
                <w:sz w:val="14"/>
                <w:szCs w:val="14"/>
                <w:i w:val="1"/>
                <w:iCs w:val="1"/>
                <w:color w:val="auto"/>
                <w:w w:val="87"/>
              </w:rPr>
              <w:t>(Exact Name of Registrant as Specified in its Charter)</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3"/>
        </w:trPr>
        <w:tc>
          <w:tcPr>
            <w:tcW w:w="18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6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gridSpan w:val="2"/>
          </w:tcPr>
          <w:p>
            <w:pPr>
              <w:jc w:val="center"/>
              <w:ind w:left="742"/>
              <w:spacing w:after="0"/>
              <w:rPr>
                <w:sz w:val="20"/>
                <w:szCs w:val="20"/>
                <w:color w:val="auto"/>
              </w:rPr>
            </w:pPr>
            <w:r>
              <w:rPr>
                <w:rFonts w:ascii="Arial" w:cs="Arial" w:eastAsia="Arial" w:hAnsi="Arial"/>
                <w:sz w:val="18"/>
                <w:szCs w:val="18"/>
                <w:b w:val="1"/>
                <w:bCs w:val="1"/>
                <w:color w:val="auto"/>
                <w:w w:val="87"/>
              </w:rPr>
              <w:t>41-2015127</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49"/>
        </w:trPr>
        <w:tc>
          <w:tcPr>
            <w:tcW w:w="6920" w:type="dxa"/>
            <w:vAlign w:val="bottom"/>
            <w:gridSpan w:val="5"/>
          </w:tcPr>
          <w:p>
            <w:pPr>
              <w:jc w:val="center"/>
              <w:ind w:right="212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1780" w:type="dxa"/>
            <w:vAlign w:val="bottom"/>
            <w:gridSpan w:val="2"/>
          </w:tcPr>
          <w:p>
            <w:pPr>
              <w:jc w:val="center"/>
              <w:ind w:left="762"/>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2"/>
        </w:trPr>
        <w:tc>
          <w:tcPr>
            <w:tcW w:w="6920" w:type="dxa"/>
            <w:vAlign w:val="bottom"/>
            <w:gridSpan w:val="5"/>
          </w:tcPr>
          <w:p>
            <w:pPr>
              <w:jc w:val="center"/>
              <w:ind w:right="2100"/>
              <w:spacing w:after="0"/>
              <w:rPr>
                <w:sz w:val="20"/>
                <w:szCs w:val="20"/>
                <w:color w:val="auto"/>
              </w:rPr>
            </w:pPr>
            <w:r>
              <w:rPr>
                <w:rFonts w:ascii="Arial" w:cs="Arial" w:eastAsia="Arial" w:hAnsi="Arial"/>
                <w:sz w:val="14"/>
                <w:szCs w:val="14"/>
                <w:i w:val="1"/>
                <w:iCs w:val="1"/>
                <w:color w:val="auto"/>
                <w:w w:val="91"/>
              </w:rPr>
              <w:t>Incorporation or Organization)</w:t>
            </w:r>
          </w:p>
        </w:tc>
        <w:tc>
          <w:tcPr>
            <w:tcW w:w="2060" w:type="dxa"/>
            <w:vAlign w:val="bottom"/>
            <w:gridSpan w:val="3"/>
          </w:tcPr>
          <w:p>
            <w:pPr>
              <w:jc w:val="center"/>
              <w:ind w:left="462"/>
              <w:spacing w:after="0"/>
              <w:rPr>
                <w:sz w:val="20"/>
                <w:szCs w:val="20"/>
                <w:color w:val="auto"/>
              </w:rPr>
            </w:pPr>
            <w:r>
              <w:rPr>
                <w:rFonts w:ascii="Arial" w:cs="Arial" w:eastAsia="Arial" w:hAnsi="Arial"/>
                <w:sz w:val="14"/>
                <w:szCs w:val="14"/>
                <w:i w:val="1"/>
                <w:iCs w:val="1"/>
                <w:color w:val="auto"/>
                <w:w w:val="91"/>
              </w:rPr>
              <w:t>Identification No.)</w:t>
            </w:r>
          </w:p>
        </w:tc>
        <w:tc>
          <w:tcPr>
            <w:tcW w:w="620" w:type="dxa"/>
            <w:vAlign w:val="bottom"/>
          </w:tcPr>
          <w:p>
            <w:pPr>
              <w:spacing w:after="0"/>
              <w:rPr>
                <w:sz w:val="14"/>
                <w:szCs w:val="14"/>
                <w:color w:val="auto"/>
              </w:rPr>
            </w:pPr>
          </w:p>
        </w:tc>
      </w:tr>
      <w:tr>
        <w:trPr>
          <w:trHeight w:val="314"/>
        </w:trPr>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360" w:type="dxa"/>
            <w:vAlign w:val="bottom"/>
            <w:gridSpan w:val="4"/>
          </w:tcPr>
          <w:p>
            <w:pPr>
              <w:jc w:val="center"/>
              <w:ind w:right="662"/>
              <w:spacing w:after="0"/>
              <w:rPr>
                <w:sz w:val="20"/>
                <w:szCs w:val="20"/>
                <w:color w:val="auto"/>
              </w:rPr>
            </w:pPr>
            <w:r>
              <w:rPr>
                <w:rFonts w:ascii="Arial" w:cs="Arial" w:eastAsia="Arial" w:hAnsi="Arial"/>
                <w:sz w:val="18"/>
                <w:szCs w:val="18"/>
                <w:b w:val="1"/>
                <w:bCs w:val="1"/>
                <w:color w:val="auto"/>
                <w:w w:val="88"/>
              </w:rPr>
              <w:t>333 South Seventh Street, Suite 1000, Minneapolis, MN 55402</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2"/>
          </w:tcPr>
          <w:p>
            <w:pPr>
              <w:jc w:val="center"/>
              <w:ind w:left="500"/>
              <w:spacing w:after="0"/>
              <w:rPr>
                <w:sz w:val="20"/>
                <w:szCs w:val="20"/>
                <w:color w:val="auto"/>
              </w:rPr>
            </w:pPr>
            <w:r>
              <w:rPr>
                <w:rFonts w:ascii="Arial" w:cs="Arial" w:eastAsia="Arial" w:hAnsi="Arial"/>
                <w:sz w:val="14"/>
                <w:szCs w:val="14"/>
                <w:i w:val="1"/>
                <w:iCs w:val="1"/>
                <w:color w:val="auto"/>
                <w:w w:val="89"/>
              </w:rPr>
              <w:t>(Address of Principal Executive Offices, Including Zip Code)</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00"/>
        </w:trPr>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00" w:type="dxa"/>
            <w:vAlign w:val="bottom"/>
            <w:gridSpan w:val="2"/>
          </w:tcPr>
          <w:p>
            <w:pPr>
              <w:jc w:val="center"/>
              <w:ind w:left="632"/>
              <w:spacing w:after="0"/>
              <w:rPr>
                <w:sz w:val="20"/>
                <w:szCs w:val="20"/>
                <w:color w:val="auto"/>
              </w:rPr>
            </w:pPr>
            <w:r>
              <w:rPr>
                <w:rFonts w:ascii="Arial" w:cs="Arial" w:eastAsia="Arial" w:hAnsi="Arial"/>
                <w:sz w:val="18"/>
                <w:szCs w:val="18"/>
                <w:b w:val="1"/>
                <w:bCs w:val="1"/>
                <w:color w:val="auto"/>
                <w:w w:val="89"/>
              </w:rPr>
              <w:t>(612) 435-9400</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1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2"/>
          </w:tcPr>
          <w:p>
            <w:pPr>
              <w:jc w:val="center"/>
              <w:ind w:left="520"/>
              <w:spacing w:after="0"/>
              <w:rPr>
                <w:sz w:val="20"/>
                <w:szCs w:val="20"/>
                <w:color w:val="auto"/>
              </w:rPr>
            </w:pPr>
            <w:r>
              <w:rPr>
                <w:rFonts w:ascii="Arial" w:cs="Arial" w:eastAsia="Arial" w:hAnsi="Arial"/>
                <w:sz w:val="14"/>
                <w:szCs w:val="14"/>
                <w:i w:val="1"/>
                <w:iCs w:val="1"/>
                <w:color w:val="auto"/>
                <w:w w:val="86"/>
              </w:rPr>
              <w:t>(Registrant’s Telephone Number, Including Area Code)</w:t>
            </w: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82"/>
        </w:trPr>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00" w:type="dxa"/>
            <w:vAlign w:val="bottom"/>
            <w:gridSpan w:val="3"/>
          </w:tcPr>
          <w:p>
            <w:pPr>
              <w:jc w:val="center"/>
              <w:ind w:right="72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2"/>
        </w:trPr>
        <w:tc>
          <w:tcPr>
            <w:tcW w:w="18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01"/>
        </w:trPr>
        <w:tc>
          <w:tcPr>
            <w:tcW w:w="6920" w:type="dxa"/>
            <w:vAlign w:val="bottom"/>
            <w:gridSpan w:val="5"/>
          </w:tcPr>
          <w:p>
            <w:pPr>
              <w:jc w:val="center"/>
              <w:ind w:right="2100"/>
              <w:spacing w:after="0" w:line="201" w:lineRule="exact"/>
              <w:rPr>
                <w:sz w:val="20"/>
                <w:szCs w:val="20"/>
                <w:color w:val="auto"/>
              </w:rPr>
            </w:pPr>
            <w:r>
              <w:rPr>
                <w:rFonts w:ascii="Arial" w:cs="Arial" w:eastAsia="Arial" w:hAnsi="Arial"/>
                <w:sz w:val="18"/>
                <w:szCs w:val="18"/>
                <w:color w:val="auto"/>
                <w:w w:val="87"/>
              </w:rPr>
              <w:t>Common stock, par value $0.001 per share</w:t>
            </w:r>
          </w:p>
        </w:tc>
        <w:tc>
          <w:tcPr>
            <w:tcW w:w="268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0"/>
              </w:rPr>
              <w:t>The Nasdaq Stock Market LLC</w:t>
            </w:r>
          </w:p>
        </w:tc>
      </w:tr>
      <w:tr>
        <w:trPr>
          <w:trHeight w:val="222"/>
        </w:trPr>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4"/>
          </w:tcPr>
          <w:p>
            <w:pPr>
              <w:jc w:val="center"/>
              <w:spacing w:after="0"/>
              <w:rPr>
                <w:sz w:val="20"/>
                <w:szCs w:val="20"/>
                <w:color w:val="auto"/>
              </w:rPr>
            </w:pPr>
            <w:r>
              <w:rPr>
                <w:rFonts w:ascii="Arial" w:cs="Arial" w:eastAsia="Arial" w:hAnsi="Arial"/>
                <w:sz w:val="18"/>
                <w:szCs w:val="18"/>
                <w:color w:val="auto"/>
                <w:w w:val="90"/>
              </w:rPr>
              <w:t>(Nasdaq Global Market)</w:t>
            </w:r>
          </w:p>
        </w:tc>
      </w:tr>
      <w:tr>
        <w:trPr>
          <w:trHeight w:val="298"/>
        </w:trPr>
        <w:tc>
          <w:tcPr>
            <w:tcW w:w="1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00" w:type="dxa"/>
            <w:vAlign w:val="bottom"/>
            <w:gridSpan w:val="3"/>
          </w:tcPr>
          <w:p>
            <w:pPr>
              <w:jc w:val="center"/>
              <w:ind w:right="7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8"/>
        </w:trPr>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20" w:type="dxa"/>
            <w:vAlign w:val="bottom"/>
            <w:gridSpan w:val="2"/>
          </w:tcPr>
          <w:p>
            <w:pPr>
              <w:jc w:val="center"/>
              <w:ind w:left="500"/>
              <w:spacing w:after="0"/>
              <w:rPr>
                <w:sz w:val="20"/>
                <w:szCs w:val="20"/>
                <w:color w:val="auto"/>
              </w:rPr>
            </w:pPr>
            <w:r>
              <w:rPr>
                <w:rFonts w:ascii="Arial" w:cs="Arial" w:eastAsia="Arial" w:hAnsi="Arial"/>
                <w:sz w:val="18"/>
                <w:szCs w:val="18"/>
                <w:b w:val="1"/>
                <w:bCs w:val="1"/>
                <w:color w:val="auto"/>
                <w:w w:val="84"/>
              </w:rPr>
              <w:t>None</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17"/>
        </w:trPr>
        <w:tc>
          <w:tcPr>
            <w:tcW w:w="8300" w:type="dxa"/>
            <w:vAlign w:val="bottom"/>
            <w:gridSpan w:val="6"/>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400" w:type="dxa"/>
            <w:vAlign w:val="bottom"/>
          </w:tcPr>
          <w:p>
            <w:pPr>
              <w:ind w:left="100"/>
              <w:spacing w:after="0"/>
              <w:rPr>
                <w:sz w:val="20"/>
                <w:szCs w:val="20"/>
                <w:color w:val="auto"/>
              </w:rPr>
            </w:pPr>
            <w:r>
              <w:rPr>
                <w:rFonts w:ascii="Arial" w:cs="Arial" w:eastAsia="Arial" w:hAnsi="Arial"/>
                <w:sz w:val="18"/>
                <w:szCs w:val="18"/>
                <w:color w:val="auto"/>
                <w:w w:val="90"/>
              </w:rPr>
              <w:t>Yes</w:t>
            </w:r>
          </w:p>
        </w:tc>
        <w:tc>
          <w:tcPr>
            <w:tcW w:w="2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297"/>
        </w:trPr>
        <w:tc>
          <w:tcPr>
            <w:tcW w:w="83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4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6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60"/>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53" w:lineRule="exact"/>
        <w:rPr>
          <w:sz w:val="24"/>
          <w:szCs w:val="24"/>
          <w:color w:val="auto"/>
        </w:rPr>
      </w:pPr>
    </w:p>
    <w:p>
      <w:pPr>
        <w:sectPr>
          <w:pgSz w:w="11900" w:h="16838" w:orient="portrait"/>
          <w:cols w:equalWidth="0" w:num="7">
            <w:col w:w="1660" w:space="80"/>
            <w:col w:w="1340" w:space="720"/>
            <w:col w:w="1220" w:space="80"/>
            <w:col w:w="160" w:space="440"/>
            <w:col w:w="3260" w:space="200"/>
            <w:col w:w="2020" w:space="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440" w:space="160"/>
            <w:col w:w="260" w:space="80"/>
            <w:col w:w="160" w:space="220"/>
            <w:col w:w="220" w:space="80"/>
            <w:col w:w="1800"/>
          </w:cols>
          <w:pgMar w:left="240" w:top="230" w:right="239" w:bottom="1440" w:gutter="0" w:footer="0" w:header="0"/>
          <w:type w:val="continuous"/>
        </w:sectPr>
      </w:pPr>
    </w:p>
    <w:p>
      <w:pPr>
        <w:jc w:val="both"/>
        <w:ind w:right="340" w:firstLine="456"/>
        <w:spacing w:after="0" w:line="259" w:lineRule="auto"/>
        <w:rPr>
          <w:sz w:val="20"/>
          <w:szCs w:val="20"/>
          <w:color w:val="auto"/>
        </w:rPr>
      </w:pPr>
      <w:r>
        <w:rPr>
          <w:rFonts w:ascii="Arial" w:cs="Arial" w:eastAsia="Arial" w:hAnsi="Arial"/>
          <w:sz w:val="18"/>
          <w:szCs w:val="18"/>
          <w:color w:val="auto"/>
        </w:rPr>
        <w:t>As of June 30, 2011, the last business day of the registrant’s most recently completed second fiscal quarter, the aggregate market value of shares of the registrant’s common stock held by non-affiliates of the registrant (based upon the closing sale price of $17.79 per share on the Nasdaq Global Market on such date) was approximately $188.2 million.</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par value $0.001 per share, outstanding as of February 24, 2012 was 12,165,315 shares.</w:t>
      </w:r>
    </w:p>
    <w:p>
      <w:pPr>
        <w:spacing w:after="0" w:line="1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Portions of the Company’s definitive Proxy Statement for the Annual Meeting of Stockholders to be held on May 24, 2012 (the “2012 Proxy Statement”), which is expected to be filed within 120 days after the end of the fiscal year covered by this Annual Report on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60" w:type="dxa"/>
            <w:vAlign w:val="bottom"/>
            <w:gridSpan w:val="8"/>
          </w:tcPr>
          <w:p>
            <w:pPr>
              <w:jc w:val="center"/>
              <w:ind w:right="3980"/>
              <w:spacing w:after="0"/>
              <w:rPr>
                <w:sz w:val="20"/>
                <w:szCs w:val="20"/>
                <w:color w:val="auto"/>
              </w:rPr>
            </w:pPr>
            <w:r>
              <w:rPr>
                <w:rFonts w:ascii="Arial" w:cs="Arial" w:eastAsia="Arial" w:hAnsi="Arial"/>
                <w:sz w:val="18"/>
                <w:szCs w:val="18"/>
                <w:b w:val="1"/>
                <w:bCs w:val="1"/>
                <w:color w:val="auto"/>
                <w:w w:val="96"/>
              </w:rPr>
              <w:t>SPS COMMERCE,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80" w:type="dxa"/>
            <w:vAlign w:val="bottom"/>
            <w:gridSpan w:val="9"/>
          </w:tcPr>
          <w:p>
            <w:pPr>
              <w:jc w:val="center"/>
              <w:ind w:right="358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60" w:type="dxa"/>
            <w:vAlign w:val="bottom"/>
            <w:gridSpan w:val="8"/>
          </w:tcPr>
          <w:p>
            <w:pPr>
              <w:jc w:val="center"/>
              <w:ind w:right="3980"/>
              <w:spacing w:after="0"/>
              <w:rPr>
                <w:sz w:val="20"/>
                <w:szCs w:val="20"/>
                <w:color w:val="auto"/>
              </w:rPr>
            </w:pPr>
            <w:r>
              <w:rPr>
                <w:rFonts w:ascii="Arial" w:cs="Arial" w:eastAsia="Arial" w:hAnsi="Arial"/>
                <w:sz w:val="18"/>
                <w:szCs w:val="18"/>
                <w:b w:val="1"/>
                <w:bCs w:val="1"/>
                <w:color w:val="auto"/>
                <w:w w:val="8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gridSpan w:val="6"/>
            <w:vMerge w:val="restart"/>
          </w:tcPr>
          <w:p>
            <w:pPr>
              <w:jc w:val="center"/>
              <w:ind w:right="508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60" w:type="dxa"/>
            <w:vAlign w:val="bottom"/>
            <w:gridSpan w:val="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4"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280" w:type="dxa"/>
            <w:vAlign w:val="bottom"/>
            <w:gridSpan w:val="19"/>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902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9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92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Legal Proceedings</w:t>
              </w:r>
            </w:hyperlink>
          </w:p>
        </w:tc>
        <w:tc>
          <w:tcPr>
            <w:tcW w:w="860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20" w:type="dxa"/>
            <w:vAlign w:val="bottom"/>
            <w:gridSpan w:val="7"/>
          </w:tcPr>
          <w:p>
            <w:pPr>
              <w:jc w:val="center"/>
              <w:ind w:right="484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spacing w:after="0" w:line="184" w:lineRule="exact"/>
              <w:rPr>
                <w:sz w:val="20"/>
                <w:szCs w:val="20"/>
                <w:color w:val="auto"/>
              </w:rPr>
            </w:pPr>
            <w:r>
              <w:rPr>
                <w:rFonts w:ascii="Arial" w:cs="Arial" w:eastAsia="Arial" w:hAnsi="Arial"/>
                <w:sz w:val="18"/>
                <w:szCs w:val="18"/>
                <w:color w:val="auto"/>
              </w:rPr>
              <w:t>Item 5.</w:t>
            </w:r>
          </w:p>
        </w:tc>
        <w:tc>
          <w:tcPr>
            <w:tcW w:w="9920" w:type="dxa"/>
            <w:vAlign w:val="bottom"/>
            <w:gridSpan w:val="20"/>
          </w:tcPr>
          <w:p>
            <w:pPr>
              <w:spacing w:after="0" w:line="184"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92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Quantitative and Qualitative Disclosures About Market Risk</w:t>
              </w:r>
            </w:hyperlink>
          </w:p>
        </w:tc>
        <w:tc>
          <w:tcPr>
            <w:tcW w:w="36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17"/>
                <w:szCs w:val="17"/>
                <w:color w:val="auto"/>
              </w:rPr>
            </w:pPr>
          </w:p>
        </w:tc>
        <w:tc>
          <w:tcPr>
            <w:tcW w:w="566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92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69">
              <w:r>
                <w:rPr>
                  <w:rFonts w:ascii="Arial" w:cs="Arial" w:eastAsia="Arial" w:hAnsi="Arial"/>
                  <w:sz w:val="18"/>
                  <w:szCs w:val="18"/>
                  <w:color w:val="0000EE"/>
                  <w:w w:val="86"/>
                </w:rPr>
                <w:t>Controls and Procedures</w:t>
              </w:r>
            </w:hyperlink>
          </w:p>
        </w:tc>
        <w:tc>
          <w:tcPr>
            <w:tcW w:w="4620" w:type="dxa"/>
            <w:vAlign w:val="bottom"/>
            <w:tcBorders>
              <w:top w:val="single" w:sz="8" w:color="0000EE"/>
            </w:tcBorders>
            <w:gridSpan w:val="10"/>
          </w:tcPr>
          <w:p>
            <w:pPr>
              <w:spacing w:after="0"/>
              <w:rPr>
                <w:sz w:val="17"/>
                <w:szCs w:val="17"/>
                <w:color w:val="auto"/>
              </w:rPr>
            </w:pPr>
          </w:p>
        </w:tc>
        <w:tc>
          <w:tcPr>
            <w:tcW w:w="35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92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20" w:type="dxa"/>
            <w:vAlign w:val="bottom"/>
            <w:gridSpan w:val="7"/>
          </w:tcPr>
          <w:p>
            <w:pPr>
              <w:jc w:val="center"/>
              <w:ind w:right="482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spacing w:after="0" w:line="184" w:lineRule="exact"/>
              <w:rPr>
                <w:sz w:val="20"/>
                <w:szCs w:val="20"/>
                <w:color w:val="auto"/>
              </w:rPr>
            </w:pPr>
            <w:r>
              <w:rPr>
                <w:rFonts w:ascii="Arial" w:cs="Arial" w:eastAsia="Arial" w:hAnsi="Arial"/>
                <w:sz w:val="18"/>
                <w:szCs w:val="18"/>
                <w:color w:val="auto"/>
              </w:rPr>
              <w:t>Item 10.</w:t>
            </w:r>
          </w:p>
        </w:tc>
        <w:tc>
          <w:tcPr>
            <w:tcW w:w="9920" w:type="dxa"/>
            <w:vAlign w:val="bottom"/>
            <w:gridSpan w:val="20"/>
          </w:tcPr>
          <w:p>
            <w:pPr>
              <w:spacing w:after="0" w:line="184" w:lineRule="exact"/>
              <w:rPr>
                <w:rFonts w:ascii="Arial" w:cs="Arial" w:eastAsia="Arial" w:hAnsi="Arial"/>
                <w:sz w:val="18"/>
                <w:szCs w:val="18"/>
                <w:color w:val="0000EE"/>
              </w:rPr>
            </w:pPr>
            <w:hyperlink w:anchor="page70">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592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92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28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Accounting Fees and Services</w:t>
              </w:r>
            </w:hyperlink>
          </w:p>
        </w:tc>
        <w:tc>
          <w:tcPr>
            <w:tcW w:w="460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920" w:type="dxa"/>
            <w:vAlign w:val="bottom"/>
            <w:gridSpan w:val="7"/>
          </w:tcPr>
          <w:p>
            <w:pPr>
              <w:jc w:val="center"/>
              <w:ind w:right="482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20" w:type="dxa"/>
            <w:vAlign w:val="bottom"/>
            <w:gridSpan w:val="2"/>
          </w:tcPr>
          <w:p>
            <w:pPr>
              <w:spacing w:after="0" w:line="184" w:lineRule="exact"/>
              <w:rPr>
                <w:sz w:val="20"/>
                <w:szCs w:val="20"/>
                <w:color w:val="auto"/>
              </w:rPr>
            </w:pPr>
            <w:r>
              <w:rPr>
                <w:rFonts w:ascii="Arial" w:cs="Arial" w:eastAsia="Arial" w:hAnsi="Arial"/>
                <w:sz w:val="18"/>
                <w:szCs w:val="18"/>
                <w:color w:val="auto"/>
              </w:rPr>
              <w:t>Item 15.</w:t>
            </w:r>
          </w:p>
        </w:tc>
        <w:tc>
          <w:tcPr>
            <w:tcW w:w="9920" w:type="dxa"/>
            <w:vAlign w:val="bottom"/>
            <w:gridSpan w:val="20"/>
          </w:tcPr>
          <w:p>
            <w:pPr>
              <w:spacing w:after="0" w:line="184" w:lineRule="exact"/>
              <w:rPr>
                <w:rFonts w:ascii="Arial" w:cs="Arial" w:eastAsia="Arial" w:hAnsi="Arial"/>
                <w:sz w:val="18"/>
                <w:szCs w:val="18"/>
                <w:color w:val="0000EE"/>
              </w:rPr>
            </w:pPr>
            <w:hyperlink w:anchor="page71">
              <w:r>
                <w:rPr>
                  <w:rFonts w:ascii="Arial" w:cs="Arial" w:eastAsia="Arial" w:hAnsi="Arial"/>
                  <w:sz w:val="18"/>
                  <w:szCs w:val="18"/>
                  <w:color w:val="0000EE"/>
                </w:rPr>
                <w:t>Exhibits, Financial Statement Schedules</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120" w:type="dxa"/>
            <w:vAlign w:val="bottom"/>
            <w:gridSpan w:val="2"/>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This Annual Report on Form 10-K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this Annual Report on Form 10-K. Readers are cautioned not to place undue reliance on these forward-looking statements, which speak only as of the date of this report.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We undertake no obligation to revise any forward-looking statements in order to reflect events or circumstances that may subsequently arise. Readers are urged to carefully review and consider the various disclosures made by us in this report and in our other reports filed with the Securities and Exchange Commission that advise interested parties of the risks and factors that may affect our business.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 leading provider of on-demand supply chain management solutions and the Retail Universe community,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Implementing and maintaining supply chain management software is resource intensive and not a core competency for most businesses. SPSCommerce.net uses pre-built integrations to eliminate the need for on-premise software and support staff, which enables our supplier customers to shorten supply cycle times, optimize inventory levels, reduce costs and satisfy retailer requirements. As of December 31, 2011, we had approximately 16,100 customers with contracts to pay us monthly fees, which we refer to as recurring revenue customers. We have also generated revenues by providing supply chain management solutions to an additional 29,000 organizations that, together with our recurring revenue customers, we refer to as our customers. Once connected to our platform, our customers often require integrations to new organizations that represent an expansion of our platform and new sources of revenues for us.</w:t>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deliver our solutions to our customers over the Internet using a Software-as-a-Service model. This model enables our customers to easily interact with their trading partners around the world without the local implementation and servicing of software that traditional on-premise solutions require. Our delivery model also enables us to offer greater functionality, integration and reliability with less cost and risk than traditional solutions.</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May 2011, we purchased substantially all of the assets of Direct EDI LLC, a privately-held provider of cloud-based integration solutions for electronic data interchange, which expanded our base of recurring revenue customers. In November 2011, we expanded into the social networking arena with the Retail Universe, a collaborative online website that facilitates relationships and communications with all members of the retail ecosystem.</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For 2011, 2010 and 2009, we generated revenues of $58.0 million, $44.6 million and $37.7 million. Our fiscal quarter ended December 31, 2011 represented our 44</w:t>
      </w:r>
      <w:r>
        <w:rPr>
          <w:rFonts w:ascii="Arial" w:cs="Arial" w:eastAsia="Arial" w:hAnsi="Arial"/>
          <w:sz w:val="10"/>
          <w:szCs w:val="10"/>
          <w:color w:val="auto"/>
        </w:rPr>
        <w:t>th</w:t>
      </w:r>
      <w:r>
        <w:rPr>
          <w:rFonts w:ascii="Arial" w:cs="Arial" w:eastAsia="Arial" w:hAnsi="Arial"/>
          <w:sz w:val="16"/>
          <w:szCs w:val="16"/>
          <w:color w:val="auto"/>
        </w:rPr>
        <w:t xml:space="preserve"> consecutive quarter of increased revenues. Recurring revenues from recurring revenue customers accounted for 85%, 83% and 80% of our total revenues for 2011, 2010 and 2009. No customer represented over 2% of our revenues for 2011, 2010 or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Supply Chain Management Industry Background</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supply chain management industry serves thousands of retailers around the world supplied with goods from tens of thousands of suppliers. Additional participants in this market include distributors, third-party logistics providers, manufacturers, fulfillment and warehousing providers and sourcing companies. Supply chain management involves communicating data related to the exchange of goods among these trading partners. At every stage of the supply chain there are inefficient, labor-intensive processes between trading partners with significant documentation requirements, such as the counting, sorting and verifying of goods before shipment, while in transit and upon delivery. Supply chain management solutions must address trading partners’ needs for integration, collaboration, connectivity, visibility and data analytics to improve the speed, accuracy and efficiency with which goods are ordered and supplied.</w:t>
      </w:r>
    </w:p>
    <w:p>
      <w:pPr>
        <w:spacing w:after="0" w:line="12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pervasiveness of the Internet, along with the dramatic declines in the pricing of computing technology and network bandwidth, have enabled companies to adopt on-demand applications at an increasing rate. As familiarity and acceptance of on-demand solutions continues to accelerate, we believe companies, both large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small, will continue to turn to on-demand delivery methods similar to ours for their supply chain integration needs, as opposed to traditional on-premise software deployment. Our target market, supply chain integration solutions delivered on a Software-as-a-Service platform, is one of many which comprise the global Software-as-a-Service market.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Rule Books — Integration Between Retailers and Suppliers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Retailers impose specific work-flow rules and standards on their trading partners for electronically communicating supply chain information. These “rule books” include specific business processes for suppliers to exchange data and documentation requirements such as invoices, purchase orders and advance shipping notices. Rule books can be hundreds of pages, and retailers frequently have multiple rule books for international requirements or specific fulfillment models. Suppliers working with multiple retailers need to accommodate different rule books for each retailer. These rule books are not standardized between retailers, but vary based on a retailer’s size, industry and technological capabilities. The responsibility for creating information “maps,” which are integration connections between the retailer and the supplier that comply with the retailer’s rule books, resides primarily with the supplier. The cost of noncompliance can be refusal of delivered goods, fines and ultimately a termination of the supplier’s relationship with the retailer. The complexity of retailers’ requirements and consequences of noncompliance create growing demand for specialized supply chain management solutions.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Traditional Supply Chain Management Solutions</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Traditional supply chain management solutions range from non-automated paper or fax solutions to electronic solutions implemented using on-premise licensed software. On-premise licensed software provides connectivity between only one organization and its trading partners and typically requires significant time and technical expertise to configure, deploy and maintain. These software providers primarily link retailers and suppliers through the Electronic Data Interchange protocol that enables the structured electronic transmission of data between organizations. Because of set-up and maintenance costs, technical complexity and a growing volume of requirements from retailers, the traditional software model is not well suited for many suppliers, especially those small and medium in size.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Need for Effective Analysis of Data for Intelligent Decision Making</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Integrating retailers and suppliers is a first step in addressing the complexities in the supply chain ecosystem. As the number and geographic dispersion of trading partners has grown, so too has the volume of data produced by the supply chain. As a result, trading partners want a solution to effectively consolidate, distill and channel information to managers and decision-makers who can use the information to drive efficiency, revenue growth and profitability. The abundance of data produced by these processes, including data for fulfillment, sales and inventory levels, is often inaccessible to trading partners for analysis. The data and related analytics are essential for optimizing the inventory and fulfillment process and will continue to drive demand for supply chain management solutions.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Software-as-a-Service Solutions Provide Flexibility and Effective Management Across the Supply Chain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 Software-as-a-Service model is well suited for providing supply chain management solutions. On-demand solutions are able to continue utilizing standard connectivity protocols, such as Electronic Data Interchange, but also are able to support other protocols, such as XML, as retailers require. These on-demand solutions connect suppliers and retailers more efficiently than traditional on-premise software solutions by leveraging the integrations created for a single supplier across all participating suppliers.</w:t>
      </w:r>
    </w:p>
    <w:p>
      <w:pPr>
        <w:spacing w:after="0" w:line="143" w:lineRule="exact"/>
        <w:rPr>
          <w:sz w:val="20"/>
          <w:szCs w:val="20"/>
          <w:color w:val="auto"/>
        </w:rPr>
      </w:pPr>
    </w:p>
    <w:p>
      <w:pPr>
        <w:jc w:val="both"/>
        <w:ind w:right="780" w:firstLine="456"/>
        <w:spacing w:after="0" w:line="259" w:lineRule="auto"/>
        <w:rPr>
          <w:sz w:val="20"/>
          <w:szCs w:val="20"/>
          <w:color w:val="auto"/>
        </w:rPr>
      </w:pPr>
      <w:r>
        <w:rPr>
          <w:rFonts w:ascii="Arial" w:cs="Arial" w:eastAsia="Arial" w:hAnsi="Arial"/>
          <w:sz w:val="18"/>
          <w:szCs w:val="18"/>
          <w:color w:val="auto"/>
        </w:rPr>
        <w:t>Software-as-a-Service solutions also allow an organization to connect across the supply chain ecosystem, addressing increased retailer demands, globalization and increased complexity affecting the supply chain. In addition, Software-as-a-Service solutions can integrate supply chain management applications with organizations’ existing enterprise resource planning systems.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SPSCommerce.net: Our Platform</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operate one of the largest trading partner integration centers through SPSCommerce.net, a hosted software suite that improves the way suppliers, retailers, distributors and other trading partners manage and fulfill orders. More than 45,000 customers across more than 40 countries have used our platform to enhance their trading relationships. SPSCommerce.net fundamentally changes how organizations use electronic communication to manage their supply chains by replacing the collection of traditional, custom-built, point-to-point integrations with a “hub-and-spoke” model whereby a single integration to SPSCommerce.net allows an organization to connect seamlessly to the entire SPSCommerce.net network of trading partners.</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SPSCommerce.net combines integrations that comply with numerous rule books for retailers, grocers and distributors with whom we and our customers have done business. SPSCommerce.net does this through a multi-tenant architecture and provides ancillary support services that deliver a comprehensive set of supply chain management solutions to customers. By maintaining current integrations with retailers, SPSCommerce.net obviates the need for suppliers to continually stay up-to-date with the rule book changes required by retailers. Moreover, by leveraging an on-demand delivery model, we eliminate or greatly reduce the burden on suppliers to support and maintain an on-premise software application, thereby reducing ongoing operating costs. As the communication hub for trading partners, we also are able to provide increased visibility and data analytics capabilities for retailers and suppliers across their supply chains, each of which is difficult to gain from traditional, point-to-point integration solutions.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 delivers suppliers and retailers the following solutions:</w:t>
      </w:r>
    </w:p>
    <w:p>
      <w:pPr>
        <w:spacing w:after="0" w:line="90" w:lineRule="exact"/>
        <w:rPr>
          <w:sz w:val="20"/>
          <w:szCs w:val="20"/>
          <w:color w:val="auto"/>
        </w:rPr>
      </w:pPr>
    </w:p>
    <w:p>
      <w:pPr>
        <w:ind w:left="660" w:right="24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Integration. </w:t>
      </w:r>
      <w:r>
        <w:rPr>
          <w:rFonts w:ascii="Arial" w:cs="Arial" w:eastAsia="Arial" w:hAnsi="Arial"/>
          <w:sz w:val="18"/>
          <w:szCs w:val="18"/>
          <w:color w:val="auto"/>
        </w:rPr>
        <w:t>Our Trading Partner Integration solution replaces or augments an organization’s existing trading partner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infrastructure, enabling suppliers to comply with retailers’ rule books and allowing for the electronic exchange of information among numerous trading partners through various protocols.</w:t>
      </w:r>
    </w:p>
    <w:p>
      <w:pPr>
        <w:spacing w:after="0" w:line="59"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Our Trading Partner Enablement solution helps organizations, typically large retailers, implement new integrations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partners to drive automation and electronic communication across their supply chains.</w:t>
      </w:r>
    </w:p>
    <w:p>
      <w:pPr>
        <w:spacing w:after="0" w:line="50"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Trading Partner Intelligence. </w:t>
      </w:r>
      <w:r>
        <w:rPr>
          <w:rFonts w:ascii="Arial" w:cs="Arial" w:eastAsia="Arial" w:hAnsi="Arial"/>
          <w:sz w:val="18"/>
          <w:szCs w:val="18"/>
          <w:color w:val="auto"/>
        </w:rPr>
        <w:t>Our Trading Partner Intelligence solution consists of data analytics applications and allows our customers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their visibility across, and analysis of, their supply chains. Retailers improve their visibility into supplier performance and their understanding of product sell-through.</w:t>
      </w:r>
    </w:p>
    <w:p>
      <w:pPr>
        <w:spacing w:after="0" w:line="59"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Other Trading Partner Solutions. </w:t>
      </w:r>
      <w:r>
        <w:rPr>
          <w:rFonts w:ascii="Arial" w:cs="Arial" w:eastAsia="Arial" w:hAnsi="Arial"/>
          <w:sz w:val="18"/>
          <w:szCs w:val="18"/>
          <w:color w:val="auto"/>
        </w:rPr>
        <w:t>We provide a number of peripheral solutions such as barcode labeling and our scan and pack application,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helps trading partners process information to streamline the picking and packaging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and Sales Sources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one of the largest on-demand supply chain management solutions providers, the trading partner relationships that we enable among our retailer, supplier and fulfillment customers naturally lead to new customer acquisition opportunities.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“Network Effect” of SPSCommerce.net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Once connected to our network, trading partners can exchange electronic supply chain information with each other. Through our platform, we helped over 45,000 customers to communicate electronically with their trading partners. The value of our platform increases with the number of trading partners connected to the platform. The addition of each new customer to our platform allows that new customer to communicate with our existing customers and allows our existing customers to route orders to the new customer. This “network effect”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of adding an additional customer to our platform creates a significant opportunity for existing customers to realize incremental sales by working with our new trading partners and vice versa. As a result of this increased volume of activity amongst our network participants, we earn additional revenues from these participants.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Acquisition Sources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When a retailer decides to change the workflow or protocol by which it interacts with its suppliers, the retailer may engage</w:t>
      </w:r>
      <w:r>
        <w:rPr>
          <w:rFonts w:ascii="Arial" w:cs="Arial" w:eastAsia="Arial" w:hAnsi="Arial"/>
          <w:sz w:val="18"/>
          <w:szCs w:val="18"/>
          <w:i w:val="1"/>
          <w:iCs w:val="1"/>
          <w:color w:val="auto"/>
        </w:rPr>
        <w:t xml:space="preserve"> </w:t>
      </w:r>
      <w:r>
        <w:rPr>
          <w:rFonts w:ascii="Arial" w:cs="Arial" w:eastAsia="Arial" w:hAnsi="Arial"/>
          <w:sz w:val="18"/>
          <w:szCs w:val="18"/>
          <w:color w:val="auto"/>
        </w:rPr>
        <w:t>us to work with its supplier base to communicate and test the change in procedure. Performing these programs on behalf of retailers often generates supplier sales leads for us.</w:t>
      </w:r>
    </w:p>
    <w:p>
      <w:pPr>
        <w:spacing w:after="0" w:line="14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i w:val="1"/>
          <w:iCs w:val="1"/>
          <w:color w:val="auto"/>
        </w:rPr>
        <w:t xml:space="preserve">Referrals from Trading Partners. </w:t>
      </w:r>
      <w:r>
        <w:rPr>
          <w:rFonts w:ascii="Arial" w:cs="Arial" w:eastAsia="Arial" w:hAnsi="Arial"/>
          <w:sz w:val="16"/>
          <w:szCs w:val="16"/>
          <w:color w:val="auto"/>
        </w:rPr>
        <w:t>We also receive sales leads from customers of SPSCommerce.net seeking to communicate electronically with their</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partners. For example, a supplier may refer to us its third-party logistics provider or manufacturer which is not in our network.</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Channel Partners. </w:t>
      </w:r>
      <w:r>
        <w:rPr>
          <w:rFonts w:ascii="Arial" w:cs="Arial" w:eastAsia="Arial" w:hAnsi="Arial"/>
          <w:sz w:val="18"/>
          <w:szCs w:val="18"/>
          <w:color w:val="auto"/>
        </w:rPr>
        <w:t>In addition to the customer acquisition sources identified above, we market and sell our solutions through a variety of channel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software providers, resellers, system integrators and logistics partners. For example, software partners such as NetSuite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solutions as part of their service offerings. For example, we have a contractual relationship with a leading global logistics provider where we private label our solutions, which are in turn sold as that company’s branded solution.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sell our solutions through a direct sales force which is organized as follows:</w:t>
      </w:r>
    </w:p>
    <w:p>
      <w:pPr>
        <w:spacing w:after="0" w:line="90" w:lineRule="exact"/>
        <w:rPr>
          <w:sz w:val="20"/>
          <w:szCs w:val="20"/>
          <w:color w:val="auto"/>
        </w:rPr>
      </w:pPr>
    </w:p>
    <w:p>
      <w:pPr>
        <w:ind w:left="660" w:right="58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Retailer Sales. </w:t>
      </w:r>
      <w:r>
        <w:rPr>
          <w:rFonts w:ascii="Arial" w:cs="Arial" w:eastAsia="Arial" w:hAnsi="Arial"/>
          <w:sz w:val="18"/>
          <w:szCs w:val="18"/>
          <w:color w:val="auto"/>
        </w:rPr>
        <w:t>We employ a team of sales professionals who focus on selling our Trading Partner Enablement solution to retailers, grocers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w:t>
      </w:r>
    </w:p>
    <w:p>
      <w:pPr>
        <w:spacing w:after="0" w:line="50"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Supplier Sales. </w:t>
      </w:r>
      <w:r>
        <w:rPr>
          <w:rFonts w:ascii="Arial" w:cs="Arial" w:eastAsia="Arial" w:hAnsi="Arial"/>
          <w:sz w:val="18"/>
          <w:szCs w:val="18"/>
          <w:color w:val="auto"/>
        </w:rPr>
        <w:t>We employ a team of supplier sales representatives based in North America. We also maintain sales offices in China, Hong Kong and</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w:t>
      </w:r>
    </w:p>
    <w:p>
      <w:pPr>
        <w:spacing w:after="0" w:line="50"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Business Development Efforts. </w:t>
      </w:r>
      <w:r>
        <w:rPr>
          <w:rFonts w:ascii="Arial" w:cs="Arial" w:eastAsia="Arial" w:hAnsi="Arial"/>
          <w:sz w:val="16"/>
          <w:szCs w:val="16"/>
          <w:color w:val="auto"/>
        </w:rPr>
        <w:t>Our business development organization is tasked with finding new sources of revenue and development of new</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opportunities through channel partners, new solutions, geographic expansion and other areas that present opportunity for growth.</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objective is to be the leading global provider of supply chain management solutions. Key elements of our strategy include:</w:t>
      </w:r>
    </w:p>
    <w:p>
      <w:pPr>
        <w:spacing w:after="0" w:line="90" w:lineRule="exact"/>
        <w:rPr>
          <w:sz w:val="20"/>
          <w:szCs w:val="20"/>
          <w:color w:val="auto"/>
        </w:rPr>
      </w:pPr>
    </w:p>
    <w:p>
      <w:pPr>
        <w:ind w:left="660" w:hanging="206"/>
        <w:spacing w:after="0" w:line="30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Further Penetrate Our Current Market. </w:t>
      </w:r>
      <w:r>
        <w:rPr>
          <w:rFonts w:ascii="Arial" w:cs="Arial" w:eastAsia="Arial" w:hAnsi="Arial"/>
          <w:sz w:val="16"/>
          <w:szCs w:val="16"/>
          <w:color w:val="auto"/>
        </w:rPr>
        <w:t>We believe the global supply chain management market is underpenetrated and, as the supply chain ecosystem</w:t>
      </w:r>
      <w:r>
        <w:rPr>
          <w:rFonts w:ascii="Arial" w:cs="Arial" w:eastAsia="Arial" w:hAnsi="Arial"/>
          <w:sz w:val="16"/>
          <w:szCs w:val="16"/>
          <w:i w:val="1"/>
          <w:iCs w:val="1"/>
          <w:color w:val="auto"/>
        </w:rPr>
        <w:t xml:space="preserve"> </w:t>
      </w:r>
      <w:r>
        <w:rPr>
          <w:rFonts w:ascii="Arial" w:cs="Arial" w:eastAsia="Arial" w:hAnsi="Arial"/>
          <w:sz w:val="16"/>
          <w:szCs w:val="16"/>
          <w:color w:val="auto"/>
        </w:rPr>
        <w:t>becomes more complex and geographically dispersed, the demand for supply chain management solutions will increase, especially among small- and medium-sized businesses. We intend to continue leveraging our relationships with customers and their trading partners to obtain new sales leads.</w:t>
      </w:r>
    </w:p>
    <w:p>
      <w:pPr>
        <w:spacing w:after="0" w:line="25" w:lineRule="exact"/>
        <w:rPr>
          <w:rFonts w:ascii="Arial" w:cs="Arial" w:eastAsia="Arial" w:hAnsi="Arial"/>
          <w:sz w:val="16"/>
          <w:szCs w:val="16"/>
          <w:color w:val="auto"/>
        </w:rPr>
      </w:pPr>
    </w:p>
    <w:p>
      <w:pPr>
        <w:ind w:left="660" w:right="80" w:hanging="206"/>
        <w:spacing w:after="0" w:line="29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Increase Revenues from Our Customer Base. </w:t>
      </w:r>
      <w:r>
        <w:rPr>
          <w:rFonts w:ascii="Arial" w:cs="Arial" w:eastAsia="Arial" w:hAnsi="Arial"/>
          <w:sz w:val="16"/>
          <w:szCs w:val="16"/>
          <w:color w:val="auto"/>
        </w:rPr>
        <w:t>We believe our overall customer satisfaction is strong and will lead our customers to further utilize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solutions as their businesses grow, generating additional revenues for us. We also expect to introduce new solutions to sell to our customers. We believe our position as the incumbent supply chain management solution provider to our customers, our integration into our recurring revenue customers’ business systems and the modular nature of our platform are conducive to deploying additional solutions with customers.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180" w:hanging="206"/>
        <w:spacing w:after="0" w:line="33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Our Distribution Channels. </w:t>
      </w:r>
      <w:r>
        <w:rPr>
          <w:rFonts w:ascii="Arial" w:cs="Arial" w:eastAsia="Arial" w:hAnsi="Arial"/>
          <w:sz w:val="16"/>
          <w:szCs w:val="16"/>
          <w:color w:val="auto"/>
        </w:rPr>
        <w:t>We intend to grow our business by expanding our network of direct sales representatives to gain new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We also believe there are valuable opportunities to promote and sell our solutions through collaboration with other providers.</w:t>
      </w:r>
    </w:p>
    <w:p>
      <w:pPr>
        <w:spacing w:after="0" w:line="4" w:lineRule="exact"/>
        <w:rPr>
          <w:rFonts w:ascii="Arial" w:cs="Arial" w:eastAsia="Arial" w:hAnsi="Arial"/>
          <w:sz w:val="16"/>
          <w:szCs w:val="16"/>
          <w:color w:val="auto"/>
        </w:rPr>
      </w:pPr>
    </w:p>
    <w:p>
      <w:pPr>
        <w:ind w:left="660" w:right="280" w:hanging="206"/>
        <w:spacing w:after="0" w:line="30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 Our International Presence. </w:t>
      </w:r>
      <w:r>
        <w:rPr>
          <w:rFonts w:ascii="Arial" w:cs="Arial" w:eastAsia="Arial" w:hAnsi="Arial"/>
          <w:sz w:val="16"/>
          <w:szCs w:val="16"/>
          <w:color w:val="auto"/>
        </w:rPr>
        <w:t>We believe our presence in China represents a significant competitive advantage. We plan to increase our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sales efforts to obtain new supplier customers around the world. We intend to leverage our current international presence to increase the number of integrations we have with retailers in foreign markets to make our platform more valuable to suppliers based overseas.</w:t>
      </w:r>
    </w:p>
    <w:p>
      <w:pPr>
        <w:spacing w:after="0" w:line="25" w:lineRule="exact"/>
        <w:rPr>
          <w:rFonts w:ascii="Arial" w:cs="Arial" w:eastAsia="Arial" w:hAnsi="Arial"/>
          <w:sz w:val="16"/>
          <w:szCs w:val="16"/>
          <w:color w:val="auto"/>
        </w:rPr>
      </w:pPr>
    </w:p>
    <w:p>
      <w:pPr>
        <w:ind w:left="660" w:right="12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Enhance and Expand Our Platform. </w:t>
      </w:r>
      <w:r>
        <w:rPr>
          <w:rFonts w:ascii="Arial" w:cs="Arial" w:eastAsia="Arial" w:hAnsi="Arial"/>
          <w:sz w:val="18"/>
          <w:szCs w:val="18"/>
          <w:color w:val="auto"/>
        </w:rPr>
        <w:t>We intend to further improve and develop the functionality and features of our platform, including developing</w:t>
      </w:r>
      <w:r>
        <w:rPr>
          <w:rFonts w:ascii="Arial" w:cs="Arial" w:eastAsia="Arial" w:hAnsi="Arial"/>
          <w:sz w:val="18"/>
          <w:szCs w:val="18"/>
          <w:i w:val="1"/>
          <w:iCs w:val="1"/>
          <w:color w:val="auto"/>
        </w:rPr>
        <w:t xml:space="preserve"> </w:t>
      </w:r>
      <w:r>
        <w:rPr>
          <w:rFonts w:ascii="Arial" w:cs="Arial" w:eastAsia="Arial" w:hAnsi="Arial"/>
          <w:sz w:val="18"/>
          <w:szCs w:val="18"/>
          <w:color w:val="auto"/>
        </w:rPr>
        <w:t>new solutions and applications. For example, in 2009, we launched our Trading Partner Intelligence solution, which delivers data analytics applications to suppliers and retailers to improve performance.</w:t>
      </w:r>
    </w:p>
    <w:p>
      <w:pPr>
        <w:spacing w:after="0" w:line="59" w:lineRule="exact"/>
        <w:rPr>
          <w:rFonts w:ascii="Arial" w:cs="Arial" w:eastAsia="Arial" w:hAnsi="Arial"/>
          <w:sz w:val="18"/>
          <w:szCs w:val="18"/>
          <w:color w:val="auto"/>
        </w:rPr>
      </w:pPr>
    </w:p>
    <w:p>
      <w:pPr>
        <w:ind w:left="660" w:right="20" w:hanging="206"/>
        <w:spacing w:after="0" w:line="28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Selectively Pursue Strategic Acquisitions. </w:t>
      </w:r>
      <w:r>
        <w:rPr>
          <w:rFonts w:ascii="Arial" w:cs="Arial" w:eastAsia="Arial" w:hAnsi="Arial"/>
          <w:sz w:val="16"/>
          <w:szCs w:val="16"/>
          <w:color w:val="auto"/>
        </w:rPr>
        <w:t>The fragmented nature of our market provides opportunity for selective acquisitions. In 2011, we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the assets of Direct EDI LLC, a privately-held provider of cloud-based integration solutions for electronic data interchange, which expanded our base of recurring revenue customers. To complement and accelerate our internal growth, we may pursue acquisitions of other supply chain management companies to add customers. We also may pursue acquisitions that allow us to expand into regions or industries where we do not have a significant presence or to offer new functionalities we do not currently provide. We plan to evaluate potential acquisitions of other supply chain management companies primarily based on the number of customers the acquisition would provide relative to the purchase price. We plan to evaluate potential acquisitions to expand into new regions or industries or offer additional functionalities primarily based on the anticipated growth the acquisition would provide, the purchase price and our ability to integrate and operate the acquired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Development and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were an early provider of Software-as-a-Service solutions to the supply chain management industry, launching the first version of our platform in 1997.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use commercially available hardware and a combination of proprietary and commercially available software.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software we license from third parties is typically licensed to us pursuant to a multi-year or perpetual license that includes a multi-year support services agreement with the third party. Our ability to access upgrades to certain software is conditioned upon our continual maintenance of a support services agreement with the third party between the date of the initial license and the date on which we seek or are required to upgrade the software. Although we believe we could replace the software we currently license from third parties with alternative software, doing so could take time, could result in the temporary unavailability of our platform and increase our costs of operations.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scalable, on-demand platform treats all customers as logically separate tenants in central applications and databases. As a result, we spread the cost of delivering our solutions across our customer base. Because we do not manage thousands of distinct applications with their own business logic and database schemes, we believe that we can scale our business faster than traditional software vendors, even those that modified their products to be accessible over the Internet.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research and development efforts focus on improving and enhancing our existing solutions, as well as developing new solutions and applications. Because of our multi-tenant architecture, we provide our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with a single version of our platform, which we believe allows us to maintain relatively low research and development expenses compared to traditional on-premise licensed software solutions that support multiple versions.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host production and back-up servers in two third-party data centers located in Minneapolis and Saint Paul, Minnesota. We operate all of the hardware on which our applications run in the data centers.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monitoring software that continually checks our platform and key underlying components at regular intervals for availability and performance, ensuring our platform is available and providing adequate response. We also have a technology operations team that provides system provisioning, management, maintenance, monitoring and back-up.</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To facilitate high availability, we operate a multi-tiered system configuration with load-balanced web server pools, replicated database servers and fault-tolerant storage devices. Databases leverage third-party features for near real-time replication across sites.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2011, we had approximately 16,100 recurring revenue customers and over 45,000 total customers. Our primary source of revenue is from small- to mid-sized suppliers in the consumer packaged goods industry. We also generate revenues from other members of the supply chain ecosystem, including retailers, grocers, distributors, third-party logistics providers and other trading partners. No customer represented over 2% of our revenues in 2011, 2010 or 2009.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Vendors in the supply chain management industry offer solutions through three delivery methods: on demand, traditional on-premise software and managed services.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market for on-demand supply chain management solutions is fragmented and rapidly evolving. Software-as-a-Service vendors compete directly with each other based on the following:</w:t>
      </w:r>
    </w:p>
    <w:p>
      <w:pPr>
        <w:spacing w:after="0" w:line="5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pre-built connections to retailers, third-party logistics providers and other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history of establishing and maintaining reliable integration connections with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reputation of the Software-as-a-Service vendor in the supply chain management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specialization in a customer market segment;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speed and quality with which the Software-as-a-Service vendor can integrate its customers to their trading partners;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of the Software-as-a-Service solution, such as the ability to integrate the solution with a customer’s business systems;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complementary supply chain management solutions the Software-as-a-Service vendor offers;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training and customer support services provided during and after a customer’s initial integration.</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expect to encounter new and increased competition as this market segment consolidates and matures. Consolidation among Software-as-a-Service vendors could create a direct competitor that is able to compete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us more effectively than the numerous, smaller vendors currently offering Software-as-a-Service supply chain management solutions. Increased competition from Software-as-a-Service vendors could reduce our market share, revenues and operating margins or otherwise adversely affect our business.</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Software-as-a-Service vendors also compete with traditional on-premise software companies and managed service providers. Traditional on-premise software companies focused on supply chain integration management include Sterling Commerce, a subsidiary of IBM, GXS Corporation, Extol International and Seeburger. These companies offer a “do-it-yourself” approach in which customers purchase, install and manage specialized software, hardware and value-added networks for their supply chain integration needs. This approach requires customers to invest in staff to operate and maintain the software. Traditional on-premise software companies use a single-tenant approach in which information maps to retailers are built for and used by one supplier, as compared to Software-as-a-Service solutions that allow multiple customers to share information maps with a retailer.</w:t>
      </w:r>
    </w:p>
    <w:p>
      <w:pPr>
        <w:spacing w:after="0" w:line="12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Managed service providers focused on the supply chain management market include Sterling Commerce and GXS. These companies combine traditional on-premise software, hardware and value-added networks with professional information technology services to manage these resources. Like traditional on-premise software companies, managed service providers use a single-tenant approach.</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Customers of traditional on-premise software companies and managed service providers typically make significant upfront investments in the supply chain management solutions these competitors provide, which can decrease the customers’ willingness to abandon their investments in favor of a Software-as-a-Service solution. Software-as-a-Service supply chain management solutions also are at a relatively early stage of development compared to traditional on-premise software and managed service providers. Software-as-a-Service vendors compete with these better established solutions based on total cost of ownership and flexibility. If suppliers do not perceive the benefits of Software-as-a-Service solutions, or if suppliers are unwilling to abandon their investments in other supply chain management solutions, our business and growth may suffer. In addition, many traditional on-premise software companies and managed service providers have larger customer bases and may be better capitalized than we are, which may provide them with an advantage in developing, marketing or servicing solutions that compete with ours.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Content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rely on a combination of copyright, trademark and trade secret laws in the United States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registered the marks SPSCommerce.net and SPS Commerce in the United States. We do not have any patents or applications for patents. Our trade secrets consist primarily of the software we have developed for our SPSCommerce.net integration center. Our software is also protected under copyright law, but we do not have any registered copyrights.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As of December 31, 2011, we had 474 employees. We also employ independent contractors to support our operations. We believe that our continued success will depend on our ability to continue to attract and retain skilled technical and sales personnel. We have never had a work stoppage, and none of our employees are represented by a labor union. We believe our relationship with our employees is good.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We were originally incorporated as St. Paul Software, Inc., a Minnesota corporation, on January 28, 1987. On May 30, 2001, we reincorporated in Delaware under our current name, SPS Commerce, Inc. Our principal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executive offices are located at 333 South Seventh Street, Suite 1000, Minneapolis, Minnesota 55402, and our telephone number is (612) 435-9400. Our website address is </w:t>
      </w:r>
      <w:r>
        <w:rPr>
          <w:rFonts w:ascii="Arial" w:cs="Arial" w:eastAsia="Arial" w:hAnsi="Arial"/>
          <w:sz w:val="16"/>
          <w:szCs w:val="16"/>
          <w:i w:val="1"/>
          <w:iCs w:val="1"/>
          <w:color w:val="auto"/>
        </w:rPr>
        <w:t>www.spscommerce.com</w:t>
      </w:r>
      <w:r>
        <w:rPr>
          <w:rFonts w:ascii="Arial" w:cs="Arial" w:eastAsia="Arial" w:hAnsi="Arial"/>
          <w:sz w:val="16"/>
          <w:szCs w:val="16"/>
          <w:color w:val="auto"/>
        </w:rPr>
        <w:t xml:space="preserve">. Information on our website does not constitute part of this Annual Report on Form 10-K or any other report we file or furnish with the Securities and Exchange Commission (“SEC”). We provide free access to various reports that we file with or furnish to the SEC through our website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Stockholders may also request copies of these documents from:</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SPS Commerce,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Minneapolis, MN 55402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names, ages and titles of the persons serving as our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406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C. Black</w:t>
            </w: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70"/>
              </w:rPr>
              <w:t>Archie</w:t>
            </w:r>
          </w:p>
        </w:tc>
        <w:tc>
          <w:tcPr>
            <w:tcW w:w="5280" w:type="dxa"/>
            <w:vAlign w:val="bottom"/>
            <w:vMerge w:val="continue"/>
          </w:tcPr>
          <w:p>
            <w:pPr>
              <w:spacing w:after="0"/>
              <w:rPr>
                <w:sz w:val="16"/>
                <w:szCs w:val="16"/>
                <w:color w:val="auto"/>
              </w:rPr>
            </w:pPr>
          </w:p>
        </w:tc>
        <w:tc>
          <w:tcPr>
            <w:tcW w:w="220" w:type="dxa"/>
            <w:vAlign w:val="bottom"/>
          </w:tcPr>
          <w:p>
            <w:pPr>
              <w:jc w:val="right"/>
              <w:spacing w:after="0" w:line="195" w:lineRule="exact"/>
              <w:rPr>
                <w:sz w:val="20"/>
                <w:szCs w:val="20"/>
                <w:color w:val="auto"/>
              </w:rPr>
            </w:pPr>
            <w:r>
              <w:rPr>
                <w:rFonts w:ascii="Arial" w:cs="Arial" w:eastAsia="Arial" w:hAnsi="Arial"/>
                <w:sz w:val="18"/>
                <w:szCs w:val="18"/>
                <w:color w:val="auto"/>
                <w:w w:val="99"/>
              </w:rPr>
              <w:t>49</w:t>
            </w:r>
          </w:p>
        </w:tc>
        <w:tc>
          <w:tcPr>
            <w:tcW w:w="4060" w:type="dxa"/>
            <w:vAlign w:val="bottom"/>
            <w:gridSpan w:val="3"/>
          </w:tcPr>
          <w:p>
            <w:pPr>
              <w:ind w:left="320"/>
              <w:spacing w:after="0" w:line="195" w:lineRule="exact"/>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Kimberly K. Nelson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James J. Frome</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47</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w w:val="90"/>
              </w:rPr>
              <w:t>Executive Vice President and Chief Strategy Officer</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Michael J. Gray</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Executive Vice President of Operations</w:t>
            </w: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David J. Novak, Jr.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w w:val="91"/>
              </w:rPr>
              <w:t>Executive Vice President of Business Development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Archie C. Black </w:t>
      </w:r>
      <w:r>
        <w:rPr>
          <w:rFonts w:ascii="Arial" w:cs="Arial" w:eastAsia="Arial" w:hAnsi="Arial"/>
          <w:sz w:val="18"/>
          <w:szCs w:val="18"/>
          <w:color w:val="auto"/>
        </w:rPr>
        <w:t>joined us in 1998 as our Senior Vice President and Chief Financial Officer and served in those capacities until becoming our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and a director in 2001. Prior to joining us, Mr. Black was a Senior Vice President and Chief Financial Officer at Investment Advisors, Inc. in Minneapolis, Minnesota. Prior to Investment Advisors, he spent three years at Price Waterhouse.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Kimberly K. Nelson </w:t>
      </w:r>
      <w:r>
        <w:rPr>
          <w:rFonts w:ascii="Arial" w:cs="Arial" w:eastAsia="Arial" w:hAnsi="Arial"/>
          <w:sz w:val="18"/>
          <w:szCs w:val="18"/>
          <w:color w:val="auto"/>
        </w:rPr>
        <w:t>has served as our Executive Vice President and Chief Financial Officer since November 2007. Prior to joining us, Ms. Nelson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Finance Director, Investor Relations for Amazon.com from June 2005 through November 2007. From April 2003 until June 2005, she served as the Finance Director, Worldwide Application for Amazon.com’s Technology group. Ms. Nelson also served as Amazon.com’s Finance Director, Financial Planning and Analysis from December 2000 until April 2003.</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James J. Frome </w:t>
      </w:r>
      <w:r>
        <w:rPr>
          <w:rFonts w:ascii="Arial" w:cs="Arial" w:eastAsia="Arial" w:hAnsi="Arial"/>
          <w:sz w:val="18"/>
          <w:szCs w:val="18"/>
          <w:color w:val="auto"/>
        </w:rPr>
        <w:t>has served as our Executive Vice President and Chief Strategy Officer since March 2001. Mr. Frome served 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from July 2000 to March 2001. Prior to joining us, he served as a Divisional Vice President of marketing at Sterling Software, Inc. from 1999 to 2000. Prior to joining Sterling Software, he served as a Senior Product Manager and Director of Product Management at Information Advantage, Inc. from 1993 to 1999.</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Michael J. Gray </w:t>
      </w:r>
      <w:r>
        <w:rPr>
          <w:rFonts w:ascii="Arial" w:cs="Arial" w:eastAsia="Arial" w:hAnsi="Arial"/>
          <w:sz w:val="18"/>
          <w:szCs w:val="18"/>
          <w:color w:val="auto"/>
        </w:rPr>
        <w:t>has served as our Executive Vice President of Operations since November 2008. Prior to joining us, Mr. Gray served as Chief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at IDeaS Revenue Optimization from October 2007 to November 2008. From 2001 to October 2007, Mr. Gray served as Senior Director of Technology at Thomson Corporation (formerly West Publishing). Mr. Gray also served in various leadership and technical position at Thomson Corporation prior to his promotion to Senior Director of Technology.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David J. Novak</w:t>
      </w:r>
      <w:r>
        <w:rPr>
          <w:rFonts w:ascii="Arial" w:cs="Arial" w:eastAsia="Arial" w:hAnsi="Arial"/>
          <w:sz w:val="16"/>
          <w:szCs w:val="16"/>
          <w:color w:val="auto"/>
        </w:rPr>
        <w:t>, Jr. has served as our Executive Vice President of Business Development since 2007. Prior to joining us, he served as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North America-Business Intelligence for Oracle Corporation from January 2006 to June 2007. Prior to Oracle’s acquisition of Siebel Systems, Inc. in 2006, he served as Regional Vice President of Sales — Western U.S. and Asia Pacific for Siebel Systems’ business intelligence division starting in 2001.</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Set forth below and elsewhere in this Annual Report on Form 10-K, and in other documents we file with the Securities and Exchange Commission, are risks and uncertainties that could cause our actual results to differ materially from the results contemplated by the forward-looking statements contained in this Annual Report on Form 10-K and in other written and oral communications from time to time. Our business could be harmed by any of these risks. The trading price of our common stock could decline due to any of these risks. In assessing these risks, you should also refer to the other information contained in this Annual Report on Form 10-K, including our financial statements and related notes.</w:t>
      </w:r>
    </w:p>
    <w:p>
      <w:pPr>
        <w:spacing w:after="0" w:line="197" w:lineRule="exact"/>
        <w:rPr>
          <w:sz w:val="20"/>
          <w:szCs w:val="20"/>
          <w:color w:val="auto"/>
        </w:rPr>
      </w:pPr>
    </w:p>
    <w:p>
      <w:pPr>
        <w:ind w:left="240" w:right="460"/>
        <w:spacing w:after="0" w:line="332" w:lineRule="auto"/>
        <w:rPr>
          <w:sz w:val="20"/>
          <w:szCs w:val="20"/>
          <w:color w:val="auto"/>
        </w:rPr>
      </w:pPr>
      <w:r>
        <w:rPr>
          <w:rFonts w:ascii="Arial" w:cs="Arial" w:eastAsia="Arial" w:hAnsi="Arial"/>
          <w:sz w:val="16"/>
          <w:szCs w:val="16"/>
          <w:b w:val="1"/>
          <w:bCs w:val="1"/>
          <w:i w:val="1"/>
          <w:iCs w:val="1"/>
          <w:color w:val="auto"/>
        </w:rPr>
        <w:t>The market for on-demand supply chain management solutions is at an early stage of development. If this market does not develop or develops more slowly than we expect, our revenues may decline or fail to grow and we may incur operating losses.</w:t>
      </w:r>
    </w:p>
    <w:p>
      <w:pPr>
        <w:spacing w:after="0" w:line="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derive, and expect to continue to derive, substantially all of our revenues from providing on-demand supply chain management solutions to suppliers. The market for on-demand supply chain management solutions is in an early stage of development, and it is uncertain whether these solutions will achieve and sustain high levels of demand and market acceptance. Our success will depend on the willingness of suppliers to accept our on-demand supply chain management solutions as an alternative to traditional licensed hardware and software solutions.</w:t>
      </w:r>
    </w:p>
    <w:p>
      <w:pPr>
        <w:spacing w:after="0" w:line="11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Some suppliers may be reluctant or unwilling to use our on-demand supply chain management solutions for a number of reasons, including existing investments in supply chain management technology. Supply chain management functions traditionally have been performed using purchased or licensed hardware and software implemented by each supplier. Because this traditional approach often requires significant initial investments to purchase the necessary technology and to establish systems that comply with retailers’ unique requirements, suppliers may be unwilling to abandon their current solutions for our on-demand supply chain management solutions.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factors that may limit market acceptance of our on-demand supply chain management solutions include:</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high levels of customer satisfaction;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continuity of service for all users of our platform;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performance and availability of competing solutions;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assuage suppliers’ confidentiality concerns about information stored outside of their controlled computing environments.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suppliers do not perceive the benefits of our on-demand supply chain management solutions, or if suppliers are unwilling to accept our platform as an alternative to the traditional approach, the market for our solutions might not continue to develop or might develop more slowly than we expect, either of which would significantly adversely affect our revenues and growth prospects.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We do not have long-term contracts with our recurring revenue customers, and our success therefore depends on our ability to maintain a high level of customer satisfaction and a strong reputation in the supply chain management industry.</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contracts with our recurring revenue customers typically allow the customer to cancel the contract for any reason with 30 days prior notice. Our continued success therefore depends significantly on our ability to meet or exceed our recurring revenue customers’ expectations because most recurring revenue customers do not make long-term commitments to use our solutions. In addition, if our reputation in the supply chain management industry is harmed or diminished for any reason, our recurring revenue customers have the ability to terminate their relationship with us on short notice and seek alternative supply chain management solutions. If a significant number of recurring revenue customers seek to terminate their relationship with us, our business, results of operations and financial condition can be adversely affected in a short period of time.</w:t>
      </w:r>
    </w:p>
    <w:p>
      <w:pPr>
        <w:spacing w:after="0" w:line="201"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Continued economic weakness and uncertainty could adversely affect our revenue, lengthen our sales cycles and make it difficult for us to forecast operating results accurately.</w:t>
      </w:r>
    </w:p>
    <w:p>
      <w:pPr>
        <w:spacing w:after="0" w:line="5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revenues depend significantly on general economic conditions and the health of retailers. Economic weakness and constrained retail spending adversely affected revenue growth rates in late 2008 and similar circumstances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makes it difficult for us to forecast operating results and to make decisions about future investments. In addition, economic conditions or uncertainty may cause customers and potential customers to reduce or delay technology purchases, including purchases of our solutions. Our sales cycle may lengthen if purchasing decisions are delayed as a result of uncertain information technology or development budgets or contract negotiations become more protracted or difficult as customers institute additional internal approvals for information technology purchases. Delays or reductions in information technology spending could have a material adverse effect on demand for our solutions, and consequently our results of operations, prospects and stock price.</w:t>
      </w:r>
    </w:p>
    <w:p>
      <w:pPr>
        <w:spacing w:after="0" w:line="201"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or sell additional solutions, or if our customers do not increase their use of our solutions, our revenue growth and profitability will be adversely affected.</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increase our revenues and achieve and maintain profitability, we must regularly add new customers, sell additional solutions and our customers must increase their use of the solutions for which they currently subscribe. We intend to grow our business by hiring additional inside sales personnel, developing strategic relationships with resellers, including resellers that incorporate our applications in their offerings, and increasing our marketing activities. In addition, we derived more than 90% of our revenues from sales of our Trading Partner Integration solution in 2011, 2010 and 2009 and have not yet received significant revenues from solutions and applications that we introduced in 2009. If we are unable to hire or retain quality sales personnel, convert companies that have been referred to us by our existing network into paying customers, ensure the effectiveness of our marketing programs, or if our existing or new customers do not perceive our solutions to be of sufficiently high value and quality, we might not be able to increase sales and our operating results will be adversely affected. In addition, if we fail to sell our new solutions to existing or new customers, we will not generate anticipated revenues from these solutions, our operating results will suffer and we might be unable to grow our revenues or achieve or maintain profitability.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quarterly results of operations may fluctuate in the future, which could result in volatility in our stock price.</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quarterly revenues and results of operations have varied in the past and may fluctuate as a result of a variety of factors, including the success of our new offerings such as our Trading Partner Intelligence solution.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our quarterly revenues or results of operations fluctuate, the price of our common stock could decline substantially. Fluctuations in our results of operations may be due to a number of factors, including, but not limited to, those listed below and identified throughout this “Risk Factors” section:</w:t>
      </w:r>
    </w:p>
    <w:p>
      <w:pPr>
        <w:spacing w:after="0" w:line="4" w:lineRule="exact"/>
        <w:rPr>
          <w:sz w:val="20"/>
          <w:szCs w:val="20"/>
          <w:color w:val="auto"/>
        </w:rPr>
      </w:pPr>
    </w:p>
    <w:p>
      <w:pPr>
        <w:ind w:left="660" w:right="24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increase sales to customers and attract new customers, including our ability to maintain and increase our number of recurring revenue customers;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introductions of new solutions or upgrades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the economy, in particular as it affects the retail sector;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including entry into the industry by new competitors and new offerings by existing competitors;</w:t>
      </w:r>
    </w:p>
    <w:p>
      <w:pPr>
        <w:spacing w:after="0" w:line="90"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our expenses, including stock-based compensation and expenditures related to expanding our operations, supporting new customers, performing research and development, or introducing new solutions;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payment terms for our solutions.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Due to the foregoing factors, and the other risks discussed in this Annual Report on Form 10-K, you should not rely on comparisons of our results of operations as an indication of our future performance.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incurred operating losses in the past and may incur operating losses in the future.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began operating our supply chain management solution business in 1997. Throughout most of our history, we have experienced net losses and negative cash flows from operations. As of December 31, 2011, we had an accumulated deficit of $49.1 million. We expect our operating expenses to continue to increase in the future as we expand our operations. If our revenues do not continue to grow to offset these increased expenses, we may not be profitable. We cannot assure you that we will be able to maintain profitability. You should not consider recent revenue growth as indicative of our future performance. In fact, in future periods, we may not have any revenue growth, or our revenues could decline.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inability to adapt to rapid technological change could impair our ability to remain competitive.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industry in which we compete is characterized by rapid technological change, frequent introductions of new products and evolving industry standards. Our ability to attract new customers and increase revenues from customers will depend in significant part on our ability to anticipate industry standards and to continue to enhance existing solutions or introduce or acquire new solutions on a timely basis to keep pace with technological developments. The success of any enhancement or new solution depends on several factors, including the timely completion, introduction and market acceptance of the enhancement or solution. Any new solution we develop or acquire might not be introduced in a timely or cost-effective manner and might not achieve the broad market acceptance necessary to generate significant revenues. For example, we introduced our Trading Partner Intelligence solution during 2009, but we have not yet received significant revenues from this solution. If any of our competitors implements new technologies before we are able to implement them, those competitors may be able to provide more effective solutions than ours at lower prices. Any delay or failure in the introduction of new or enhanced solutions could adversely affect our business, results of operations and financial condition.</w:t>
      </w:r>
    </w:p>
    <w:p>
      <w:pPr>
        <w:spacing w:after="0" w:line="201"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We may experience service failures or interruptions due to defects in the hardware, software, infrastructure, third party components or processes that comprise our existing or new solutions, any of which could adversely affect our business.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Technology solutions as complex as ours may contain undetected defects in the hardware, software, infrastructure, third party components or processes that are part of the solutions we provide. If these defects lead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service failures, we could experience delays or lost revenues during the period required to correct the cause of the defects. We cannot be certain that defects will not be found in new solutions or upgraded solutions, resulting in loss of, or delay in, market acceptance, which could have an adverse effect on our business, results of operations and financial condition.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customers use our on-demand supply chain management solutions for critical business processes, any defect in our solutions, any disruption to our solutions or any error in execution could cause recurring revenue customers to cancel their contracts with us, prevent potential customers from joining our network and harm our reputation. Although most of our contracts with our customers limit our liability to our customers for these defects, disruptions or errors, we nonetheless could be subject to litigation for actual or alleged losses to our customers’ businesses, which may require us to spend significant time and money in litigation or arbitration or to pay significant settlements or damages. We do not currently maintain any warranty reserves. Defending a lawsuit, regardless of its merit, could be costly and divert management’s attention and could cause our business to suffer.</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insurers under our existing liability insurance policy could deny coverage of a future claim that results from an error or defect in our technology or a resulting disruption in our solutions, or our existing liability insurance might not be adequate to cover all of the damages and other costs of such a claim. Moreover, we cannot assure you that our current liability insurance coverage will continue to be available to us on acceptable terms or at all. The successful assertion against us of one or more large claims that exceeds our insurance coverage, or the occurrence of changes in our liability insurance policy, including an increase in premiums or imposition of large deductible or co-insurance requirements, could have an adverse effect on our business, financial condition and operating results. Even if we succeed in litigation with respect to a claim, we are likely to incur substantial costs and our management’s attention will be diverted from our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delays from third-party data centers could impair the delivery of our solutions and our business could suffer.</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use two third-party data centers, located in Minneapolis and Saint Paul, Minnesota, to conduct our operations. All of our solutions reside on hardware that we own or lease and operate in these locations. Our operations depend on the protection of the equipment and information we store in these third-party centers against damage or service interruptions that may be caused by fire, flood, severe storm, power loss, telecommunications failures, unauthorized intrusion, computer viruses and disabling devices, denial of service attacks, natural disasters, war, criminal act, military action, terrorist attack and other similar events beyond our control. A prolonged service disruption affecting our solutions for any of the foregoing reasons could damage our reputation with current and potential customers, expose us to liability, cause us to lose recurring revenue customers or otherwise adversely affect our business. We may also incur significant costs for using alternative equipment or taking other actions in preparation for, or in reaction to, events that damage the data centers we use.</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on-demand supply chain management solutions are accessed by a large number of customers at the same time. As we continue to expand the number of our customers and solutions available to our customers, we may not be able to scale our technology to accommodate the increased capacity requirements, which may result in interruptions or delays in service. In addition, the failure of our third-party data centers to meet our capacity requirements could result in interruptions or delays in our solutions or impede our ability to scale our operations. In the event that our data center arrangements are terminated, or there is a lapse of service or damage to such facilities, we could experience interruptions in our solutions as well as delays and additional expense in arranging new facilities and services.</w:t>
      </w:r>
    </w:p>
    <w:p>
      <w:pPr>
        <w:spacing w:after="0" w:line="225"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b w:val="1"/>
          <w:bCs w:val="1"/>
          <w:i w:val="1"/>
          <w:iCs w:val="1"/>
          <w:color w:val="auto"/>
        </w:rPr>
        <w:t>A failure to protect the integrity and security of our customers’ information could expose us to litigation, materially damage our reputation and harm our business, and the costs of preventing such a failure could adversely affect our results of operations.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business involves the collection and use of confidential information of our customers and their trading partners. We cannot assure you that our efforts to protect this confidential information will be successful. If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compromise of this information security were to occur, we could be subject to legal claims and government action, experience an adverse effect on our reputation and need to incur significant additional costs to protect against similar information security breaches in the future, each of which could adversely affect our financial condition, results of operations and growth prospects. In addition, because of the critical nature of data security, any perceived breach of our security measures could cause existing or potential customers not to use our solutions and could harm our reputation.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Evolving regulation of the Internet may increase our expenditures related to compliance efforts, which may adversely affect our financial condition.</w:t>
      </w:r>
    </w:p>
    <w:p>
      <w:pPr>
        <w:spacing w:after="0" w:line="1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Internet commerce continues to evolve, increasing regulation by federal, state or foreign agencies becomes more likely. We are particularly sensitive to these risks because the Internet is a critical component of our on-demand business model. For example, we believe that increased regulation is likely in the area of data privacy, and laws and regulations applying to the solicitation, collection, processing or use of personal or consumer information could affect our customers’ ability to use and share data, potentially reducing demand for solutions accessed via the Internet and restricting our ability to store, process and share data with our clients via the Internet.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use of the Internet and the viability of Internet-based services, which could harm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protect our intellectual property and proprietary rights adequately, our business could be adversely affected.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proprietary technology is essential to establishing and maintaining our leadership position. We seek to protect our intellectual property through trade secrets, copyrights, confidentiality, non-compete and nondisclosure agreements, trademarks, domain names and other measures, some of which afford only limited protection. We do not have any patents, patent applications or registered copyrights. Despite our efforts to protect our proprietary rights, unauthorized parties may attempt to copy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as great an extent as the laws of the United States. Intellectual property protections may also be unavailable, limited or difficult to enforce in some countries, which could make it easier for competitors to capture market share. Our failure to protect adequately our intellectual property and proprietary rights could adversely affect our business, financial condition and results of operations.</w:t>
      </w:r>
    </w:p>
    <w:p>
      <w:pPr>
        <w:spacing w:after="0" w:line="201"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time-consuming litigation or expensive licenses and our business might be harmed.</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Internet supply chain management and technology industries are characterized by the existence of a large number of patents, copyrights, trademarks and trade secrets and by frequent litigation based on allegations of infringement or other violations of intellectual property rights. As we seek to extend our solutions, we could be constrained by the intellectual property rights of others.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might not prevail in any intellectual property infringement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If our solutions violate any third-party proprietary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successful and, in any case, might substantially increase our costs and harm our business, financial condition and operating results. Withdrawal of any of our solutions from the market might harm our business, financial condition and operating results.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incorporate open source software into our platform.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or to discontinue sales of our solutions, or to release our proprietary software code under the terms of an open source license, any of which could adversely affect our business.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 party hardware and software that could take a significant time to replace or upgrade.</w:t>
      </w:r>
    </w:p>
    <w:p>
      <w:pPr>
        <w:spacing w:after="0" w:line="9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rely on hardware and software licensed from third parties to offer our on-demand supply chain management solutions. This hardware and software, as well as maintenance rights for this hardware and software, may not continue to be available to us on commercially reasonable terms, or at all. If we lose the right to use or upgrade any of these licenses, our customers could experience delays or be unable to access our solutions until we can obtain and integrate equivalent technology. There might not always be commercially reasonable hardware or software alternatives to the third-party hardware and software that we currently license. Any such alternatives could be more difficult or costly to replace than the third-party hardware and software we currently license, and integration of the alternatives into our platform could require significant work and substantial time and resources. Any delays or failures associated with our platform could injure our reputation with customers and potential customers and result in an adverse effect on our business, results of operations and financial condition.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new products and changes to existing products could fail to attract or retain users or generate revenue.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ability to retain, increase and engage our customers and to increase our revenues will depend heavily on our ability to create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engage customers, we may fail to attract or retain customers or to generate sufficient revenues, operating margin, or other value to justify our investments and our business may be adversely affected. In the future, we may invest in new products and initiatives to generate revenue, but there is no guarantee these approaches will be successful. If we are not successful with new approaches to monetization, we may not be able to maintain or grow our revenues as anticipated or recover any associated development costs, and our financial results could be adversely affected.</w:t>
      </w:r>
    </w:p>
    <w:p>
      <w:pPr>
        <w:spacing w:after="0" w:line="199" w:lineRule="exact"/>
        <w:rPr>
          <w:sz w:val="20"/>
          <w:szCs w:val="20"/>
          <w:color w:val="auto"/>
        </w:rPr>
      </w:pPr>
    </w:p>
    <w:p>
      <w:pPr>
        <w:ind w:left="240" w:right="220"/>
        <w:spacing w:after="0" w:line="332" w:lineRule="auto"/>
        <w:rPr>
          <w:sz w:val="20"/>
          <w:szCs w:val="20"/>
          <w:color w:val="auto"/>
        </w:rPr>
      </w:pPr>
      <w:r>
        <w:rPr>
          <w:rFonts w:ascii="Arial" w:cs="Arial" w:eastAsia="Arial" w:hAnsi="Arial"/>
          <w:sz w:val="16"/>
          <w:szCs w:val="16"/>
          <w:b w:val="1"/>
          <w:bCs w:val="1"/>
          <w:i w:val="1"/>
          <w:iCs w:val="1"/>
          <w:color w:val="auto"/>
        </w:rPr>
        <w:t>Our business is dependent on our ability to maintain and scale our technical infrastructure, and any significant disruption in our service could damage our reputation, result in a potential loss of users and engagement, and adversely affect our financial results.</w:t>
      </w:r>
    </w:p>
    <w:p>
      <w:pPr>
        <w:spacing w:after="0" w:line="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reputation and ability to attract, retain and serve our customers is dependent upon the reliable performance of SPSCommerce.net and our underlying technical infrastructure. As our user base and the amount and types of information shared on SPSCommerce.net continue to grow, we will need an increasing amount of technical infrastructure, including network capacity and computing power, to continue to satisfy the needs of our users. It is possible that we may fail to effectively scale and grow our technical infrastructure to accommodate these increased demands.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software is highly technical, and if it contains undetected errors, our business could be adversely affected.</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products incorporate software that is highly technical and complex. Our software has contained, and may now or in the future contain, undetected errors, bugs or vulnerabilities. Some errors in our software code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may only be discovered after the code has been released. Any errors, bugs or vulnerabilities discovered in our code after release could result in damage to our reputation, loss of customers, loss of revenue or liability for damages, any of which could adversely affect our business and financial results.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Computer malware, viruses, hacking and phishing attacks, and spamming could harm our business and results of operations.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Computer malware, viruses, and computer hacking and phishing attacks have become more prevalent in our industry, have occurred on our systems in the past, and may occur on our systems in the future. Because of our significant presence in the retail industry, we believe that we are a particularly attractive target for such attacks. Though it is difficult to determine what, if any, harm may directly result from any specific interruption or attack, any failure to maintain performance, reliability, security and availability of our products and technical infrastructure to the satisfaction of our users may harm our reputation and our ability to retain existing customers and attract new customers.</w:t>
      </w:r>
    </w:p>
    <w:p>
      <w:pPr>
        <w:spacing w:after="0" w:line="224"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may pursue acquisitions and our potential inability to successfully integrate newly acquired companies or businesses could adversely affect our financial results.</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may pursue acquisitions of other companies or their businesses in the future. If we complete acquisitions, we face many risks commonly encountered with growth through acquisitions. These risks include:</w:t>
      </w:r>
    </w:p>
    <w:p>
      <w:pPr>
        <w:spacing w:after="0" w:line="51"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incurring significantly higher than anticipated capital expenditures and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assimilate the operations and personnel of the acquired company or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disrupting our ongoing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dissipating our management resources;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failing to maintain uniform standards, controls and policies;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impairing relationships with employees and customers as a result of changes in management.</w:t>
      </w:r>
    </w:p>
    <w:p>
      <w:pPr>
        <w:spacing w:after="0" w:line="171"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Fully integrating an acquired company or business into our operations may take a significant amount of time.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Acquisitions could include significant goodwill and intangible assets, which may result in future impairment charges that would reduce our stated earnings.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our U.S. net operating loss carryforwards might be limited.</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2011, we had net operating loss carryforwards of $51.1 million for U.S. federal tax purposes and $22.5 million for state tax purposes. These loss carryforwards expire between 2012 and 2031. To the extent these net operating loss carryforwards are available, we intend to use them to reduce the corporate income tax liability associated with our operations. 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impact the analysis. We believe that approximately $17.6 million of federal losses and $13.0 million of state losses will expire unused due to Section 382 limitations. The maximum annual limitation under Section 382 is approximately $990,000. The limitation could be further restricted if ownership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changes occur in future years. To the extent our use of net operating loss carryforwards is significantly limited, our taxable income could be subject to corporate income tax earlier than it would if we were able to use net operating loss carryforwards, which could result in lower profits.</w:t>
      </w:r>
    </w:p>
    <w:p>
      <w:pPr>
        <w:spacing w:after="0" w:line="166" w:lineRule="exact"/>
        <w:rPr>
          <w:sz w:val="20"/>
          <w:szCs w:val="20"/>
          <w:color w:val="auto"/>
        </w:rPr>
      </w:pPr>
    </w:p>
    <w:p>
      <w:pPr>
        <w:ind w:left="240" w:right="520"/>
        <w:spacing w:after="0" w:line="268"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markets for supply chain management solutions are increasingly competitive and global. We expect competition to increase in the future both from existing competitors and new companies that may enter our markets. Increased competition could result in pricing pressure, reduced sales, lower margins or the failure of our solutions to achieve or maintain broad market acceptance. We face competition from:</w:t>
      </w:r>
    </w:p>
    <w:p>
      <w:pPr>
        <w:spacing w:after="0" w:line="59"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Software-as-a-Service providers that deliver business-to-business information systems using a multi-tenant approach;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traditional on-premise software providers;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managed service providers that combine traditional on-premise software with professional information technology services.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remain competitive, we will need to invest continuously in software development, marketing, customer service and support and product delivery infrastructure. However, we cannot assure you that new or established competitors will not offer solutions that are superior to or lower in price than ours. We may not have sufficient resources to continue the investments in all areas of software development and marketing needed to maintain our competitive position. In addition, some of our competitors are better capitalized than us, which may provide them with an advantage in developing, marketing or servicing new solutions. Increased competition could reduce our market share, revenues and operating margins, increase our costs of operations and otherwise adversely affect our business.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Mergers or other strategic transactions involving our competitors could weaken our competitive position, which could harm our operating results.</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industry is highly fragmented, and we believe it is likely that our existing competitors will continue to consolidate or will be acquired. For example, in June 2010, GXS Corporation and Inovis, two large, on-premise software companies, merged to create an e-commerce business that is much larger than ours. In addition, some of our competitors may enter into new alliances with each other or may establish or strengthen cooperative relationships with systems integrators, third-party consulting firms or other parties. Any such consolidation, acquisition, alliance or cooperative relationship could lead to pricing pressure and our loss of market share and could result in a competitor with greater financial, technical, marketing, service and other resources, all of which could have a material adverse effect on our business, operating results and financial condition.</w:t>
      </w:r>
    </w:p>
    <w:p>
      <w:pPr>
        <w:spacing w:after="0" w:line="201"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If we fail to retain our Chief Executive Officer and other key personnel, our business would be harmed and we might not be able to implement our business plan successfully.</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Given the complex nature of the technology on which our business is based and the speed with which such technology advances, our future success is dependent, in large part, upon our ability to attract and retain highly qualified managerial, technical and sales personnel. In particular, Archie C. Black, our Chief Executive Officer and President, Kimberly K. Nelson, our Executive Vice President and Chief Financial Officer, James J. Frome, our Executive Vice President and Chief Strategy Officer, Michael J. Gray, our Executive Vice President of Operations, and David J. Novak, Jr., our Executive Vice President of Business Development, are critical to the management of our business and operations. Competition for talented personnel is intense, and we cannot be certain that we can retain our managerial, technical and sales personnel or that we can attract, assimilate or retain such personnel in the future. Our inability to attract and retain such personnel could have an adverse effect on our business, results of operations and financial condition.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5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experienced a period of rapid growth in our headcount and operations. To the extent that we are able to sustain such growth, it will place a significant strain on our management, administrative, operational and financial infrastructure.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 The additional headcount we are adding will increase our cost base, which will make it more difficult for us to offset any future revenue shortfalls by reducing expenses in the short term. If we fail to successfully manage our growth, we will be unable to execute our business plan.</w:t>
      </w:r>
    </w:p>
    <w:p>
      <w:pPr>
        <w:spacing w:after="0" w:line="199"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w:t>
      </w:r>
    </w:p>
    <w:p>
      <w:pPr>
        <w:spacing w:after="0" w:line="59" w:lineRule="exact"/>
        <w:rPr>
          <w:sz w:val="20"/>
          <w:szCs w:val="20"/>
          <w:color w:val="auto"/>
        </w:rPr>
      </w:pPr>
    </w:p>
    <w:p>
      <w:pPr>
        <w:ind w:right="260" w:firstLine="456"/>
        <w:spacing w:after="0" w:line="288"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There can be no assurance that material weaknesses will not be identified in the future. Furthermore, implementing any appropriate future changes to our internal control over financial reporting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the market price of our common stock could decline.</w:t>
      </w:r>
    </w:p>
    <w:p>
      <w:pPr>
        <w:spacing w:after="0" w:line="201"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62"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and enhance our solutions;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expand our technology development, sales and marketing organizations;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train and retain employees;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inability to do any of the foregoing could reduce our ability to compete successfully and adversely affect our results of operations.</w:t>
      </w:r>
    </w:p>
    <w:p>
      <w:pPr>
        <w:spacing w:after="0" w:line="252"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Because our long-term success depends, in part, on our ability to expand the sales of our solutions to customers located outside of the United States, our business will be susceptible to risks associated with international operations.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limited experience operating in foreign jurisdictions. Customers in countries outside of North America accounted for 2% of our revenues for 2011, 2010 and 2009. We also undertake software development activities in the Ukraine. Our inexperience in operating our business outside of North America increases the risk that our current and any future international expansion efforts will not be successful. Conducting international operations subjects us to new risks that, generally, we have not faced in the United States, including:</w:t>
      </w:r>
    </w:p>
    <w:p>
      <w:pPr>
        <w:spacing w:after="0" w:line="62"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foreign regulatory requirements;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potentially adverse tax consequences, including the complexities of foreign value added tax systems and restrictions on the repatriation of earnings;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associated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burdens of complying with a wide variety of foreign laws and different legal standards, including laws and regulations related to privacy;</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171"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occurrence of any one of these risks could negatively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Shares of our common stock were sold in our April 2010 initial public offering at a price of $12.00 per share, and, through December 31, 2011, our common stock has traded as high as $27.89 per share and as low as $8.45 per share. An active, liquid and orderly market for our common stock may not develop or be sustained, which could depress the trading price of our common stock. Some of the factors that may cause the market price of our common stock to fluctuate include:</w:t>
      </w:r>
    </w:p>
    <w:p>
      <w:pPr>
        <w:spacing w:after="0" w:line="62"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recorded revenue, even during periods of significant sales order activity;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any of our solutions to achieve or maintain market acceptance;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of competitive products or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debt;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solutions, contracts, acquisitions or strategic alliances;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if the market for software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sales of our common stock by our existing stockholders could cause our stock price to decline.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our stockholders sell substantial amounts of our common stock in the public market, the market price of our common stock could decrease significantly. The perception in the public market that our stockholders might sell shares of our common stock could also depress the market price of our common stock. As of December 31, 2011, we had approximately 660,000 shares of our common stock issuable under approved equity compensation plans which are covered by effective registration statements. Furthermore, certain holders of our common stock have the right to demand that we file registration statements, or request that their shares be covered by a registration statement that we are otherwise filing, with respect to the shares of our common stock held by them, and have the right to include those shares in any registration statement that we file with the SEC, subject to exceptions, which would enable those shares to be sold in the public market.</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charter documents and Delaware law may inhibit a takeover that stockholders consider favorable.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Provisions of our certificate of incorporation and bylaws and applicable provisions of Delaware law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These provisions:</w:t>
      </w:r>
    </w:p>
    <w:p>
      <w:pPr>
        <w:spacing w:after="0" w:line="26" w:lineRule="exact"/>
        <w:rPr>
          <w:sz w:val="20"/>
          <w:szCs w:val="20"/>
          <w:color w:val="auto"/>
        </w:rPr>
      </w:pPr>
    </w:p>
    <w:p>
      <w:pPr>
        <w:ind w:left="660" w:right="1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by resolution of the board of directors;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divide our board of directors into three classes;</w:t>
      </w:r>
    </w:p>
    <w:p>
      <w:pPr>
        <w:spacing w:after="0" w:line="90"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do not provide for cumulative voting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declare dividends on our stock in the foreseeable future.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currently intend to retain all future earnings for the operation and expansion of our business and, therefore, do not anticipate declaring or paying cash dividends on our common stock in the foreseeable future. Any payment of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corporate headquarters, including our principal administrative, marketing, sales, technical support and research and development facilities, are located in Minneapolis, MN where we lease approximately 71,000 square feet under an agreement that expires on October 31, 2012.</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February 2012, we executed a new lease agreement for our current headquarters location which commences on November 1, 2012 and expires on April 30, 2020. The new lease, initially covering approximately 94,000 square feet, includes an automatic expansion of space by approximately 24,000 square feet on or about September 1, 2013, as well as a right of first offer to lease certain additional space, and two options to extend the term of the lease for three years at a market rate determined in accordance with the lease.</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believe that our current facilities are suitable and adequate to meet our current needs, and that suitable additional or substitute space will be available as needed to accommodate expansion of our operations.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are not currently subject to any material legal proceedings. From time to time, we have been named as a defendant in legal actions arising from our normal business activities, none of which has had a material effect on our business, results of operations or financial condition. We believe that we have obtained adequate insurance coverage or rights to indemnification in connection with potential legal proceedings that may arise.</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common stock has traded on the Nasdaq Global Market under the symbol “SPSC” since April 22, 2010, the date of our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Prior to that time, there was no public market for our common stock. The following table sets forth, for the periods indicated, the high and low sales prices for our common stock as reported on the Nasdaq Global Market.</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1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Fiscal 2010</w:t>
            </w:r>
          </w:p>
        </w:tc>
        <w:tc>
          <w:tcPr>
            <w:tcW w:w="3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Second Quarter (from April 22, 2010)</w:t>
            </w:r>
          </w:p>
        </w:tc>
        <w:tc>
          <w:tcPr>
            <w:tcW w:w="4000" w:type="dxa"/>
            <w:vAlign w:val="bottom"/>
            <w:gridSpan w:val="3"/>
          </w:tcPr>
          <w:p>
            <w:pPr>
              <w:jc w:val="center"/>
              <w:ind w:left="2412"/>
              <w:spacing w:after="0"/>
              <w:rPr>
                <w:sz w:val="20"/>
                <w:szCs w:val="20"/>
                <w:color w:val="auto"/>
              </w:rPr>
            </w:pPr>
            <w:r>
              <w:rPr>
                <w:rFonts w:ascii="Arial" w:cs="Arial" w:eastAsia="Arial" w:hAnsi="Arial"/>
                <w:sz w:val="18"/>
                <w:szCs w:val="18"/>
                <w:color w:val="auto"/>
                <w:w w:val="90"/>
              </w:rPr>
              <w:t>$14.50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10.90</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4000" w:type="dxa"/>
            <w:vAlign w:val="bottom"/>
            <w:gridSpan w:val="3"/>
            <w:shd w:val="clear" w:color="auto" w:fill="CCEEFF"/>
          </w:tcPr>
          <w:p>
            <w:pPr>
              <w:jc w:val="center"/>
              <w:ind w:left="2412"/>
              <w:spacing w:after="0"/>
              <w:rPr>
                <w:sz w:val="20"/>
                <w:szCs w:val="20"/>
                <w:color w:val="auto"/>
              </w:rPr>
            </w:pPr>
            <w:r>
              <w:rPr>
                <w:rFonts w:ascii="Arial" w:cs="Arial" w:eastAsia="Arial" w:hAnsi="Arial"/>
                <w:sz w:val="18"/>
                <w:szCs w:val="18"/>
                <w:color w:val="auto"/>
                <w:w w:val="90"/>
              </w:rPr>
              <w:t>$12.83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4000" w:type="dxa"/>
            <w:vAlign w:val="bottom"/>
            <w:gridSpan w:val="3"/>
          </w:tcPr>
          <w:p>
            <w:pPr>
              <w:jc w:val="center"/>
              <w:ind w:left="2412"/>
              <w:spacing w:after="0"/>
              <w:rPr>
                <w:sz w:val="20"/>
                <w:szCs w:val="20"/>
                <w:color w:val="auto"/>
              </w:rPr>
            </w:pPr>
            <w:r>
              <w:rPr>
                <w:rFonts w:ascii="Arial" w:cs="Arial" w:eastAsia="Arial" w:hAnsi="Arial"/>
                <w:sz w:val="18"/>
                <w:szCs w:val="18"/>
                <w:color w:val="auto"/>
                <w:w w:val="90"/>
              </w:rPr>
              <w:t>$15.98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11.59</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3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4000" w:type="dxa"/>
            <w:vAlign w:val="bottom"/>
            <w:gridSpan w:val="3"/>
          </w:tcPr>
          <w:p>
            <w:pPr>
              <w:jc w:val="center"/>
              <w:ind w:left="2412"/>
              <w:spacing w:after="0"/>
              <w:rPr>
                <w:sz w:val="20"/>
                <w:szCs w:val="20"/>
                <w:color w:val="auto"/>
              </w:rPr>
            </w:pPr>
            <w:r>
              <w:rPr>
                <w:rFonts w:ascii="Arial" w:cs="Arial" w:eastAsia="Arial" w:hAnsi="Arial"/>
                <w:sz w:val="18"/>
                <w:szCs w:val="18"/>
                <w:color w:val="auto"/>
                <w:w w:val="90"/>
              </w:rPr>
              <w:t>$17.30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13.59</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4000" w:type="dxa"/>
            <w:vAlign w:val="bottom"/>
            <w:gridSpan w:val="3"/>
            <w:shd w:val="clear" w:color="auto" w:fill="CCEEFF"/>
          </w:tcPr>
          <w:p>
            <w:pPr>
              <w:jc w:val="center"/>
              <w:ind w:left="2412"/>
              <w:spacing w:after="0"/>
              <w:rPr>
                <w:sz w:val="20"/>
                <w:szCs w:val="20"/>
                <w:color w:val="auto"/>
              </w:rPr>
            </w:pPr>
            <w:r>
              <w:rPr>
                <w:rFonts w:ascii="Arial" w:cs="Arial" w:eastAsia="Arial" w:hAnsi="Arial"/>
                <w:sz w:val="18"/>
                <w:szCs w:val="18"/>
                <w:color w:val="auto"/>
                <w:w w:val="90"/>
              </w:rPr>
              <w:t>$18.50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13.65</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4000" w:type="dxa"/>
            <w:vAlign w:val="bottom"/>
            <w:gridSpan w:val="3"/>
          </w:tcPr>
          <w:p>
            <w:pPr>
              <w:jc w:val="center"/>
              <w:ind w:left="2412"/>
              <w:spacing w:after="0"/>
              <w:rPr>
                <w:sz w:val="20"/>
                <w:szCs w:val="20"/>
                <w:color w:val="auto"/>
              </w:rPr>
            </w:pPr>
            <w:r>
              <w:rPr>
                <w:rFonts w:ascii="Arial" w:cs="Arial" w:eastAsia="Arial" w:hAnsi="Arial"/>
                <w:sz w:val="18"/>
                <w:szCs w:val="18"/>
                <w:color w:val="auto"/>
                <w:w w:val="90"/>
              </w:rPr>
              <w:t>$18.99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15.48</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4000" w:type="dxa"/>
            <w:vAlign w:val="bottom"/>
            <w:gridSpan w:val="3"/>
            <w:shd w:val="clear" w:color="auto" w:fill="CCEEFF"/>
          </w:tcPr>
          <w:p>
            <w:pPr>
              <w:jc w:val="center"/>
              <w:ind w:left="2412"/>
              <w:spacing w:after="0"/>
              <w:rPr>
                <w:sz w:val="20"/>
                <w:szCs w:val="20"/>
                <w:color w:val="auto"/>
              </w:rPr>
            </w:pPr>
            <w:r>
              <w:rPr>
                <w:rFonts w:ascii="Arial" w:cs="Arial" w:eastAsia="Arial" w:hAnsi="Arial"/>
                <w:sz w:val="18"/>
                <w:szCs w:val="18"/>
                <w:color w:val="auto"/>
                <w:w w:val="90"/>
              </w:rPr>
              <w:t>$27.89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15.04</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As of February 24, 2012, we had 88 stockholders of record of our common stock, excluding holders whose stock is held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name and/or street name brokerage accounts.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We have not historically paid dividends on our common stock. We intend to retain our future earnings, if any, to finance the expansion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of our business, and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Notwithstanding any statement to the contrary in any of our previous or future filings with the Securities and Exchange Commission, or SEC, the following information relating to the price performance of our common stock shall not be deemed to be “filed” with the SEC or to be “soliciting material” under the Securities Exchange Act of 1934, as amended, or the Exchange Act, and it shall not be deemed to be incorporated by reference into any of our filings under the Securities Act or the Exchange Act, except to the extent we specifically incorporate it by reference into such filing.</w:t>
      </w:r>
    </w:p>
    <w:p>
      <w:pPr>
        <w:spacing w:after="0" w:line="11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graph below compares the cumulative total stockholder return of our common stock with that of the Nasdaq Composite Index and the Nasdaq Computer &amp; Data Processing Index from April 22, 2010 (the date on which our common stock commenced trading on the Nasdaq Global Market) through December 31, 2011. The graph assumes that $100 was invested in shares of our common stock, the Nasdaq Composite Index and the Nasdaq Computer &amp; Data Processing Index at the close of market on April 22, 2010, and that dividends, if any, were reinvested. The comparisons in this graph are based on historical data and are not intended to forecast or be indicative of future performance of our common stock.</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Cumulative Total Returns of SPS Commerce, Inc., Nasdaq Composite Index and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Nasdaq Computer &amp; Data Processing Index</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560" w:type="dxa"/>
            <w:vAlign w:val="bottom"/>
            <w:tcBorders>
              <w:top w:val="single" w:sz="8" w:color="auto"/>
              <w:left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198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jc w:val="center"/>
              <w:ind w:left="39"/>
              <w:spacing w:after="0" w:line="149" w:lineRule="exact"/>
              <w:rPr>
                <w:sz w:val="20"/>
                <w:szCs w:val="20"/>
                <w:color w:val="auto"/>
              </w:rPr>
            </w:pPr>
            <w:r>
              <w:rPr>
                <w:rFonts w:ascii="Arial" w:cs="Arial" w:eastAsia="Arial" w:hAnsi="Arial"/>
                <w:sz w:val="14"/>
                <w:szCs w:val="14"/>
                <w:b w:val="1"/>
                <w:bCs w:val="1"/>
                <w:color w:val="auto"/>
                <w:w w:val="87"/>
              </w:rPr>
              <w:t>Nasdaq Computer</w:t>
            </w:r>
          </w:p>
        </w:tc>
      </w:tr>
      <w:tr>
        <w:trPr>
          <w:trHeight w:val="149"/>
        </w:trPr>
        <w:tc>
          <w:tcPr>
            <w:tcW w:w="556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Nasdaq</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&amp; Data</w:t>
            </w:r>
          </w:p>
        </w:tc>
      </w:tr>
      <w:tr>
        <w:trPr>
          <w:trHeight w:val="149"/>
        </w:trPr>
        <w:tc>
          <w:tcPr>
            <w:tcW w:w="556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Composite</w:t>
            </w:r>
          </w:p>
        </w:tc>
        <w:tc>
          <w:tcPr>
            <w:tcW w:w="1620" w:type="dxa"/>
            <w:vAlign w:val="bottom"/>
            <w:tcBorders>
              <w:right w:val="single" w:sz="8" w:color="auto"/>
            </w:tcBorders>
          </w:tcPr>
          <w:p>
            <w:pPr>
              <w:jc w:val="center"/>
              <w:ind w:left="39"/>
              <w:spacing w:after="0" w:line="149" w:lineRule="exact"/>
              <w:rPr>
                <w:sz w:val="20"/>
                <w:szCs w:val="20"/>
                <w:color w:val="auto"/>
              </w:rPr>
            </w:pPr>
            <w:r>
              <w:rPr>
                <w:rFonts w:ascii="Arial" w:cs="Arial" w:eastAsia="Arial" w:hAnsi="Arial"/>
                <w:sz w:val="14"/>
                <w:szCs w:val="14"/>
                <w:b w:val="1"/>
                <w:bCs w:val="1"/>
                <w:color w:val="auto"/>
                <w:w w:val="82"/>
              </w:rPr>
              <w:t>Processing</w:t>
            </w:r>
          </w:p>
        </w:tc>
      </w:tr>
      <w:tr>
        <w:trPr>
          <w:trHeight w:val="161"/>
        </w:trPr>
        <w:tc>
          <w:tcPr>
            <w:tcW w:w="5560" w:type="dxa"/>
            <w:vAlign w:val="bottom"/>
            <w:tcBorders>
              <w:left w:val="single" w:sz="8" w:color="auto"/>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SPS Commerce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Index</w:t>
            </w:r>
          </w:p>
        </w:tc>
        <w:tc>
          <w:tcPr>
            <w:tcW w:w="1620" w:type="dxa"/>
            <w:vAlign w:val="bottom"/>
            <w:tcBorders>
              <w:bottom w:val="single" w:sz="8" w:color="auto"/>
              <w:right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87"/>
              </w:rPr>
              <w:t>Index</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4/22/2010</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100.0</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100.0</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100.0</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6/30/2010</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85.4</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84.1</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80.8</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9/30/2010</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94.3</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94.6</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95.4</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12/31/2010</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116.2</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106.3</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108.3</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3/31/2011</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114.0</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111.7</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111.7</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6/30/2011</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130.8</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111.6</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110.8</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9/30/2011</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119.8</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97.5</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100.3</w:t>
            </w:r>
          </w:p>
        </w:tc>
      </w:tr>
      <w:tr>
        <w:trPr>
          <w:trHeight w:val="210"/>
        </w:trPr>
        <w:tc>
          <w:tcPr>
            <w:tcW w:w="55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12/31/2011</w:t>
            </w:r>
          </w:p>
        </w:tc>
        <w:tc>
          <w:tcPr>
            <w:tcW w:w="2280" w:type="dxa"/>
            <w:vAlign w:val="bottom"/>
            <w:tcBorders>
              <w:bottom w:val="single" w:sz="8" w:color="auto"/>
              <w:right w:val="single" w:sz="8" w:color="auto"/>
            </w:tcBorders>
          </w:tcPr>
          <w:p>
            <w:pPr>
              <w:jc w:val="right"/>
              <w:ind w:right="634"/>
              <w:spacing w:after="0"/>
              <w:rPr>
                <w:sz w:val="20"/>
                <w:szCs w:val="20"/>
                <w:color w:val="auto"/>
              </w:rPr>
            </w:pPr>
            <w:r>
              <w:rPr>
                <w:rFonts w:ascii="Arial" w:cs="Arial" w:eastAsia="Arial" w:hAnsi="Arial"/>
                <w:sz w:val="18"/>
                <w:szCs w:val="18"/>
                <w:color w:val="auto"/>
              </w:rPr>
              <w:t>190.8</w:t>
            </w:r>
          </w:p>
        </w:tc>
        <w:tc>
          <w:tcPr>
            <w:tcW w:w="1980" w:type="dxa"/>
            <w:vAlign w:val="bottom"/>
            <w:tcBorders>
              <w:bottom w:val="single" w:sz="8" w:color="auto"/>
              <w:right w:val="single" w:sz="8" w:color="auto"/>
            </w:tcBorders>
          </w:tcPr>
          <w:p>
            <w:pPr>
              <w:jc w:val="right"/>
              <w:ind w:right="618"/>
              <w:spacing w:after="0"/>
              <w:rPr>
                <w:sz w:val="20"/>
                <w:szCs w:val="20"/>
                <w:color w:val="auto"/>
              </w:rPr>
            </w:pPr>
            <w:r>
              <w:rPr>
                <w:rFonts w:ascii="Arial" w:cs="Arial" w:eastAsia="Arial" w:hAnsi="Arial"/>
                <w:sz w:val="18"/>
                <w:szCs w:val="18"/>
                <w:color w:val="auto"/>
              </w:rPr>
              <w:t>105.4</w:t>
            </w:r>
          </w:p>
        </w:tc>
        <w:tc>
          <w:tcPr>
            <w:tcW w:w="1620" w:type="dxa"/>
            <w:vAlign w:val="bottom"/>
            <w:tcBorders>
              <w:bottom w:val="single" w:sz="8" w:color="auto"/>
              <w:right w:val="single" w:sz="8" w:color="auto"/>
            </w:tcBorders>
          </w:tcPr>
          <w:p>
            <w:pPr>
              <w:jc w:val="right"/>
              <w:ind w:right="139"/>
              <w:spacing w:after="0"/>
              <w:rPr>
                <w:sz w:val="20"/>
                <w:szCs w:val="20"/>
                <w:color w:val="auto"/>
              </w:rPr>
            </w:pPr>
            <w:r>
              <w:rPr>
                <w:rFonts w:ascii="Arial" w:cs="Arial" w:eastAsia="Arial" w:hAnsi="Arial"/>
                <w:sz w:val="18"/>
                <w:szCs w:val="18"/>
                <w:color w:val="auto"/>
              </w:rPr>
              <w:t>105.0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231775</wp:posOffset>
            </wp:positionV>
            <wp:extent cx="5205730" cy="22212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0573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40"/>
          </w:cols>
          <w:pgMar w:left="240" w:top="459" w:right="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April 27, 2010, we completed the initial public offering of our common stock pursuant to our Registration Statement on Form S-1 (File No. 333-163476), which was declared effective by the Securities and Exchange Commission on April 21, 2010. Our initial public offering involved the sale of 4,711,198 shares of common stock at an offering price of $12.00 per share. We issued and sold 3,114,504 shares, including 614,504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 On May 18, 2011, we used approximately $10.8 million of the net proceeds for the acquisition of Direct EDI.</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December 8, 2010, we completed a stock offering of 115,000 shares of common stock at an offering price of $12.25 per share and received proceeds of approximately $1.0 million, after payment of underwriting discounts and commissions and legal, accounting and other fees incurred in connection with the offering. The offering was made pursuant to our Registration Statement on Form S-1 (File No. 333-170544), which was declared effective by the Securities and Exchange Commission on December 2, 2010.</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have used and intend to continue to use the remaining net proceeds from these offerings for working capital and other general corporate purposes, including to finance our growth, develop new software and fund capital expenditures. Additionally, we may choose to expand our current business through acquisitions of other complementary businesses, products, services, or technologies. Pending such uses, we plan to invest the net proceeds in interest-bearing bank accounts and short-term investment grade securities.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There have been no material differences in the actual use of proceeds from our IPO as compared to the planned use of proceeds as described in the final prospectus filed with the Securities and Exchange Commission pursuant to Rule 424(b).</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The following selected financial data should be read together with our audited financial statements and the related notes and with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which are included elsewhere in this Annual Report on Form 10-K. Our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are not necessarily indicative of results to be expected for any future period.</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statements of operations data for each of the years ended December 31, 2011, 2010 and 2009; the balance sheet data as of December 31, 2011 and 2010; and the operating data relating to Adjusted EBITDA and non-GAAP income (loss) per diluted share for each of the years ended December 31, 2011, 2010 and 2009 have been derived from our audited annual financial statements which are included in this Annual Report on Form 10-K.</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statements of operations data for the years ended December 31, 2008 and 2007; the balance sheet data as of December 31, 2009, 2008 and 2007; and the operating data relating to Adjusted EBITDA and non-GAAP income (loss) per diluted share for each of the years ended December 31, 2008 and 2007 have been derived from our audited annual financial statements which are not included in this Annual Report on Form 10-K.</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Adjusted EBITDA and non-GAAP income (loss) per diluted share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these non-GAAP financial measures to the comparable GAAP financial measures that are included below.</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operating data relating to recurring revenue customers for all periods presented is unaudited and has been derived from our internal records of our operations.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2009</w:t>
            </w: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9"/>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Data</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57,969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32"/>
              <w:spacing w:after="0"/>
              <w:rPr>
                <w:sz w:val="20"/>
                <w:szCs w:val="20"/>
                <w:color w:val="auto"/>
              </w:rPr>
            </w:pPr>
            <w:r>
              <w:rPr>
                <w:rFonts w:ascii="Arial" w:cs="Arial" w:eastAsia="Arial" w:hAnsi="Arial"/>
                <w:sz w:val="18"/>
                <w:szCs w:val="18"/>
                <w:color w:val="auto"/>
                <w:w w:val="87"/>
              </w:rPr>
              <w:t>44,597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37,746</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30,697</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revenues(1)</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3"/>
              </w:rPr>
              <w:t>11,715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42,603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31,971</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26,031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21,439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Sales and marketing(1)</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23,836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32"/>
              <w:spacing w:after="0"/>
              <w:rPr>
                <w:sz w:val="20"/>
                <w:szCs w:val="20"/>
                <w:color w:val="auto"/>
              </w:rPr>
            </w:pPr>
            <w:r>
              <w:rPr>
                <w:rFonts w:ascii="Arial" w:cs="Arial" w:eastAsia="Arial" w:hAnsi="Arial"/>
                <w:sz w:val="18"/>
                <w:szCs w:val="18"/>
                <w:color w:val="auto"/>
                <w:w w:val="87"/>
              </w:rPr>
              <w:t>16,601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13,506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12,493</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development(1)</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General and administrative(1)</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32"/>
              <w:spacing w:after="0"/>
              <w:rPr>
                <w:sz w:val="20"/>
                <w:szCs w:val="20"/>
                <w:color w:val="auto"/>
              </w:rPr>
            </w:pPr>
            <w:r>
              <w:rPr>
                <w:rFonts w:ascii="Arial" w:cs="Arial" w:eastAsia="Arial" w:hAnsi="Arial"/>
                <w:sz w:val="18"/>
                <w:szCs w:val="18"/>
                <w:color w:val="auto"/>
              </w:rPr>
              <w:t>7,985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6,339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6,716</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assets(2)</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41,468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28,935</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24,150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22,849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3,036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(1,410)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income (expense)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(391)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(1,801)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Income tax (expense) benefit(3)</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9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13,703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(1,895)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(2,156)</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5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32"/>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5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(6.45)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Basic</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32"/>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294</w:t>
            </w:r>
          </w:p>
        </w:tc>
        <w:tc>
          <w:tcPr>
            <w:tcW w:w="2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7"/>
              </w:rPr>
              <w:t>11,596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4"/>
                <w:szCs w:val="14"/>
                <w:b w:val="1"/>
                <w:bCs w:val="1"/>
                <w:color w:val="auto"/>
                <w:w w:val="86"/>
              </w:rPr>
              <w:t>As of December 31,</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17"/>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right="437"/>
              <w:spacing w:after="0" w:line="142" w:lineRule="exact"/>
              <w:rPr>
                <w:sz w:val="20"/>
                <w:szCs w:val="20"/>
                <w:color w:val="auto"/>
              </w:rPr>
            </w:pPr>
            <w:r>
              <w:rPr>
                <w:rFonts w:ascii="Arial" w:cs="Arial" w:eastAsia="Arial" w:hAnsi="Arial"/>
                <w:sz w:val="14"/>
                <w:szCs w:val="14"/>
                <w:b w:val="1"/>
                <w:bCs w:val="1"/>
                <w:color w:val="auto"/>
                <w:w w:val="89"/>
              </w:rPr>
              <w:t>2008</w:t>
            </w:r>
          </w:p>
        </w:tc>
        <w:tc>
          <w:tcPr>
            <w:tcW w:w="780" w:type="dxa"/>
            <w:vAlign w:val="bottom"/>
            <w:tcBorders>
              <w:bottom w:val="single" w:sz="8" w:color="auto"/>
            </w:tcBorders>
            <w:gridSpan w:val="2"/>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2"/>
          </w:tcPr>
          <w:p>
            <w:pPr>
              <w:jc w:val="center"/>
              <w:ind w:right="157"/>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$31,985</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$40,473</w:t>
            </w:r>
          </w:p>
        </w:tc>
        <w:tc>
          <w:tcPr>
            <w:tcW w:w="400" w:type="dxa"/>
            <w:vAlign w:val="bottom"/>
          </w:tcPr>
          <w:p>
            <w:pPr>
              <w:spacing w:after="0"/>
              <w:rPr>
                <w:sz w:val="18"/>
                <w:szCs w:val="18"/>
                <w:color w:val="auto"/>
              </w:rPr>
            </w:pPr>
          </w:p>
        </w:tc>
        <w:tc>
          <w:tcPr>
            <w:tcW w:w="1280" w:type="dxa"/>
            <w:vAlign w:val="bottom"/>
            <w:gridSpan w:val="2"/>
          </w:tcPr>
          <w:p>
            <w:pPr>
              <w:jc w:val="right"/>
              <w:ind w:right="337"/>
              <w:spacing w:after="0"/>
              <w:rPr>
                <w:sz w:val="20"/>
                <w:szCs w:val="20"/>
                <w:color w:val="auto"/>
              </w:rPr>
            </w:pPr>
            <w:r>
              <w:rPr>
                <w:rFonts w:ascii="Arial" w:cs="Arial" w:eastAsia="Arial" w:hAnsi="Arial"/>
                <w:sz w:val="18"/>
                <w:szCs w:val="18"/>
                <w:color w:val="auto"/>
              </w:rPr>
              <w:t>$  5,931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37"/>
              <w:spacing w:after="0"/>
              <w:rPr>
                <w:sz w:val="20"/>
                <w:szCs w:val="20"/>
                <w:color w:val="auto"/>
              </w:rPr>
            </w:pPr>
            <w:r>
              <w:rPr>
                <w:rFonts w:ascii="Arial" w:cs="Arial" w:eastAsia="Arial" w:hAnsi="Arial"/>
                <w:sz w:val="18"/>
                <w:szCs w:val="18"/>
                <w:color w:val="auto"/>
              </w:rPr>
              <w:t>3,715</w:t>
            </w:r>
          </w:p>
        </w:tc>
        <w:tc>
          <w:tcPr>
            <w:tcW w:w="3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6,117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36,773</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42,552</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4,973</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3,995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4,535</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assets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77,618</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57,880</w:t>
            </w:r>
          </w:p>
        </w:tc>
        <w:tc>
          <w:tcPr>
            <w:tcW w:w="400" w:type="dxa"/>
            <w:vAlign w:val="bottom"/>
          </w:tcPr>
          <w:p>
            <w:pPr>
              <w:spacing w:after="0"/>
              <w:rPr>
                <w:sz w:val="18"/>
                <w:szCs w:val="18"/>
                <w:color w:val="auto"/>
              </w:rPr>
            </w:pPr>
          </w:p>
        </w:tc>
        <w:tc>
          <w:tcPr>
            <w:tcW w:w="1280" w:type="dxa"/>
            <w:vAlign w:val="bottom"/>
            <w:gridSpan w:val="2"/>
          </w:tcPr>
          <w:p>
            <w:pPr>
              <w:jc w:val="right"/>
              <w:ind w:right="337"/>
              <w:spacing w:after="0"/>
              <w:rPr>
                <w:sz w:val="20"/>
                <w:szCs w:val="20"/>
                <w:color w:val="auto"/>
              </w:rPr>
            </w:pPr>
            <w:r>
              <w:rPr>
                <w:rFonts w:ascii="Arial" w:cs="Arial" w:eastAsia="Arial" w:hAnsi="Arial"/>
                <w:sz w:val="18"/>
                <w:szCs w:val="18"/>
                <w:color w:val="auto"/>
              </w:rPr>
              <w:t>21,919</w:t>
            </w:r>
          </w:p>
        </w:tc>
        <w:tc>
          <w:tcPr>
            <w:tcW w:w="240" w:type="dxa"/>
            <w:vAlign w:val="bottom"/>
          </w:tcPr>
          <w:p>
            <w:pPr>
              <w:spacing w:after="0"/>
              <w:rPr>
                <w:sz w:val="18"/>
                <w:szCs w:val="18"/>
                <w:color w:val="auto"/>
              </w:rPr>
            </w:pPr>
          </w:p>
        </w:tc>
        <w:tc>
          <w:tcPr>
            <w:tcW w:w="960" w:type="dxa"/>
            <w:vAlign w:val="bottom"/>
            <w:gridSpan w:val="2"/>
          </w:tcPr>
          <w:p>
            <w:pPr>
              <w:jc w:val="right"/>
              <w:ind w:right="337"/>
              <w:spacing w:after="0"/>
              <w:rPr>
                <w:sz w:val="20"/>
                <w:szCs w:val="20"/>
                <w:color w:val="auto"/>
              </w:rPr>
            </w:pPr>
            <w:r>
              <w:rPr>
                <w:rFonts w:ascii="Arial" w:cs="Arial" w:eastAsia="Arial" w:hAnsi="Arial"/>
                <w:sz w:val="18"/>
                <w:szCs w:val="18"/>
                <w:color w:val="auto"/>
                <w:w w:val="94"/>
              </w:rPr>
              <w:t>19,197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20,687</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6,599</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5,317</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5,950</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5,550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Total debt(4)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18"/>
                <w:szCs w:val="18"/>
                <w:color w:val="auto"/>
              </w:rPr>
            </w:pPr>
          </w:p>
        </w:tc>
        <w:tc>
          <w:tcPr>
            <w:tcW w:w="1280" w:type="dxa"/>
            <w:vAlign w:val="bottom"/>
            <w:gridSpan w:val="2"/>
          </w:tcPr>
          <w:p>
            <w:pPr>
              <w:jc w:val="right"/>
              <w:ind w:right="337"/>
              <w:spacing w:after="0"/>
              <w:rPr>
                <w:sz w:val="20"/>
                <w:szCs w:val="20"/>
                <w:color w:val="auto"/>
              </w:rPr>
            </w:pPr>
            <w:r>
              <w:rPr>
                <w:rFonts w:ascii="Arial" w:cs="Arial" w:eastAsia="Arial" w:hAnsi="Arial"/>
                <w:sz w:val="18"/>
                <w:szCs w:val="18"/>
                <w:color w:val="auto"/>
              </w:rPr>
              <w:t>2,694</w:t>
            </w:r>
          </w:p>
        </w:tc>
        <w:tc>
          <w:tcPr>
            <w:tcW w:w="240" w:type="dxa"/>
            <w:vAlign w:val="bottom"/>
          </w:tcPr>
          <w:p>
            <w:pPr>
              <w:spacing w:after="0"/>
              <w:rPr>
                <w:sz w:val="18"/>
                <w:szCs w:val="18"/>
                <w:color w:val="auto"/>
              </w:rPr>
            </w:pPr>
          </w:p>
        </w:tc>
        <w:tc>
          <w:tcPr>
            <w:tcW w:w="960" w:type="dxa"/>
            <w:vAlign w:val="bottom"/>
            <w:gridSpan w:val="2"/>
          </w:tcPr>
          <w:p>
            <w:pPr>
              <w:jc w:val="right"/>
              <w:ind w:right="337"/>
              <w:spacing w:after="0"/>
              <w:rPr>
                <w:sz w:val="20"/>
                <w:szCs w:val="20"/>
                <w:color w:val="auto"/>
              </w:rPr>
            </w:pPr>
            <w:r>
              <w:rPr>
                <w:rFonts w:ascii="Arial" w:cs="Arial" w:eastAsia="Arial" w:hAnsi="Arial"/>
                <w:sz w:val="18"/>
                <w:szCs w:val="18"/>
                <w:color w:val="auto"/>
              </w:rPr>
              <w:t>4,471</w:t>
            </w:r>
          </w:p>
        </w:tc>
        <w:tc>
          <w:tcPr>
            <w:tcW w:w="3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4,992</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redeemable convertible preferred stock</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rPr>
              <w:t>65,778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7"/>
              <w:spacing w:after="0"/>
              <w:rPr>
                <w:sz w:val="20"/>
                <w:szCs w:val="20"/>
                <w:color w:val="auto"/>
              </w:rPr>
            </w:pPr>
            <w:r>
              <w:rPr>
                <w:rFonts w:ascii="Arial" w:cs="Arial" w:eastAsia="Arial" w:hAnsi="Arial"/>
                <w:sz w:val="18"/>
                <w:szCs w:val="18"/>
                <w:color w:val="auto"/>
                <w:w w:val="94"/>
              </w:rPr>
              <w:t>65,964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65,964</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59,553</w:t>
            </w: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43,508</w:t>
            </w:r>
          </w:p>
        </w:tc>
        <w:tc>
          <w:tcPr>
            <w:tcW w:w="400" w:type="dxa"/>
            <w:vAlign w:val="bottom"/>
          </w:tcPr>
          <w:p>
            <w:pPr>
              <w:spacing w:after="0"/>
              <w:rPr>
                <w:sz w:val="19"/>
                <w:szCs w:val="19"/>
                <w:color w:val="auto"/>
              </w:rPr>
            </w:pPr>
          </w:p>
        </w:tc>
        <w:tc>
          <w:tcPr>
            <w:tcW w:w="1280" w:type="dxa"/>
            <w:vAlign w:val="bottom"/>
            <w:gridSpan w:val="2"/>
          </w:tcPr>
          <w:p>
            <w:pPr>
              <w:jc w:val="right"/>
              <w:ind w:right="277"/>
              <w:spacing w:after="0"/>
              <w:rPr>
                <w:sz w:val="20"/>
                <w:szCs w:val="20"/>
                <w:color w:val="auto"/>
              </w:rPr>
            </w:pPr>
            <w:r>
              <w:rPr>
                <w:rFonts w:ascii="Arial" w:cs="Arial" w:eastAsia="Arial" w:hAnsi="Arial"/>
                <w:sz w:val="18"/>
                <w:szCs w:val="18"/>
                <w:color w:val="auto"/>
              </w:rPr>
              <w:t>(60,466)</w:t>
            </w:r>
          </w:p>
        </w:tc>
        <w:tc>
          <w:tcPr>
            <w:tcW w:w="240" w:type="dxa"/>
            <w:vAlign w:val="bottom"/>
          </w:tcPr>
          <w:p>
            <w:pPr>
              <w:spacing w:after="0"/>
              <w:rPr>
                <w:sz w:val="19"/>
                <w:szCs w:val="19"/>
                <w:color w:val="auto"/>
              </w:rPr>
            </w:pPr>
          </w:p>
        </w:tc>
        <w:tc>
          <w:tcPr>
            <w:tcW w:w="960" w:type="dxa"/>
            <w:vAlign w:val="bottom"/>
            <w:gridSpan w:val="2"/>
          </w:tcPr>
          <w:p>
            <w:pPr>
              <w:jc w:val="right"/>
              <w:ind w:right="277"/>
              <w:spacing w:after="0"/>
              <w:rPr>
                <w:sz w:val="20"/>
                <w:szCs w:val="20"/>
                <w:color w:val="auto"/>
              </w:rPr>
            </w:pPr>
            <w:r>
              <w:rPr>
                <w:rFonts w:ascii="Arial" w:cs="Arial" w:eastAsia="Arial" w:hAnsi="Arial"/>
                <w:sz w:val="18"/>
                <w:szCs w:val="18"/>
                <w:color w:val="auto"/>
                <w:w w:val="86"/>
              </w:rPr>
              <w:t>(61,844)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(60,111)</w:t>
            </w:r>
          </w:p>
        </w:tc>
      </w:tr>
      <w:tr>
        <w:trPr>
          <w:trHeight w:val="345"/>
        </w:trPr>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2011</w:t>
            </w:r>
          </w:p>
        </w:tc>
        <w:tc>
          <w:tcPr>
            <w:tcW w:w="106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540" w:type="dxa"/>
            <w:vAlign w:val="bottom"/>
            <w:gridSpan w:val="7"/>
          </w:tcPr>
          <w:p>
            <w:pPr>
              <w:jc w:val="center"/>
              <w:ind w:left="37"/>
              <w:spacing w:after="0" w:line="142" w:lineRule="exact"/>
              <w:rPr>
                <w:sz w:val="20"/>
                <w:szCs w:val="20"/>
                <w:color w:val="auto"/>
              </w:rPr>
            </w:pPr>
            <w:r>
              <w:rPr>
                <w:rFonts w:ascii="Arial" w:cs="Arial" w:eastAsia="Arial" w:hAnsi="Arial"/>
                <w:sz w:val="14"/>
                <w:szCs w:val="14"/>
                <w:b w:val="1"/>
                <w:bCs w:val="1"/>
                <w:color w:val="auto"/>
                <w:w w:val="88"/>
              </w:rPr>
              <w:t>(Unaudited, adjusted EBITDA in thousands)</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Operating Data</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Adjusted EBITDA(5)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5,410</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5,175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7"/>
              <w:spacing w:after="0"/>
              <w:rPr>
                <w:sz w:val="20"/>
                <w:szCs w:val="20"/>
                <w:color w:val="auto"/>
              </w:rPr>
            </w:pPr>
            <w:r>
              <w:rPr>
                <w:rFonts w:ascii="Arial" w:cs="Arial" w:eastAsia="Arial" w:hAnsi="Arial"/>
                <w:sz w:val="18"/>
                <w:szCs w:val="18"/>
                <w:color w:val="auto"/>
              </w:rPr>
              <w:t>3,206</w:t>
            </w:r>
          </w:p>
        </w:tc>
        <w:tc>
          <w:tcPr>
            <w:tcW w:w="240" w:type="dxa"/>
            <w:vAlign w:val="bottom"/>
          </w:tcPr>
          <w:p>
            <w:pPr>
              <w:spacing w:after="0"/>
              <w:rPr>
                <w:sz w:val="18"/>
                <w:szCs w:val="18"/>
                <w:color w:val="auto"/>
              </w:rPr>
            </w:pPr>
          </w:p>
        </w:tc>
        <w:tc>
          <w:tcPr>
            <w:tcW w:w="260" w:type="dxa"/>
            <w:vAlign w:val="bottom"/>
          </w:tcPr>
          <w:p>
            <w:pPr>
              <w:jc w:val="center"/>
              <w:ind w:left="7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7"/>
              <w:spacing w:after="0"/>
              <w:rPr>
                <w:sz w:val="20"/>
                <w:szCs w:val="20"/>
                <w:color w:val="auto"/>
              </w:rPr>
            </w:pPr>
            <w:r>
              <w:rPr>
                <w:rFonts w:ascii="Arial" w:cs="Arial" w:eastAsia="Arial" w:hAnsi="Arial"/>
                <w:sz w:val="18"/>
                <w:szCs w:val="18"/>
                <w:color w:val="auto"/>
              </w:rPr>
              <w:t>763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(loss) per diluted share(6)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(3.23)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(7.41)</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Recurring revenue customers(7)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16,129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12,399</w:t>
            </w:r>
          </w:p>
        </w:tc>
        <w:tc>
          <w:tcPr>
            <w:tcW w:w="640" w:type="dxa"/>
            <w:vAlign w:val="bottom"/>
          </w:tcPr>
          <w:p>
            <w:pPr>
              <w:spacing w:after="0"/>
              <w:rPr>
                <w:sz w:val="19"/>
                <w:szCs w:val="19"/>
                <w:color w:val="auto"/>
              </w:rPr>
            </w:pPr>
          </w:p>
        </w:tc>
        <w:tc>
          <w:tcPr>
            <w:tcW w:w="640" w:type="dxa"/>
            <w:vAlign w:val="bottom"/>
          </w:tcPr>
          <w:p>
            <w:pPr>
              <w:jc w:val="right"/>
              <w:ind w:right="57"/>
              <w:spacing w:after="0"/>
              <w:rPr>
                <w:sz w:val="20"/>
                <w:szCs w:val="20"/>
                <w:color w:val="auto"/>
              </w:rPr>
            </w:pPr>
            <w:r>
              <w:rPr>
                <w:rFonts w:ascii="Arial" w:cs="Arial" w:eastAsia="Arial" w:hAnsi="Arial"/>
                <w:sz w:val="18"/>
                <w:szCs w:val="18"/>
                <w:color w:val="auto"/>
                <w:w w:val="87"/>
              </w:rPr>
              <w:t>11,003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37"/>
              <w:spacing w:after="0"/>
              <w:rPr>
                <w:sz w:val="20"/>
                <w:szCs w:val="20"/>
                <w:color w:val="auto"/>
              </w:rPr>
            </w:pPr>
            <w:r>
              <w:rPr>
                <w:rFonts w:ascii="Arial" w:cs="Arial" w:eastAsia="Arial" w:hAnsi="Arial"/>
                <w:sz w:val="18"/>
                <w:szCs w:val="18"/>
                <w:color w:val="auto"/>
                <w:w w:val="83"/>
              </w:rPr>
              <w:t>10,076</w:t>
            </w:r>
          </w:p>
        </w:tc>
        <w:tc>
          <w:tcPr>
            <w:tcW w:w="3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50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100" w:type="dxa"/>
            <w:vAlign w:val="bottom"/>
          </w:tcPr>
          <w:p>
            <w:pPr>
              <w:spacing w:after="0"/>
              <w:rPr>
                <w:sz w:val="12"/>
                <w:szCs w:val="12"/>
                <w:color w:val="auto"/>
              </w:rPr>
            </w:pP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471</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33</w:t>
            </w: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986</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1,768</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750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w:t>
            </w:r>
          </w:p>
        </w:tc>
        <w:tc>
          <w:tcPr>
            <w:tcW w:w="100" w:type="dxa"/>
            <w:vAlign w:val="bottom"/>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2009, 2008 and 2007, amortization of intangible assets was $155,000, $788,000 and $740,000, respectively, and was included in general and administrative expense. There was no related amortization expense in 2010.</w:t>
      </w:r>
    </w:p>
    <w:p>
      <w:pPr>
        <w:spacing w:after="0" w:line="5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2011, we determined it was more-likely-than-not that we would be able to realize a substantial portion of our deferred tax assets and, therefore, we recorded an income tax benefit of $12.8 million for the reversal of the valuation allowance on these deferred tax assets.</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debt consists of our current and long-term capital lease obligations, current and long-term equipment and term loans, line of credit and interest payable.</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240" w:top="459" w:right="6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consists of net income (loss) plus depreciation and amortization, interest expense, interest income and income tax expense (benefit). Adjusted EBITDA consists of EBITDA plus our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(loss) to Adjusted EBITDA (in thousands):</w:t>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(2,156)</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2,647</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1,533</w:t>
            </w:r>
          </w:p>
        </w:tc>
        <w:tc>
          <w:tcPr>
            <w:tcW w:w="5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1,988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1,758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(89)</w:t>
            </w: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(158)</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(12,619)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21"/>
        </w:trPr>
        <w:tc>
          <w:tcPr>
            <w:tcW w:w="5580" w:type="dxa"/>
            <w:vAlign w:val="bottom"/>
          </w:tcPr>
          <w:p>
            <w:pPr>
              <w:ind w:left="220"/>
              <w:spacing w:after="0"/>
              <w:rPr>
                <w:sz w:val="20"/>
                <w:szCs w:val="20"/>
                <w:color w:val="auto"/>
              </w:rPr>
            </w:pPr>
            <w:r>
              <w:rPr>
                <w:rFonts w:ascii="Arial" w:cs="Arial" w:eastAsia="Arial" w:hAnsi="Arial"/>
                <w:sz w:val="18"/>
                <w:szCs w:val="18"/>
                <w:color w:val="auto"/>
              </w:rPr>
              <w:t>EBITDA</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5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5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5,410</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5,175</w:t>
            </w:r>
          </w:p>
        </w:tc>
        <w:tc>
          <w:tcPr>
            <w:tcW w:w="5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0"/>
        </w:trPr>
        <w:tc>
          <w:tcPr>
            <w:tcW w:w="5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Non-GAAP income (loss) per share consists of net income (loss) plus non-cash, stock-based compensation expense and amortization expense related to intangible assets minus the deferred tax asset valuation allowance reversal divided by the weighted average number of shares of common stock outstanding during each period. We believe non-GAAP income (loss) per share is useful to an investor because it is widely used to measure a company’s operating performance. The following table provides a reconciliation of net income (loss) to non-GAAP income (loss) per share (in thousands, except per share amounts):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(2,156)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(12,802)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1,545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Non-GAAP income (loss) per share</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0.26</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0.17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used to compute non-GAAP income (loss) per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11,960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8,036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329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9,268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8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reflects the number of recurring revenue customers at the end of the period. Recurring revenue customers are customers with contracts to pay us monthly fees. A minority portion of our recurring revenue customers consists of separate units within a larger organization. We treat each of these units, which may include divisions, departments, affiliates and franchises, as distinct customers. Our contracts with our recurring revenue customers typically allow the customer to cancel the contract for any reason with 30 days prior notice.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section titled “Selected Financial Data” and our audited financial statements and related notes which are included elsewhere in this Annual Report on Form 10-K. Our actual results could differ materially from those anticipated in the forward-looking statements included in this discussion as a result of certain factors, including, but not limited to, those discussed in “Risk Factors” included elsewhere in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a leading provider of on-demand supply chain management solutions, providing integration, collaboration, connectivity, visibility and data analytics to thousands of trading partners worldwide. We provide our solutions through SPSCommerce.net, a hosted software suite that improves the way suppliers, retailers, distributors and other trading partners manage and fulfill orders. We deliver our solutions to our customers over the Internet using a Software-as-a-Service model.</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SPSCommerce.net fundamentally changes how organizations use electronic communication to manage a supply chain by replacing the collection of traditional, custom-built, point-to-point integrations with a “hub-and-spoke” model whereby a single integration to SPSCommerce.net allows an organization to connect seamlessly to the entire SPSCommerce.net network of trading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plan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industries or allow us to offer new functionalities.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18, 2011, we purchased substantially all of the assets of Direct EDI LLC, a privately-held provider of cloud-based integration solutions for electronic data interchange, which expanded our base of recurring revenue customers. See Note B to our consolidated financial statements included in this Annual Report on Form 10-K for additional information regarding the acquisition of Direct EDI.</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For 2011, 2010 and 2009, we generated revenues of $58.0 million, $44.6 million and $37.7 million. Our fiscal quarter ended December 31, 2011 represented our 44th consecutive quarter of increased revenues. Recurring revenues from recurring revenue customers accounted for 85%, 83% and 80% of our total revenues for 2011, 2010 and 2009. No customer represented over 2% of our revenues for 2011, 2010 or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Sources of Revenues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Trading Partner Integration. </w:t>
      </w:r>
      <w:r>
        <w:rPr>
          <w:rFonts w:ascii="Arial" w:cs="Arial" w:eastAsia="Arial" w:hAnsi="Arial"/>
          <w:sz w:val="18"/>
          <w:szCs w:val="18"/>
          <w:color w:val="auto"/>
        </w:rPr>
        <w:t>Our revenues primarily consist of monthly revenues from our customers for our Trading Partner Integration solution.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for this solution consist of a monthly subscription fee and a transaction-based fee. We also receive set-up fees for initial integration solutions we provide our customers. Most of our customers have contracts with us that may be terminated by the customer by providing 30 days prior notice. Over 90% of our revenues for 2009, 2010 and 2011 were derived from Trading Partner Integration.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Trading Partner Enablement. </w:t>
      </w:r>
      <w:r>
        <w:rPr>
          <w:rFonts w:ascii="Arial" w:cs="Arial" w:eastAsia="Arial" w:hAnsi="Arial"/>
          <w:sz w:val="18"/>
          <w:szCs w:val="18"/>
          <w:color w:val="auto"/>
        </w:rPr>
        <w:t>Our Trading Partner Enablement solution helps organizations, typically large retailers, to implement new integrations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partners. This solution ranges from Electronic Data Interchange testing and certification to more complex business workflow automation and results in a one-time payment to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Trading Partner Intelligence. </w:t>
      </w:r>
      <w:r>
        <w:rPr>
          <w:rFonts w:ascii="Arial" w:cs="Arial" w:eastAsia="Arial" w:hAnsi="Arial"/>
          <w:sz w:val="16"/>
          <w:szCs w:val="16"/>
          <w:color w:val="auto"/>
        </w:rPr>
        <w:t>Our Trading Partner Intelligence solution consists of data analytics applications which allow our customers to improve their</w:t>
      </w:r>
      <w:r>
        <w:rPr>
          <w:rFonts w:ascii="Arial" w:cs="Arial" w:eastAsia="Arial" w:hAnsi="Arial"/>
          <w:sz w:val="16"/>
          <w:szCs w:val="16"/>
          <w:i w:val="1"/>
          <w:iCs w:val="1"/>
          <w:color w:val="auto"/>
        </w:rPr>
        <w:t xml:space="preserve"> </w:t>
      </w:r>
      <w:r>
        <w:rPr>
          <w:rFonts w:ascii="Arial" w:cs="Arial" w:eastAsia="Arial" w:hAnsi="Arial"/>
          <w:sz w:val="16"/>
          <w:szCs w:val="16"/>
          <w:color w:val="auto"/>
        </w:rPr>
        <w:t>visibility across, and analysis of, their supply chains. Through interactive data analysis, our retailer customers improve their visibility into supplier performance and their understanding of product sell-through. Our revenues for this solution primarily consist of a monthly subscription fee.</w:t>
      </w:r>
    </w:p>
    <w:p>
      <w:pPr>
        <w:spacing w:after="0" w:line="10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Other Trading Partner Solutions. </w:t>
      </w:r>
      <w:r>
        <w:rPr>
          <w:rFonts w:ascii="Arial" w:cs="Arial" w:eastAsia="Arial" w:hAnsi="Arial"/>
          <w:sz w:val="16"/>
          <w:szCs w:val="16"/>
          <w:color w:val="auto"/>
        </w:rPr>
        <w:t>The remainder of our revenues is derived from solutions that allow our customers to perform tasks such as barcode</w:t>
      </w:r>
      <w:r>
        <w:rPr>
          <w:rFonts w:ascii="Arial" w:cs="Arial" w:eastAsia="Arial" w:hAnsi="Arial"/>
          <w:sz w:val="16"/>
          <w:szCs w:val="16"/>
          <w:i w:val="1"/>
          <w:iCs w:val="1"/>
          <w:color w:val="auto"/>
        </w:rPr>
        <w:t xml:space="preserve"> </w:t>
      </w:r>
      <w:r>
        <w:rPr>
          <w:rFonts w:ascii="Arial" w:cs="Arial" w:eastAsia="Arial" w:hAnsi="Arial"/>
          <w:sz w:val="16"/>
          <w:szCs w:val="16"/>
          <w:color w:val="auto"/>
        </w:rPr>
        <w:t>labeling or picking-and-packaging information tracking as well as purchases of miscellaneous supplies. These revenues are primarily transaction-based.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Revenues and Operating Expenses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Overhead Allocation. </w:t>
      </w:r>
      <w:r>
        <w:rPr>
          <w:rFonts w:ascii="Arial" w:cs="Arial" w:eastAsia="Arial" w:hAnsi="Arial"/>
          <w:sz w:val="18"/>
          <w:szCs w:val="18"/>
          <w:color w:val="auto"/>
        </w:rPr>
        <w:t>We allocate overhead expenses such as rent, certain employee benefit costs, office supplies and depreciation of general office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to cost of revenues and operating expenses categories based on headcount.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primarily consists of personnel costs such as wages and benefits related to implementation teams, customer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application support personnel. Cost of revenues also includes our cost of network services, which is primarily data center costs for the locations where we keep the equipment that serves our customers, and connectivity costs that facilitate electronic data transmission between our customers and their trading partners.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personnel costs for our sales, marketing and product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teams, commissions earned by our sales personnel and marketing costs. In order to grow our business, we will continue to add resources to our sales and marketing efforts over time.</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consist primarily of personnel costs for development and maintenance of</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solutions. This group also is responsible for enhancing existing solutions and applications as well as internal tools and developing new information maps that integrate our customers to their trading partners in compliance with those trading partners’ requirements.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personnel costs for finance, human resources and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technology support, as well as legal, accounting and other fees, such as credit card processing fees. Since becoming a public company in April 2010, we have incurred additional general and administrative expenses associated with being a public company, including higher legal, audit and insurance fees.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Metrics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Recurring Revenue Customers. </w:t>
      </w:r>
      <w:r>
        <w:rPr>
          <w:rFonts w:ascii="Arial" w:cs="Arial" w:eastAsia="Arial" w:hAnsi="Arial"/>
          <w:sz w:val="18"/>
          <w:szCs w:val="18"/>
          <w:color w:val="auto"/>
        </w:rPr>
        <w:t>As of December 31, 2011, we had approximately 16,100 customers with contracts to pay us monthly fees, which we refer</w:t>
      </w:r>
      <w:r>
        <w:rPr>
          <w:rFonts w:ascii="Arial" w:cs="Arial" w:eastAsia="Arial" w:hAnsi="Arial"/>
          <w:sz w:val="18"/>
          <w:szCs w:val="18"/>
          <w:i w:val="1"/>
          <w:iCs w:val="1"/>
          <w:color w:val="auto"/>
        </w:rPr>
        <w:t xml:space="preserve"> </w:t>
      </w:r>
      <w:r>
        <w:rPr>
          <w:rFonts w:ascii="Arial" w:cs="Arial" w:eastAsia="Arial" w:hAnsi="Arial"/>
          <w:sz w:val="18"/>
          <w:szCs w:val="18"/>
          <w:color w:val="auto"/>
        </w:rPr>
        <w:t>to as recurring revenue customers. We report recurring revenue customers at the end of a period. A minority portion of our recurring revenue customers consists of separate units within a larger organization. We treat each of these units, which may include divisions, departments, affiliates and franchises, as distinct customers.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Average Recurring Revenues Per Recurring Revenue Customer. </w:t>
      </w:r>
      <w:r>
        <w:rPr>
          <w:rFonts w:ascii="Arial" w:cs="Arial" w:eastAsia="Arial" w:hAnsi="Arial"/>
          <w:sz w:val="16"/>
          <w:szCs w:val="16"/>
          <w:color w:val="auto"/>
        </w:rPr>
        <w:t>We calculate average recurring revenues per recurring revenue customer for a period by</w:t>
      </w:r>
      <w:r>
        <w:rPr>
          <w:rFonts w:ascii="Arial" w:cs="Arial" w:eastAsia="Arial" w:hAnsi="Arial"/>
          <w:sz w:val="16"/>
          <w:szCs w:val="16"/>
          <w:i w:val="1"/>
          <w:iCs w:val="1"/>
          <w:color w:val="auto"/>
        </w:rPr>
        <w:t xml:space="preserve"> </w:t>
      </w:r>
      <w:r>
        <w:rPr>
          <w:rFonts w:ascii="Arial" w:cs="Arial" w:eastAsia="Arial" w:hAnsi="Arial"/>
          <w:sz w:val="16"/>
          <w:szCs w:val="16"/>
          <w:color w:val="auto"/>
        </w:rPr>
        <w:t>dividing the recurring revenues from recurring revenue customers for the period by the average of the beginning and ending number of recurring revenue customers for the period. For interim periods, we annualize this number by multiplying the quotient by the quotient of 12 divided by the number of months in the period. We anticipate that average recurring revenues per recurring revenue customer will continue to increase as we increase the number of solutions we offer and increase the penetration of those solutions across our customer base.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Recurring Revenue. </w:t>
      </w:r>
      <w:r>
        <w:rPr>
          <w:rFonts w:ascii="Arial" w:cs="Arial" w:eastAsia="Arial" w:hAnsi="Arial"/>
          <w:sz w:val="16"/>
          <w:szCs w:val="16"/>
          <w:color w:val="auto"/>
        </w:rPr>
        <w:t>For 2011, 2010 and 2009, revenues from fixed monthly subscription and transaction-based fees, which we refer to as recurring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accounted for 85%, 83% and 80% of our total revenues. More than 90% of the recurring revenues for 2011, 2010 and 2009 related to our Trading Partner Integration solution. Our revenues are not concentrated with any customer, as no customer represented over 2% of our revenues for 2011, 2010 or 2009.</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Non-GAAP Financial Measures. </w:t>
      </w:r>
      <w:r>
        <w:rPr>
          <w:rFonts w:ascii="Arial" w:cs="Arial" w:eastAsia="Arial" w:hAnsi="Arial"/>
          <w:sz w:val="16"/>
          <w:szCs w:val="16"/>
          <w:color w:val="auto"/>
        </w:rPr>
        <w:t>To supplement our financial statements, we also provide investors with Adjusted EBITDA and non-GAAP income</w:t>
      </w:r>
      <w:r>
        <w:rPr>
          <w:rFonts w:ascii="Arial" w:cs="Arial" w:eastAsia="Arial" w:hAnsi="Arial"/>
          <w:sz w:val="16"/>
          <w:szCs w:val="16"/>
          <w:i w:val="1"/>
          <w:iCs w:val="1"/>
          <w:color w:val="auto"/>
        </w:rPr>
        <w:t xml:space="preserve"> </w:t>
      </w:r>
      <w:r>
        <w:rPr>
          <w:rFonts w:ascii="Arial" w:cs="Arial" w:eastAsia="Arial" w:hAnsi="Arial"/>
          <w:sz w:val="16"/>
          <w:szCs w:val="16"/>
          <w:color w:val="auto"/>
        </w:rPr>
        <w:t>(loss)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These non-GAAP financial measures exclude significant expenses and income that are required by GAAP to be recorded in the company’s financial statements and are subject to inherent limitations. Investors should review the reconciliations of non-GAAP financial measures to the comparable GAAP financial measures that are included in this “Management’s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operations is based upon our financial statements, which are prepared in accordance with accounting principles generally accepted in the United States, or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believe that of our significant accounting policies, which are described in the notes to our financial statements,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Revenues from our Trading Partner Integration and Trading Partner Intelligence solutions are generated through set-up fees and a recurring monthly hosting fee. Revenues from our Trading Partner Enablement solutions are generally one-time service fees.</w:t>
      </w:r>
    </w:p>
    <w:p>
      <w:pPr>
        <w:spacing w:after="0" w:line="113"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 xml:space="preserve">Revenues are recorded in accordance with Staff Accounting Bulletin 104, </w:t>
      </w:r>
      <w:r>
        <w:rPr>
          <w:rFonts w:ascii="Arial" w:cs="Arial" w:eastAsia="Arial" w:hAnsi="Arial"/>
          <w:sz w:val="15"/>
          <w:szCs w:val="15"/>
          <w:i w:val="1"/>
          <w:iCs w:val="1"/>
          <w:color w:val="auto"/>
        </w:rPr>
        <w:t>Revenue Recognition in Financial Statements</w:t>
      </w:r>
      <w:r>
        <w:rPr>
          <w:rFonts w:ascii="Arial" w:cs="Arial" w:eastAsia="Arial" w:hAnsi="Arial"/>
          <w:sz w:val="15"/>
          <w:szCs w:val="15"/>
          <w:color w:val="auto"/>
        </w:rPr>
        <w:t xml:space="preserve"> and Accounting Standards Update (“ASU”)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when all of the following criteria are met: (1) persuasive evidence of an arrangement exists,</w:t>
      </w:r>
    </w:p>
    <w:p>
      <w:pPr>
        <w:ind w:right="40" w:firstLine="8"/>
        <w:spacing w:after="0" w:line="361" w:lineRule="auto"/>
        <w:tabs>
          <w:tab w:leader="none" w:pos="2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delivery has occurred, (3) the fee is fixed and determinable, and (4) collectability is probable. If collection is not considered probable, revenues are recognized when the fees are collected. The services related to these fees have standalone value which is determined using vendor specific objective evidence (“VSOE”).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Fees related to our Trading Partner Integration and Trading Partner Intelligence solutions consist of two revenue sources: set-up fees and recurring monthly hosting fees. All set-up fees are deferred and recognized ratably over the expected life of the customer relationship, which is generally two years. We continue to evaluate and adjust the length of these amortization periods as more experience is gained with customer renewals, contract cancellations and technology changes requested by our customers. It is possible that, in the future, the estimates of expected customer lives may change and, if so, the periods over which such subscription set-up fees and costs are amortized will be adjusted. Any such change in estimated expected customer lives will affect our future results of operations. Set-up fees are further broken down as initial set-up fees and add-on set-up fees. Add-on set-up fees, which are nonrefundable, and our Trading Partner Integration revenues represent arrangements providing standalone value for our customers. Because these revenues are not dependent on the delivery of any future performance and the arrangement includes VSOE for pricing, ASU 2009-13 has not impacted how we separate and price these two elements. Initial setup fees are nonrefundable upfront fees that do not have standalone value and are not part of the multiple element arrangement. These fees are deferred and recognized over the customer relationship period as discussed above.</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recurring monthly fee is comprised of both fixed and transaction based fees that provide standalone value and are recognized as incurred. From time-to-time, we may provide discounts on set-up fees; however it is not possible to allocate the discount on the set-up fees because the contract period is unknown and the complete value of the deliverables is unknown. Variables preventing allocation include the variability of the recurring revenue due to transaction levels and the ability of customers to cancel the contract upon 30 days’ notice. If estimation of the customer relationship became necessary, we would rely on the existing customer relationship period that set-up fees are currently being recognized over, resulting in no change in the revenues recognized.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an allowance for doubtful accounts for estimated losses resulting from our customers’ inability to pay us. The provision is based on our historical experience and for specific customers that, in our opinion, are likely to default on our receivables from them. In order to identify these customers, we perform ongoing reviews of all customers that have breached their payment terms, as well as those that have filed for bankruptcy or for whom information has become available indicating a significant risk of non-recoverability. In addition, we have experienced significant growth in the number of our customers, and we have less payment history to rely upon with these customers. We rely on historical trends of bad debt as a percentage of total revenues and apply these percentages to the accounts receivable associated with new customers and evaluate these customers over time. To the extent that our future collections differ from our assumptions based on historical experience, the amount of our bad debt and allowance recorded may be different.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account for income taxes using the liability method, which requires that deferred tax assets and liabilities be recognized using enacted tax rates for the effect of temporary differences between the book and tax basis of recorded assets and liabilities. Under this method, deferred tax assets are reduced by a valuation allowance if it is more likely than not that some portion or all of the deferred tax assets will not be realized. The realization of the deferred tax assets is evaluated quarterly by assessing the valuation allowance and by adjusting the amount of the allowance, if necessary, based on projections of future taxable income.</w:t>
      </w:r>
    </w:p>
    <w:p>
      <w:pPr>
        <w:spacing w:after="0" w:line="9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Stock-based compensation is measured at the grant date, based on the fair value of the award, and is recognized as an expense over the vesting period of the grant. Determining the appropriate fair value model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calculating the fair value of stock-based payment awards require the use of highly subjective assumptions, including the expected life of the stock-based payment awards and stock price volatility. We use the Black-Scholes option pricing model to value our option grants and determine the related compensation expense. The assumptions used in calculating the fair value of stock-based payment awards represent management’s best estimates, but the estimates involve inherent uncertainties and the application of management judgment. As a result, if factors change and we use different assumptions, our stock-based compensation expense could be materially different in the future. We expect to continue to grant stock-based awards in the future, and to the extent that we do, our actual stock-based compensation expense recognized in future periods will likely increase.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becoming a public entity, historic volatility was not available for our shares. As a result, we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Factors Used in Determining Fair Value of Our Common Stock</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fair value of the shares of common stock that underlie the stock options we have granted has historically been determined by our audit committee or board of directors based upon information available to it at the time of grant. Because, prior to our initial public offering, there was no public market for our common stock, our audit committee or board of directors determined the fair value of our common stock by utilizing, among other things, recent or contemporaneous valuation information available as of December 31, 2007 and for each quarter end thereafter until we completed our initial public offering on April 22, 2010. The valuation information included reviews of our business and general economic, market and other conditions that could be reasonably evaluated at that time, including our financial results, business agreements, intellectual property and capital structure. The valuation information also included a thorough review of the conditions of the industry in which we operate and the markets that we serve. Our audit committee or board of directors conducted an analysis of the fair market value of our company considering two widely accepted valuation approaches: (1) market approach and (2) income approach. These valuation approaches are based on a number of assumptions, including our future revenues and industry, general economic, market and other conditions that could reasonably be evaluated at the time of the valuation.</w:t>
      </w:r>
    </w:p>
    <w:p>
      <w:pPr>
        <w:spacing w:after="0" w:line="12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Under the market approach, the guideline market multiple methodology was applied, which involved the multiplication of revenues by risk-adjusted multiples. Multiples were determined through an analysis of certain publicly traded companies, which were selected on the basis of operational and economic similarity with our principal business operations. Revenue multiples were calculated for the comparable companies based upon daily trading prices. A comparative risk analysis between our and the public companies formed the basis for the selection of appropriate risk-adjusted multiples for our company. The risk analysis incorporated factors that relate to, among other things, the nature of the industry in which we and other comparable companies are engaged. Under the income approach, we applied the discounted cash flow methodology, which involved estimating the present value of the projected cash flows to be generated from the business and theoretically available to the capital providers of our company. A discount rate was applied to the projected future cash flows to reflect all risks of ownership and the associated risks of realizing the stream of projected cash flows. Since the cash flows were projected over a limited number of years, a terminal value was computed as of the end of the last period of projected cash flows. The terminal value was an estimate of the value of the enterprise on a going concern basis as of that future point in time. Discounting each of the projected future cash flows and the terminal value back to the present and summing the results yielded an indication of value for the enterprise. Our board of directors and audit committee took these two approaches into consideration when establishing the fair value of our common stock.</w:t>
      </w:r>
    </w:p>
    <w:p>
      <w:pPr>
        <w:spacing w:after="0" w:line="12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period subsequent to December 31, 2009, and through April 22, 2010, all stock option grants were valued at the price to the public of our common stock for our initial public offering. Subsequent to our initial public offering, all grants have been valued at the closing sale price of our common stock on the Nasdaq Global Market on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Goodwill and Purchased Intangible Assets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a business combination. Assets acquired may include identifiable intangible assets, such as subscriber relationships, which are recognized separately from goodwill. We have determined the fair value and useful lives of intangible assets with the assistance of an independent third-party valuation firm using certain estimates and assumptions.</w:t>
      </w:r>
    </w:p>
    <w:p>
      <w:pPr>
        <w:spacing w:after="0" w:line="10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For the years ended December 31, 2009 and prior, the impairment test compared the carrying value of the company to the fair value of the company, which was based on an analysis of the discounted future cash flows. The methodology for evaluating the fair value of the company was changed with the completion of our initial public offering to use the per share prices as a direct market observable measure. There has been no impairment of our goodwill to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86"/>
              </w:rPr>
              <w:t>Year Ended December 31,</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w w:val="84"/>
              </w:rPr>
              <w:t>% of revenue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55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$57,969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44,597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$13,372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15,366</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12,626</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2,740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42,603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31,971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10,632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23,836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16,601</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7,235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5,838</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4,349</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9.8</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1,489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3,166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643</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41,468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28,935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12,533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6.8</w:t>
            </w:r>
          </w:p>
        </w:tc>
        <w:tc>
          <w:tcPr>
            <w:tcW w:w="108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rPr>
              <w:t>(1,901)</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line="20" w:lineRule="exact"/>
              <w:rPr>
                <w:sz w:val="1"/>
                <w:szCs w:val="1"/>
                <w:color w:val="auto"/>
              </w:rPr>
            </w:pPr>
          </w:p>
        </w:tc>
      </w:tr>
      <w:tr>
        <w:trPr>
          <w:trHeight w:val="221"/>
        </w:trPr>
        <w:tc>
          <w:tcPr>
            <w:tcW w:w="6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3,036</w:t>
            </w:r>
          </w:p>
        </w:tc>
        <w:tc>
          <w:tcPr>
            <w:tcW w:w="7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74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0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6.7</w:t>
            </w:r>
          </w:p>
        </w:tc>
        <w:tc>
          <w:tcPr>
            <w:tcW w:w="108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rPr>
              <w:t>(1,892)</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1,084</w:t>
            </w:r>
          </w:p>
        </w:tc>
        <w:tc>
          <w:tcPr>
            <w:tcW w:w="2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2,976</w:t>
            </w:r>
          </w:p>
        </w:tc>
        <w:tc>
          <w:tcPr>
            <w:tcW w:w="7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12,619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12,711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2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6.5</w:t>
            </w:r>
          </w:p>
        </w:tc>
        <w:tc>
          <w:tcPr>
            <w:tcW w:w="1080" w:type="dxa"/>
            <w:vAlign w:val="bottom"/>
            <w:gridSpan w:val="2"/>
            <w:vMerge w:val="restart"/>
          </w:tcPr>
          <w:p>
            <w:pPr>
              <w:jc w:val="right"/>
              <w:ind w:right="292"/>
              <w:spacing w:after="0"/>
              <w:rPr>
                <w:sz w:val="20"/>
                <w:szCs w:val="20"/>
                <w:color w:val="auto"/>
              </w:rPr>
            </w:pPr>
            <w:r>
              <w:rPr>
                <w:rFonts w:ascii="Arial" w:cs="Arial" w:eastAsia="Arial" w:hAnsi="Arial"/>
                <w:sz w:val="18"/>
                <w:szCs w:val="18"/>
                <w:color w:val="auto"/>
              </w:rPr>
              <w:t>10,819</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13,703</w:t>
            </w:r>
          </w:p>
        </w:tc>
        <w:tc>
          <w:tcPr>
            <w:tcW w:w="2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2,884</w:t>
            </w:r>
          </w:p>
        </w:tc>
        <w:tc>
          <w:tcPr>
            <w:tcW w:w="7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5480" w:firstLine="216"/>
        <w:spacing w:after="0" w:line="362" w:lineRule="auto"/>
        <w:rPr>
          <w:sz w:val="20"/>
          <w:szCs w:val="20"/>
          <w:color w:val="auto"/>
        </w:rPr>
      </w:pPr>
      <w:r>
        <w:rPr>
          <w:rFonts w:ascii="Arial" w:cs="Arial" w:eastAsia="Arial" w:hAnsi="Arial"/>
          <w:sz w:val="18"/>
          <w:szCs w:val="18"/>
          <w:color w:val="auto"/>
        </w:rPr>
        <w:t>Due to rounding, totals may not equal the sum of the line items in the table above * Percentage is not meaningful</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i w:val="1"/>
          <w:iCs w:val="1"/>
          <w:color w:val="auto"/>
        </w:rPr>
        <w:t xml:space="preserve">Revenues. </w:t>
      </w:r>
      <w:r>
        <w:rPr>
          <w:rFonts w:ascii="Arial" w:cs="Arial" w:eastAsia="Arial" w:hAnsi="Arial"/>
          <w:sz w:val="15"/>
          <w:szCs w:val="15"/>
          <w:color w:val="auto"/>
        </w:rPr>
        <w:t>Revenues for 2011 increased $13.4 million, or 30%, to $58.0 million from $44.6 million for 2010. Our fiscal quarter ended December 31, 2011</w:t>
      </w:r>
      <w:r>
        <w:rPr>
          <w:rFonts w:ascii="Arial" w:cs="Arial" w:eastAsia="Arial" w:hAnsi="Arial"/>
          <w:sz w:val="15"/>
          <w:szCs w:val="15"/>
          <w:i w:val="1"/>
          <w:iCs w:val="1"/>
          <w:color w:val="auto"/>
        </w:rPr>
        <w:t xml:space="preserve"> </w:t>
      </w:r>
      <w:r>
        <w:rPr>
          <w:rFonts w:ascii="Arial" w:cs="Arial" w:eastAsia="Arial" w:hAnsi="Arial"/>
          <w:sz w:val="15"/>
          <w:szCs w:val="15"/>
          <w:color w:val="auto"/>
        </w:rPr>
        <w:t>represented our 44th consecutive quarter of increased revenues. The increase in revenues resulted primarily from a 30% increase in recurring revenue customers to 16,129 at December 31, 2011 from 12,399 at December 31, 2010, as well as an 8% increase in average recurring revenues per recurring revenue customer to $3,440 from $3,176. The increase in average recurring revenues per recurring revenue customer was primarily attributable to increased fees resulting from increased usage of our solutions by our recurring revenue customers. Recurring revenues from recurring revenue customers accounted for 85% of our total revenues for 2011, compared to 83% for 2010.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2011 increased $2.7 million, or 22%, to $15.4 million from $12.6 million for 2010. The increase in costs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attributable to higher costs of personnel and resale of adapters, as well as increased occupancy, network services, stock-based compensation and depreciation expenses. As a percentage of revenues, cost of revenues was 27% for 2011, compared to 28% for 2010. Increased revenues allowed us to leverage our personnel and infrastructure costs and decrease our cost of revenues as a percentage of total revenues. Going forward, we anticipate that cost of revenues will increase in absolute dollars as we continue to build our business.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2011 increased $7.2 million, or 44%, to $23.8 million from $16.6 million for 2010.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sales and marketing expenses was due to higher commissions earned by sales personnel from new business, as well as increased personnel and promotional costs in 2011. As a percentage of revenues, sales and marketing expenses were 41% for 2011 and 37% for 2010. As we work to grow our business, we will continue to add resources to our sales and marketing efforts over time, and we expect that these expenses will increase in absolute dollars.</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2011 were $5.8 million, an increase of $1.5 million, or 34%, from $4.3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2010. The increase in research and development expenses was primarily due to higher personnel costs. As a percentage of revenues, research and development expenses were 10% for each of 2011 and 2010. We expect research and development expenses will increase in absolute dollars as we continue to enhance and expand our solutions and applications.</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For 2011, general and administrative expenses increased $3.2 million, or 40%, to $11.2 million from $8.0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2010. The increase in general and administrative expenses was due to increased personnel costs as well as increased stock-based compensation, legal, credit card and occupancy expenses. As a percentage of revenues, general and administrative expenses were 19% for 2011, compared to 18% for 2010. Going forward, we expect that general and administrative expenses will increase in absolute dollars as we grow our business.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There was no interest expense for 2011, compared to $74,000 for 2010. The decrease in interest expense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all outstanding indebtedness under our credit facility in 2010. Interest income was $89,000 for 2011, compared to $158,000 for 2010. Other expense was $140,000 for 2011 and $144,000 for 2010.</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Income Tax Benefit (Expense). </w:t>
      </w:r>
      <w:r>
        <w:rPr>
          <w:rFonts w:ascii="Arial" w:cs="Arial" w:eastAsia="Arial" w:hAnsi="Arial"/>
          <w:sz w:val="18"/>
          <w:szCs w:val="18"/>
          <w:color w:val="auto"/>
        </w:rPr>
        <w:t>For 2011, we recorded an income tax benefit of $12.6 million, primarily resulting from the reversal of a substantial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valuation allowance on our deferred tax assets. See Note I to our consolidated financial statements, included in this Annual Report on Form 10-K, for additional information regarding income taxes. For 2010, we recorded income tax expense of $92,000. Our provision for income taxes includes estimated federal alternative minimum taxes, state income and franchise taxes, as well as deferred tax expense resulting from the book and tax basis difference in goodwill from a prior asset acquisition.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interest expense, interest income, income tax benefit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8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13,703</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2,647</w:t>
            </w:r>
          </w:p>
        </w:tc>
        <w:tc>
          <w:tcPr>
            <w:tcW w:w="58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1,533</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(89)</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(158)</w:t>
            </w: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6"/>
              </w:rPr>
              <w:t>(12,619)</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21"/>
        </w:trPr>
        <w:tc>
          <w:tcPr>
            <w:tcW w:w="8640" w:type="dxa"/>
            <w:vAlign w:val="bottom"/>
          </w:tcPr>
          <w:p>
            <w:pPr>
              <w:ind w:left="220"/>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19"/>
                <w:szCs w:val="19"/>
                <w:color w:val="auto"/>
              </w:rPr>
            </w:pPr>
          </w:p>
        </w:tc>
      </w:tr>
      <w:tr>
        <w:trPr>
          <w:trHeight w:val="218"/>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22"/>
        </w:trPr>
        <w:tc>
          <w:tcPr>
            <w:tcW w:w="864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5,410</w:t>
            </w:r>
          </w:p>
        </w:tc>
        <w:tc>
          <w:tcPr>
            <w:tcW w:w="58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5,175</w:t>
            </w:r>
          </w:p>
        </w:tc>
      </w:tr>
      <w:tr>
        <w:trPr>
          <w:trHeight w:val="20"/>
        </w:trPr>
        <w:tc>
          <w:tcPr>
            <w:tcW w:w="8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minus the deferred tax valuation allowance reversal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13,703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Deferred tax asset valuation allowance reversal</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(12,802)</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Non-GAAP income</w:t>
            </w:r>
          </w:p>
        </w:tc>
        <w:tc>
          <w:tcPr>
            <w:tcW w:w="4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Non-GAAP income per share</w:t>
            </w: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Diluted</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Basic</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11,960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12,744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460" w:type="dxa"/>
            <w:vAlign w:val="bottom"/>
          </w:tcPr>
          <w:p>
            <w:pPr>
              <w:spacing w:after="0"/>
              <w:rPr>
                <w:sz w:val="24"/>
                <w:szCs w:val="24"/>
                <w:color w:val="auto"/>
              </w:rPr>
            </w:pPr>
          </w:p>
        </w:tc>
        <w:tc>
          <w:tcPr>
            <w:tcW w:w="4100" w:type="dxa"/>
            <w:vAlign w:val="bottom"/>
          </w:tcPr>
          <w:p>
            <w:pPr>
              <w:jc w:val="right"/>
              <w:ind w:right="31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2010 Compared to Year Ended December 31,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696"/>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15"/>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580" w:type="dxa"/>
            <w:vAlign w:val="bottom"/>
          </w:tcPr>
          <w:p>
            <w:pPr>
              <w:spacing w:after="0"/>
              <w:rPr>
                <w:sz w:val="12"/>
                <w:szCs w:val="12"/>
                <w:color w:val="auto"/>
              </w:rPr>
            </w:pPr>
          </w:p>
        </w:tc>
        <w:tc>
          <w:tcPr>
            <w:tcW w:w="980" w:type="dxa"/>
            <w:vAlign w:val="bottom"/>
          </w:tcPr>
          <w:p>
            <w:pPr>
              <w:jc w:val="right"/>
              <w:ind w:right="615"/>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44,597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37,746</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9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w w:val="87"/>
              </w:rPr>
              <w:t>$6,851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12,626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11,715</w:t>
            </w:r>
          </w:p>
        </w:tc>
        <w:tc>
          <w:tcPr>
            <w:tcW w:w="120" w:type="dxa"/>
            <w:vAlign w:val="bottom"/>
          </w:tcPr>
          <w:p>
            <w:pPr>
              <w:spacing w:after="0"/>
              <w:rPr>
                <w:sz w:val="19"/>
                <w:szCs w:val="19"/>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31.0</w:t>
            </w:r>
          </w:p>
        </w:tc>
        <w:tc>
          <w:tcPr>
            <w:tcW w:w="980" w:type="dxa"/>
            <w:vAlign w:val="bottom"/>
          </w:tcPr>
          <w:p>
            <w:pPr>
              <w:jc w:val="right"/>
              <w:ind w:right="395"/>
              <w:spacing w:after="0"/>
              <w:rPr>
                <w:sz w:val="20"/>
                <w:szCs w:val="20"/>
                <w:color w:val="auto"/>
              </w:rPr>
            </w:pPr>
            <w:r>
              <w:rPr>
                <w:rFonts w:ascii="Arial" w:cs="Arial" w:eastAsia="Arial" w:hAnsi="Arial"/>
                <w:sz w:val="18"/>
                <w:szCs w:val="18"/>
                <w:color w:val="auto"/>
              </w:rPr>
              <w:t>911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31,971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26,031</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69.0</w:t>
            </w:r>
          </w:p>
        </w:tc>
        <w:tc>
          <w:tcPr>
            <w:tcW w:w="9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5,940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2"/>
        </w:trPr>
        <w:tc>
          <w:tcPr>
            <w:tcW w:w="49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16,601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13,506</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35.8</w:t>
            </w:r>
          </w:p>
        </w:tc>
        <w:tc>
          <w:tcPr>
            <w:tcW w:w="9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3,095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4,349</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4,305</w:t>
            </w:r>
          </w:p>
        </w:tc>
        <w:tc>
          <w:tcPr>
            <w:tcW w:w="12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11.4</w:t>
            </w:r>
          </w:p>
        </w:tc>
        <w:tc>
          <w:tcPr>
            <w:tcW w:w="980" w:type="dxa"/>
            <w:vAlign w:val="bottom"/>
          </w:tcPr>
          <w:p>
            <w:pPr>
              <w:jc w:val="right"/>
              <w:ind w:right="395"/>
              <w:spacing w:after="0"/>
              <w:rPr>
                <w:sz w:val="20"/>
                <w:szCs w:val="20"/>
                <w:color w:val="auto"/>
              </w:rPr>
            </w:pPr>
            <w:r>
              <w:rPr>
                <w:rFonts w:ascii="Arial" w:cs="Arial" w:eastAsia="Arial" w:hAnsi="Arial"/>
                <w:sz w:val="18"/>
                <w:szCs w:val="18"/>
                <w:color w:val="auto"/>
              </w:rPr>
              <w:t>44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w:t>
            </w:r>
          </w:p>
        </w:tc>
        <w:tc>
          <w:tcPr>
            <w:tcW w:w="9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1,646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4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28,935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24,150</w:t>
            </w:r>
          </w:p>
        </w:tc>
        <w:tc>
          <w:tcPr>
            <w:tcW w:w="120" w:type="dxa"/>
            <w:vAlign w:val="bottom"/>
          </w:tcPr>
          <w:p>
            <w:pPr>
              <w:spacing w:after="0"/>
              <w:rPr>
                <w:sz w:val="20"/>
                <w:szCs w:val="20"/>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64.0</w:t>
            </w:r>
          </w:p>
        </w:tc>
        <w:tc>
          <w:tcPr>
            <w:tcW w:w="980" w:type="dxa"/>
            <w:vAlign w:val="bottom"/>
          </w:tcPr>
          <w:p>
            <w:pPr>
              <w:jc w:val="right"/>
              <w:ind w:right="395"/>
              <w:spacing w:after="0"/>
              <w:rPr>
                <w:sz w:val="20"/>
                <w:szCs w:val="20"/>
                <w:color w:val="auto"/>
              </w:rPr>
            </w:pPr>
            <w:r>
              <w:rPr>
                <w:rFonts w:ascii="Arial" w:cs="Arial" w:eastAsia="Arial" w:hAnsi="Arial"/>
                <w:sz w:val="18"/>
                <w:szCs w:val="18"/>
                <w:color w:val="auto"/>
              </w:rPr>
              <w:t>4,785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9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1,155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c>
          <w:tcPr>
            <w:tcW w:w="1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(0.7)</w:t>
            </w:r>
          </w:p>
        </w:tc>
        <w:tc>
          <w:tcPr>
            <w:tcW w:w="9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196</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5"/>
              <w:spacing w:after="0"/>
              <w:rPr>
                <w:sz w:val="20"/>
                <w:szCs w:val="20"/>
                <w:color w:val="auto"/>
              </w:rPr>
            </w:pPr>
            <w:r>
              <w:rPr>
                <w:rFonts w:ascii="Arial" w:cs="Arial" w:eastAsia="Arial" w:hAnsi="Arial"/>
                <w:sz w:val="18"/>
                <w:szCs w:val="18"/>
                <w:color w:val="auto"/>
              </w:rPr>
              <w:t>158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1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(0.9)</w:t>
            </w:r>
          </w:p>
        </w:tc>
        <w:tc>
          <w:tcPr>
            <w:tcW w:w="98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214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(1.7)</w:t>
            </w:r>
          </w:p>
        </w:tc>
        <w:tc>
          <w:tcPr>
            <w:tcW w:w="980" w:type="dxa"/>
            <w:vAlign w:val="bottom"/>
            <w:vMerge w:val="restart"/>
          </w:tcPr>
          <w:p>
            <w:pPr>
              <w:jc w:val="right"/>
              <w:ind w:right="395"/>
              <w:spacing w:after="0"/>
              <w:rPr>
                <w:sz w:val="20"/>
                <w:szCs w:val="20"/>
                <w:color w:val="auto"/>
              </w:rPr>
            </w:pPr>
            <w:r>
              <w:rPr>
                <w:rFonts w:ascii="Arial" w:cs="Arial" w:eastAsia="Arial" w:hAnsi="Arial"/>
                <w:sz w:val="18"/>
                <w:szCs w:val="18"/>
                <w:color w:val="auto"/>
              </w:rPr>
              <w:t>568</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4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(628)</w:t>
            </w:r>
          </w:p>
        </w:tc>
        <w:tc>
          <w:tcPr>
            <w:tcW w:w="17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1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w:t>
            </w:r>
          </w:p>
        </w:tc>
        <w:tc>
          <w:tcPr>
            <w:tcW w:w="98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3.1</w:t>
            </w:r>
          </w:p>
        </w:tc>
        <w:tc>
          <w:tcPr>
            <w:tcW w:w="980" w:type="dxa"/>
            <w:vAlign w:val="bottom"/>
            <w:vMerge w:val="restart"/>
          </w:tcPr>
          <w:p>
            <w:pPr>
              <w:jc w:val="right"/>
              <w:ind w:right="395"/>
              <w:spacing w:after="0"/>
              <w:rPr>
                <w:sz w:val="20"/>
                <w:szCs w:val="20"/>
                <w:color w:val="auto"/>
              </w:rPr>
            </w:pPr>
            <w:r>
              <w:rPr>
                <w:rFonts w:ascii="Arial" w:cs="Arial" w:eastAsia="Arial" w:hAnsi="Arial"/>
                <w:sz w:val="18"/>
                <w:szCs w:val="18"/>
                <w:color w:val="auto"/>
              </w:rPr>
              <w:t>1,722</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7"/>
              </w:rPr>
              <w:t>148.2</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2,884</w:t>
            </w: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5480" w:firstLine="216"/>
        <w:spacing w:after="0" w:line="362" w:lineRule="auto"/>
        <w:rPr>
          <w:sz w:val="20"/>
          <w:szCs w:val="20"/>
          <w:color w:val="auto"/>
        </w:rPr>
      </w:pPr>
      <w:r>
        <w:rPr>
          <w:rFonts w:ascii="Arial" w:cs="Arial" w:eastAsia="Arial" w:hAnsi="Arial"/>
          <w:sz w:val="18"/>
          <w:szCs w:val="18"/>
          <w:color w:val="auto"/>
        </w:rPr>
        <w:t>Due to rounding, totals may not equal the sum of the line items in the table above * Percentage is not meaningful</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for 2010 increased $6.9 million, or 18%, to $44.6 million from $37.7 million for 2009. Our fiscal quarter ended December 31, 2010</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our 40th consecutive quarter of increased revenues. The increase in revenues resulted primarily from a 13% increase in recurring revenue customers to 12,399 at December 31, 2010 from 11,003 at December 31, 2009, as well as a 10% increase in average recurring revenues per recurring revenue customer to $3,176 from $2,879. The increase in average recurring revenues per recurring revenue customer was primarily attributable to increased fees resulting from increased usage of our solutions by our recurring revenue customers. Recurring revenues from recurring revenue customers accounted for 83% of our total revenues for 2010, compared to 80% for 2009.</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2010 increased $900,000, or 8%, to $12.6 million from $11.7 million for 2009. The increase in costs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higher costs of personnel, network services and depreciation. As a percentage of revenues, cost of revenues was 28% for 2010, compared to 31% for 2009. Increased revenues allowed us to leverage our personnel and infrastructure costs and decrease our cost of revenues as a percentage of total revenues.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2010 increased $3.1 million, or 23%, to $16.6 million from $13.5 million for 2009.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sales and marketing expenses was due to higher commissions earned by sales personnel from new business, as well as increased personnel and promotional costs in 2010. As a percentage of revenues, sales and marketing expenses were 37% for 2010 and 36% for 2009.</w:t>
      </w:r>
    </w:p>
    <w:p>
      <w:pPr>
        <w:spacing w:after="0" w:line="10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2010 were $4.3 million, which was comparable to 2009. As a percentage</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revenues, research and development expenses were 10% for 2010, compared to 11% for 2009. Increased revenues contributed to the decrease in research and development expenses as a percentage of revenues.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For 2010, general and administrative expenses increased $1.7 million, or 26%, to $8.0 million from $6.3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2009. The increase in general and administrative expenses was due to increased expenses related to being a public company, including legal and accounting fees. As a percentage of revenues, general and administrative expenses were 18% for 2010, compared to 17% for 2009.</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Interest expense for 2010 decreased $196,000, or 73%, to $74,000 from $270,000 for 2009. The decrease in interest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principally due to reduced equipment borrowings and the repayment of all outstanding indebtedness under our credit facility in 2010. Interest income for 2010 was $158,000 as the result of interest earned on the net cash proceeds from our initial public offering in April 2010. Other expense for 2010 was $144,000 compared to $358,000 for 2009. The other income (expense) change was driven primarily by updating the value of outstanding preferred stock warrants to fair market value as required by generally accepted accounting principles. We expect that there will be no further income or expense related to these warrants as they were converted to common stock warrants with the completion of our initial public offering on April 22, 2010.</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$92,000 for 2010 compared to $91,000 for 2009. Our provision for income taxes includes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alternative minimum taxes, state income and franchise taxes, as well as deferred tax expense resulting from the book and tax basis difference in goodwill from a prior asset acquisition.</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interest expense, interest 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16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8880" w:type="dxa"/>
            <w:vAlign w:val="bottom"/>
          </w:tcPr>
          <w:p>
            <w:pPr>
              <w:spacing w:after="0"/>
              <w:rPr>
                <w:sz w:val="14"/>
                <w:szCs w:val="14"/>
                <w:color w:val="auto"/>
              </w:rPr>
            </w:pPr>
          </w:p>
        </w:tc>
        <w:tc>
          <w:tcPr>
            <w:tcW w:w="16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8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$2,884</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$1,162</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8"/>
                <w:szCs w:val="18"/>
                <w:color w:val="auto"/>
              </w:rPr>
              <w:t>1,533</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8"/>
                <w:szCs w:val="18"/>
                <w:color w:val="auto"/>
              </w:rPr>
            </w:pP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(158)</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21"/>
        </w:trPr>
        <w:tc>
          <w:tcPr>
            <w:tcW w:w="8880" w:type="dxa"/>
            <w:vAlign w:val="bottom"/>
          </w:tcPr>
          <w:p>
            <w:pPr>
              <w:ind w:left="220"/>
              <w:spacing w:after="0"/>
              <w:rPr>
                <w:sz w:val="20"/>
                <w:szCs w:val="20"/>
                <w:color w:val="auto"/>
              </w:rPr>
            </w:pPr>
            <w:r>
              <w:rPr>
                <w:rFonts w:ascii="Arial" w:cs="Arial" w:eastAsia="Arial" w:hAnsi="Arial"/>
                <w:sz w:val="18"/>
                <w:szCs w:val="18"/>
                <w:color w:val="auto"/>
              </w:rPr>
              <w:t>EBITDA</w:t>
            </w:r>
          </w:p>
        </w:tc>
        <w:tc>
          <w:tcPr>
            <w:tcW w:w="500" w:type="dxa"/>
            <w:vAlign w:val="bottom"/>
          </w:tcPr>
          <w:p>
            <w:pPr>
              <w:jc w:val="right"/>
              <w:spacing w:after="0"/>
              <w:rPr>
                <w:sz w:val="20"/>
                <w:szCs w:val="20"/>
                <w:color w:val="auto"/>
              </w:rPr>
            </w:pPr>
            <w:r>
              <w:rPr>
                <w:rFonts w:ascii="Arial" w:cs="Arial" w:eastAsia="Arial" w:hAnsi="Arial"/>
                <w:sz w:val="18"/>
                <w:szCs w:val="18"/>
                <w:color w:val="auto"/>
              </w:rPr>
              <w:t>4,425</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9"/>
                <w:szCs w:val="19"/>
                <w:color w:val="auto"/>
              </w:rPr>
            </w:pPr>
          </w:p>
        </w:tc>
      </w:tr>
      <w:tr>
        <w:trPr>
          <w:trHeight w:val="218"/>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r>
      <w:tr>
        <w:trPr>
          <w:trHeight w:val="222"/>
        </w:trPr>
        <w:tc>
          <w:tcPr>
            <w:tcW w:w="888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5,175</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3,206</w:t>
            </w:r>
          </w:p>
        </w:tc>
        <w:tc>
          <w:tcPr>
            <w:tcW w:w="100" w:type="dxa"/>
            <w:vAlign w:val="bottom"/>
          </w:tcPr>
          <w:p>
            <w:pPr>
              <w:spacing w:after="0"/>
              <w:rPr>
                <w:sz w:val="19"/>
                <w:szCs w:val="19"/>
                <w:color w:val="auto"/>
              </w:rPr>
            </w:pPr>
          </w:p>
        </w:tc>
      </w:tr>
      <w:tr>
        <w:trPr>
          <w:trHeight w:val="20"/>
        </w:trPr>
        <w:tc>
          <w:tcPr>
            <w:tcW w:w="8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400"/>
              <w:spacing w:after="0"/>
              <w:rPr>
                <w:sz w:val="20"/>
                <w:szCs w:val="20"/>
                <w:color w:val="auto"/>
              </w:rPr>
            </w:pPr>
            <w:r>
              <w:rPr>
                <w:rFonts w:ascii="Arial" w:cs="Arial" w:eastAsia="Arial" w:hAnsi="Arial"/>
                <w:sz w:val="14"/>
                <w:szCs w:val="14"/>
                <w:b w:val="1"/>
                <w:bCs w:val="1"/>
                <w:color w:val="auto"/>
                <w:w w:val="85"/>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2010</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1,162</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ind w:left="220"/>
              <w:spacing w:after="0"/>
              <w:rPr>
                <w:sz w:val="20"/>
                <w:szCs w:val="20"/>
                <w:color w:val="auto"/>
              </w:rPr>
            </w:pPr>
            <w:r>
              <w:rPr>
                <w:rFonts w:ascii="Arial" w:cs="Arial" w:eastAsia="Arial" w:hAnsi="Arial"/>
                <w:sz w:val="18"/>
                <w:szCs w:val="18"/>
                <w:color w:val="auto"/>
              </w:rPr>
              <w:t>Non-GAAP income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3,634</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1,545</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220"/>
              <w:spacing w:after="0"/>
              <w:rPr>
                <w:sz w:val="20"/>
                <w:szCs w:val="20"/>
                <w:color w:val="auto"/>
              </w:rPr>
            </w:pPr>
            <w:r>
              <w:rPr>
                <w:rFonts w:ascii="Arial" w:cs="Arial" w:eastAsia="Arial" w:hAnsi="Arial"/>
                <w:sz w:val="18"/>
                <w:szCs w:val="18"/>
                <w:color w:val="auto"/>
              </w:rPr>
              <w:t>Basic</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Shares used to compute non-GAAP income per share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11,596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9,268</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December 31, 2011, our principal sources of liquidity were cash and cash equivalents totaling $32.0 million and accounts receivable, net of allowance for doubtful accounts, of $8.0 million compared to cash and cash equivalents of $40.5 million and accounts receivable, net of allowance for doubtful accounts, of $5.6 million at December 31, 2010. Our working capital as of December 31, 2011 was $36.8 million compared to working capital of $42.6 million as of December 31, 2010. We bill our recurring revenue customers in arrears for monthly service fees and initial integration set-up fees. As a result, the amount of our accounts receivable at the end of a period is driven significantly by our revenues from recurring revenue customers for the last month of the period, and our cash flows from operations are affected by our collection of amounts due from customers for services that resulted in the recognition of revenues in a prior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working capital from December 31, 2010 to December 31, 2011 resulted primarily from the following:</w:t>
      </w:r>
    </w:p>
    <w:p>
      <w:pPr>
        <w:spacing w:after="0" w:line="90"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$8.5 million decrease in cash and cash equivalents, due primarily to $10.8 million of cash used for the acquisition of Direct EDI in May 2011;</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 million increase in net accounts receivable, due to new business in 2011;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$1.0 million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660" w:right="30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$783,000 increase in deferred income taxes, current as a result of the reversal of a substantial portion of the valuation allowance on our deferred tax assets;</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$891,000 increase in prepaid expenses and other current assets, primarily related to the renewals of insurance coverage and a prepaid service contract;</w:t>
      </w:r>
    </w:p>
    <w:p>
      <w:pPr>
        <w:spacing w:after="0" w:line="124" w:lineRule="exact"/>
        <w:rPr>
          <w:rFonts w:ascii="Arial" w:cs="Arial" w:eastAsia="Arial" w:hAnsi="Arial"/>
          <w:sz w:val="15"/>
          <w:szCs w:val="15"/>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$122,000 decrease in capital lease obligations, current, as all of our outstanding capital leases were repaid;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$413,000 increase in accounts payable, primarily due to timing of payments for equipment purchases, professional services and rent;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million increase in accrued compensation and benefits, due to increases in salary, vacation and commission accruals;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$290,000 increase in accrued expenses and other current liabilities, primarily due to an increase in accruals for professional services; and</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$255,000 increase in current deferred revenue, due to new business in 2011.</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cash provided by operating activities was $4.5 million for 2011 compared to $4.9 million for 2010. The $10.8 million increase in net income was more than offset by the impact of deferred income taxes, the changes in non-cash expenses, including depreciation, amortization, and stock-based compensation, and the changes in working capital accounts as discussed above.</w:t>
      </w:r>
    </w:p>
    <w:p>
      <w:pPr>
        <w:spacing w:after="0" w:line="14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Net cash provided by operating activities was $4.9 million for 2010 compared to $5.2 million for 2009. The approximate $1.7 million increase in net income was more than offset by the changes in non-cash expenses, including depreciation, amortization, and stock-based compensation, and the changes in working capital accounts.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2011, net cash used in investing activities was $13.4 million, including $10.8 million for the acquisition of Direct EDI and $2.6 million for capital expenditures.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2010 and 2009, net cash used in investing activities was $1.8 million and $1.0 million, respectively, all for capital expenditures. Capital expenditures in 2010 included a significant purchase of middleware and database licenses. In general, our various capital expenditures are for supporting our existing customer base, growth in new business, and internal use such as equipment for our employees.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Net cash provided by financing activities was $452,000 for 2011, representing cash received from the exercise of stock options offset by payments of capital lease obligations and stock offering costs.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Net cash provided by financing activities was $31.4 million for 2010, representing the approximate $34.0 million of net proceeds from our initial and secondary public offerings slightly offset by $2.6 million of net repayments on our outstanding indebtedness.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Net cash used in financing activities was $1.9 million for 2009. We used these funds to pay $1.3 million in equipment loans and capital lease obligations and to pay $679,000 toward the term loan from our Owens Direct acquisition.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62"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There were no borrowings under the revolving credit agreement during 2011. As of December 31, 2011, there were no borrowings outstanding and approximately $11.6 million was available for borrowings. We were in compliance with all covenants under the revolving credit agreement as of that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Adequacy of Capital Resources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future capital requirements may vary materially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and the response of competitors to our solutions and applications. Historically, we have experienced increases in our expenditures consistent with the growth in our operations and personnel, and we anticipate that our expenditures will continue to increase as we grow our business.</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believe our cash and cash equivalents and cash flows from our operations will be sufficient to meet our working capital and capital expenditure requirements for at least the next twelve months.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 Summary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and commercial commitments as of December 31, 2011 are summarized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6"/>
              </w:rPr>
              <w:t>Payments Due By Period</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Contractual Obligations</w:t>
            </w:r>
          </w:p>
        </w:tc>
        <w:tc>
          <w:tcPr>
            <w:tcW w:w="1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6"/>
              </w:rPr>
              <w:t>Less Than</w:t>
            </w:r>
          </w:p>
        </w:tc>
        <w:tc>
          <w:tcPr>
            <w:tcW w:w="940" w:type="dxa"/>
            <w:vAlign w:val="bottom"/>
            <w:gridSpan w:val="2"/>
          </w:tcPr>
          <w:p>
            <w:pPr>
              <w:jc w:val="right"/>
              <w:ind w:right="2"/>
              <w:spacing w:after="0" w:line="129" w:lineRule="exact"/>
              <w:rPr>
                <w:sz w:val="20"/>
                <w:szCs w:val="20"/>
                <w:color w:val="auto"/>
              </w:rPr>
            </w:pPr>
            <w:r>
              <w:rPr>
                <w:rFonts w:ascii="Arial" w:cs="Arial" w:eastAsia="Arial" w:hAnsi="Arial"/>
                <w:sz w:val="14"/>
                <w:szCs w:val="14"/>
                <w:b w:val="1"/>
                <w:bCs w:val="1"/>
                <w:color w:val="auto"/>
              </w:rPr>
              <w:t>1-3</w:t>
            </w:r>
          </w:p>
        </w:tc>
        <w:tc>
          <w:tcPr>
            <w:tcW w:w="560" w:type="dxa"/>
            <w:vAlign w:val="bottom"/>
          </w:tcPr>
          <w:p>
            <w:pPr>
              <w:spacing w:after="0"/>
              <w:rPr>
                <w:sz w:val="11"/>
                <w:szCs w:val="11"/>
                <w:color w:val="auto"/>
              </w:rPr>
            </w:pPr>
          </w:p>
        </w:tc>
        <w:tc>
          <w:tcPr>
            <w:tcW w:w="3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3-5</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22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1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2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85"/>
              </w:rPr>
              <w:t>1 Year</w:t>
            </w:r>
          </w:p>
        </w:tc>
        <w:tc>
          <w:tcPr>
            <w:tcW w:w="600" w:type="dxa"/>
            <w:vAlign w:val="bottom"/>
          </w:tcPr>
          <w:p>
            <w:pPr>
              <w:spacing w:after="0"/>
              <w:rPr>
                <w:sz w:val="13"/>
                <w:szCs w:val="13"/>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3"/>
                <w:szCs w:val="13"/>
                <w:color w:val="auto"/>
              </w:rPr>
            </w:pPr>
          </w:p>
        </w:tc>
        <w:tc>
          <w:tcPr>
            <w:tcW w:w="6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Years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Other long-term liabilities(1)</w:t>
            </w:r>
          </w:p>
        </w:tc>
        <w:tc>
          <w:tcPr>
            <w:tcW w:w="17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5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the long-term portion of deferred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size and breadth of our customer base mitigates the seasonality of any particular retailer. As a result, our results of operations are not materially affected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In October 2009, the Financial Accounting Standards Board (“FASB”) issued Accounting Standards Update (“ASU”) No. 2009-13,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Topic 605), </w:t>
      </w:r>
      <w:r>
        <w:rPr>
          <w:rFonts w:ascii="Arial" w:cs="Arial" w:eastAsia="Arial" w:hAnsi="Arial"/>
          <w:sz w:val="18"/>
          <w:szCs w:val="18"/>
          <w:i w:val="1"/>
          <w:iCs w:val="1"/>
          <w:color w:val="auto"/>
        </w:rPr>
        <w:t>Multiple-Deliverable Revenue Arrangements, 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i w:val="1"/>
          <w:iCs w:val="1"/>
          <w:color w:val="auto"/>
        </w:rPr>
        <w:t xml:space="preserve">consensus of the FASB Emerging Issues Task Force. </w:t>
      </w:r>
      <w:r>
        <w:rPr>
          <w:rFonts w:ascii="Arial" w:cs="Arial" w:eastAsia="Arial" w:hAnsi="Arial"/>
          <w:sz w:val="16"/>
          <w:szCs w:val="16"/>
          <w:color w:val="auto"/>
        </w:rPr>
        <w:t>This guidance modifies the fair value requirements of ASC subtopic 605-25,</w:t>
      </w:r>
      <w:r>
        <w:rPr>
          <w:rFonts w:ascii="Arial" w:cs="Arial" w:eastAsia="Arial" w:hAnsi="Arial"/>
          <w:sz w:val="16"/>
          <w:szCs w:val="16"/>
          <w:i w:val="1"/>
          <w:iCs w:val="1"/>
          <w:color w:val="auto"/>
        </w:rPr>
        <w:t xml:space="preserve"> Revenue Recognition-Multiple Element Arrangements, </w:t>
      </w:r>
      <w:r>
        <w:rPr>
          <w:rFonts w:ascii="Arial" w:cs="Arial" w:eastAsia="Arial" w:hAnsi="Arial"/>
          <w:sz w:val="16"/>
          <w:szCs w:val="16"/>
          <w:color w:val="auto"/>
        </w:rPr>
        <w:t>by allowing the use of the “best estimate of selling price” in addition to Vendor Specific Objective Evidence (“VSOE”) and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October 2009, the FASB issued ASU No. 2009-14, </w:t>
      </w:r>
      <w:r>
        <w:rPr>
          <w:rFonts w:ascii="Arial" w:cs="Arial" w:eastAsia="Arial" w:hAnsi="Arial"/>
          <w:sz w:val="18"/>
          <w:szCs w:val="18"/>
          <w:i w:val="1"/>
          <w:iCs w:val="1"/>
          <w:color w:val="auto"/>
        </w:rPr>
        <w:t>Software</w:t>
      </w:r>
      <w:r>
        <w:rPr>
          <w:rFonts w:ascii="Arial" w:cs="Arial" w:eastAsia="Arial" w:hAnsi="Arial"/>
          <w:sz w:val="18"/>
          <w:szCs w:val="18"/>
          <w:color w:val="auto"/>
        </w:rPr>
        <w:t xml:space="preserve"> (ASC Topic 985), </w:t>
      </w:r>
      <w:r>
        <w:rPr>
          <w:rFonts w:ascii="Arial" w:cs="Arial" w:eastAsia="Arial" w:hAnsi="Arial"/>
          <w:sz w:val="18"/>
          <w:szCs w:val="18"/>
          <w:i w:val="1"/>
          <w:iCs w:val="1"/>
          <w:color w:val="auto"/>
        </w:rPr>
        <w:t>Certain Revenue Arrangements That Include Software Elements,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scope of ASC subtopic 965-605,</w:t>
      </w:r>
      <w:r>
        <w:rPr>
          <w:rFonts w:ascii="Arial" w:cs="Arial" w:eastAsia="Arial" w:hAnsi="Arial"/>
          <w:sz w:val="18"/>
          <w:szCs w:val="18"/>
          <w:i w:val="1"/>
          <w:iCs w:val="1"/>
          <w:color w:val="auto"/>
        </w:rPr>
        <w:t xml:space="preserve"> Software-Revenue Recognition, </w:t>
      </w:r>
      <w:r>
        <w:rPr>
          <w:rFonts w:ascii="Arial" w:cs="Arial" w:eastAsia="Arial" w:hAnsi="Arial"/>
          <w:sz w:val="18"/>
          <w:szCs w:val="18"/>
          <w:color w:val="auto"/>
        </w:rPr>
        <w:t>to exclude from</w:t>
      </w:r>
      <w:r>
        <w:rPr>
          <w:rFonts w:ascii="Arial" w:cs="Arial" w:eastAsia="Arial" w:hAnsi="Arial"/>
          <w:sz w:val="18"/>
          <w:szCs w:val="18"/>
          <w:i w:val="1"/>
          <w:iCs w:val="1"/>
          <w:color w:val="auto"/>
        </w:rPr>
        <w:t xml:space="preserve"> </w:t>
      </w:r>
      <w:r>
        <w:rPr>
          <w:rFonts w:ascii="Arial" w:cs="Arial" w:eastAsia="Arial" w:hAnsi="Arial"/>
          <w:sz w:val="18"/>
          <w:szCs w:val="18"/>
          <w:color w:val="auto"/>
        </w:rPr>
        <w:t>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ASU No. 2009-13 and ASU No. 2009-14 both require expanded qualitative and quantitative disclosures and are effective for fiscal years beginning on or after June 15, 2010. We have adopted these updates and they did not have a material impact on our financial statements.</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December 2010, the FASB issued ASU No. 2010-29,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Topic 805), </w:t>
      </w:r>
      <w:r>
        <w:rPr>
          <w:rFonts w:ascii="Arial" w:cs="Arial" w:eastAsia="Arial" w:hAnsi="Arial"/>
          <w:sz w:val="16"/>
          <w:szCs w:val="16"/>
          <w:i w:val="1"/>
          <w:iCs w:val="1"/>
          <w:color w:val="auto"/>
        </w:rPr>
        <w:t>Disclosure of Supplementary Pro Forma Information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ASU No. 2010-29 amends the disclosure requirements for supplementary pro forma information for business combinations. This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addresses the diversity in practice about the interpretation of the pro forma revenue and earnings disclosure requirements for business combinations. The update specifies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It also expands the supplemental pro forma disclosures to include a description of the nature and amount of material, nonrecurring pro forma adjustments directly attributable to the business combination included in the reported pro forma revenue and earnings. This update is effective prospectively for business combinations for which the acquisition date is on or after the beginning of the first annual reporting period beginning on or after December 15, 2010. We have adopted this update and, with the acquisition of Direct EDI in May 2011, the required supplementary pro forma information is presented in Note B to our consolidated financial statements included in this Annual Report on Form 10-K.</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Interest Rate Sensitivity Risk. </w:t>
      </w:r>
      <w:r>
        <w:rPr>
          <w:rFonts w:ascii="Arial" w:cs="Arial" w:eastAsia="Arial" w:hAnsi="Arial"/>
          <w:sz w:val="18"/>
          <w:szCs w:val="18"/>
          <w:color w:val="auto"/>
        </w:rPr>
        <w:t>For fixed rate debt, interest rate changes affect the fair value of financial instruments but do not impact earnings or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December 31, 2011 and 2010. We therefore do not have any material risk to interest rate fluctuations unless we borrow under our credit facility.</w:t>
      </w:r>
    </w:p>
    <w:p>
      <w:pPr>
        <w:spacing w:after="0" w:line="144" w:lineRule="exact"/>
        <w:rPr>
          <w:sz w:val="20"/>
          <w:szCs w:val="20"/>
          <w:color w:val="auto"/>
        </w:rPr>
      </w:pPr>
    </w:p>
    <w:p>
      <w:pPr>
        <w:jc w:val="center"/>
        <w:ind w:left="620" w:right="80"/>
        <w:spacing w:after="0" w:line="440" w:lineRule="auto"/>
        <w:rPr>
          <w:sz w:val="20"/>
          <w:szCs w:val="20"/>
          <w:color w:val="auto"/>
        </w:rPr>
      </w:pPr>
      <w:r>
        <w:rPr>
          <w:rFonts w:ascii="Arial" w:cs="Arial" w:eastAsia="Arial" w:hAnsi="Arial"/>
          <w:sz w:val="18"/>
          <w:szCs w:val="18"/>
          <w:i w:val="1"/>
          <w:iCs w:val="1"/>
          <w:color w:val="auto"/>
        </w:rPr>
        <w:t xml:space="preserve">Foreign Currency Exchange Risk.  </w:t>
      </w:r>
      <w:r>
        <w:rPr>
          <w:rFonts w:ascii="Arial" w:cs="Arial" w:eastAsia="Arial" w:hAnsi="Arial"/>
          <w:sz w:val="18"/>
          <w:szCs w:val="18"/>
          <w:color w:val="auto"/>
        </w:rPr>
        <w:t>Our results of operations and cash flows are not materially affected by fluctuations in foreign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520" w:type="dxa"/>
            <w:vAlign w:val="bottom"/>
            <w:gridSpan w:val="7"/>
          </w:tcPr>
          <w:p>
            <w:pPr>
              <w:ind w:left="20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2080" w:type="dxa"/>
            <w:vAlign w:val="bottom"/>
          </w:tcPr>
          <w:p>
            <w:pPr>
              <w:spacing w:after="0"/>
              <w:rPr>
                <w:sz w:val="19"/>
                <w:szCs w:val="19"/>
                <w:color w:val="auto"/>
              </w:rPr>
            </w:pPr>
          </w:p>
        </w:tc>
      </w:tr>
      <w:tr>
        <w:trPr>
          <w:trHeight w:val="412"/>
        </w:trPr>
        <w:tc>
          <w:tcPr>
            <w:tcW w:w="9240" w:type="dxa"/>
            <w:vAlign w:val="bottom"/>
            <w:gridSpan w:val="8"/>
          </w:tcPr>
          <w:p>
            <w:pPr>
              <w:spacing w:after="0"/>
              <w:rPr>
                <w:sz w:val="20"/>
                <w:szCs w:val="20"/>
                <w:color w:val="auto"/>
              </w:rPr>
            </w:pPr>
            <w:r>
              <w:rPr>
                <w:rFonts w:ascii="Arial" w:cs="Arial" w:eastAsia="Arial" w:hAnsi="Arial"/>
                <w:sz w:val="18"/>
                <w:szCs w:val="18"/>
                <w:b w:val="1"/>
                <w:bCs w:val="1"/>
                <w:color w:val="auto"/>
              </w:rPr>
              <w:t>SPS Commerce, Inc. Consolidated Financial Statements</w:t>
            </w:r>
          </w:p>
        </w:tc>
        <w:tc>
          <w:tcPr>
            <w:tcW w:w="2080" w:type="dxa"/>
            <w:vAlign w:val="bottom"/>
          </w:tcPr>
          <w:p>
            <w:pPr>
              <w:spacing w:after="0"/>
              <w:rPr>
                <w:sz w:val="24"/>
                <w:szCs w:val="24"/>
                <w:color w:val="auto"/>
              </w:rPr>
            </w:pPr>
          </w:p>
        </w:tc>
      </w:tr>
      <w:tr>
        <w:trPr>
          <w:trHeight w:val="184"/>
        </w:trPr>
        <w:tc>
          <w:tcPr>
            <w:tcW w:w="4200" w:type="dxa"/>
            <w:vAlign w:val="bottom"/>
            <w:tcBorders>
              <w:bottom w:val="single" w:sz="8" w:color="0000EE"/>
            </w:tcBorders>
            <w:gridSpan w:val="6"/>
          </w:tcPr>
          <w:p>
            <w:pPr>
              <w:spacing w:after="0" w:line="184"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Reports of Independent Registered Public Accounting Firm</w:t>
              </w:r>
            </w:hyperlink>
          </w:p>
        </w:tc>
        <w:tc>
          <w:tcPr>
            <w:tcW w:w="5040" w:type="dxa"/>
            <w:vAlign w:val="bottom"/>
            <w:gridSpan w:val="2"/>
          </w:tcPr>
          <w:p>
            <w:pPr>
              <w:spacing w:after="0"/>
              <w:rPr>
                <w:sz w:val="15"/>
                <w:szCs w:val="15"/>
                <w:color w:val="auto"/>
              </w:rPr>
            </w:pPr>
          </w:p>
        </w:tc>
        <w:tc>
          <w:tcPr>
            <w:tcW w:w="2080" w:type="dxa"/>
            <w:vAlign w:val="bottom"/>
          </w:tcPr>
          <w:p>
            <w:pPr>
              <w:jc w:val="right"/>
              <w:spacing w:after="0" w:line="184" w:lineRule="exact"/>
              <w:rPr>
                <w:sz w:val="20"/>
                <w:szCs w:val="20"/>
                <w:color w:val="auto"/>
              </w:rPr>
            </w:pPr>
            <w:r>
              <w:rPr>
                <w:rFonts w:ascii="Arial" w:cs="Arial" w:eastAsia="Arial" w:hAnsi="Arial"/>
                <w:sz w:val="18"/>
                <w:szCs w:val="18"/>
                <w:color w:val="auto"/>
              </w:rPr>
              <w:t>44</w:t>
            </w:r>
          </w:p>
        </w:tc>
      </w:tr>
      <w:tr>
        <w:trPr>
          <w:trHeight w:val="196"/>
        </w:trPr>
        <w:tc>
          <w:tcPr>
            <w:tcW w:w="9240" w:type="dxa"/>
            <w:vAlign w:val="bottom"/>
            <w:gridSpan w:val="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Consolidated Statements of Operations</w:t>
              </w:r>
            </w:hyperlink>
          </w:p>
        </w:tc>
        <w:tc>
          <w:tcPr>
            <w:tcW w:w="6480" w:type="dxa"/>
            <w:vAlign w:val="bottom"/>
            <w:gridSpan w:val="5"/>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9240" w:type="dxa"/>
            <w:vAlign w:val="bottom"/>
            <w:gridSpan w:val="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Redeemable Convertible Preferred Stock and Stockholders’ Equity (Deficit)</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7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Cash Flows</w:t>
              </w:r>
            </w:hyperlink>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9240" w:type="dxa"/>
            <w:vAlign w:val="bottom"/>
            <w:gridSpan w:val="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Notes to Consolidated Financial Statements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383"/>
        </w:trPr>
        <w:tc>
          <w:tcPr>
            <w:tcW w:w="720" w:type="dxa"/>
            <w:vAlign w:val="bottom"/>
            <w:tcBorders>
              <w:top w:val="single" w:sz="8" w:color="0000EE"/>
            </w:tcBorders>
          </w:tcPr>
          <w:p>
            <w:pPr>
              <w:spacing w:after="0"/>
              <w:rPr>
                <w:sz w:val="24"/>
                <w:szCs w:val="24"/>
                <w:color w:val="auto"/>
              </w:rPr>
            </w:pPr>
          </w:p>
        </w:tc>
        <w:tc>
          <w:tcPr>
            <w:tcW w:w="2360" w:type="dxa"/>
            <w:vAlign w:val="bottom"/>
            <w:tcBorders>
              <w:top w:val="single" w:sz="8" w:color="0000EE"/>
            </w:tcBorders>
            <w:gridSpan w:val="4"/>
          </w:tcPr>
          <w:p>
            <w:pPr>
              <w:spacing w:after="0"/>
              <w:rPr>
                <w:sz w:val="24"/>
                <w:szCs w:val="24"/>
                <w:color w:val="auto"/>
              </w:rPr>
            </w:pPr>
          </w:p>
        </w:tc>
        <w:tc>
          <w:tcPr>
            <w:tcW w:w="4260" w:type="dxa"/>
            <w:vAlign w:val="bottom"/>
            <w:gridSpan w:val="2"/>
          </w:tcPr>
          <w:p>
            <w:pPr>
              <w:jc w:val="right"/>
              <w:ind w:right="1540"/>
              <w:spacing w:after="0"/>
              <w:rPr>
                <w:sz w:val="20"/>
                <w:szCs w:val="20"/>
                <w:color w:val="auto"/>
              </w:rPr>
            </w:pPr>
            <w:r>
              <w:rPr>
                <w:rFonts w:ascii="Arial" w:cs="Arial" w:eastAsia="Arial" w:hAnsi="Arial"/>
                <w:sz w:val="18"/>
                <w:szCs w:val="18"/>
                <w:color w:val="auto"/>
              </w:rPr>
              <w:t>43</w:t>
            </w: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6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SPS Commerce, Inc. (a Delaware corporation) and subsidiaries (the “Company”) as of December 31, 2011 and 2010, and the related consolidated statements of operations, redeemable convertible preferred stock and stockholders’ equity (deficit),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SPS Commerce, Inc.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and our report dated March 9, 2012, expressed an unqualified opinion thereon.</w:t>
      </w:r>
    </w:p>
    <w:p>
      <w:pPr>
        <w:spacing w:after="0" w:line="107" w:lineRule="exact"/>
        <w:rPr>
          <w:sz w:val="20"/>
          <w:szCs w:val="20"/>
          <w:color w:val="auto"/>
        </w:rPr>
      </w:pPr>
    </w:p>
    <w:p>
      <w:pPr>
        <w:ind w:left="6060"/>
        <w:spacing w:after="0"/>
        <w:tabs>
          <w:tab w:leader="none" w:pos="6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SPS Commerce, Inc.</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We have audited SPS Commerce, Inc. (a Delaware Corporation) and subsidiaries’ (the “Company”)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maintaining effective internal control over financial reporting and for their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 xml:space="preserve">In our opinion, SPS Commerce, Inc. and subsidiaries maintained, in all material respects, effective internal control over financial reporting as of December 31, 2011,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SPS Commerce, Inc. and subsidiaries as of December 31, 2011 and 2010, and the related consolidated statements of operations, redeemable convertible preferred stock and stockholders’ equity (deficit), and cash flows for each of the three years in the period ended December 31, 2011 and our report dated March 9, 2012 expressed an unqualified opinion.</w:t>
      </w:r>
    </w:p>
    <w:p>
      <w:pPr>
        <w:spacing w:after="0" w:line="224" w:lineRule="exact"/>
        <w:rPr>
          <w:sz w:val="20"/>
          <w:szCs w:val="20"/>
          <w:color w:val="auto"/>
        </w:rPr>
      </w:pPr>
    </w:p>
    <w:p>
      <w:pPr>
        <w:ind w:left="6060"/>
        <w:spacing w:after="0"/>
        <w:tabs>
          <w:tab w:leader="none" w:pos="6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40,473</w:t>
            </w: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$222 and $209, respectively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5,574</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current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w:t>
            </w: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Deferred income taxes, current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51,641</w:t>
            </w: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costs, net of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Deferred income taxes, net of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77,618</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57,880</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998</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w:t>
            </w: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 current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9,089</w:t>
            </w: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Deferred revenue, less current portion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18,065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14,372</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w w:val="92"/>
              </w:rPr>
              <w:t>Common stock, $0.001 par value; 55,000,000 shares authorized; 12,138,858 and 11,849,572 shares issued and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108,606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106,264</w:t>
            </w:r>
          </w:p>
        </w:tc>
      </w:tr>
      <w:tr>
        <w:trPr>
          <w:trHeight w:val="223"/>
        </w:trPr>
        <w:tc>
          <w:tcPr>
            <w:tcW w:w="20" w:type="dxa"/>
            <w:vAlign w:val="bottom"/>
          </w:tcPr>
          <w:p>
            <w:pPr>
              <w:spacing w:after="0"/>
              <w:rPr>
                <w:sz w:val="19"/>
                <w:szCs w:val="19"/>
                <w:color w:val="auto"/>
              </w:rPr>
            </w:pPr>
          </w:p>
        </w:tc>
        <w:tc>
          <w:tcPr>
            <w:tcW w:w="94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(49,065)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(62,768)</w:t>
            </w: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77,618</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57,880</w:t>
            </w: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57,969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44,597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15,366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12,626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11,715</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42,603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31,971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26,031</w:t>
            </w:r>
          </w:p>
        </w:tc>
        <w:tc>
          <w:tcPr>
            <w:tcW w:w="0" w:type="dxa"/>
            <w:vAlign w:val="bottom"/>
          </w:tcPr>
          <w:p>
            <w:pPr>
              <w:spacing w:after="0"/>
              <w:rPr>
                <w:sz w:val="1"/>
                <w:szCs w:val="1"/>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23,836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16,601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13,506</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4,349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11,151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41,468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28,935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24,150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2,976</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12,619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13,703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2,884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11,960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8,036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2"/>
        </w:trPr>
        <w:tc>
          <w:tcPr>
            <w:tcW w:w="86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12,744</w:t>
            </w:r>
          </w:p>
        </w:tc>
        <w:tc>
          <w:tcPr>
            <w:tcW w:w="10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11,596</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b w:val="1"/>
                <w:bCs w:val="1"/>
                <w:color w:val="auto"/>
                <w:w w:val="99"/>
              </w:rPr>
              <w:t>Redeemable Convertible Preferred Stock</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w w:val="88"/>
              </w:rPr>
              <w:t>Stockholders’ Equity (Deficit)</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4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Series A</w:t>
            </w:r>
          </w:p>
        </w:tc>
        <w:tc>
          <w:tcPr>
            <w:tcW w:w="142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Series B</w:t>
            </w:r>
          </w:p>
        </w:tc>
        <w:tc>
          <w:tcPr>
            <w:tcW w:w="9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5"/>
              </w:rPr>
              <w:t>Series C</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420" w:type="dxa"/>
            <w:vAlign w:val="bottom"/>
          </w:tcPr>
          <w:p>
            <w:pPr>
              <w:spacing w:after="0"/>
              <w:rPr>
                <w:sz w:val="6"/>
                <w:szCs w:val="6"/>
                <w:color w:val="auto"/>
              </w:rPr>
            </w:pPr>
          </w:p>
        </w:tc>
        <w:tc>
          <w:tcPr>
            <w:tcW w:w="1440" w:type="dxa"/>
            <w:vAlign w:val="bottom"/>
            <w:gridSpan w:val="6"/>
            <w:vMerge w:val="continue"/>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gridSpan w:val="3"/>
            <w:vMerge w:val="restart"/>
          </w:tcPr>
          <w:p>
            <w:pPr>
              <w:jc w:val="center"/>
              <w:ind w:right="80"/>
              <w:spacing w:after="0" w:line="148"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440" w:type="dxa"/>
            <w:vAlign w:val="bottom"/>
            <w:gridSpan w:val="6"/>
            <w:vMerge w:val="continue"/>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5"/>
              </w:rPr>
              <w:t>Paid-in</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2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42"/>
        </w:trPr>
        <w:tc>
          <w:tcPr>
            <w:tcW w:w="2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2009</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1,154,151</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37,676</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5,759,246</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20,844</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1,251,559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7,444</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65,964</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331,145</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4,970</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(66,814)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(61,844)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15,640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420" w:type="dxa"/>
            <w:vAlign w:val="bottom"/>
          </w:tcPr>
          <w:p>
            <w:pPr>
              <w:spacing w:after="0" w:line="138" w:lineRule="exact"/>
              <w:rPr>
                <w:sz w:val="20"/>
                <w:szCs w:val="20"/>
                <w:color w:val="auto"/>
              </w:rPr>
            </w:pPr>
            <w:r>
              <w:rPr>
                <w:rFonts w:ascii="Arial" w:cs="Arial" w:eastAsia="Arial" w:hAnsi="Arial"/>
                <w:sz w:val="14"/>
                <w:szCs w:val="14"/>
                <w:color w:val="auto"/>
                <w:w w:val="99"/>
              </w:rPr>
              <w:t>Repurchase of redeemable convertible</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tcPr>
          <w:p>
            <w:pPr>
              <w:ind w:left="220"/>
              <w:spacing w:after="0" w:line="159" w:lineRule="exact"/>
              <w:rPr>
                <w:sz w:val="20"/>
                <w:szCs w:val="20"/>
                <w:color w:val="auto"/>
              </w:rPr>
            </w:pPr>
            <w:r>
              <w:rPr>
                <w:rFonts w:ascii="Arial" w:cs="Arial" w:eastAsia="Arial" w:hAnsi="Arial"/>
                <w:sz w:val="14"/>
                <w:szCs w:val="14"/>
                <w:color w:val="auto"/>
              </w:rPr>
              <w:t>preferred and common stock</w:t>
            </w:r>
          </w:p>
        </w:tc>
        <w:tc>
          <w:tcPr>
            <w:tcW w:w="7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(71,130)</w:t>
            </w:r>
          </w:p>
        </w:tc>
        <w:tc>
          <w:tcPr>
            <w:tcW w:w="6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(186)</w:t>
            </w: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(186)</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(19,672)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Balances, December 31, 2009</w:t>
            </w: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1,154,151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37,676</w:t>
            </w:r>
          </w:p>
        </w:tc>
        <w:tc>
          <w:tcPr>
            <w:tcW w:w="16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5,688,116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3"/>
              </w:rPr>
              <w:t>20,658</w:t>
            </w: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9"/>
              </w:rPr>
              <w:t>1,251,559</w:t>
            </w:r>
          </w:p>
        </w:tc>
        <w:tc>
          <w:tcPr>
            <w:tcW w:w="120" w:type="dxa"/>
            <w:vAlign w:val="bottom"/>
          </w:tcPr>
          <w:p>
            <w:pPr>
              <w:spacing w:after="0"/>
              <w:rPr>
                <w:sz w:val="13"/>
                <w:szCs w:val="13"/>
                <w:color w:val="auto"/>
              </w:rPr>
            </w:pPr>
          </w:p>
        </w:tc>
        <w:tc>
          <w:tcPr>
            <w:tcW w:w="4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7,444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65,778</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327,113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5,186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(65,652)</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(60,466)</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49,224</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149,905</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8"/>
        </w:trPr>
        <w:tc>
          <w:tcPr>
            <w:tcW w:w="2420" w:type="dxa"/>
            <w:vAlign w:val="bottom"/>
          </w:tcPr>
          <w:p>
            <w:pPr>
              <w:spacing w:after="0" w:line="138" w:lineRule="exact"/>
              <w:rPr>
                <w:sz w:val="20"/>
                <w:szCs w:val="20"/>
                <w:color w:val="auto"/>
              </w:rPr>
            </w:pPr>
            <w:r>
              <w:rPr>
                <w:rFonts w:ascii="Arial" w:cs="Arial" w:eastAsia="Arial" w:hAnsi="Arial"/>
                <w:sz w:val="14"/>
                <w:szCs w:val="14"/>
                <w:color w:val="auto"/>
                <w:w w:val="98"/>
              </w:rPr>
              <w:t>Conversion of redeemable con- vertible</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tcPr>
          <w:p>
            <w:pPr>
              <w:ind w:left="220"/>
              <w:spacing w:after="0" w:line="159" w:lineRule="exact"/>
              <w:rPr>
                <w:sz w:val="20"/>
                <w:szCs w:val="20"/>
                <w:color w:val="auto"/>
              </w:rPr>
            </w:pPr>
            <w:r>
              <w:rPr>
                <w:rFonts w:ascii="Arial" w:cs="Arial" w:eastAsia="Arial" w:hAnsi="Arial"/>
                <w:sz w:val="14"/>
                <w:szCs w:val="14"/>
                <w:color w:val="auto"/>
              </w:rPr>
              <w:t>preferred stock</w:t>
            </w:r>
          </w:p>
        </w:tc>
        <w:tc>
          <w:tcPr>
            <w:tcW w:w="7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w w:val="92"/>
              </w:rPr>
              <w:t>(1,154,151)</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4"/>
              </w:rPr>
              <w:t>(37,676)</w:t>
            </w:r>
          </w:p>
        </w:tc>
        <w:tc>
          <w:tcPr>
            <w:tcW w:w="7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9"/>
              </w:rPr>
              <w:t>(5,688,116)</w:t>
            </w:r>
          </w:p>
        </w:tc>
        <w:tc>
          <w:tcPr>
            <w:tcW w:w="6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8"/>
              </w:rPr>
              <w:t>(20,658)</w:t>
            </w: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2"/>
              </w:rPr>
              <w:t>(1,251,559)</w:t>
            </w:r>
          </w:p>
        </w:tc>
        <w:tc>
          <w:tcPr>
            <w:tcW w:w="12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0"/>
              </w:rPr>
              <w:t>(7,444)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4"/>
              </w:rPr>
              <w:t>(65,778)</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8,093,826</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65,770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65,778</w:t>
            </w:r>
          </w:p>
        </w:tc>
        <w:tc>
          <w:tcPr>
            <w:tcW w:w="0" w:type="dxa"/>
            <w:vAlign w:val="bottom"/>
          </w:tcPr>
          <w:p>
            <w:pPr>
              <w:spacing w:after="0"/>
              <w:rPr>
                <w:sz w:val="1"/>
                <w:szCs w:val="1"/>
                <w:color w:val="auto"/>
              </w:rPr>
            </w:pPr>
          </w:p>
        </w:tc>
      </w:tr>
      <w:tr>
        <w:trPr>
          <w:trHeight w:val="138"/>
        </w:trPr>
        <w:tc>
          <w:tcPr>
            <w:tcW w:w="2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 warrants to purchase</w:t>
            </w: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redeemable convertible preferred</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stock</w:t>
            </w:r>
          </w:p>
        </w:tc>
        <w:tc>
          <w:tcPr>
            <w:tcW w:w="78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596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Initial public offering, net of costs</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3,114,504</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32,899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32,902</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Secondary stock offering, net of costs</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115,000</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Balances, December 31, 2010</w:t>
            </w: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vMerge w:val="continue"/>
          </w:tcPr>
          <w:p>
            <w:pPr>
              <w:spacing w:after="0"/>
              <w:rPr>
                <w:sz w:val="13"/>
                <w:szCs w:val="13"/>
                <w:color w:val="auto"/>
              </w:rPr>
            </w:pPr>
          </w:p>
        </w:tc>
        <w:tc>
          <w:tcPr>
            <w:tcW w:w="7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1"/>
              </w:rPr>
              <w:t>11,849,572</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106,264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(62,768)</w:t>
            </w:r>
          </w:p>
        </w:tc>
        <w:tc>
          <w:tcPr>
            <w:tcW w:w="12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43,508</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49"/>
        </w:trPr>
        <w:tc>
          <w:tcPr>
            <w:tcW w:w="24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289,286</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offering costs</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38"/>
        </w:trPr>
        <w:tc>
          <w:tcPr>
            <w:tcW w:w="2420" w:type="dxa"/>
            <w:vAlign w:val="bottom"/>
          </w:tcPr>
          <w:p>
            <w:pPr>
              <w:spacing w:after="0" w:line="138" w:lineRule="exact"/>
              <w:rPr>
                <w:sz w:val="20"/>
                <w:szCs w:val="20"/>
                <w:color w:val="auto"/>
              </w:rPr>
            </w:pPr>
            <w:r>
              <w:rPr>
                <w:rFonts w:ascii="Arial" w:cs="Arial" w:eastAsia="Arial" w:hAnsi="Arial"/>
                <w:sz w:val="14"/>
                <w:szCs w:val="14"/>
                <w:color w:val="auto"/>
              </w:rPr>
              <w:t>Excess tax benefit of stock options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420" w:type="dxa"/>
            <w:vAlign w:val="bottom"/>
          </w:tcPr>
          <w:p>
            <w:pPr>
              <w:ind w:left="220"/>
              <w:spacing w:after="0" w:line="159" w:lineRule="exact"/>
              <w:rPr>
                <w:sz w:val="20"/>
                <w:szCs w:val="20"/>
                <w:color w:val="auto"/>
              </w:rPr>
            </w:pPr>
            <w:r>
              <w:rPr>
                <w:rFonts w:ascii="Arial" w:cs="Arial" w:eastAsia="Arial" w:hAnsi="Arial"/>
                <w:sz w:val="14"/>
                <w:szCs w:val="14"/>
                <w:color w:val="auto"/>
              </w:rPr>
              <w:t>exercised</w:t>
            </w:r>
          </w:p>
        </w:tc>
        <w:tc>
          <w:tcPr>
            <w:tcW w:w="7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13,703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13,703</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Balances, December 31, 2011</w:t>
            </w: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vMerge w:val="continue"/>
          </w:tcPr>
          <w:p>
            <w:pPr>
              <w:spacing w:after="0"/>
              <w:rPr>
                <w:sz w:val="13"/>
                <w:szCs w:val="13"/>
                <w:color w:val="auto"/>
              </w:rPr>
            </w:pPr>
          </w:p>
        </w:tc>
        <w:tc>
          <w:tcPr>
            <w:tcW w:w="7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w w:val="91"/>
              </w:rPr>
              <w:t>12,138,858</w:t>
            </w:r>
          </w:p>
        </w:tc>
        <w:tc>
          <w:tcPr>
            <w:tcW w:w="340" w:type="dxa"/>
            <w:vAlign w:val="bottom"/>
            <w:gridSpan w:val="2"/>
          </w:tcPr>
          <w:p>
            <w:pPr>
              <w:jc w:val="right"/>
              <w:ind w:right="161"/>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108,606</w:t>
            </w:r>
          </w:p>
        </w:tc>
        <w:tc>
          <w:tcPr>
            <w:tcW w:w="180" w:type="dxa"/>
            <w:vAlign w:val="bottom"/>
            <w:gridSpan w:val="2"/>
          </w:tcPr>
          <w:p>
            <w:pPr>
              <w:jc w:val="right"/>
              <w:ind w:right="1"/>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(49,065)</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59,553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2010</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13,703</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(12,708)</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of property and equipment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carrying value of preferred stock warrants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 of acquisition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revenue</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4,485</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Acquisition of Direct EDI</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(10,841)</w:t>
            </w: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(1,772)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(13,425)</w:t>
            </w:r>
          </w:p>
        </w:tc>
        <w:tc>
          <w:tcPr>
            <w:tcW w:w="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(1,772)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Borrowings on line of credit</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(5,950)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Payments on equipment loans</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term loan</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Payments of capital lease obligations</w:t>
            </w: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initial public offering</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32,902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Net proceeds from secondary stock offering</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offering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Net proceeds from exercise of options to purchase common stock</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exercise of stock options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Purchase of preferred and common stock</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(8,488)</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34,542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40,473</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31,985</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40,473</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leading provider of on-demand supply chain management solutions, providing integration, collaboration, connectivity, visibility and data analytics to thousands of customers worldwide. We provide our solutions through SPSCommerce.net, a hosted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significant intercompany accounts and transactions have been eliminated in the consolidated financial statements.</w:t>
      </w:r>
    </w:p>
    <w:p>
      <w:pPr>
        <w:spacing w:after="0" w:line="14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Certain reclassifications have been made to present prior year’s cash flow statement and footnote information consistently with the current year presentation.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recognize separately from goodwill the fair value of the assets acquired and the liabilities assumed at the acquisition date. Goodwill as of the acquisition date is measured as the excess of consideration transferred and the net of the acquisition date amounts of the assets acquired and the liabilities assumed. Assets acquired include tangible and intangible assets. We determine the value and useful lives of purchased intangible assets with the assistance of an independent third-party valuation firm using certain estimates and assumptions.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While we use estimates and assumptions that we believe are reasonable as a part of the purchase price allocation process to accurately value the assets acquired and the liabilities assumed at the acquisition date, they are inherently uncertain and subject to refinement. As a result, during the measurement period, which may be up to one year from the acquisition date, we may record adjustments to the fair value of the assets acquired and the liabilities assumed based on new information about facts and circumstances that existed as of the acquisition date. Any such adjustments would be recorded as an offset to goodwill. Upon the conclusion of the measurement period or final determination of the fair values, whichever comes first, any subsequent adjustments would be recorded in our consolidated statements of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and report on one segment, supply chain management solutions.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rely on hardware and software licensed from third parties to offer our on-demand solutions. Our management believes alternate sources are available; however, disruption or termination of these relationships could adversely affect our operating results in the near term.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carrying amounts of our financial instruments, which include cash and cash equivalents, accounts receivable, accounts payable and other accrued expenses, approximates fair value due to their short maturities. Based on borrowing rates currently available to us for loans with similar terms, the carrying value of our outstanding debt and capital lease obligations, if any, approximates fair value.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temporary cash investments in financial institutions in excess of federally insured limits and trade accounts receivable. Temporary cash investments are held with financial institutions that we believe are subject to minimal risk.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 of cash and highly liquid investments with original maturities when purchased of less than 90 days.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Accounts receivable are initially recorded upon the sale of solutions to customers. Credit is granted in the normal course of business without collateral. Accounts receivable are stated net of allowances for doubtful accounts, which represent estimated losses resulting from the inability of customers to make the required payments. Accounts that are outstanding longer than the contractual terms are considered past due. When determining the allowances for doubtful accounts, we take several factors into consideration including the overall composition of the accounts receivable aging, our prior history of accounts receivable write-offs, the type of customers and our day-to-day knowledge of specific customers. We write off accounts receivable when they become uncollectible. Changes in the allowances for doubtful accounts are recorded as bad debt expense and are included in general and administrative expense in our consolidated statements of operations.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including assets acquired under capital lease obligations, are stated at cost, net of accumulated depreciation and amortization.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Depreciation and amortization are computed using the straight-line method over the shorter of the estimated useful lives of the individual assets or the lease term.</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useful lives are:</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 equipment and purchased software: 2 to 5 years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Office equipment and furniture: 5 to 7 years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2 to 7 years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Significant additions or improvements extending asset lives beyond one year are capitalized, while repairs and maintenance are charged to expense as incurred. The assets and related accumulated depreciation and amortization accounts are adjusted for asset retirements and disposals with the resulting gain or loss included in net income (loss).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Costs incurred to develop software applications used in our on-demand supply chain management solutions may be capitalized. Capitalizable costs consist of (a) certain external direct costs of materials and services incurred in developing or obtaining internal-use computer software and (b) payroll and payroll-related costs for employees who are directly associated with, and who devote time to, the project. These costs generally consist of internal labor during configuration, coding and testing activities. Research and development costs incurred during the preliminary project stage, or costs incurred for data conversion activities, training, maintenance and general and administrative or overhead costs, are expensed as incurred. Costs that cannot be separated between the maintenance of, and relatively minor upgrades and enhancements to, internal-use software are also expensed as incurred. Capitalization begins when (a) the preliminary project stage is complete, (b) management with the relevant authority authorizes and commits to the funding of the software project, (c) it is probable the project will be completed, (d) the software will be used to perform the functions intended, and (e) certain functional and quality standards have been met. Historically, no projects have had material costs beyond the preliminary project stage.</w:t>
      </w:r>
    </w:p>
    <w:p>
      <w:pPr>
        <w:spacing w:after="0" w:line="12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research and development efforts during 2011, 2010 and 2009 were primarily maintenance and data conversion activities related to our on-demand supply chain management solutions. As such, we did not capitalize any research and development costs during 2011, 2010 or 2009.</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business combinations. We test goodwill for impairment annually at December 31, or more frequently if events or changes in circumstances indicate that the asset might be impaired. The impairment test is conducted by comparing the fair value of the net assets with the carrying value of the reporting unit. Fair value is determined using the direct market observation of market price and outstanding equity of the reporting unit at December 31. If the carrying value of the goodwill exceeds the fair value of the reporting unit, goodwill may be impaired. If this occurs, the fair value is then allocated to its assets and liabilities in a manner similar to a purchase price allocation in order to determine the implied fair value of goodwill. This implied fair value is then compared to the carrying amount of goodwill and, if it is less, we would recognize an impairment loss. For the year ended December 31, 2009, the impairment test compared the carrying value of the company to the fair value of the company, which was based on an analysis of the discounted future cash flows. The methodology for evaluating the fair value of the company was changed with the completion of our initial public offering to use the per share prices as a direct market observable measure. There has been no impairment of our goodwill to date.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Assets acquired in business combinations may include identifiable intangible assets such as subscriber relationships and non-competition agreements. We recognize separately from goodwill the fair value of the identifiable intangible assets acquired. We have determined the fair value and useful lives of our purchased intangible assets with the assistance of an independent third-party valuation firm using certain estimates and assumptions.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purchased intangible assets are being amortized on a straight-line basis over their estimated useful lives, which is three to seven years for subscriber relationships and two to three years for non-competition agreements. We also have non-competition agreements from a previous acquisition that are amortized on a straight-line basis over the term of the agreements, which begins with the termination of employment of the respective employee(s).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review our long-lived assets for impairment whenever events or changes in circumstances indicate that the carrying amount may not be recoverable. The carrying amount of a long-lived asset is not recoverable if it exceeds the sum of the undiscounted cash flows expected to result from the use and eventual disposition of the asset at the date it is tested for recoverability, whether in use or under development. An impairment loss is measured as the amount by which the carrying amount of a long-lived asset exceeds its fair value. There has been no impairment of our long-lived assets to date.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generate revenues by providing a number of solutions to our customers. These solutions include Trading Partner Integration, Trading Partner Enablement and Trading Partner Intelligence. All of our solutions are hosted applications that allow customers to meet their supply chain management requirements. Revenues from our Trading Partner Integration and Trading Partner Intelligence solutions are generated through set-up fees and a recurring monthly hosting fee. Revenues from our Trading Partner Enablement solutions are generally one-time service fees. Sales taxes are presented on a net basis within revenue.</w:t>
      </w:r>
    </w:p>
    <w:p>
      <w:pPr>
        <w:spacing w:after="0" w:line="98"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 xml:space="preserve">Revenues are recorded in accordance with Staff Accounting Bulletin 104, </w:t>
      </w:r>
      <w:r>
        <w:rPr>
          <w:rFonts w:ascii="Arial" w:cs="Arial" w:eastAsia="Arial" w:hAnsi="Arial"/>
          <w:sz w:val="15"/>
          <w:szCs w:val="15"/>
          <w:i w:val="1"/>
          <w:iCs w:val="1"/>
          <w:color w:val="auto"/>
        </w:rPr>
        <w:t>Revenue Recognition in Financial Statements</w:t>
      </w:r>
      <w:r>
        <w:rPr>
          <w:rFonts w:ascii="Arial" w:cs="Arial" w:eastAsia="Arial" w:hAnsi="Arial"/>
          <w:sz w:val="15"/>
          <w:szCs w:val="15"/>
          <w:color w:val="auto"/>
        </w:rPr>
        <w:t xml:space="preserve"> and Accounting Standards Update (“ASU”)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when all of the following criteria are met: (1) persuasive evidence of an arrangement exists,</w:t>
      </w:r>
    </w:p>
    <w:p>
      <w:pPr>
        <w:ind w:right="40" w:firstLine="8"/>
        <w:spacing w:after="0" w:line="361" w:lineRule="auto"/>
        <w:tabs>
          <w:tab w:leader="none" w:pos="249"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delivery has occurred, (3) the fee is fixed and determinable, and (4) collectability is probable. If collection is not considered probable, revenues are recognized when the fees are collected. The services related to these fees have standalone value which is determined using vendor specific objective evidence (“VSOE”).</w:t>
      </w:r>
    </w:p>
    <w:p>
      <w:pPr>
        <w:spacing w:after="0" w:line="6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Fees related to our Trading Partner Integration and Trading Partner Intelligence solutions consist of two revenue sources: set-up fees and recurring monthly hosting fees. All set-up fees are deferred and recognized ratably over the expected life of the customer relationship, which is generally two years. We continue to evaluate and adjust the length of these amortization periods as more experience is gained with customer renewals, contract cancellations and technology changes requested by our customers. It is possible that, in the future, the estimates of expected customer lives may change and, if so, the periods over which such subscription set-up fees and costs are amortized will be adjusted. Any such change in estimated expected customer lives will affect our future results of operations. Set-up fees are further broken down as initial set-up fees and add-on set-up fees. Add-on set-up fees, which are nonrefundable, and our Trading Partner Integration revenues represent arrangements providing standalone value for our customers. Because these revenues are not dependent on the delivery of any future performance and the arrangement includes VSOE for pricing, ASU 2009-13 has not impacted how we separate and price these two elements. Initial setup fees are nonrefundable upfront fees that do not have standalone value and are not part of the multiple element arrangement. These fees are deferred and recognized over the customer relationship period as discussed above.</w:t>
      </w:r>
    </w:p>
    <w:p>
      <w:pPr>
        <w:spacing w:after="0" w:line="12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recurring monthly fee is comprised of both fixed and transaction based fees that provide standalone value and are recognized as incurred. From time-to-time, we may provide discounts on set-up fees; however it is not possible to allocate the discount on the set-up fees because the contract period is unknown and the complete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value of the deliverables is unknown. Variables preventing allocation include the variability of the recurring revenue due to transaction levels and the ability of customers to cancel the contract upon 30 days’ notice. If estimation of the customer relationship became necessary, we would rely on the existing customer relationship period that set-up fees are currently being recognized over, resulting in no change in the revenues recognized.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recognize the cost of all share-based payments to employees, including grants of employee stock options, in the financial statements based on the grant date fair value of those awards. This cost is recognized over the period for which an employee is required to provide service in exchange for the award. Benefits associated with tax deductions in excess of recognized compensation expense are reported as a cash flow from financing activities.</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estimate the fair value of options granted using the Black-Scholes option pricing model. The estimation of stock awards that will ultimately vest requires judgment, and to the extent actual results differ from our estimates, such amounts will be recorded as an adjustment in the period estimates are revised. In valuing share-based awards, significant judgment is required in determining the expected volatility of common stock and the expected term individuals will hold their share-based awards prior to exercising. Expected volatility of the stock is based on a peer group in the industry in which we do business because we do not have sufficient historical volatility data for our own common stock. The expected term of the options is based on the simplified method which does not consider historical or expected employee exercise behavior.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940" w:firstLine="456"/>
        <w:spacing w:after="0" w:line="370" w:lineRule="auto"/>
        <w:rPr>
          <w:sz w:val="20"/>
          <w:szCs w:val="20"/>
          <w:color w:val="auto"/>
        </w:rPr>
      </w:pPr>
      <w:r>
        <w:rPr>
          <w:rFonts w:ascii="Arial" w:cs="Arial" w:eastAsia="Arial" w:hAnsi="Arial"/>
          <w:sz w:val="15"/>
          <w:szCs w:val="15"/>
          <w:color w:val="auto"/>
        </w:rPr>
        <w:t>Advertising costs are charged to expense as incurred. Advertising costs were approximately $93,000, $94,000 and $56,000 for the years ended December 31, 2011, 2010 and 2009, respectively. Advertising costs are included in operating expenses in our consolidated statements of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account for income taxes using the liability method, which requires recognition of deferred tax assets and liabilities for the expected future tax consequences of events that have been included in the financial statements. Under this method, deferred tax assets and liabilities are determined based on the difference between the financial statement and tax bases of assets and liabilities, using enacted tax rates in effect for the year in which the differences are expected to reverse. Deferred tax assets are reduced by a valuation allowance to the extent that utilization is not presently more likely than not.</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percent likelihood of being realized upon ultimate settlement with the relevant tax authority.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 Diluted net income per share also includes the impact of our outstanding potential common shares, such as options, warrants and redeemable convertible preferred stock. Potential common shares that are anti-dilutive are excluded from the calculation of diluted net income per share.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In October 2009, the Financial Accounting Standards Board (“FASB”) issued Accounting Standards Update (“ASU”) No. 2009-13,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Topic 605), </w:t>
      </w:r>
      <w:r>
        <w:rPr>
          <w:rFonts w:ascii="Arial" w:cs="Arial" w:eastAsia="Arial" w:hAnsi="Arial"/>
          <w:sz w:val="16"/>
          <w:szCs w:val="16"/>
          <w:i w:val="1"/>
          <w:iCs w:val="1"/>
          <w:color w:val="auto"/>
        </w:rPr>
        <w:t>Multiple-Deliverable Revenue Arrangements, a consensus of the FASB Emerging Issues Task Force.</w:t>
      </w:r>
      <w:r>
        <w:rPr>
          <w:rFonts w:ascii="Arial" w:cs="Arial" w:eastAsia="Arial" w:hAnsi="Arial"/>
          <w:sz w:val="16"/>
          <w:szCs w:val="16"/>
          <w:color w:val="auto"/>
        </w:rPr>
        <w:t xml:space="preserve"> This guidance modifies the fair value requirements of ASC subtopic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by allowing the use of the “best estimate of selling price” in addition to Vendor 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October 2009, the FASB issued ASU No. 2009-14, </w:t>
      </w:r>
      <w:r>
        <w:rPr>
          <w:rFonts w:ascii="Arial" w:cs="Arial" w:eastAsia="Arial" w:hAnsi="Arial"/>
          <w:sz w:val="18"/>
          <w:szCs w:val="18"/>
          <w:i w:val="1"/>
          <w:iCs w:val="1"/>
          <w:color w:val="auto"/>
        </w:rPr>
        <w:t>Software</w:t>
      </w:r>
      <w:r>
        <w:rPr>
          <w:rFonts w:ascii="Arial" w:cs="Arial" w:eastAsia="Arial" w:hAnsi="Arial"/>
          <w:sz w:val="18"/>
          <w:szCs w:val="18"/>
          <w:color w:val="auto"/>
        </w:rPr>
        <w:t xml:space="preserve"> (ASC Topic 985), </w:t>
      </w:r>
      <w:r>
        <w:rPr>
          <w:rFonts w:ascii="Arial" w:cs="Arial" w:eastAsia="Arial" w:hAnsi="Arial"/>
          <w:sz w:val="18"/>
          <w:szCs w:val="18"/>
          <w:i w:val="1"/>
          <w:iCs w:val="1"/>
          <w:color w:val="auto"/>
        </w:rPr>
        <w:t>Certain Revenue Arrangements That Include Software Elements,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consensus of the FASB Emerging Issues Task Force. </w:t>
      </w:r>
      <w:r>
        <w:rPr>
          <w:rFonts w:ascii="Arial" w:cs="Arial" w:eastAsia="Arial" w:hAnsi="Arial"/>
          <w:sz w:val="18"/>
          <w:szCs w:val="18"/>
          <w:color w:val="auto"/>
        </w:rPr>
        <w:t>This guidance modifies the scope of ASC subtopic 965-605,</w:t>
      </w:r>
      <w:r>
        <w:rPr>
          <w:rFonts w:ascii="Arial" w:cs="Arial" w:eastAsia="Arial" w:hAnsi="Arial"/>
          <w:sz w:val="18"/>
          <w:szCs w:val="18"/>
          <w:i w:val="1"/>
          <w:iCs w:val="1"/>
          <w:color w:val="auto"/>
        </w:rPr>
        <w:t xml:space="preserve"> Software-Revenue Recognition, </w:t>
      </w:r>
      <w:r>
        <w:rPr>
          <w:rFonts w:ascii="Arial" w:cs="Arial" w:eastAsia="Arial" w:hAnsi="Arial"/>
          <w:sz w:val="18"/>
          <w:szCs w:val="18"/>
          <w:color w:val="auto"/>
        </w:rPr>
        <w:t>to exclude from</w:t>
      </w:r>
      <w:r>
        <w:rPr>
          <w:rFonts w:ascii="Arial" w:cs="Arial" w:eastAsia="Arial" w:hAnsi="Arial"/>
          <w:sz w:val="18"/>
          <w:szCs w:val="18"/>
          <w:i w:val="1"/>
          <w:iCs w:val="1"/>
          <w:color w:val="auto"/>
        </w:rPr>
        <w:t xml:space="preserve"> </w:t>
      </w:r>
      <w:r>
        <w:rPr>
          <w:rFonts w:ascii="Arial" w:cs="Arial" w:eastAsia="Arial" w:hAnsi="Arial"/>
          <w:sz w:val="18"/>
          <w:szCs w:val="18"/>
          <w:color w:val="auto"/>
        </w:rPr>
        <w:t>its requirements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ASU No. 2009-13 and ASU No. 2009-14 both require expanded qualitative and quantitative disclosures and are effective for fiscal years beginning on or after June 15, 2010. We have adopted these updates and they did not have a material impact on our financial statements.</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December 2010, the FASB issued ASU No. 2010-29,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Topic 805), </w:t>
      </w:r>
      <w:r>
        <w:rPr>
          <w:rFonts w:ascii="Arial" w:cs="Arial" w:eastAsia="Arial" w:hAnsi="Arial"/>
          <w:sz w:val="16"/>
          <w:szCs w:val="16"/>
          <w:i w:val="1"/>
          <w:iCs w:val="1"/>
          <w:color w:val="auto"/>
        </w:rPr>
        <w:t>Disclosure of Supplementary Pro Forma Information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Combinations</w:t>
      </w:r>
      <w:r>
        <w:rPr>
          <w:rFonts w:ascii="Arial" w:cs="Arial" w:eastAsia="Arial" w:hAnsi="Arial"/>
          <w:sz w:val="16"/>
          <w:szCs w:val="16"/>
          <w:color w:val="auto"/>
        </w:rPr>
        <w:t>. ASU No. 2010-29 amends the disclosure requirements for supplementary pro forma information for business combinations. This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addresses the diversity in practice about the interpretation of the pro forma revenue and earnings disclosure requirements for business combinations. The update specifies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It also expands the supplemental pro forma disclosures to include a description of the nature and amount of material, nonrecurring pro forma adjustments directly attributable to the business combination included in the reported pro forma revenue and earnings. This update is effective prospectively for business combinations for which the acquisition date is on or after the beginning of the first annual reporting period beginning on or after December 15, 2010. We have adopted this update and, with the acquisition of Direct EDI in May 2011, the required supplementary pro forma information is presented in Note B.</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 of Direct EDI</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May 17, 2011, we entered into an asset purchase agreement with Direct EDI LLC, a privately-held provider of cloud-based integration solutions for electronic data interchange, and we completed the asset purchase on May 18, 2011. Under the asset purchase agreement, we purchased and acquired substantially all of the assets of Direct EDI for $10.8 million in cash and assumed certain liabilities of Direct EDI. The acquisition of Direct EDI allows us to expand our base of recurring revenue customers.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Price Allocation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We engaged an independent third-party valuation firm to assist us in the determination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value of the purchased intangible assets.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that are not included in the fair values of assets. Goodwill will not be amortized; however it is deductible for tax purposes. During the fourth quarter of 2011, we completed our evaluation of the purchase price allocation and recorded a purchase price adjustment of approximately $25,000 related to working capital.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estimated fair values of the assets acquired and liabilities assumed at the acquisition date (in thousands):</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96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purchase price</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 w:type="dxa"/>
            <w:vAlign w:val="bottom"/>
          </w:tcPr>
          <w:p>
            <w:pPr>
              <w:spacing w:after="0"/>
              <w:rPr>
                <w:sz w:val="19"/>
                <w:szCs w:val="19"/>
                <w:color w:val="auto"/>
              </w:rPr>
            </w:pPr>
          </w:p>
        </w:tc>
        <w:tc>
          <w:tcPr>
            <w:tcW w:w="7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gridSpan w:val="2"/>
          </w:tcPr>
          <w:p>
            <w:pPr>
              <w:ind w:left="104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Purchased Intangible Assets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0" w:type="dxa"/>
            <w:vAlign w:val="bottom"/>
            <w:gridSpan w:val="5"/>
          </w:tcPr>
          <w:p>
            <w:pPr>
              <w:ind w:left="220"/>
              <w:spacing w:after="0"/>
              <w:rPr>
                <w:sz w:val="20"/>
                <w:szCs w:val="20"/>
                <w:color w:val="auto"/>
              </w:rPr>
            </w:pPr>
            <w:r>
              <w:rPr>
                <w:rFonts w:ascii="Arial" w:cs="Arial" w:eastAsia="Arial" w:hAnsi="Arial"/>
                <w:sz w:val="18"/>
                <w:szCs w:val="18"/>
                <w:color w:val="auto"/>
                <w:w w:val="89"/>
              </w:rPr>
              <w:t>The following table summarizes the estimated fair value of the purchased intangible assets and their estimated useful lives: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w w:val="86"/>
              </w:rPr>
              <w:t>Estimated</w:t>
            </w:r>
          </w:p>
        </w:tc>
        <w:tc>
          <w:tcPr>
            <w:tcW w:w="104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20" w:type="dxa"/>
            <w:vAlign w:val="bottom"/>
            <w:vMerge w:val="restart"/>
          </w:tcPr>
          <w:p>
            <w:pPr>
              <w:spacing w:after="0"/>
              <w:rPr>
                <w:sz w:val="12"/>
                <w:szCs w:val="12"/>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89"/>
              </w:rPr>
              <w:t>Purchased Intangible Assets</w:t>
            </w:r>
          </w:p>
        </w:tc>
        <w:tc>
          <w:tcPr>
            <w:tcW w:w="6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8"/>
        </w:trPr>
        <w:tc>
          <w:tcPr>
            <w:tcW w:w="220" w:type="dxa"/>
            <w:vAlign w:val="bottom"/>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6220" w:type="dxa"/>
            <w:vAlign w:val="bottom"/>
            <w:vMerge w:val="continue"/>
          </w:tcPr>
          <w:p>
            <w:pPr>
              <w:spacing w:after="0"/>
              <w:rPr>
                <w:sz w:val="14"/>
                <w:szCs w:val="14"/>
                <w:color w:val="auto"/>
              </w:rPr>
            </w:pPr>
          </w:p>
        </w:tc>
        <w:tc>
          <w:tcPr>
            <w:tcW w:w="8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(in thousands)</w:t>
            </w:r>
          </w:p>
        </w:tc>
        <w:tc>
          <w:tcPr>
            <w:tcW w:w="1040" w:type="dxa"/>
            <w:vAlign w:val="bottom"/>
          </w:tcPr>
          <w:p>
            <w:pPr>
              <w:spacing w:after="0"/>
              <w:rPr>
                <w:sz w:val="14"/>
                <w:szCs w:val="14"/>
                <w:color w:val="auto"/>
              </w:rPr>
            </w:pPr>
          </w:p>
        </w:tc>
        <w:tc>
          <w:tcPr>
            <w:tcW w:w="6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5,250</w:t>
            </w:r>
          </w:p>
        </w:tc>
        <w:tc>
          <w:tcPr>
            <w:tcW w:w="10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purchased intangible assets are being amortized on a straight-line basis over their estimated useful lives. Amortization expense related to these intangible assets was $643,000 for the year ended December 31,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Acquisition-Related Costs and Post-Acquisition Operating Results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Acquisition-related costs were approximately $232,000 and are included in general and administrative expense in our consolidated statements of operations for the year ended December 31, 2011. The operating results of Direct EDI have been included in our consolidated financial statements from May 18, 2011, the date of the acquisition. For the year ended December 31, 2011, approximately $2.7 million of our revenues were derived from Direct EDI customers. The amount of operating income or loss from Direct EDI was not separately identifiable due to our integration.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financial information in the table below presents the combined operating results of SPS Commerce and Direct EDI as if the acquisition had occurred on January 1, 2010. The unaudited pro forma information includes the historical operating results of each company and certain pro forma adjustments,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color w:val="auto"/>
        </w:rPr>
        <w:t>including annual amortization expense for purchased intangible assets of approximately $1.0 million and additional annual compensation expense of approximately $280,000 related to employment arrangements entered into as part of the acquisition.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874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87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23"/>
              <w:spacing w:after="0" w:line="142" w:lineRule="exact"/>
              <w:rPr>
                <w:sz w:val="20"/>
                <w:szCs w:val="20"/>
                <w:color w:val="auto"/>
              </w:rPr>
            </w:pPr>
            <w:r>
              <w:rPr>
                <w:rFonts w:ascii="Arial" w:cs="Arial" w:eastAsia="Arial" w:hAnsi="Arial"/>
                <w:sz w:val="14"/>
                <w:szCs w:val="14"/>
                <w:b w:val="1"/>
                <w:bCs w:val="1"/>
                <w:color w:val="auto"/>
              </w:rPr>
              <w:t>2011</w:t>
            </w:r>
          </w:p>
        </w:tc>
        <w:tc>
          <w:tcPr>
            <w:tcW w:w="8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29"/>
        </w:trPr>
        <w:tc>
          <w:tcPr>
            <w:tcW w:w="8740" w:type="dxa"/>
            <w:vAlign w:val="bottom"/>
          </w:tcPr>
          <w:p>
            <w:pPr>
              <w:spacing w:after="0"/>
              <w:rPr>
                <w:sz w:val="11"/>
                <w:szCs w:val="11"/>
                <w:color w:val="auto"/>
              </w:rPr>
            </w:pPr>
          </w:p>
        </w:tc>
        <w:tc>
          <w:tcPr>
            <w:tcW w:w="1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100" w:type="dxa"/>
            <w:vAlign w:val="bottom"/>
          </w:tcPr>
          <w:p>
            <w:pPr>
              <w:spacing w:after="0"/>
              <w:rPr>
                <w:sz w:val="11"/>
                <w:szCs w:val="11"/>
                <w:color w:val="auto"/>
              </w:rPr>
            </w:pPr>
          </w:p>
        </w:tc>
      </w:tr>
      <w:tr>
        <w:trPr>
          <w:trHeight w:val="161"/>
        </w:trPr>
        <w:tc>
          <w:tcPr>
            <w:tcW w:w="8740" w:type="dxa"/>
            <w:vAlign w:val="bottom"/>
          </w:tcPr>
          <w:p>
            <w:pPr>
              <w:spacing w:after="0"/>
              <w:rPr>
                <w:sz w:val="14"/>
                <w:szCs w:val="14"/>
                <w:color w:val="auto"/>
              </w:rPr>
            </w:pPr>
          </w:p>
        </w:tc>
        <w:tc>
          <w:tcPr>
            <w:tcW w:w="1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per share data)</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 forma total revenue</w:t>
            </w:r>
          </w:p>
        </w:tc>
        <w:tc>
          <w:tcPr>
            <w:tcW w:w="82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w w:val="86"/>
              </w:rPr>
              <w:t>$59,815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$48,746</w:t>
            </w: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 forma net income</w:t>
            </w:r>
          </w:p>
        </w:tc>
        <w:tc>
          <w:tcPr>
            <w:tcW w:w="820" w:type="dxa"/>
            <w:vAlign w:val="bottom"/>
          </w:tcPr>
          <w:p>
            <w:pPr>
              <w:jc w:val="right"/>
              <w:ind w:right="163"/>
              <w:spacing w:after="0"/>
              <w:rPr>
                <w:sz w:val="20"/>
                <w:szCs w:val="20"/>
                <w:color w:val="auto"/>
              </w:rPr>
            </w:pPr>
            <w:r>
              <w:rPr>
                <w:rFonts w:ascii="Arial" w:cs="Arial" w:eastAsia="Arial" w:hAnsi="Arial"/>
                <w:sz w:val="18"/>
                <w:szCs w:val="18"/>
                <w:color w:val="auto"/>
              </w:rPr>
              <w:t>13,576</w:t>
            </w:r>
          </w:p>
        </w:tc>
        <w:tc>
          <w:tcPr>
            <w:tcW w:w="84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220"/>
              <w:spacing w:after="0"/>
              <w:rPr>
                <w:sz w:val="20"/>
                <w:szCs w:val="20"/>
                <w:color w:val="auto"/>
              </w:rPr>
            </w:pPr>
            <w:r>
              <w:rPr>
                <w:rFonts w:ascii="Arial" w:cs="Arial" w:eastAsia="Arial" w:hAnsi="Arial"/>
                <w:sz w:val="18"/>
                <w:szCs w:val="18"/>
                <w:color w:val="auto"/>
              </w:rPr>
              <w:t>Basic</w:t>
            </w:r>
          </w:p>
        </w:tc>
        <w:tc>
          <w:tcPr>
            <w:tcW w:w="820" w:type="dxa"/>
            <w:vAlign w:val="bottom"/>
          </w:tcPr>
          <w:p>
            <w:pPr>
              <w:jc w:val="right"/>
              <w:ind w:right="163"/>
              <w:spacing w:after="0"/>
              <w:rPr>
                <w:sz w:val="20"/>
                <w:szCs w:val="20"/>
                <w:color w:val="auto"/>
              </w:rPr>
            </w:pPr>
            <w:r>
              <w:rPr>
                <w:rFonts w:ascii="Arial" w:cs="Arial" w:eastAsia="Arial" w:hAnsi="Arial"/>
                <w:sz w:val="18"/>
                <w:szCs w:val="18"/>
                <w:color w:val="auto"/>
              </w:rPr>
              <w:t>1.14</w:t>
            </w:r>
          </w:p>
        </w:tc>
        <w:tc>
          <w:tcPr>
            <w:tcW w:w="8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1.07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is not necessarily indicative of the results of operations that would have actually been reported had the acquisition occurred on January 1, 2010, nor is it necessarily indicative of our results of operations for any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Financial Statement Components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allowance for doubtful accounts activity was as follows (in thousands):</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January 1</w:t>
            </w:r>
          </w:p>
        </w:tc>
        <w:tc>
          <w:tcPr>
            <w:tcW w:w="1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$ 209</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$ 226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tcPr>
          <w:p>
            <w:pPr>
              <w:ind w:left="220"/>
              <w:spacing w:after="0"/>
              <w:rPr>
                <w:sz w:val="20"/>
                <w:szCs w:val="20"/>
                <w:color w:val="auto"/>
              </w:rPr>
            </w:pPr>
            <w:r>
              <w:rPr>
                <w:rFonts w:ascii="Arial" w:cs="Arial" w:eastAsia="Arial" w:hAnsi="Arial"/>
                <w:sz w:val="18"/>
                <w:szCs w:val="18"/>
                <w:color w:val="auto"/>
              </w:rPr>
              <w:t>Provision for doubtful accounts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 net of recoveries</w:t>
            </w:r>
          </w:p>
        </w:tc>
        <w:tc>
          <w:tcPr>
            <w:tcW w:w="1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(291)</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ind w:left="220"/>
              <w:spacing w:after="0"/>
              <w:rPr>
                <w:sz w:val="20"/>
                <w:szCs w:val="20"/>
                <w:color w:val="auto"/>
              </w:rPr>
            </w:pPr>
            <w:r>
              <w:rPr>
                <w:rFonts w:ascii="Arial" w:cs="Arial" w:eastAsia="Arial" w:hAnsi="Arial"/>
                <w:sz w:val="18"/>
                <w:szCs w:val="18"/>
                <w:color w:val="auto"/>
              </w:rPr>
              <w:t>Balances, December 31</w:t>
            </w:r>
          </w:p>
        </w:tc>
        <w:tc>
          <w:tcPr>
            <w:tcW w:w="1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8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$ 222</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$ 209</w:t>
            </w:r>
          </w:p>
        </w:tc>
        <w:tc>
          <w:tcPr>
            <w:tcW w:w="30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$ 226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48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 included the following (in thousands):</w:t>
            </w: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purchased software</w:t>
            </w:r>
          </w:p>
        </w:tc>
        <w:tc>
          <w:tcPr>
            <w:tcW w:w="2320" w:type="dxa"/>
            <w:vAlign w:val="bottom"/>
            <w:tcBorders>
              <w:top w:val="single" w:sz="8" w:color="CCEEFF"/>
            </w:tcBorders>
            <w:gridSpan w:val="4"/>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$ 6,678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1,964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10,760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9,238</w:t>
            </w:r>
          </w:p>
        </w:tc>
        <w:tc>
          <w:tcPr>
            <w:tcW w:w="0" w:type="dxa"/>
            <w:vAlign w:val="bottom"/>
          </w:tcPr>
          <w:p>
            <w:pPr>
              <w:spacing w:after="0"/>
              <w:rPr>
                <w:sz w:val="1"/>
                <w:szCs w:val="1"/>
                <w:color w:val="auto"/>
              </w:rPr>
            </w:pPr>
          </w:p>
        </w:tc>
      </w:tr>
      <w:tr>
        <w:trPr>
          <w:trHeight w:val="218"/>
        </w:trPr>
        <w:tc>
          <w:tcPr>
            <w:tcW w:w="2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(7,378)</w:t>
            </w:r>
          </w:p>
        </w:tc>
        <w:tc>
          <w:tcPr>
            <w:tcW w:w="3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3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3,382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$ 2,760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December 31, 2011, our property and equipment, net included approximately $26,000 of assets held at subsidiary and office locations outside of the United States of America.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included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46"/>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700" w:type="dxa"/>
            <w:vAlign w:val="bottom"/>
          </w:tcPr>
          <w:p>
            <w:pPr>
              <w:spacing w:after="0"/>
              <w:rPr>
                <w:sz w:val="11"/>
                <w:szCs w:val="11"/>
                <w:color w:val="auto"/>
              </w:rPr>
            </w:pPr>
          </w:p>
        </w:tc>
        <w:tc>
          <w:tcPr>
            <w:tcW w:w="7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1"/>
                <w:szCs w:val="11"/>
                <w:color w:val="auto"/>
              </w:rPr>
            </w:pPr>
          </w:p>
        </w:tc>
        <w:tc>
          <w:tcPr>
            <w:tcW w:w="102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70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Amortization</w:t>
            </w:r>
          </w:p>
        </w:tc>
        <w:tc>
          <w:tcPr>
            <w:tcW w:w="1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60" w:type="dxa"/>
            <w:vAlign w:val="bottom"/>
            <w:gridSpan w:val="3"/>
          </w:tcPr>
          <w:p>
            <w:pPr>
              <w:ind w:left="80"/>
              <w:spacing w:after="0"/>
              <w:rPr>
                <w:sz w:val="20"/>
                <w:szCs w:val="20"/>
                <w:color w:val="auto"/>
              </w:rPr>
            </w:pPr>
            <w:r>
              <w:rPr>
                <w:rFonts w:ascii="Arial" w:cs="Arial" w:eastAsia="Arial" w:hAnsi="Arial"/>
                <w:sz w:val="14"/>
                <w:szCs w:val="14"/>
                <w:b w:val="1"/>
                <w:bCs w:val="1"/>
                <w:color w:val="auto"/>
              </w:rPr>
              <w:t>Net</w:t>
            </w: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$ 7,180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$4,786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$ 1,930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40" w:type="dxa"/>
            <w:vAlign w:val="bottom"/>
          </w:tcPr>
          <w:p>
            <w:pPr>
              <w:jc w:val="right"/>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(469)</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981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290</w:t>
            </w:r>
          </w:p>
        </w:tc>
        <w:tc>
          <w:tcPr>
            <w:tcW w:w="100" w:type="dxa"/>
            <w:vAlign w:val="bottom"/>
          </w:tcPr>
          <w:p>
            <w:pPr>
              <w:spacing w:after="0"/>
              <w:rPr>
                <w:sz w:val="18"/>
                <w:szCs w:val="18"/>
                <w:color w:val="auto"/>
              </w:rPr>
            </w:pPr>
          </w:p>
        </w:tc>
      </w:tr>
      <w:tr>
        <w:trPr>
          <w:trHeight w:val="27"/>
        </w:trPr>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$ 8,630</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(2,863)</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290</w:t>
            </w:r>
          </w:p>
        </w:tc>
        <w:tc>
          <w:tcPr>
            <w:tcW w:w="10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Amortization expense for intangible assets was $643,000, $0 and $155,000 for the years ended December 31, 2011, 2010 and 2009, respectively. The amortization for 2009 was included in general and administrative expense in the consolidated statement of operations.</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At December 31, 2011, future amortization expense for intangible assets was as follows (in thousands):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2013</w:t>
            </w:r>
          </w:p>
        </w:tc>
        <w:tc>
          <w:tcPr>
            <w:tcW w:w="5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2015</w:t>
            </w:r>
          </w:p>
        </w:tc>
        <w:tc>
          <w:tcPr>
            <w:tcW w:w="5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table above does not include amounts related to non-competition agreements where the term of the agreement has not yet started. The term of such agreements, and the related amortization, begins with the termination of employment of the respective employee(s).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Fair Value of Financial Instruments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Fair value represents the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w:t>
      </w:r>
    </w:p>
    <w:p>
      <w:pPr>
        <w:spacing w:after="0" w:line="59"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 active markets for identical assets and liabilities.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 — unobservable inputs in which there is little or no market data available, which require the reporting entity to develop its own assumptions.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previously had warrants outstanding to purchase 68,201 shares of our Series B redeemable convertible preferred stock. With the completion of our initial public offering in April 2010, these warrants were converted into warrants to purchase common stock and the related liability was transferred to additional paid-in capital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consolidated balance sheets. See Note G for additional information. The table below presents a reconciliation of these preferred stock warrants, which were measured at fair value on a recurring basis using significant unobservable inputs (Level 3 inputs) (in thousands):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220"/>
              <w:spacing w:after="0"/>
              <w:rPr>
                <w:sz w:val="20"/>
                <w:szCs w:val="20"/>
                <w:color w:val="auto"/>
              </w:rPr>
            </w:pPr>
            <w:r>
              <w:rPr>
                <w:rFonts w:ascii="Arial" w:cs="Arial" w:eastAsia="Arial" w:hAnsi="Arial"/>
                <w:sz w:val="18"/>
                <w:szCs w:val="18"/>
                <w:color w:val="auto"/>
              </w:rPr>
              <w:t>Total losses recognized</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9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Converted into warrants to purchase common stock and liability transferred to additional paid-in capital</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(596)</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September 30, 2011, we entered into a revolving credit agreement with JPMorgan Chase Bank, N.A. The revolving credit agreement provides for a $20 million revolving credit facility that we may draw upon from time to time, subject to certain terms and conditions, and will mature on September 30, 2016. Proceeds from the credit facility are anticipated to be used for acquisitions and our capital needs.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on amounts borrowed under the credit facility is based on (i) an Adjusted LIBO Rate (as defined in the revolving credit agreement) plus an applicable margin of 175 to 225 basis points based on our net working capital, or (ii) JPMorgan’s prime rate (provided it is not less than the Adjusted One Month LIBO Rate (as defined in the revolving credit agreement)) plus an applicable margin of -25 to 25 basis points based on our net working capital. Interest is payable monthly in arrears. Availability under the credit facility is subject to a borrowing base equal to the sum of 250% of our eligible monthly recurring revenue (as defined in the revolving credit agreement) and all borrowings are due in full no later than the maturity date of the agreement.</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revolving credit agreement contains customary representations, warranties, covenants and events of default, including, but not limited to financial covenants requiring us to maintain a fixed charge coverage ratio of not less than 1.20 to 1.00, cash and cash equivalents of not less than $10 million and a minimum number of recurring revenue customers. If an event of default occurs, among other things, the applicable interest rate is subject to an increase of 2% and all outstanding obligations may become immediately due and payable.</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There were no borrowings under the revolving credit agreement during 2011. As of December 31, 2011, there were no borrowings outstanding and approximately $11.6 million was available for borrowings. We were in compliance with all covenants under the revolving credit agreement as of that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previously leased certain computer equipment and purchased software under capital leases with an interest rate of 10.75%. These capital lease obligations were fully repaid in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obligated under non-cancellable operating leases primarily for office space. Rent expense charged to operations was $963,000, $684,000 and $682,000 for the years ended December 31, 2011, 2010 and 2009,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80" w:type="dxa"/>
            <w:vAlign w:val="bottom"/>
          </w:tcPr>
          <w:p>
            <w:pPr>
              <w:jc w:val="center"/>
              <w:ind w:left="512"/>
              <w:spacing w:after="0"/>
              <w:rPr>
                <w:sz w:val="20"/>
                <w:szCs w:val="20"/>
                <w:color w:val="auto"/>
              </w:rPr>
            </w:pPr>
            <w:r>
              <w:rPr>
                <w:rFonts w:ascii="Arial" w:cs="Arial" w:eastAsia="Arial" w:hAnsi="Arial"/>
                <w:sz w:val="18"/>
                <w:szCs w:val="18"/>
                <w:b w:val="1"/>
                <w:bCs w:val="1"/>
                <w:color w:val="auto"/>
                <w:w w:val="96"/>
              </w:rPr>
              <w:t>SPS COMMERCE, INC.</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880" w:type="dxa"/>
            <w:vAlign w:val="bottom"/>
          </w:tcPr>
          <w:p>
            <w:pPr>
              <w:jc w:val="center"/>
              <w:ind w:left="492"/>
              <w:spacing w:after="0"/>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900" w:type="dxa"/>
            <w:vAlign w:val="bottom"/>
            <w:gridSpan w:val="2"/>
          </w:tcPr>
          <w:p>
            <w:pPr>
              <w:spacing w:after="0"/>
              <w:rPr>
                <w:sz w:val="20"/>
                <w:szCs w:val="20"/>
                <w:color w:val="auto"/>
              </w:rPr>
            </w:pPr>
            <w:r>
              <w:rPr>
                <w:rFonts w:ascii="Arial" w:cs="Arial" w:eastAsia="Arial" w:hAnsi="Arial"/>
                <w:sz w:val="18"/>
                <w:szCs w:val="18"/>
                <w:color w:val="auto"/>
              </w:rPr>
              <w:t>At December 31, 2011, future minimum payments under operating leases were as follows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2013</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2015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lease for our current headquarters in Minneapolis, Minnesota expires in October 2012. A new lease agreement for this same location was executed subsequent to December 31, 2011, which is not reflected in the table above. See Note N for additional information.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Incentive Agreements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board of directors previously approved management incentive agreements that provide for a bonus to be paid to certain executive officers upon a sale of the company. The aggregate bonus is equal to 0.322% of the amount of the purchase price, as defined, exceeding $25 million and less than $65 million. The aggregate bonus under these agreements is limited to $150,000. These management incentive agreements terminate on June 30, 2012, regardless of employment status. At December 31, 2011 and 2010, no expense or liability had been recorded relating to these agreements.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involved in various claims and legal actions in the normal course of business. Our management believes that the outcome of such claims and legal actions will not have a significant adverse effect on our financial position,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Redeemable Convertible Preferred Stock and Stockholders’ Equity (Deficit)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April 13, 2010, we effected a 0.267 for 1 reverse stock split in the form of a combination of our outstanding stock. All share and per share amounts in the accompanying financial statements and notes have been retroactively adjusted for all periods presented to give effect to the reverse stock split.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April 27, 2010, we completed our initial public offering of 4,711,198 shares of common stock at an offering price of $12.00 per share. We issued and sold 3,114,504 shares, including 614,504 shares sold pursuant to the exercise in full of the underwriters’ over-allotment option, and the selling stockholders sold 1,596,694 shares. We received proceeds of approximately $33.0 million, after payment of underwriting discounts and commissions and legal, accounting and other fees incurred in connection with the offering. On April 30, 2010, approximately $555,000 of the net proceeds was used to repay principal and interest on certain outstanding equipment loans.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the close of the initial public offering, our previously outstanding shares of redeemable convertible preferred stock were automatically converted into 8,093,826 shares of common stock and warrants to purchase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80"/>
          </w:cols>
          <w:pgMar w:left="240" w:top="459"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68,201 shares of redeemable convertible preferred stock were converted into warrants to purchase 68,201 shares of common stock. Accordingly, the related warrant liability of approximately $596,000 was transferred to additional paid-in capital in our consolidated balance sheet. These common stock warrants have an exercise price of $3.67 per share and expiration dates ranging from May 2011 to February 2016.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Secondary Stock Offering</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December 3, 2010, we completed a secondary stock offering of 3,301,926 shares of common stock at an offering price of $12.25 per share. We issued and sold 115,000 shares, including 15,000 shares sold pursuant to the exercise in full of the underwriters’ over-allotment option, and the selling stockholders sold 3,186,926 shares. We received proceeds of approximately $1.0 million after payment of underwriting discounts and commissions and legal, accounting and other fees incurred in connection with the offering.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 discussed above, we previously had warrants outstanding to purchase 68,201 shares of our Series B redeemable convertible preferred stock. These warrants had an exercise price of $3.67 per share and expiration dates ranging from May 2011 to February 2016. We classified these outstanding warrants as a liability in our consolidated balance sheets. These warrants were subject to revaluation at each balance sheet date and any change in fair market value was recognized as a component of other income (expense) in our consolidated statements of operations.</w:t>
      </w:r>
    </w:p>
    <w:p>
      <w:pPr>
        <w:spacing w:after="0" w:line="1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Prior to the conversion of the preferred stock warrants into common stock warrants, we recorded other expense of $27,000 and $381,000 for the years ended December 31, 2010 and 2009, respectively, for changes in the fair market value of these warrants.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discussed above, we previously had issued various classes of redeemable convertible preferred stock. The holders of our Series A, B, and C redeemable convertible preferred stock had the option to put their shares back to the company at the liquidation preference value, as defined in the Certificate of Incorporation, in the event of any liquidation, dissolution or winding up of the company, as defined.</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None of the Series A, B and C redeemable convertible preferred stock had a mandatory redemption feature. In the event of a liquidation, as defined, the holders of Series C redeemable convertible preferred stock were entitled to receive, prior to and in preference to any distribution of any assets or surplus funds of the company to the holders of Series A and B redeemable convertible preferred stock or common stock, an amount in cash equal to $5.99 per share plus accrued unpaid dividends. After the liquidation payment to Series C redeemable convertible preferred stockholders, the holders of Series B redeemable convertible preferred stock were entitled to receive, prior to and in preference to any distribution of any assets or surplus funds of the company to the holders of Series A redeemable convertible preferred stock or common stock, an amount in cash equal to $3.67 per share plus accrued unpaid dividends. After the liquidation payment of Series B redeemable convertible preferred stockholders, the holders of Series A redeemable convertible preferred stock were entitled to receive, prior to and in preference to any distribution of any assets or surplus funds of the company to the holders of common stock, an amount in cash equal to $8.65 per share plus accrued unpaid dividends. After the liquidation payment to Series A, B and C redeemable convertible preferred stockholders, holders of common stock and Series A, B and C redeemable convertible preferred stock would share pro rata in the remaining assets of the company.</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share of Series A, B, and C redeemable convertible preferred stock, at the option of the holder, was convertible into common shares at a conversion ratio equal to the conversion value divided by the conversion price. The conversion ratio was 1 to 1 at December 31, 2009. The conversion value and conversion price were initially set in our Fifth Amended and Restated Certificate of Incorporation at $8.65, $3.67 and $5.99 for the Series A, B and C redeemable convertible preferred stock, respectively. The conversion price was subject to adjustment for certain dilutive issuances. We had not issued any dilutive instruments which would adjust the conversion price and, therefore, the conversion value and the conversion price had not changed since they were initially set.</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share of Series A, B and C redeemable convertible preferred stock were to be automatically and immediately converted into shares of common stock upon the closing of a public offering pursuant to an effective registration statement at the then effective conversion ratio, if the offering price per share was not less than $13.45 and the gross proceeds to the company were at least $20,000,000. Each share of redeemable convertible preferred stock was subject to weighted-average anti-dilution price protection. The holders of the redeemable convertible preferred stock were entitled to dividends only when declared. No dividends had been declared since the issuance of the redeemable convertible preferred stock. The holders of Series A, B and C redeemable convertible preferred stock were generally entitled to vote on all matters submitted to a vote of stockholders, except those required by law to be submitted to a class vote.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Stock-Based Compensation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to employees, non-employee directors and other consultants who provide services to us. Stock options generally vest over three to four years and have a contractual term of ten years from the date of grant. During 2011, approximately 711,000 additional shares were authorized under our 2010 Equity Incentive Plan as available for grant and, at December 31, 2011, there were approximately 660,000 shares available for grant under approved equity compensation plans. Each award exercised results in the issuance of new shares.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recorded non-cash stock-based compensation expense of $1.8 million, $750,000 and $228,000 for the years ended December 31, 2011, 2010 and 2009, respectively. This expense was allocated as follows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471</w:t>
            </w: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1,768</w:t>
            </w:r>
          </w:p>
        </w:tc>
        <w:tc>
          <w:tcPr>
            <w:tcW w:w="134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2011, there was approximately $4.3 million of unrecognized stock-based compensation expense under our equity compensation plans, which is expected to be recognized on a straight line basis over a weighted average period of approximately 2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option activity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2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 Price</w:t>
            </w: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1,187,583</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339,187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(262,925)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1,248,205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479,691</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(157,056)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(21,496)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1,549,344</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431,790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(289,286)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(22,439)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1,669,409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Of the total outstanding options at December 31, 2011, 955,342 were exercisable with a weighted average exercise price of $3.23 per share. The total outstanding options had a weighted average remaining contractual life of 6.2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options vested during the years ended December 31, 2011, 2010 and 2009 was $1.3 million, $200,000 and $228,000, respectively.</w:t>
      </w:r>
    </w:p>
    <w:p>
      <w:pPr>
        <w:spacing w:after="0" w:line="194" w:lineRule="exact"/>
        <w:rPr>
          <w:sz w:val="20"/>
          <w:szCs w:val="20"/>
          <w:color w:val="auto"/>
        </w:rPr>
      </w:pPr>
    </w:p>
    <w:p>
      <w:pPr>
        <w:jc w:val="center"/>
        <w:ind w:right="280"/>
        <w:spacing w:after="0" w:line="332" w:lineRule="auto"/>
        <w:rPr>
          <w:sz w:val="20"/>
          <w:szCs w:val="20"/>
          <w:color w:val="auto"/>
        </w:rPr>
      </w:pPr>
      <w:r>
        <w:rPr>
          <w:rFonts w:ascii="Arial" w:cs="Arial" w:eastAsia="Arial" w:hAnsi="Arial"/>
          <w:sz w:val="16"/>
          <w:szCs w:val="16"/>
          <w:color w:val="auto"/>
        </w:rPr>
        <w:t>The intrinsic value of options exercised during the years ended December 31, 2011, 2010 and 2009 was $4.9 million, $1.7 million and $101,000, respectively. The intrinsic value of outstanding options was $29.7 million, $17.4 million and $12.9 million at December 31, 2011, 2010 and 2009 respectively.</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weighted-average fair values per share of options granted during 2011, 2010 and 2009 were $8.25, $5.82 and $1.54, respectively. The fair value of the options granted was estimated on the date of grant using the Black-Scholes option pricing model with the following assumptions: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2010</w:t>
            </w:r>
          </w:p>
        </w:tc>
        <w:tc>
          <w:tcPr>
            <w:tcW w:w="5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2009</w:t>
            </w:r>
          </w:p>
        </w:tc>
      </w:tr>
      <w:tr>
        <w:trPr>
          <w:trHeight w:val="210"/>
        </w:trPr>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volatility</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- 49%</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5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22"/>
        </w:trPr>
        <w:tc>
          <w:tcPr>
            <w:tcW w:w="608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1.58% - 3.05%</w:t>
            </w:r>
          </w:p>
        </w:tc>
        <w:tc>
          <w:tcPr>
            <w:tcW w:w="5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1.79%</w:t>
            </w:r>
          </w:p>
        </w:tc>
        <w:tc>
          <w:tcPr>
            <w:tcW w:w="620" w:type="dxa"/>
            <w:vAlign w:val="bottom"/>
          </w:tcPr>
          <w:p>
            <w:pPr>
              <w:ind w:left="20"/>
              <w:spacing w:after="0"/>
              <w:rPr>
                <w:sz w:val="20"/>
                <w:szCs w:val="20"/>
                <w:color w:val="auto"/>
              </w:rPr>
            </w:pPr>
            <w:r>
              <w:rPr>
                <w:rFonts w:ascii="Arial" w:cs="Arial" w:eastAsia="Arial" w:hAnsi="Arial"/>
                <w:sz w:val="18"/>
                <w:szCs w:val="18"/>
                <w:color w:val="auto"/>
                <w:w w:val="93"/>
              </w:rPr>
              <w:t>- 3.14%</w:t>
            </w:r>
          </w:p>
        </w:tc>
        <w:tc>
          <w:tcPr>
            <w:tcW w:w="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2.71%</w:t>
            </w:r>
          </w:p>
        </w:tc>
        <w:tc>
          <w:tcPr>
            <w:tcW w:w="620" w:type="dxa"/>
            <w:vAlign w:val="bottom"/>
          </w:tcPr>
          <w:p>
            <w:pPr>
              <w:ind w:left="20"/>
              <w:spacing w:after="0"/>
              <w:rPr>
                <w:sz w:val="20"/>
                <w:szCs w:val="20"/>
                <w:color w:val="auto"/>
              </w:rPr>
            </w:pPr>
            <w:r>
              <w:rPr>
                <w:rFonts w:ascii="Arial" w:cs="Arial" w:eastAsia="Arial" w:hAnsi="Arial"/>
                <w:sz w:val="18"/>
                <w:szCs w:val="18"/>
                <w:color w:val="auto"/>
                <w:w w:val="93"/>
              </w:rPr>
              <w:t>- 4.01%</w:t>
            </w: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becoming a public entity in 2010, historic volatility was not available for our shares. As a result, we estimated volatility based on a peer group of companies, which collectively provided a reasonable basis for estimating volatility. We intend to continue to consistently use the same group of publicly traded peer companies to determine volatility in the future until sufficient information regarding volatility of our share price becomes available or the selected companies are no longer suitable for this purpose.</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not issued dividends on our common stock and do not expect to do so in the foreseeable future. The expected term of the options is based on evaluations of historical and expected future employee exercise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behavior. The estimated pre-vesting forfeiture rate is based on our historical experience. The risk-free interest rate is based on the U.S. Treasury rates at the date of grant with maturity dates approximately equal to the expected life at the grant 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was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110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100" w:type="dxa"/>
            <w:vAlign w:val="bottom"/>
          </w:tcPr>
          <w:p>
            <w:pPr>
              <w:spacing w:after="0"/>
              <w:rPr>
                <w:sz w:val="12"/>
                <w:szCs w:val="12"/>
                <w:color w:val="auto"/>
              </w:rPr>
            </w:pPr>
          </w:p>
        </w:tc>
      </w:tr>
      <w:tr>
        <w:trPr>
          <w:trHeight w:val="196"/>
        </w:trPr>
        <w:tc>
          <w:tcPr>
            <w:tcW w:w="8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$41</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(12,282)</w:t>
            </w: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(426)</w:t>
            </w: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7"/>
        </w:trPr>
        <w:tc>
          <w:tcPr>
            <w:tcW w:w="8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(12,619)</w:t>
            </w: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91</w:t>
            </w:r>
          </w:p>
        </w:tc>
        <w:tc>
          <w:tcPr>
            <w:tcW w:w="100" w:type="dxa"/>
            <w:vAlign w:val="bottom"/>
            <w:shd w:val="clear" w:color="auto" w:fill="CCEEFF"/>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provision (benefit) for income taxes includes state income and franchise taxes and the release of a substantial portion of the valuation allowance on our deferred tax assets. The release of the valuation allowance is a non-cash event that indicates we expect the probability is more likely than not that we will generate sufficient future profits to fully utilize our deferred tax assets.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provision (benefit) for income taxes to the statutory federal rate was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2"/>
                <w:szCs w:val="12"/>
                <w:color w:val="auto"/>
              </w:rPr>
            </w:pPr>
          </w:p>
        </w:tc>
        <w:tc>
          <w:tcPr>
            <w:tcW w:w="5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federal income tax at statutory rate</w:t>
            </w:r>
          </w:p>
        </w:tc>
        <w:tc>
          <w:tcPr>
            <w:tcW w:w="2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1,013</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State income taxes, net of federal tax effect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Tax impact of foreign activity</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Permanent book/tax differences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(1,310)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(6,475)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(751)</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Release of valuation allowance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52"/>
              <w:spacing w:after="0"/>
              <w:rPr>
                <w:sz w:val="20"/>
                <w:szCs w:val="20"/>
                <w:color w:val="auto"/>
              </w:rPr>
            </w:pPr>
            <w:r>
              <w:rPr>
                <w:rFonts w:ascii="Arial" w:cs="Arial" w:eastAsia="Arial" w:hAnsi="Arial"/>
                <w:sz w:val="18"/>
                <w:szCs w:val="18"/>
                <w:color w:val="auto"/>
                <w:w w:val="89"/>
              </w:rPr>
              <w:t>(12,802)</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Section 382 limitation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6,427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Prior year true up</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AMT expense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General business credit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 adjustment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provision (benefit) for income taxes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w w:val="89"/>
              </w:rPr>
              <w:t>(12,619)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0"/>
        </w:trPr>
        <w:tc>
          <w:tcPr>
            <w:tcW w:w="5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2011, we had an income tax receivable of $90,000, which is included in prepaid expenses and other current assets in the consolidated balance sheets.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31, 2011, we had net operating loss carryforwards of $51.1 million for U.S. federal tax purposes and $22.5 million of various state net operating loss carryforwards. Our net operating loss carryforwards will expire between 2012 and 2031 if not utilized.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382 of the U.S. Internal Revenue Code generally imposes an annual limitation on the amount of net operating loss carryforwards that might be used to offset taxable income when a corporation has undergone significant changes in stock ownership. We have performed a Section 382 analysis for the time period from our inception through December 8, 2010. During this time period it was determined that we had six separate ownership changes under Section 382. We have not updated the Section 382 analysis subsequent to December 8, 2010; however, we believe there have not been any events subsequent to that date that would impact the analysis. We believe that approximately $17.6 million of federal losses and $13.0 million of state losses will expire unused due to Section 382 limitations. The maximum annual limitation of federal net operating losses under Section 382 is approximately $990,000. The limitation could be further restricted if ownership changes occur in future years.</w:t>
      </w:r>
    </w:p>
    <w:p>
      <w:pPr>
        <w:spacing w:after="0" w:line="11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Our federal and state net operating losses at December 31, 2011 include $5.9 million and $0.9 million, respectively, of income tax deductions in excess of previously recorded tax benefits. Although these additional tax deductions are included in the net operating losses referenced above, the related tax benefit will not be recognized until the deductions reduce our income taxes payable. The tax benefit of these excess deductions will be reflected as a credit to additional paid in capital when recognized. Accordingly, our deferred tax assets are reported net of the excess tax deductions for stock compensation and Section 382 limitations.</w:t>
      </w:r>
    </w:p>
    <w:p>
      <w:pPr>
        <w:spacing w:after="0" w:line="9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Realization of our net operating loss carryforwards and other deferred tax temporary differences are contingent upon future taxable earnings. We assess our ability to realize our deferred tax assets on a regular and periodic basis. Based on our assessments prior to the fourth quarter of 2011, we had provided full valuation allowances against all of our deferred tax assets. The valuation allowances had been provided because our management determined that it was more-likely-than-not that we would not realize these deferred tax assets, largely due to our history of taxable losses since inception.</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our assessment during the fourth quarter of 2011, we determined that it was more-likely-than-not that we would be able to realize $12.8 million of our deferred tax assets, which enabled us to release a substantial portion of the valuation allowance previously recorded. This determination was based on weighing both the positive and negative evidence available including, but not limited to, our earnings history, our projected future taxable income, our business strategy and the nature of each of our deferred tax assets. The remaining valuation allowance of $369,000 relates to various state net operating loss carryforwards, state credit carryforwards and foreign net operating loss carryforwards that we do not expect to utilize.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assessment of our valuation allowance against our deferred tax assets requires significant judgment. If our estimates of future taxable income vary from actual results, our assessment regarding the realization of our deferred tax assets could change. Future changes in the estimated amount of deferred taxes that are expected to be realized will be reflected in our consolidated financial statements in the period the estimate is changed, with a corresponding adjustment to our operating results.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our deferred tax assets (liabilities) were as follows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Current net operating loss and credit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allowance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tax asset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Deferred operations</w:t>
            </w:r>
          </w:p>
        </w:tc>
        <w:tc>
          <w:tcPr>
            <w:tcW w:w="8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deferred tax liability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200"/>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Non-current</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operating loss and credit carryforwards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Deferred operations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 expense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40" w:type="dxa"/>
            <w:vAlign w:val="bottom"/>
            <w:gridSpan w:val="2"/>
          </w:tcPr>
          <w:p>
            <w:pPr>
              <w:spacing w:after="0"/>
              <w:rPr>
                <w:sz w:val="20"/>
                <w:szCs w:val="20"/>
                <w:color w:val="auto"/>
              </w:rPr>
            </w:pPr>
            <w:r>
              <w:rPr>
                <w:rFonts w:ascii="Arial" w:cs="Arial" w:eastAsia="Arial" w:hAnsi="Arial"/>
                <w:sz w:val="18"/>
                <w:szCs w:val="18"/>
                <w:color w:val="auto"/>
              </w:rPr>
              <w:t>Total non-current deferred tax asset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14,196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(14,334)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Net non-current deferred tax asset</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We are generally subject to U.S. federal and state tax examinations for all tax years since 1995 due to our net operating loss carryforwards and the utilization of the carryforwards in years still open under statute. As of December 31, 2011 we are not under any income tax audits by tax authorities.</w:t>
      </w:r>
    </w:p>
    <w:p>
      <w:pPr>
        <w:spacing w:after="0" w:line="14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of December 31, 2011,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Net Income per Share</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13,703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2,884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11,960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8,036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and warrants to purchase common and preferred stock</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440"/>
              <w:spacing w:after="0"/>
              <w:rPr>
                <w:sz w:val="20"/>
                <w:szCs w:val="20"/>
                <w:color w:val="auto"/>
              </w:rPr>
            </w:pPr>
            <w:r>
              <w:rPr>
                <w:rFonts w:ascii="Arial" w:cs="Arial" w:eastAsia="Arial" w:hAnsi="Arial"/>
                <w:sz w:val="18"/>
                <w:szCs w:val="18"/>
                <w:color w:val="auto"/>
              </w:rPr>
              <w:t>Redeemable convertible preferred stock</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12,744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11,596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Approximately 19,000 outstanding options and warrants were excluded from the computation of diluted net income per share for the year ended December 31, 2009 because they were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Employee Benefit Plan</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sponsor a 401(k) retirement savings plan whereby employees are allowed to contribute up to 100% of their salaries and the company will match 25% up to the first 6%. Our matching contributions to the plan, which vest immediately, were $287,000, $241,000 and $219,000 for the years ended December 31, 2011, 2010 and 2009,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Guarantees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provide limited guarantees to certain customers through service level agreements. These service level agreements are defined in the master agreements with the customer and performance is measured on a monthly basis for the life of the contract. Service level agreements require us to perform at specified levels which would include, but are not limited to, document processing times, data center availability, customer support and issue resolution.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Selected Quarterly Financial Data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selected unaudited quarterly statements of operations data (in thousands, except per share amounts):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3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34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8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rPr>
              <w:t>Mar 31</w:t>
            </w:r>
          </w:p>
        </w:tc>
        <w:tc>
          <w:tcPr>
            <w:tcW w:w="520" w:type="dxa"/>
            <w:vAlign w:val="bottom"/>
          </w:tcPr>
          <w:p>
            <w:pPr>
              <w:spacing w:after="0"/>
              <w:rPr>
                <w:sz w:val="12"/>
                <w:szCs w:val="12"/>
                <w:color w:val="auto"/>
              </w:rPr>
            </w:pPr>
          </w:p>
        </w:tc>
        <w:tc>
          <w:tcPr>
            <w:tcW w:w="10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Jun 30</w:t>
            </w:r>
          </w:p>
        </w:tc>
        <w:tc>
          <w:tcPr>
            <w:tcW w:w="10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9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$12,649</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$13,937</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$15,529</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$15,854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9,328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10,187</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11,453</w:t>
            </w:r>
          </w:p>
        </w:tc>
        <w:tc>
          <w:tcPr>
            <w:tcW w:w="580" w:type="dxa"/>
            <w:vAlign w:val="bottom"/>
          </w:tcPr>
          <w:p>
            <w:pPr>
              <w:jc w:val="right"/>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1520" w:type="dxa"/>
            <w:vAlign w:val="bottom"/>
            <w:gridSpan w:val="3"/>
          </w:tcPr>
          <w:p>
            <w:pPr>
              <w:jc w:val="right"/>
              <w:ind w:right="360"/>
              <w:spacing w:after="0"/>
              <w:rPr>
                <w:sz w:val="20"/>
                <w:szCs w:val="20"/>
                <w:color w:val="auto"/>
              </w:rPr>
            </w:pPr>
            <w:r>
              <w:rPr>
                <w:rFonts w:ascii="Arial" w:cs="Arial" w:eastAsia="Arial" w:hAnsi="Arial"/>
                <w:sz w:val="18"/>
                <w:szCs w:val="18"/>
                <w:color w:val="auto"/>
              </w:rPr>
              <w:t>(109)</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177</w:t>
            </w:r>
          </w:p>
        </w:tc>
        <w:tc>
          <w:tcPr>
            <w:tcW w:w="580" w:type="dxa"/>
            <w:vAlign w:val="bottom"/>
          </w:tcPr>
          <w:p>
            <w:pPr>
              <w:jc w:val="right"/>
              <w:spacing w:after="0"/>
              <w:rPr>
                <w:sz w:val="20"/>
                <w:szCs w:val="20"/>
                <w:color w:val="auto"/>
              </w:rPr>
            </w:pPr>
            <w:r>
              <w:rPr>
                <w:rFonts w:ascii="Arial" w:cs="Arial" w:eastAsia="Arial" w:hAnsi="Arial"/>
                <w:sz w:val="18"/>
                <w:szCs w:val="18"/>
                <w:color w:val="auto"/>
              </w:rPr>
              <w:t>13,143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5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(0.01)</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920" w:type="dxa"/>
            <w:vAlign w:val="bottom"/>
          </w:tcPr>
          <w:p>
            <w:pPr>
              <w:jc w:val="right"/>
              <w:ind w:right="1212"/>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SPS COMMERCE,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2010</w:t>
            </w:r>
          </w:p>
        </w:tc>
        <w:tc>
          <w:tcPr>
            <w:tcW w:w="6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6240" w:type="dxa"/>
            <w:vAlign w:val="bottom"/>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Mar 31</w:t>
            </w:r>
          </w:p>
        </w:tc>
        <w:tc>
          <w:tcPr>
            <w:tcW w:w="520" w:type="dxa"/>
            <w:vAlign w:val="bottom"/>
          </w:tcPr>
          <w:p>
            <w:pPr>
              <w:spacing w:after="0"/>
              <w:rPr>
                <w:sz w:val="12"/>
                <w:szCs w:val="12"/>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Jun 30</w:t>
            </w:r>
          </w:p>
        </w:tc>
        <w:tc>
          <w:tcPr>
            <w:tcW w:w="10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Sep 30</w:t>
            </w:r>
          </w:p>
        </w:tc>
        <w:tc>
          <w:tcPr>
            <w:tcW w:w="58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rPr>
              <w:t>Dec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$10,243</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$10,944</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$11,491</w:t>
            </w: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$11,919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80" w:type="dxa"/>
            <w:vAlign w:val="bottom"/>
          </w:tcPr>
          <w:p>
            <w:pPr>
              <w:jc w:val="right"/>
              <w:spacing w:after="0"/>
              <w:rPr>
                <w:sz w:val="20"/>
                <w:szCs w:val="20"/>
                <w:color w:val="auto"/>
              </w:rPr>
            </w:pPr>
            <w:r>
              <w:rPr>
                <w:rFonts w:ascii="Arial" w:cs="Arial" w:eastAsia="Arial" w:hAnsi="Arial"/>
                <w:sz w:val="18"/>
                <w:szCs w:val="18"/>
                <w:color w:val="auto"/>
              </w:rPr>
              <w:t>7,262</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7,843</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8,280</w:t>
            </w:r>
          </w:p>
        </w:tc>
        <w:tc>
          <w:tcPr>
            <w:tcW w:w="580" w:type="dxa"/>
            <w:vAlign w:val="bottom"/>
          </w:tcPr>
          <w:p>
            <w:pPr>
              <w:jc w:val="right"/>
              <w:spacing w:after="0"/>
              <w:rPr>
                <w:sz w:val="20"/>
                <w:szCs w:val="20"/>
                <w:color w:val="auto"/>
              </w:rPr>
            </w:pPr>
            <w:r>
              <w:rPr>
                <w:rFonts w:ascii="Arial" w:cs="Arial" w:eastAsia="Arial" w:hAnsi="Arial"/>
                <w:sz w:val="18"/>
                <w:szCs w:val="18"/>
                <w:color w:val="auto"/>
              </w:rPr>
              <w:t>8,586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679</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919</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638</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886</w:t>
            </w:r>
          </w:p>
        </w:tc>
        <w:tc>
          <w:tcPr>
            <w:tcW w:w="5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0.05</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Subsequent Event (Unaudited)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14, 2012, we executed a new lease agreement for our current headquarters location which commences on November 1, 2012 and expires on April 30, 2020. The lease includes additional square footage upon commencement, an automatic expansion of space on or about September 1, 2013, a right of first offer to lease certain additional space, and two options to extend the term of the lease for three years at a market rate determined in accordance with the lease. In connection with this new lease, we will deliver to the landlord cash or an irrevocable letter of credit for approximately $172,000, subject to increase based on square footage expansion, as security for performance of our obligations under the lease.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evaluated the effectiveness of the design and operation of our disclosure controls and procedures as of December 31, 2011, the end of the period covered by this Annual Report on Form 10-K. This evaluation was done under the supervision and with the participation of management, including our Chief Executive Officer (“CEO”) and Chief Financial Officer (“CFO”). Disclosure controls and procedures means controls and other procedures that are designed to provide reasonable assurance that information required to be disclosed in the reports that we file or submit under the Securities and Exchange Act of 1934, as amended (the “Exchange Act”), such as this Annual Report on Form 10-K, is recorded, processed, summarized and reported within the time periods specified in the rules and forms of the Securities and Exchange Commission (“SEC”). Disclosure controls and procedures include, without limitation, controls and procedures designed such that information is accumulated and communicated to our management, including our CEO and CFO, as appropriate to allow timely decisions regarding required disclosure. Based on this evaluation, our CEO and CFO have concluded that as of December 31, 2011, our disclosure controls and procedures were effective.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Under the supervision and with the participation of management, including our principal executive and financial officers, we assessed our internal control over financial reporting as of December 31, 2011, based on criteria for effective internal control over financial reporting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Based on this assessment,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we maintained effective internal control over financial reporting as of December 31, 2011 based on the specified criteria.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effectiveness of our internal control over financial reporting as of December 31, 2011 has been audited by Grant Thornton LLP, our independent registered public accounting firm, as stated in their report, which is included under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ended December 31, 2011 that 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information required by this item with respect to executive officers is contained in Item 1 of this Annual Report on Form 10-K under the heading “Executive Officers” and with respect to other information relating to our directors and executive officers will be set forth in our 2012 Proxy Statement under the caption “Item 1 — Election of Directors,” which will be filed no later than 120 days after the end of the fiscal year covered by this Annual Report on Form 10-K, and is incorporated herein by reference.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information required by this item under Item 405 of Regulation S-K is incorporated herein by reference to the section titled “Section 16(a) Beneficial Ownership Reporting Compliance” of our 2012 Proxy Statement, which will be filed no later than 120 days after the end of the fiscal year covered by this Annual Report on Form 10-K. The information required by this item under Item 407(d)(4) and (d)(5) of Regulation S-K is incorporated herein by reference to the section titled “Information Regarding the Board of Directors and Corporate Governance — Board Committees — Audit Committee” of our 2012 Proxy Statement, which will be filed no later than 120 days after the end of the fiscal year covered by this Annual Report on Form 10-K.</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have adopted a code of business conduct applicable to our directors, officers (including our principal executive officer and principal financial officer) and employees. The Code of Business Conduct is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under the Investor Relations section. We plan to post on our website at the address described above any future amendments or waivers of our Code of Conduct.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Information related to security ownership required by this item is incorporated herein by reference to the sections titled “Executive Compensation,” and “Certain Relationships and Related Transactions — Compensation Committee Interlocks and Insider Participation” of our 2012 Proxy Statement, which will be filed no later than 120 days after the end of the fiscal year covered by this Annual Report on Form 10-K.</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Information related to security ownership required by this item is incorporated herein by reference to the section titled “Security Ownership” of our 2012 Proxy Statement, which will be filed no later than 120 days after the end of the fiscal year covered by this Annual Report on Form 10-K. Information related to our equity compensation plans required by this item is incorporated herein by reference to the section titled “Executive Compensation — Outstanding Equity Awards” of our 2012 Proxy Statement, which will be filed no later than 120 days after the end of the fiscal year covered by this Annual Report on Form 10-K.</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“Certain Relationships and Related Transactions,” and “Information Regarding the Board of Directors and Corporate Governance — Director Independence” of our 2012 Proxy Statement, which will be filed no later than 120 days after the end of the fiscal year covered by this Annual Report on Form 10-K.</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 titled “Audit Committee Report and Payment of Fees to Our Independent Auditor” of our 2012 Proxy Statement, which will be filed no later than 120 days after the end of the fiscal year covered by this Annual Report on Form 10-K.</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90" w:lineRule="exact"/>
        <w:rPr>
          <w:sz w:val="20"/>
          <w:szCs w:val="20"/>
          <w:color w:val="auto"/>
        </w:rPr>
      </w:pPr>
    </w:p>
    <w:p>
      <w:pPr>
        <w:ind w:left="1140" w:hanging="237"/>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The financial statements filed as a part of this report are listed in Part II, Item 8.</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 The schedules are either not applicable or the required information is presented in the consolidated financial statements or notes thereto.</w:t>
      </w:r>
    </w:p>
    <w:p>
      <w:pPr>
        <w:spacing w:after="0" w:line="50" w:lineRule="exact"/>
        <w:rPr>
          <w:rFonts w:ascii="Arial" w:cs="Arial" w:eastAsia="Arial" w:hAnsi="Arial"/>
          <w:sz w:val="18"/>
          <w:szCs w:val="18"/>
          <w:color w:val="auto"/>
        </w:rPr>
      </w:pPr>
    </w:p>
    <w:p>
      <w:pPr>
        <w:ind w:left="460" w:firstLine="443"/>
        <w:spacing w:after="0" w:line="268" w:lineRule="auto"/>
        <w:tabs>
          <w:tab w:leader="none" w:pos="11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The exhibits incorporated by reference or filed as a part of this Annual Report on Form 10-K are listed in the Exhibit Index immediately following the signatures to this report.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2012</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SPS COMMERCE, INC.</w:t>
      </w:r>
    </w:p>
    <w:p>
      <w:pPr>
        <w:spacing w:after="0" w:line="231"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of the undersigned hereby appoints Archie C. Black and Kimberly K. Nelson, and each of them (with full power to act alone), as attorneys and agents for the undersigned, with full power of substitution, for and in the name, place and stead of the undersigned, to sign and file with the Securities and Exchange Commission under the Securities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March 9, 2012.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Name and Signature</w:t>
            </w:r>
          </w:p>
        </w:tc>
        <w:tc>
          <w:tcPr>
            <w:tcW w:w="1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580" w:type="dxa"/>
            <w:vAlign w:val="bottom"/>
          </w:tcPr>
          <w:p>
            <w:pPr>
              <w:spacing w:after="0"/>
              <w:rPr>
                <w:sz w:val="14"/>
                <w:szCs w:val="14"/>
                <w:color w:val="auto"/>
              </w:rPr>
            </w:pPr>
          </w:p>
        </w:tc>
      </w:tr>
      <w:tr>
        <w:trPr>
          <w:trHeight w:val="424"/>
        </w:trPr>
        <w:tc>
          <w:tcPr>
            <w:tcW w:w="1660" w:type="dxa"/>
            <w:vAlign w:val="bottom"/>
            <w:tcBorders>
              <w:bottom w:val="single" w:sz="8" w:color="auto"/>
            </w:tcBorders>
            <w:gridSpan w:val="2"/>
          </w:tcPr>
          <w:p>
            <w:pPr>
              <w:ind w:left="142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ARCHIE C. BLACK</w:t>
            </w: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gridSpan w:val="2"/>
          </w:tcPr>
          <w:p>
            <w:pPr>
              <w:jc w:val="center"/>
              <w:ind w:right="1880"/>
              <w:spacing w:after="0"/>
              <w:rPr>
                <w:sz w:val="20"/>
                <w:szCs w:val="20"/>
                <w:color w:val="auto"/>
              </w:rPr>
            </w:pPr>
            <w:r>
              <w:rPr>
                <w:rFonts w:ascii="Arial" w:cs="Arial" w:eastAsia="Arial" w:hAnsi="Arial"/>
                <w:sz w:val="18"/>
                <w:szCs w:val="18"/>
                <w:color w:val="auto"/>
                <w:w w:val="90"/>
              </w:rPr>
              <w:t>Archie C. Black</w:t>
            </w:r>
          </w:p>
        </w:tc>
        <w:tc>
          <w:tcPr>
            <w:tcW w:w="6200" w:type="dxa"/>
            <w:vAlign w:val="bottom"/>
            <w:gridSpan w:val="3"/>
          </w:tcPr>
          <w:p>
            <w:pPr>
              <w:jc w:val="center"/>
              <w:ind w:left="652"/>
              <w:spacing w:after="0"/>
              <w:rPr>
                <w:sz w:val="20"/>
                <w:szCs w:val="20"/>
                <w:color w:val="auto"/>
              </w:rPr>
            </w:pPr>
            <w:r>
              <w:rPr>
                <w:rFonts w:ascii="Arial" w:cs="Arial" w:eastAsia="Arial" w:hAnsi="Arial"/>
                <w:sz w:val="18"/>
                <w:szCs w:val="18"/>
                <w:i w:val="1"/>
                <w:iCs w:val="1"/>
                <w:color w:val="auto"/>
                <w:w w:val="90"/>
              </w:rPr>
              <w:t>Chief Executive Officer, President and Director (principal executive officer)</w:t>
            </w:r>
          </w:p>
        </w:tc>
      </w:tr>
      <w:tr>
        <w:trPr>
          <w:trHeight w:val="434"/>
        </w:trPr>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5"/>
              </w:rPr>
              <w:t>KIMBERLY K. NELSON</w:t>
            </w:r>
          </w:p>
        </w:tc>
        <w:tc>
          <w:tcPr>
            <w:tcW w:w="6200" w:type="dxa"/>
            <w:vAlign w:val="bottom"/>
            <w:gridSpan w:val="3"/>
          </w:tcPr>
          <w:p>
            <w:pPr>
              <w:jc w:val="center"/>
              <w:ind w:left="652"/>
              <w:spacing w:after="0"/>
              <w:rPr>
                <w:sz w:val="20"/>
                <w:szCs w:val="20"/>
                <w:color w:val="auto"/>
              </w:rPr>
            </w:pPr>
            <w:r>
              <w:rPr>
                <w:rFonts w:ascii="Arial" w:cs="Arial" w:eastAsia="Arial" w:hAnsi="Arial"/>
                <w:sz w:val="18"/>
                <w:szCs w:val="18"/>
                <w:i w:val="1"/>
                <w:iCs w:val="1"/>
                <w:color w:val="auto"/>
                <w:w w:val="90"/>
              </w:rPr>
              <w:t>Executive Vice President and Chief Financial Officer (principal financial and</w:t>
            </w:r>
          </w:p>
        </w:tc>
      </w:tr>
      <w:tr>
        <w:trPr>
          <w:trHeight w:val="221"/>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3"/>
          </w:tcPr>
          <w:p>
            <w:pPr>
              <w:jc w:val="center"/>
              <w:ind w:right="1660"/>
              <w:spacing w:after="0"/>
              <w:rPr>
                <w:sz w:val="20"/>
                <w:szCs w:val="20"/>
                <w:color w:val="auto"/>
              </w:rPr>
            </w:pPr>
            <w:r>
              <w:rPr>
                <w:rFonts w:ascii="Arial" w:cs="Arial" w:eastAsia="Arial" w:hAnsi="Arial"/>
                <w:sz w:val="18"/>
                <w:szCs w:val="18"/>
                <w:color w:val="auto"/>
                <w:w w:val="94"/>
              </w:rPr>
              <w:t>Kimberly K. Nelson</w:t>
            </w:r>
          </w:p>
        </w:tc>
        <w:tc>
          <w:tcPr>
            <w:tcW w:w="6200" w:type="dxa"/>
            <w:vAlign w:val="bottom"/>
            <w:gridSpan w:val="3"/>
          </w:tcPr>
          <w:p>
            <w:pPr>
              <w:jc w:val="center"/>
              <w:ind w:left="652"/>
              <w:spacing w:after="0"/>
              <w:rPr>
                <w:sz w:val="20"/>
                <w:szCs w:val="20"/>
                <w:color w:val="auto"/>
              </w:rPr>
            </w:pPr>
            <w:r>
              <w:rPr>
                <w:rFonts w:ascii="Arial" w:cs="Arial" w:eastAsia="Arial" w:hAnsi="Arial"/>
                <w:sz w:val="18"/>
                <w:szCs w:val="18"/>
                <w:i w:val="1"/>
                <w:iCs w:val="1"/>
                <w:color w:val="auto"/>
                <w:w w:val="91"/>
              </w:rPr>
              <w:t>accounting officer)</w:t>
            </w:r>
          </w:p>
        </w:tc>
      </w:tr>
      <w:tr>
        <w:trPr>
          <w:trHeight w:val="433"/>
        </w:trPr>
        <w:tc>
          <w:tcPr>
            <w:tcW w:w="15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6"/>
              </w:rPr>
              <w:t>DANIEL R. FISHBACK</w:t>
            </w:r>
          </w:p>
        </w:tc>
        <w:tc>
          <w:tcPr>
            <w:tcW w:w="6200" w:type="dxa"/>
            <w:vAlign w:val="bottom"/>
            <w:gridSpan w:val="3"/>
          </w:tcPr>
          <w:p>
            <w:pPr>
              <w:jc w:val="center"/>
              <w:ind w:left="672"/>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jc w:val="center"/>
              <w:ind w:right="1660"/>
              <w:spacing w:after="0"/>
              <w:rPr>
                <w:sz w:val="20"/>
                <w:szCs w:val="20"/>
                <w:color w:val="auto"/>
              </w:rPr>
            </w:pPr>
            <w:r>
              <w:rPr>
                <w:rFonts w:ascii="Arial" w:cs="Arial" w:eastAsia="Arial" w:hAnsi="Arial"/>
                <w:sz w:val="18"/>
                <w:szCs w:val="18"/>
                <w:color w:val="auto"/>
                <w:w w:val="90"/>
              </w:rPr>
              <w:t>Daniel R. Fishback</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38"/>
        </w:trPr>
        <w:tc>
          <w:tcPr>
            <w:tcW w:w="15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color w:val="auto"/>
                <w:w w:val="96"/>
              </w:rPr>
              <w:t>MICHAEL B. GORMAN</w:t>
            </w:r>
          </w:p>
        </w:tc>
        <w:tc>
          <w:tcPr>
            <w:tcW w:w="6200" w:type="dxa"/>
            <w:vAlign w:val="bottom"/>
            <w:gridSpan w:val="3"/>
          </w:tcPr>
          <w:p>
            <w:pPr>
              <w:jc w:val="center"/>
              <w:ind w:left="672"/>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jc w:val="center"/>
              <w:ind w:right="1660"/>
              <w:spacing w:after="0"/>
              <w:rPr>
                <w:sz w:val="20"/>
                <w:szCs w:val="20"/>
                <w:color w:val="auto"/>
              </w:rPr>
            </w:pPr>
            <w:r>
              <w:rPr>
                <w:rFonts w:ascii="Arial" w:cs="Arial" w:eastAsia="Arial" w:hAnsi="Arial"/>
                <w:sz w:val="18"/>
                <w:szCs w:val="18"/>
                <w:color w:val="auto"/>
                <w:w w:val="90"/>
              </w:rPr>
              <w:t>Michael B. Gorman</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38"/>
        </w:trPr>
        <w:tc>
          <w:tcPr>
            <w:tcW w:w="15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73"/>
              </w:rPr>
              <w:t>/s/</w:t>
            </w: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4"/>
              </w:rPr>
              <w:t>MARTIN J. LEESTMA</w:t>
            </w:r>
          </w:p>
        </w:tc>
        <w:tc>
          <w:tcPr>
            <w:tcW w:w="6200" w:type="dxa"/>
            <w:vAlign w:val="bottom"/>
            <w:gridSpan w:val="3"/>
          </w:tcPr>
          <w:p>
            <w:pPr>
              <w:jc w:val="center"/>
              <w:ind w:left="672"/>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Martin J. Leestma</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38"/>
        </w:trPr>
        <w:tc>
          <w:tcPr>
            <w:tcW w:w="166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w w:val="83"/>
              </w:rPr>
              <w:t>/s/</w:t>
            </w:r>
          </w:p>
        </w:tc>
        <w:tc>
          <w:tcPr>
            <w:tcW w:w="338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3"/>
              </w:rPr>
              <w:t>PHILIP E. SORAN</w:t>
            </w:r>
          </w:p>
        </w:tc>
        <w:tc>
          <w:tcPr>
            <w:tcW w:w="6200" w:type="dxa"/>
            <w:vAlign w:val="bottom"/>
            <w:gridSpan w:val="3"/>
          </w:tcPr>
          <w:p>
            <w:pPr>
              <w:jc w:val="center"/>
              <w:ind w:left="672"/>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2"/>
          </w:tcPr>
          <w:p>
            <w:pPr>
              <w:jc w:val="center"/>
              <w:ind w:right="1880"/>
              <w:spacing w:after="0"/>
              <w:rPr>
                <w:sz w:val="20"/>
                <w:szCs w:val="20"/>
                <w:color w:val="auto"/>
              </w:rPr>
            </w:pPr>
            <w:r>
              <w:rPr>
                <w:rFonts w:ascii="Arial" w:cs="Arial" w:eastAsia="Arial" w:hAnsi="Arial"/>
                <w:sz w:val="18"/>
                <w:szCs w:val="18"/>
                <w:color w:val="auto"/>
                <w:w w:val="90"/>
              </w:rPr>
              <w:t>Philip E. Soran</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38"/>
        </w:trPr>
        <w:tc>
          <w:tcPr>
            <w:tcW w:w="15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1"/>
              </w:rPr>
              <w:t>GEORGE H. SPENCER, III</w:t>
            </w:r>
          </w:p>
        </w:tc>
        <w:tc>
          <w:tcPr>
            <w:tcW w:w="6200" w:type="dxa"/>
            <w:vAlign w:val="bottom"/>
            <w:gridSpan w:val="3"/>
          </w:tcPr>
          <w:p>
            <w:pPr>
              <w:jc w:val="center"/>
              <w:ind w:left="672"/>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jc w:val="center"/>
              <w:ind w:right="1660"/>
              <w:spacing w:after="0"/>
              <w:rPr>
                <w:sz w:val="20"/>
                <w:szCs w:val="20"/>
                <w:color w:val="auto"/>
              </w:rPr>
            </w:pPr>
            <w:r>
              <w:rPr>
                <w:rFonts w:ascii="Arial" w:cs="Arial" w:eastAsia="Arial" w:hAnsi="Arial"/>
                <w:sz w:val="18"/>
                <w:szCs w:val="18"/>
                <w:color w:val="auto"/>
                <w:w w:val="88"/>
              </w:rPr>
              <w:t>George H. Spencer, III</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438"/>
        </w:trPr>
        <w:tc>
          <w:tcPr>
            <w:tcW w:w="15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73"/>
              </w:rPr>
              <w:t>/s/</w:t>
            </w: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4"/>
              </w:rPr>
              <w:t>SVEN A. WEHRWEIN</w:t>
            </w:r>
          </w:p>
        </w:tc>
        <w:tc>
          <w:tcPr>
            <w:tcW w:w="6200" w:type="dxa"/>
            <w:vAlign w:val="bottom"/>
            <w:gridSpan w:val="3"/>
          </w:tcPr>
          <w:p>
            <w:pPr>
              <w:jc w:val="center"/>
              <w:ind w:left="672"/>
              <w:spacing w:after="0"/>
              <w:rPr>
                <w:sz w:val="20"/>
                <w:szCs w:val="20"/>
                <w:color w:val="auto"/>
              </w:rPr>
            </w:pPr>
            <w:r>
              <w:rPr>
                <w:rFonts w:ascii="Arial" w:cs="Arial" w:eastAsia="Arial" w:hAnsi="Arial"/>
                <w:sz w:val="18"/>
                <w:szCs w:val="18"/>
                <w:i w:val="1"/>
                <w:iCs w:val="1"/>
                <w:color w:val="auto"/>
                <w:w w:val="95"/>
              </w:rPr>
              <w:t>Director</w:t>
            </w:r>
          </w:p>
        </w:tc>
      </w:tr>
      <w:tr>
        <w:trPr>
          <w:trHeight w:val="217"/>
        </w:trPr>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Sven A. Wehrwein</w:t>
            </w: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370"/>
        </w:trPr>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340" w:type="dxa"/>
            <w:vAlign w:val="bottom"/>
          </w:tcPr>
          <w:p>
            <w:pPr>
              <w:jc w:val="right"/>
              <w:ind w:right="2492"/>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2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2"/>
              </w:rPr>
              <w:t>File</w:t>
            </w:r>
          </w:p>
        </w:tc>
        <w:tc>
          <w:tcPr>
            <w:tcW w:w="340" w:type="dxa"/>
            <w:vAlign w:val="bottom"/>
          </w:tcPr>
          <w:p>
            <w:pPr>
              <w:spacing w:after="0"/>
              <w:rPr>
                <w:sz w:val="11"/>
                <w:szCs w:val="11"/>
                <w:color w:val="auto"/>
              </w:rPr>
            </w:pPr>
          </w:p>
        </w:tc>
        <w:tc>
          <w:tcPr>
            <w:tcW w:w="8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Date 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First</w:t>
            </w:r>
          </w:p>
        </w:tc>
        <w:tc>
          <w:tcPr>
            <w:tcW w:w="22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Exhibit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500" w:type="dxa"/>
            <w:vAlign w:val="bottom"/>
          </w:tcPr>
          <w:p>
            <w:pPr>
              <w:spacing w:after="0"/>
              <w:rPr>
                <w:sz w:val="14"/>
                <w:szCs w:val="14"/>
                <w:color w:val="auto"/>
              </w:rPr>
            </w:pPr>
          </w:p>
        </w:tc>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Exhibit Description</w:t>
            </w: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Form</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16"/>
        </w:trPr>
        <w:tc>
          <w:tcPr>
            <w:tcW w:w="600" w:type="dxa"/>
            <w:vAlign w:val="bottom"/>
            <w:gridSpan w:val="2"/>
          </w:tcPr>
          <w:p>
            <w:pPr>
              <w:spacing w:after="0"/>
              <w:rPr>
                <w:sz w:val="20"/>
                <w:szCs w:val="20"/>
                <w:color w:val="auto"/>
              </w:rPr>
            </w:pPr>
            <w:r>
              <w:rPr>
                <w:rFonts w:ascii="Arial" w:cs="Arial" w:eastAsia="Arial" w:hAnsi="Arial"/>
                <w:sz w:val="18"/>
                <w:szCs w:val="18"/>
                <w:color w:val="auto"/>
              </w:rPr>
              <w:t>2.1</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1"/>
              </w:rPr>
              <w:t>Asset Purchase Agreement, dated as of May 17, 2011, by and between</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8-K</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05/23/2011</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Direct EDI LLC and the registrant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3.1</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Amended and Restated Certificate of Incorporation</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04/13/2010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3.2</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Amended and Restated Bylaws</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4.1</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Registration Rights Agreement, as amended</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8-K</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05/06/2011</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10.1</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1999 Equity Incentive Plan**</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10.2</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Form of Option Agreement under 1999 Equity Incentive Plan**</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10.3</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2001 Stock Option Plan**</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10.4</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5"/>
              </w:rPr>
              <w:t>Form of Incentive Stock Option Agreement under 2001 Stock Option</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Plan**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10.5</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4"/>
              </w:rPr>
              <w:t>Form of Non-Statutory Stock Option Agreement (Director) under 2001</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Stock Option Plan**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10.6</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2010 Equity Incentive Plan**</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03/05/2010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10.7</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1"/>
              </w:rPr>
              <w:t>Form of Incentive Stock Option Agreement under 2010 Equity Incentive</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8-K</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Plan**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10.8</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1"/>
              </w:rPr>
              <w:t>Form of Non-Statutory Stock Option Agreement (Employee) under 2010</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8-K</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Equity Incentive Plan**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10.9</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4"/>
              </w:rPr>
              <w:t>Form of Non-Statutory Stock Option Agreement (Director) under 2010</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8-K</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Equity Incentive Plan**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10.10</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7"/>
              </w:rPr>
              <w:t>Form of Restricted Stock Unit Award Agreement under 2010 Equity</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8-K</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001-34702</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02/17/2012</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Incentive Plan**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10.11</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6"/>
              </w:rPr>
              <w:t>2002 Management Incentive Agreement between the Company and</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Archie C. Black**</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10.12</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6"/>
              </w:rPr>
              <w:t>2002 Management Incentive Agreement between the Company and</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James J. Frome**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00" w:type="dxa"/>
            <w:vAlign w:val="bottom"/>
            <w:gridSpan w:val="2"/>
          </w:tcPr>
          <w:p>
            <w:pPr>
              <w:spacing w:after="0"/>
              <w:rPr>
                <w:sz w:val="20"/>
                <w:szCs w:val="20"/>
                <w:color w:val="auto"/>
              </w:rPr>
            </w:pPr>
            <w:r>
              <w:rPr>
                <w:rFonts w:ascii="Arial" w:cs="Arial" w:eastAsia="Arial" w:hAnsi="Arial"/>
                <w:sz w:val="18"/>
                <w:szCs w:val="18"/>
                <w:color w:val="auto"/>
              </w:rPr>
              <w:t>10.13</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Non-Employee Director Compensation Policy**</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02/12/2010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10.14</w:t>
            </w: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w w:val="99"/>
              </w:rPr>
              <w:t>Form of Indemnification Agreement for Steve A. Cobb, Michael B.</w:t>
            </w:r>
          </w:p>
        </w:tc>
        <w:tc>
          <w:tcPr>
            <w:tcW w:w="780" w:type="dxa"/>
            <w:vAlign w:val="bottom"/>
            <w:gridSpan w:val="4"/>
          </w:tcPr>
          <w:p>
            <w:pPr>
              <w:ind w:left="120"/>
              <w:spacing w:after="0"/>
              <w:rPr>
                <w:sz w:val="20"/>
                <w:szCs w:val="20"/>
                <w:color w:val="auto"/>
              </w:rPr>
            </w:pPr>
            <w:r>
              <w:rPr>
                <w:rFonts w:ascii="Arial" w:cs="Arial" w:eastAsia="Arial" w:hAnsi="Arial"/>
                <w:sz w:val="18"/>
                <w:szCs w:val="18"/>
                <w:color w:val="auto"/>
              </w:rPr>
              <w:t>S-1/A</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333-163476</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01/11/2010</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10.17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760" w:type="dxa"/>
            <w:vAlign w:val="bottom"/>
            <w:gridSpan w:val="3"/>
          </w:tcPr>
          <w:p>
            <w:pPr>
              <w:ind w:left="520"/>
              <w:spacing w:after="0"/>
              <w:rPr>
                <w:sz w:val="20"/>
                <w:szCs w:val="20"/>
                <w:color w:val="auto"/>
              </w:rPr>
            </w:pPr>
            <w:r>
              <w:rPr>
                <w:rFonts w:ascii="Arial" w:cs="Arial" w:eastAsia="Arial" w:hAnsi="Arial"/>
                <w:sz w:val="18"/>
                <w:szCs w:val="18"/>
                <w:color w:val="auto"/>
              </w:rPr>
              <w:t>Gorman, and George H. Spencer, III</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760" w:type="dxa"/>
            <w:vAlign w:val="bottom"/>
            <w:gridSpan w:val="3"/>
          </w:tcPr>
          <w:p>
            <w:pPr>
              <w:ind w:left="50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2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2780" w:type="dxa"/>
            <w:vAlign w:val="bottom"/>
          </w:tcPr>
          <w:p>
            <w:pPr>
              <w:spacing w:after="0"/>
              <w:rPr>
                <w:sz w:val="14"/>
                <w:szCs w:val="14"/>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 Description</w:t>
            </w:r>
          </w:p>
        </w:tc>
        <w:tc>
          <w:tcPr>
            <w:tcW w:w="2200" w:type="dxa"/>
            <w:vAlign w:val="bottom"/>
          </w:tcPr>
          <w:p>
            <w:pPr>
              <w:spacing w:after="0"/>
              <w:rPr>
                <w:sz w:val="14"/>
                <w:szCs w:val="14"/>
                <w:color w:val="auto"/>
              </w:rPr>
            </w:pPr>
          </w:p>
        </w:tc>
      </w:tr>
      <w:tr>
        <w:trPr>
          <w:trHeight w:val="316"/>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90"/>
              </w:rPr>
              <w:t>Form of Indemnification Agreement for Martin J. Leestma, Philip E. Soran and</w:t>
            </w: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Sven A. Wehrwein</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Form of Indemnification Agreement for Archie C. Black**</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Employment Agreement between the Company and Archie C. Black**</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98"/>
              </w:rPr>
              <w:t>Form of At-will Confidentiality Agreement Regarding Certain Terms and</w:t>
            </w: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89"/>
              </w:rPr>
              <w:t>Conditions of Employment for Kimberly K. Nelson, James J. Frome, Michael J.</w:t>
            </w: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Gray and David J. Novak, Jr.**</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88"/>
              </w:rPr>
              <w:t>Revolving Credit Agreement, dated as of September 30, 2011, by and between</w:t>
            </w: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the registrant and JPMorgan Chase Bank, N.A.</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86"/>
              </w:rPr>
              <w:t>Standard Form Office Lease, dated as of February 14, 2012, by and between the</w:t>
            </w: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registrant and CSDV-MN Limited Partnership</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Power of Attorney (included on signature page)</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31.1</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91"/>
              </w:rPr>
              <w:t>Certification of Principal Executive Officer pursuant to Rules 13a-14(a) under</w:t>
            </w: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the Securities Exchange Act of 1934, as amended</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31.2</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92"/>
              </w:rPr>
              <w:t>Certification of Principal Financial Officer pursuant to Rules 13a-14(a) under</w:t>
            </w: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the Securities Exchange Act of 1934, as amended</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32.1</w:t>
            </w: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91"/>
              </w:rPr>
              <w:t>Certification of Chief Executive Officer and Chief Financial Officer pursuant to</w:t>
            </w:r>
          </w:p>
        </w:tc>
      </w:tr>
      <w:tr>
        <w:trPr>
          <w:trHeight w:val="216"/>
        </w:trPr>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w w:val="87"/>
              </w:rPr>
              <w:t>18 U.S.C. Sec. 1350, as adopted pursuant to Section 906 of the Sarbanes-Oxley</w:t>
            </w:r>
          </w:p>
        </w:tc>
      </w:tr>
      <w:tr>
        <w:trPr>
          <w:trHeight w:val="222"/>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60" w:type="dxa"/>
            <w:vAlign w:val="bottom"/>
            <w:gridSpan w:val="3"/>
          </w:tcPr>
          <w:p>
            <w:pPr>
              <w:ind w:left="54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right="1280" w:firstLine="8"/>
        <w:spacing w:after="0" w:line="475" w:lineRule="auto"/>
        <w:tabs>
          <w:tab w:leader="none" w:pos="11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File</w:t>
            </w:r>
          </w:p>
        </w:tc>
        <w:tc>
          <w:tcPr>
            <w:tcW w:w="340" w:type="dxa"/>
            <w:vAlign w:val="bottom"/>
          </w:tcPr>
          <w:p>
            <w:pPr>
              <w:spacing w:after="0"/>
              <w:rPr>
                <w:sz w:val="11"/>
                <w:szCs w:val="11"/>
                <w:color w:val="auto"/>
              </w:rPr>
            </w:pPr>
          </w:p>
        </w:tc>
        <w:tc>
          <w:tcPr>
            <w:tcW w:w="9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8"/>
              </w:rPr>
              <w:t>Date of</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2"/>
              </w:rPr>
              <w:t>First</w:t>
            </w:r>
          </w:p>
        </w:tc>
        <w:tc>
          <w:tcPr>
            <w:tcW w:w="520" w:type="dxa"/>
            <w:vAlign w:val="bottom"/>
          </w:tcPr>
          <w:p>
            <w:pPr>
              <w:ind w:left="60"/>
              <w:spacing w:after="0" w:line="135" w:lineRule="exact"/>
              <w:rPr>
                <w:sz w:val="20"/>
                <w:szCs w:val="20"/>
                <w:color w:val="auto"/>
              </w:rPr>
            </w:pPr>
            <w:r>
              <w:rPr>
                <w:rFonts w:ascii="Arial" w:cs="Arial" w:eastAsia="Arial" w:hAnsi="Arial"/>
                <w:sz w:val="14"/>
                <w:szCs w:val="14"/>
                <w:b w:val="1"/>
                <w:bCs w:val="1"/>
                <w:color w:val="auto"/>
                <w:w w:val="94"/>
              </w:rPr>
              <w:t>Exhibit</w:t>
            </w:r>
          </w:p>
        </w:tc>
        <w:tc>
          <w:tcPr>
            <w:tcW w:w="2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Filed</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Form</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Number</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Filing</w:t>
            </w:r>
          </w:p>
        </w:tc>
        <w:tc>
          <w:tcPr>
            <w:tcW w:w="52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322"/>
        </w:trPr>
        <w:tc>
          <w:tcPr>
            <w:tcW w:w="560" w:type="dxa"/>
            <w:vAlign w:val="bottom"/>
            <w:gridSpan w:val="3"/>
          </w:tcPr>
          <w:p>
            <w:pPr>
              <w:spacing w:after="0"/>
              <w:rPr>
                <w:sz w:val="20"/>
                <w:szCs w:val="20"/>
                <w:color w:val="auto"/>
              </w:rPr>
            </w:pPr>
            <w:r>
              <w:rPr>
                <w:rFonts w:ascii="Arial" w:cs="Arial" w:eastAsia="Arial" w:hAnsi="Arial"/>
                <w:sz w:val="18"/>
                <w:szCs w:val="18"/>
                <w:color w:val="auto"/>
              </w:rPr>
              <w:t>S-1/A</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333-163476</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01/11/2010</w:t>
            </w:r>
          </w:p>
        </w:tc>
        <w:tc>
          <w:tcPr>
            <w:tcW w:w="520" w:type="dxa"/>
            <w:vAlign w:val="bottom"/>
          </w:tcPr>
          <w:p>
            <w:pPr>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 w:type="dxa"/>
            <w:vAlign w:val="bottom"/>
            <w:gridSpan w:val="3"/>
          </w:tcPr>
          <w:p>
            <w:pPr>
              <w:spacing w:after="0"/>
              <w:rPr>
                <w:sz w:val="20"/>
                <w:szCs w:val="20"/>
                <w:color w:val="auto"/>
              </w:rPr>
            </w:pPr>
            <w:r>
              <w:rPr>
                <w:rFonts w:ascii="Arial" w:cs="Arial" w:eastAsia="Arial" w:hAnsi="Arial"/>
                <w:sz w:val="18"/>
                <w:szCs w:val="18"/>
                <w:color w:val="auto"/>
              </w:rPr>
              <w:t>S-1/A</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333-163476</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01/11/2010</w:t>
            </w:r>
          </w:p>
        </w:tc>
        <w:tc>
          <w:tcPr>
            <w:tcW w:w="520" w:type="dxa"/>
            <w:vAlign w:val="bottom"/>
          </w:tcPr>
          <w:p>
            <w:pPr>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gridSpan w:val="3"/>
          </w:tcPr>
          <w:p>
            <w:pPr>
              <w:spacing w:after="0"/>
              <w:rPr>
                <w:sz w:val="20"/>
                <w:szCs w:val="20"/>
                <w:color w:val="auto"/>
              </w:rPr>
            </w:pPr>
            <w:r>
              <w:rPr>
                <w:rFonts w:ascii="Arial" w:cs="Arial" w:eastAsia="Arial" w:hAnsi="Arial"/>
                <w:sz w:val="18"/>
                <w:szCs w:val="18"/>
                <w:color w:val="auto"/>
              </w:rPr>
              <w:t>S-1/A</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333-163476</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03/05/2010</w:t>
            </w:r>
          </w:p>
        </w:tc>
        <w:tc>
          <w:tcPr>
            <w:tcW w:w="520" w:type="dxa"/>
            <w:vAlign w:val="bottom"/>
          </w:tcPr>
          <w:p>
            <w:pPr>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gridSpan w:val="3"/>
          </w:tcPr>
          <w:p>
            <w:pPr>
              <w:spacing w:after="0"/>
              <w:rPr>
                <w:sz w:val="20"/>
                <w:szCs w:val="20"/>
                <w:color w:val="auto"/>
              </w:rPr>
            </w:pPr>
            <w:r>
              <w:rPr>
                <w:rFonts w:ascii="Arial" w:cs="Arial" w:eastAsia="Arial" w:hAnsi="Arial"/>
                <w:sz w:val="18"/>
                <w:szCs w:val="18"/>
                <w:color w:val="auto"/>
              </w:rPr>
              <w:t>S-1/A</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333-163476</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03/05/2010</w:t>
            </w:r>
          </w:p>
        </w:tc>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60" w:type="dxa"/>
            <w:vAlign w:val="bottom"/>
            <w:gridSpan w:val="3"/>
          </w:tcPr>
          <w:p>
            <w:pPr>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001-34702</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10/03/2011</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 w:type="dxa"/>
            <w:vAlign w:val="bottom"/>
            <w:gridSpan w:val="3"/>
          </w:tcPr>
          <w:p>
            <w:pPr>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001-34702</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02/17/2012</w:t>
            </w:r>
          </w:p>
        </w:tc>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740" w:space="260"/>
            <w:col w:w="4320"/>
          </w:cols>
          <w:pgMar w:left="240" w:top="459"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List of SPS Commerce, Inc. Subsidiaries</w:t>
      </w:r>
    </w:p>
    <w:p>
      <w:pPr>
        <w:spacing w:after="0" w:line="177"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SPS Commerce International, Inc. (Delaware)</w:t>
      </w:r>
    </w:p>
    <w:p>
      <w:pPr>
        <w:spacing w:after="0" w:line="15"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SPS Commerce Hong Kong Limited (Hong Kong)</w:t>
      </w:r>
    </w:p>
    <w:p>
      <w:pPr>
        <w:sectPr>
          <w:pgSz w:w="11900" w:h="16838" w:orient="portrait"/>
          <w:cols w:equalWidth="0" w:num="1">
            <w:col w:w="10220"/>
          </w:cols>
          <w:pgMar w:left="1440" w:top="125"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have issued our reports dated March 9, 2012, with respect to the consolidated financial statements included in the Annual Report of SPS Commerce, Inc. on Form 10-K for the year ended December 31, 2011. We hereby consent to the incorporation by reference of said reports in the Registration Statements of SPS Commerce, Inc. on Form S-3 (File No. 333-174026, effective June 7, 2011) and on Forms S-8 (File No. 333-179236, effective January 27, 2012, File No. 333-172073, effective February 4, 2011 and File Nos. 333-167315 and 333-167314, effective June 4, 2010).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right="2400" w:firstLine="2391"/>
        <w:spacing w:after="0" w:line="394"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p>
      <w:pPr>
        <w:sectPr>
          <w:pgSz w:w="11900" w:h="16838" w:orient="portrait"/>
          <w:cols w:equalWidth="0" w:num="1">
            <w:col w:w="11420"/>
          </w:cols>
          <w:pgMar w:left="240" w:top="12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Annual Report on Form 10-K of SPS Commerce, Inc. (the “Company”) for the period ended December 31, 2011,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March 9,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1)"/>
      <w:numFmt w:val="decimal"/>
      <w:start w:val="5"/>
    </w:lvl>
  </w:abstractNum>
  <w:abstractNum w:abstractNumId="19">
    <w:nsid w:val="B03E0C6"/>
    <w:multiLevelType w:val="hybridMultilevel"/>
    <w:lvl w:ilvl="0">
      <w:lvlJc w:val="left"/>
      <w:lvlText w:val="(%1)"/>
      <w:numFmt w:val="decimal"/>
      <w:start w:val="6"/>
    </w:lvl>
  </w:abstractNum>
  <w:abstractNum w:abstractNumId="20">
    <w:nsid w:val="189A769B"/>
    <w:multiLevelType w:val="hybridMultilevel"/>
    <w:lvl w:ilvl="0">
      <w:lvlJc w:val="left"/>
      <w:lvlText w:val="(%1)"/>
      <w:numFmt w:val="decimal"/>
      <w:start w:val="7"/>
    </w:lvl>
  </w:abstractNum>
  <w:abstractNum w:abstractNumId="21">
    <w:nsid w:val="54E49EB4"/>
    <w:multiLevelType w:val="hybridMultilevel"/>
    <w:lvl w:ilvl="0">
      <w:lvlJc w:val="left"/>
      <w:lvlText w:val="(%1)"/>
      <w:numFmt w:val="decimal"/>
      <w:start w:val="2"/>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10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2019-12-09T13:36:48Z</dcterms:created>
  <dcterms:modified xsi:type="dcterms:W3CDTF">2019-12-09T13:36:48Z</dcterms:modified>
</cp:coreProperties>
</file>