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2978785</wp:posOffset>
            </wp:positionH>
            <wp:positionV relativeFrom="paragraph">
              <wp:posOffset>130810</wp:posOffset>
            </wp:positionV>
            <wp:extent cx="130746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7465" cy="215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2978785</wp:posOffset>
            </wp:positionH>
            <wp:positionV relativeFrom="paragraph">
              <wp:posOffset>146050</wp:posOffset>
            </wp:positionV>
            <wp:extent cx="130746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07465" cy="215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27,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2978785</wp:posOffset>
            </wp:positionH>
            <wp:positionV relativeFrom="paragraph">
              <wp:posOffset>304165</wp:posOffset>
            </wp:positionV>
            <wp:extent cx="130746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746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SPS COMMERCE, INC.</w:t>
      </w:r>
    </w:p>
    <w:p>
      <w:pPr>
        <w:spacing w:after="0" w:line="23"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ind w:left="1480"/>
        <w:spacing w:after="0"/>
        <w:tabs>
          <w:tab w:leader="none" w:pos="5420" w:val="left"/>
          <w:tab w:leader="none" w:pos="926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001-34702</w:t>
      </w:r>
      <w:r>
        <w:rPr>
          <w:sz w:val="20"/>
          <w:szCs w:val="20"/>
          <w:color w:val="auto"/>
        </w:rPr>
        <w:tab/>
      </w:r>
      <w:r>
        <w:rPr>
          <w:rFonts w:ascii="Arial" w:cs="Arial" w:eastAsia="Arial" w:hAnsi="Arial"/>
          <w:sz w:val="15"/>
          <w:szCs w:val="15"/>
          <w:b w:val="1"/>
          <w:bCs w:val="1"/>
          <w:color w:val="auto"/>
        </w:rPr>
        <w:t>41-2015127</w:t>
      </w:r>
    </w:p>
    <w:p>
      <w:pPr>
        <w:spacing w:after="0" w:line="21" w:lineRule="exact"/>
        <w:rPr>
          <w:sz w:val="24"/>
          <w:szCs w:val="24"/>
          <w:color w:val="auto"/>
        </w:rPr>
      </w:pPr>
    </w:p>
    <w:p>
      <w:pPr>
        <w:ind w:left="920"/>
        <w:spacing w:after="0"/>
        <w:tabs>
          <w:tab w:leader="none" w:pos="4840" w:val="left"/>
          <w:tab w:leader="none" w:pos="8480" w:val="left"/>
        </w:tabs>
        <w:rPr>
          <w:sz w:val="20"/>
          <w:szCs w:val="20"/>
          <w:color w:val="auto"/>
        </w:rPr>
      </w:pPr>
      <w:r>
        <w:rPr>
          <w:rFonts w:ascii="Arial" w:cs="Arial" w:eastAsia="Arial" w:hAnsi="Arial"/>
          <w:sz w:val="18"/>
          <w:szCs w:val="18"/>
          <w:color w:val="auto"/>
        </w:rPr>
        <w:t>(State or other jurisdiction</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 No.)</w:t>
      </w:r>
    </w:p>
    <w:p>
      <w:pPr>
        <w:spacing w:after="0" w:line="9"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of incorporation)</w:t>
      </w:r>
    </w:p>
    <w:p>
      <w:pPr>
        <w:spacing w:after="0" w:line="200" w:lineRule="exact"/>
        <w:rPr>
          <w:sz w:val="24"/>
          <w:szCs w:val="24"/>
          <w:color w:val="auto"/>
        </w:rPr>
      </w:pPr>
    </w:p>
    <w:p>
      <w:pPr>
        <w:spacing w:after="0" w:line="283"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333 South Seventh Street, Suite 1000</w:t>
      </w:r>
    </w:p>
    <w:p>
      <w:pPr>
        <w:spacing w:after="0" w:line="21" w:lineRule="exact"/>
        <w:rPr>
          <w:sz w:val="24"/>
          <w:szCs w:val="24"/>
          <w:color w:val="auto"/>
        </w:rPr>
      </w:pPr>
    </w:p>
    <w:p>
      <w:pPr>
        <w:ind w:left="4220"/>
        <w:spacing w:after="0"/>
        <w:tabs>
          <w:tab w:leader="none" w:pos="8280" w:val="left"/>
        </w:tabs>
        <w:rPr>
          <w:sz w:val="20"/>
          <w:szCs w:val="20"/>
          <w:color w:val="auto"/>
        </w:rPr>
      </w:pPr>
      <w:r>
        <w:rPr>
          <w:rFonts w:ascii="Arial" w:cs="Arial" w:eastAsia="Arial" w:hAnsi="Arial"/>
          <w:sz w:val="18"/>
          <w:szCs w:val="18"/>
          <w:b w:val="1"/>
          <w:bCs w:val="1"/>
          <w:color w:val="auto"/>
        </w:rPr>
        <w:t>Minneapolis, MN</w:t>
      </w:r>
      <w:r>
        <w:rPr>
          <w:sz w:val="20"/>
          <w:szCs w:val="20"/>
          <w:color w:val="auto"/>
        </w:rPr>
        <w:tab/>
      </w:r>
      <w:r>
        <w:rPr>
          <w:rFonts w:ascii="Arial" w:cs="Arial" w:eastAsia="Arial" w:hAnsi="Arial"/>
          <w:sz w:val="15"/>
          <w:szCs w:val="15"/>
          <w:b w:val="1"/>
          <w:bCs w:val="1"/>
          <w:color w:val="auto"/>
        </w:rPr>
        <w:t>55402</w:t>
      </w:r>
    </w:p>
    <w:p>
      <w:pPr>
        <w:spacing w:after="0" w:line="9" w:lineRule="exact"/>
        <w:rPr>
          <w:sz w:val="24"/>
          <w:szCs w:val="24"/>
          <w:color w:val="auto"/>
        </w:rPr>
      </w:pPr>
    </w:p>
    <w:p>
      <w:pPr>
        <w:ind w:left="3480"/>
        <w:spacing w:after="0"/>
        <w:tabs>
          <w:tab w:leader="none" w:pos="812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40"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(612) 435-9400</w:t>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right="160"/>
        <w:spacing w:after="0" w:line="25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ind w:left="760" w:hanging="185"/>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9" w:lineRule="exact"/>
        <w:rPr>
          <w:rFonts w:ascii="Arial" w:cs="Arial" w:eastAsia="Arial" w:hAnsi="Arial"/>
          <w:sz w:val="18"/>
          <w:szCs w:val="18"/>
          <w:color w:val="auto"/>
        </w:rPr>
      </w:pPr>
    </w:p>
    <w:p>
      <w:pPr>
        <w:ind w:left="760" w:hanging="185"/>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760" w:hanging="185"/>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760" w:hanging="185"/>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2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1" w:lineRule="exact"/>
        <w:rPr>
          <w:sz w:val="24"/>
          <w:szCs w:val="24"/>
          <w:color w:val="auto"/>
        </w:rPr>
      </w:pPr>
    </w:p>
    <w:p>
      <w:pPr>
        <w:jc w:val="both"/>
        <w:ind w:right="140"/>
        <w:spacing w:after="0" w:line="255" w:lineRule="auto"/>
        <w:rPr>
          <w:sz w:val="20"/>
          <w:szCs w:val="20"/>
          <w:color w:val="auto"/>
        </w:rPr>
      </w:pPr>
      <w:r>
        <w:rPr>
          <w:rFonts w:ascii="Arial" w:cs="Arial" w:eastAsia="Arial" w:hAnsi="Arial"/>
          <w:sz w:val="18"/>
          <w:szCs w:val="18"/>
          <w:color w:val="auto"/>
        </w:rPr>
        <w:t>On October 27, 2011 we issued a press release disclosing our results of operations and financial condition for our third quarter ended September 30, 2011. In accordance with General Instruction B.2 of Form 8-K, the information in this Current Report on Form 8-K, including Exhibit 99.1, shall not be deemed to be "filed" for purposes of Section 18 of the Securities Exchange Act of 1934 or otherwise subject to the liability of that section, and shall not be incorporated by reference into any registration statement or other document filed under the Securities Act of 1933 or the Securities Exchange Act of 1934, except as shall be expressly set forth by specific reference in that filing.</w:t>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0" w:lineRule="exact"/>
        <w:rPr>
          <w:sz w:val="24"/>
          <w:szCs w:val="24"/>
          <w:color w:val="auto"/>
        </w:rPr>
      </w:pPr>
    </w:p>
    <w:p>
      <w:pPr>
        <w:ind w:left="240" w:hanging="232"/>
        <w:spacing w:after="0"/>
        <w:tabs>
          <w:tab w:leader="none" w:pos="24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Exhibits</w:t>
      </w:r>
    </w:p>
    <w:p>
      <w:pPr>
        <w:spacing w:after="0" w:line="235" w:lineRule="exact"/>
        <w:rPr>
          <w:sz w:val="24"/>
          <w:szCs w:val="24"/>
          <w:color w:val="auto"/>
        </w:rPr>
      </w:pPr>
    </w:p>
    <w:p>
      <w:pPr>
        <w:spacing w:after="0"/>
        <w:rPr>
          <w:sz w:val="20"/>
          <w:szCs w:val="20"/>
          <w:color w:val="auto"/>
        </w:rPr>
      </w:pPr>
      <w:r>
        <w:rPr>
          <w:rFonts w:ascii="Arial" w:cs="Arial" w:eastAsia="Arial" w:hAnsi="Arial"/>
          <w:sz w:val="16"/>
          <w:szCs w:val="16"/>
          <w:color w:val="auto"/>
        </w:rPr>
        <w:t>99 Press Release dated October 27,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4"/>
          <w:szCs w:val="24"/>
          <w:color w:val="auto"/>
        </w:rPr>
      </w:pPr>
    </w:p>
    <w:p>
      <w:pPr>
        <w:ind w:firstLine="17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820" w:type="dxa"/>
            <w:vAlign w:val="bottom"/>
          </w:tcPr>
          <w:p>
            <w:pPr>
              <w:spacing w:after="0"/>
              <w:rPr>
                <w:sz w:val="19"/>
                <w:szCs w:val="19"/>
                <w:color w:val="auto"/>
              </w:rPr>
            </w:pPr>
          </w:p>
        </w:tc>
        <w:tc>
          <w:tcPr>
            <w:tcW w:w="6320" w:type="dxa"/>
            <w:vAlign w:val="bottom"/>
            <w:gridSpan w:val="3"/>
          </w:tcPr>
          <w:p>
            <w:pPr>
              <w:ind w:left="2180"/>
              <w:spacing w:after="0"/>
              <w:rPr>
                <w:sz w:val="20"/>
                <w:szCs w:val="20"/>
                <w:color w:val="auto"/>
              </w:rPr>
            </w:pPr>
            <w:r>
              <w:rPr>
                <w:rFonts w:ascii="Arial" w:cs="Arial" w:eastAsia="Arial" w:hAnsi="Arial"/>
                <w:sz w:val="18"/>
                <w:szCs w:val="18"/>
                <w:b w:val="1"/>
                <w:bCs w:val="1"/>
                <w:color w:val="auto"/>
              </w:rPr>
              <w:t>SPS COMMERCE, INC.</w:t>
            </w:r>
          </w:p>
        </w:tc>
      </w:tr>
      <w:tr>
        <w:trPr>
          <w:trHeight w:val="610"/>
        </w:trPr>
        <w:tc>
          <w:tcPr>
            <w:tcW w:w="3820" w:type="dxa"/>
            <w:vAlign w:val="bottom"/>
          </w:tcPr>
          <w:p>
            <w:pPr>
              <w:spacing w:after="0"/>
              <w:rPr>
                <w:sz w:val="20"/>
                <w:szCs w:val="20"/>
                <w:color w:val="auto"/>
              </w:rPr>
            </w:pPr>
            <w:r>
              <w:rPr>
                <w:rFonts w:ascii="Arial" w:cs="Arial" w:eastAsia="Arial" w:hAnsi="Arial"/>
                <w:sz w:val="18"/>
                <w:szCs w:val="18"/>
                <w:color w:val="auto"/>
              </w:rPr>
              <w:t>Date: October 27, 2011</w:t>
            </w:r>
          </w:p>
        </w:tc>
        <w:tc>
          <w:tcPr>
            <w:tcW w:w="6320" w:type="dxa"/>
            <w:vAlign w:val="bottom"/>
            <w:gridSpan w:val="3"/>
          </w:tcPr>
          <w:p>
            <w:pPr>
              <w:ind w:left="2180"/>
              <w:spacing w:after="0"/>
              <w:rPr>
                <w:sz w:val="20"/>
                <w:szCs w:val="20"/>
                <w:color w:val="auto"/>
              </w:rPr>
            </w:pPr>
            <w:r>
              <w:rPr>
                <w:rFonts w:ascii="Arial" w:cs="Arial" w:eastAsia="Arial" w:hAnsi="Arial"/>
                <w:sz w:val="18"/>
                <w:szCs w:val="18"/>
                <w:color w:val="auto"/>
              </w:rPr>
              <w:t>By: /s/ KIMBERLY K. NELSON</w:t>
            </w:r>
          </w:p>
        </w:tc>
      </w:tr>
      <w:tr>
        <w:trPr>
          <w:trHeight w:val="20"/>
        </w:trPr>
        <w:tc>
          <w:tcPr>
            <w:tcW w:w="38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28"/>
        </w:trPr>
        <w:tc>
          <w:tcPr>
            <w:tcW w:w="3820" w:type="dxa"/>
            <w:vAlign w:val="bottom"/>
          </w:tcPr>
          <w:p>
            <w:pPr>
              <w:spacing w:after="0"/>
              <w:rPr>
                <w:sz w:val="19"/>
                <w:szCs w:val="19"/>
                <w:color w:val="auto"/>
              </w:rPr>
            </w:pPr>
          </w:p>
        </w:tc>
        <w:tc>
          <w:tcPr>
            <w:tcW w:w="6320" w:type="dxa"/>
            <w:vAlign w:val="bottom"/>
            <w:gridSpan w:val="3"/>
          </w:tcPr>
          <w:p>
            <w:pPr>
              <w:ind w:left="2180"/>
              <w:spacing w:after="0"/>
              <w:rPr>
                <w:sz w:val="20"/>
                <w:szCs w:val="20"/>
                <w:color w:val="auto"/>
              </w:rPr>
            </w:pPr>
            <w:r>
              <w:rPr>
                <w:rFonts w:ascii="Arial" w:cs="Arial" w:eastAsia="Arial" w:hAnsi="Arial"/>
                <w:sz w:val="18"/>
                <w:szCs w:val="18"/>
                <w:color w:val="auto"/>
              </w:rPr>
              <w:t>Name: Kimberly K. Nelson</w:t>
            </w:r>
          </w:p>
        </w:tc>
      </w:tr>
      <w:tr>
        <w:trPr>
          <w:trHeight w:val="222"/>
        </w:trPr>
        <w:tc>
          <w:tcPr>
            <w:tcW w:w="3820" w:type="dxa"/>
            <w:vAlign w:val="bottom"/>
          </w:tcPr>
          <w:p>
            <w:pPr>
              <w:spacing w:after="0"/>
              <w:rPr>
                <w:sz w:val="19"/>
                <w:szCs w:val="19"/>
                <w:color w:val="auto"/>
              </w:rPr>
            </w:pPr>
          </w:p>
        </w:tc>
        <w:tc>
          <w:tcPr>
            <w:tcW w:w="6320" w:type="dxa"/>
            <w:vAlign w:val="bottom"/>
            <w:gridSpan w:val="3"/>
          </w:tcPr>
          <w:p>
            <w:pPr>
              <w:ind w:left="2180"/>
              <w:spacing w:after="0"/>
              <w:rPr>
                <w:sz w:val="20"/>
                <w:szCs w:val="20"/>
                <w:color w:val="auto"/>
              </w:rPr>
            </w:pPr>
            <w:r>
              <w:rPr>
                <w:rFonts w:ascii="Arial" w:cs="Arial" w:eastAsia="Arial" w:hAnsi="Arial"/>
                <w:sz w:val="18"/>
                <w:szCs w:val="18"/>
                <w:color w:val="auto"/>
                <w:w w:val="89"/>
              </w:rPr>
              <w:t>Title: Executive Vice President and Chief Financial Officer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220" w:right="479" w:bottom="0" w:gutter="0" w:footer="0" w:header="0"/>
        </w:sectPr>
      </w:pPr>
    </w:p>
    <w:p>
      <w:pPr>
        <w:spacing w:after="0" w:line="366"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180"/>
          </w:cols>
          <w:pgMar w:left="240" w:top="220"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640" w:type="dxa"/>
            <w:vAlign w:val="bottom"/>
            <w:gridSpan w:val="2"/>
          </w:tcPr>
          <w:p>
            <w:pPr>
              <w:spacing w:after="0"/>
              <w:rPr>
                <w:sz w:val="20"/>
                <w:szCs w:val="20"/>
                <w:color w:val="auto"/>
              </w:rPr>
            </w:pPr>
            <w:r>
              <w:rPr>
                <w:rFonts w:ascii="Arial" w:cs="Arial" w:eastAsia="Arial" w:hAnsi="Arial"/>
                <w:sz w:val="16"/>
                <w:szCs w:val="16"/>
                <w:b w:val="1"/>
                <w:bCs w:val="1"/>
                <w:color w:val="auto"/>
              </w:rPr>
              <w:t>No.</w:t>
            </w:r>
          </w:p>
        </w:tc>
        <w:tc>
          <w:tcPr>
            <w:tcW w:w="420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c>
          <w:tcPr>
            <w:tcW w:w="3060" w:type="dxa"/>
            <w:vAlign w:val="bottom"/>
            <w:gridSpan w:val="3"/>
          </w:tcPr>
          <w:p>
            <w:pPr>
              <w:ind w:left="1780"/>
              <w:spacing w:after="0"/>
              <w:rPr>
                <w:sz w:val="20"/>
                <w:szCs w:val="20"/>
                <w:color w:val="auto"/>
              </w:rPr>
            </w:pPr>
            <w:r>
              <w:rPr>
                <w:rFonts w:ascii="Arial" w:cs="Arial" w:eastAsia="Arial" w:hAnsi="Arial"/>
                <w:sz w:val="16"/>
                <w:szCs w:val="16"/>
                <w:b w:val="1"/>
                <w:bCs w:val="1"/>
                <w:color w:val="auto"/>
              </w:rPr>
              <w:t>Manner of Filing</w:t>
            </w:r>
          </w:p>
        </w:tc>
      </w:tr>
      <w:tr>
        <w:trPr>
          <w:trHeight w:val="20"/>
        </w:trPr>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8"/>
        </w:trPr>
        <w:tc>
          <w:tcPr>
            <w:tcW w:w="240" w:type="dxa"/>
            <w:vAlign w:val="bottom"/>
          </w:tcPr>
          <w:p>
            <w:pPr>
              <w:spacing w:after="0"/>
              <w:rPr>
                <w:sz w:val="20"/>
                <w:szCs w:val="20"/>
                <w:color w:val="auto"/>
              </w:rPr>
            </w:pPr>
            <w:r>
              <w:rPr>
                <w:rFonts w:ascii="Arial" w:cs="Arial" w:eastAsia="Arial" w:hAnsi="Arial"/>
                <w:sz w:val="16"/>
                <w:szCs w:val="16"/>
                <w:color w:val="auto"/>
              </w:rPr>
              <w:t>99</w:t>
            </w:r>
          </w:p>
        </w:tc>
        <w:tc>
          <w:tcPr>
            <w:tcW w:w="40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6"/>
                <w:szCs w:val="16"/>
                <w:color w:val="auto"/>
              </w:rPr>
              <w:t>Press Release dated October 27, 2011</w:t>
            </w:r>
          </w:p>
        </w:tc>
        <w:tc>
          <w:tcPr>
            <w:tcW w:w="3060" w:type="dxa"/>
            <w:vAlign w:val="bottom"/>
            <w:gridSpan w:val="3"/>
          </w:tcPr>
          <w:p>
            <w:pPr>
              <w:ind w:left="1780"/>
              <w:spacing w:after="0"/>
              <w:rPr>
                <w:sz w:val="20"/>
                <w:szCs w:val="20"/>
                <w:color w:val="auto"/>
              </w:rPr>
            </w:pPr>
            <w:r>
              <w:rPr>
                <w:rFonts w:ascii="Arial" w:cs="Arial" w:eastAsia="Arial" w:hAnsi="Arial"/>
                <w:sz w:val="16"/>
                <w:szCs w:val="16"/>
                <w:color w:val="auto"/>
                <w:w w:val="94"/>
              </w:rPr>
              <w:t>Filed Electronically</w:t>
            </w:r>
          </w:p>
        </w:tc>
      </w:tr>
    </w:tbl>
    <w:p>
      <w:pPr>
        <w:sectPr>
          <w:pgSz w:w="11900" w:h="16838" w:orient="portrait"/>
          <w:cols w:equalWidth="0" w:num="1">
            <w:col w:w="10179"/>
          </w:cols>
          <w:pgMar w:left="280" w:top="158"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color w:val="auto"/>
        </w:rPr>
        <w:t>EXHIBIT 99.1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SPS Commerce Reports Third Quarter 2011 Financial Results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Company Continues to Accelerate Growth and Delivers 37% Recurring Revenue Growth Over 2010</w:t>
      </w:r>
    </w:p>
    <w:p>
      <w:pPr>
        <w:spacing w:after="0" w:line="280" w:lineRule="exact"/>
        <w:rPr>
          <w:sz w:val="20"/>
          <w:szCs w:val="20"/>
          <w:color w:val="auto"/>
        </w:rPr>
      </w:pPr>
    </w:p>
    <w:p>
      <w:pPr>
        <w:ind w:right="560"/>
        <w:spacing w:after="0" w:line="328" w:lineRule="auto"/>
        <w:rPr>
          <w:sz w:val="20"/>
          <w:szCs w:val="20"/>
          <w:color w:val="auto"/>
        </w:rPr>
      </w:pPr>
      <w:r>
        <w:rPr>
          <w:rFonts w:ascii="Arial" w:cs="Arial" w:eastAsia="Arial" w:hAnsi="Arial"/>
          <w:sz w:val="19"/>
          <w:szCs w:val="19"/>
          <w:color w:val="auto"/>
        </w:rPr>
        <w:t>MINNEAPOLIS, Oct. 27, 2011 (GLOBE NEWSWIRE) -- SPS Commerce (Nasdaq:SPSC), a leading provider of on-demand supply chain management solutions, today announced financial results for the third quarter ended September 30, 2011.</w:t>
      </w:r>
    </w:p>
    <w:p>
      <w:pPr>
        <w:spacing w:after="0" w:line="105" w:lineRule="exact"/>
        <w:rPr>
          <w:sz w:val="20"/>
          <w:szCs w:val="20"/>
          <w:color w:val="auto"/>
        </w:rPr>
      </w:pPr>
    </w:p>
    <w:p>
      <w:pPr>
        <w:ind w:right="500"/>
        <w:spacing w:after="0" w:line="328" w:lineRule="auto"/>
        <w:rPr>
          <w:sz w:val="20"/>
          <w:szCs w:val="20"/>
          <w:color w:val="auto"/>
        </w:rPr>
      </w:pPr>
      <w:r>
        <w:rPr>
          <w:rFonts w:ascii="Arial" w:cs="Arial" w:eastAsia="Arial" w:hAnsi="Arial"/>
          <w:sz w:val="19"/>
          <w:szCs w:val="19"/>
          <w:color w:val="auto"/>
        </w:rPr>
        <w:t>Revenue was $15.5 million in the third quarter of 2011, compared to $11.5 million in the third quarter of 2010, reflecting 35% growth in total revenue from the third quarter 2010. Recurring revenue grew 37% from the third quarter of 2010.</w:t>
      </w:r>
    </w:p>
    <w:p>
      <w:pPr>
        <w:spacing w:after="0" w:line="105" w:lineRule="exact"/>
        <w:rPr>
          <w:sz w:val="20"/>
          <w:szCs w:val="20"/>
          <w:color w:val="auto"/>
        </w:rPr>
      </w:pPr>
    </w:p>
    <w:p>
      <w:pPr>
        <w:jc w:val="both"/>
        <w:ind w:right="60"/>
        <w:spacing w:after="0" w:line="238" w:lineRule="auto"/>
        <w:rPr>
          <w:sz w:val="20"/>
          <w:szCs w:val="20"/>
          <w:color w:val="auto"/>
        </w:rPr>
      </w:pPr>
      <w:r>
        <w:rPr>
          <w:rFonts w:ascii="Arial" w:cs="Arial" w:eastAsia="Arial" w:hAnsi="Arial"/>
          <w:sz w:val="22"/>
          <w:szCs w:val="22"/>
          <w:color w:val="auto"/>
        </w:rPr>
        <w:t>Net income in the third quarter of 2011 was $177,000 or $0.01 per diluted share, compared to net income of $886,000 or $0.07 per diluted share, in the third quarter of 2010. Non-GAAP net income per diluted share was $0.07, compared to non-GAAP net income per diluted share of $0.09 in the third quarter of 2010. Adjusted EBITDA for the third quarter of 2011 was $1.5 million, compared to $1.4 million in the third quarter of 2010.</w:t>
      </w:r>
    </w:p>
    <w:p>
      <w:pPr>
        <w:spacing w:after="0" w:line="185"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"We are experiencing momentum across our entire business, highlighted by our accelerating recurring revenue growth which exceeded 35% this quarter," said Archie Black, President and CEO of SPS Commerce. "2011 has been a tremendous year for SPS Commerce and we will continue to ramp our investments in sales, marketing and product development to take advantage of the large market opportunity we are addressing. The supply chain is rapidly adopting cloud computing and we are positioned to capture significant market share as the largest pure SaaS provider to this global industry."</w:t>
      </w:r>
    </w:p>
    <w:p>
      <w:pPr>
        <w:spacing w:after="0" w:line="148"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Revenue for the nine months ended September 30, 2011 was $42.1 million, compared to $32.7 million for the comparable period in 2010. Net income for the nine months ended September 30, 2011 was $560,000, or $0.04 per diluted share, compared to net income of $2.4 million, or $0.22 per diluted share, for the comparable period in 2010. Non-GAAP net income per diluted share for the nine months ended September 30, 2011 was $0.18 compared to non-GAAP net income per diluted share of $0.26 for the comparable period in 2010. Adjusted EBITDA for the first nine months ended September 30, 2011 was $3.8 million, compared to $4.1 million for the comparable period in 2010.</w:t>
      </w:r>
    </w:p>
    <w:p>
      <w:pPr>
        <w:spacing w:after="0" w:line="177"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"Our strong top line growth this quarter was driven by three factors. First, the success of our viral platform drove recurring revenue growth through our installed customer base and increased wallet share. Second, we increased our revenue from testing and certification through an increased number of retailer enablement campaigns which demonstrates the industry's need for more efficient supply chain processes. And third, we continue to successfully integrate our Direct EDI acquisition, bringing more of their customers onto our platform and creating additional revenue expansion opportunities," said Kim Nelson, Chief Financial Officer of SPS Commerce.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Guidance</w:t>
      </w:r>
    </w:p>
    <w:p>
      <w:pPr>
        <w:spacing w:after="0" w:line="212"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For the fourth quarter of 2011, revenue is expected to be in the range of $15.7 million to $15.9 million, representing growth of 32% to 33% compared to the fourth quarter of 2010. Fourth quarter net income per diluted share is expected to be in the range of $0.00 to $0.02. Non-GAAP net income per diluted share is expected to be in the range of $0.06 to $0.08. Adjusted EBITDA is expected to be in the range of $1.4 to $1.6 million. Non-cash, share-based compensation expense is expected to be approximately $500,000.</w:t>
      </w:r>
    </w:p>
    <w:p>
      <w:pPr>
        <w:spacing w:after="0" w:line="143" w:lineRule="exact"/>
        <w:rPr>
          <w:sz w:val="20"/>
          <w:szCs w:val="20"/>
          <w:color w:val="auto"/>
        </w:rPr>
      </w:pPr>
    </w:p>
    <w:p>
      <w:pPr>
        <w:ind w:right="200"/>
        <w:spacing w:after="0" w:line="236" w:lineRule="auto"/>
        <w:rPr>
          <w:sz w:val="20"/>
          <w:szCs w:val="20"/>
          <w:color w:val="auto"/>
        </w:rPr>
      </w:pPr>
      <w:r>
        <w:rPr>
          <w:rFonts w:ascii="Arial" w:cs="Arial" w:eastAsia="Arial" w:hAnsi="Arial"/>
          <w:sz w:val="22"/>
          <w:szCs w:val="22"/>
          <w:color w:val="auto"/>
        </w:rPr>
        <w:t>For the full year of 2011, revenue is expected to be in the range of $57.8 to $58.0 million, representing growth of approximately 30% compared to 2010. Full year net income per diluted share is expected to be in the range of $0.05 to $0.06. Non-GAAP net income per diluted share is expected to be in the range of $0.24 to $0.25. Adjusted EBITDA is expected to be in the range of $5.2 to $5.4 million. Non-cash, share-based compensation expense is expected to be approximately $1.8 million and amortization is expected to be $650,000.</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Quarterly Conference Call</w:t>
      </w:r>
    </w:p>
    <w:p>
      <w:pPr>
        <w:spacing w:after="0" w:line="212"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To access the call, please dial (877) 312-7508, or outside the U.S. (253) 237-1184, at least five minutes prior to the 3:30 p.m. CT start time. A live webcast of the call will also be available at www.investors.spscommerce.com under the Events and Presentations menu. An audio replay will be available between 6:30 p.m. CT October 27, 2011 and 10:59 p.m. CT November 11, 2011 by calling</w:t>
      </w:r>
    </w:p>
    <w:p>
      <w:pPr>
        <w:spacing w:after="0" w:line="2" w:lineRule="exact"/>
        <w:rPr>
          <w:sz w:val="20"/>
          <w:szCs w:val="20"/>
          <w:color w:val="auto"/>
        </w:rPr>
      </w:pPr>
    </w:p>
    <w:p>
      <w:pPr>
        <w:ind w:right="1220" w:firstLine="8"/>
        <w:spacing w:after="0" w:line="237" w:lineRule="auto"/>
        <w:tabs>
          <w:tab w:leader="none" w:pos="522" w:val="left"/>
        </w:tabs>
        <w:numPr>
          <w:ilvl w:val="0"/>
          <w:numId w:val="3"/>
        </w:numPr>
        <w:rPr>
          <w:rFonts w:ascii="Arial" w:cs="Arial" w:eastAsia="Arial" w:hAnsi="Arial"/>
          <w:sz w:val="22"/>
          <w:szCs w:val="22"/>
          <w:color w:val="auto"/>
        </w:rPr>
      </w:pPr>
      <w:r>
        <w:rPr>
          <w:rFonts w:ascii="Arial" w:cs="Arial" w:eastAsia="Arial" w:hAnsi="Arial"/>
          <w:sz w:val="22"/>
          <w:szCs w:val="22"/>
          <w:color w:val="auto"/>
        </w:rPr>
        <w:t>859-2056 or (404) 537-3406, with Conference ID 12312813. The replay will also be available on our website at www.investors.spscommerce.com.</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SPS Commerce</w:t>
      </w:r>
    </w:p>
    <w:p>
      <w:pPr>
        <w:spacing w:after="0" w:line="212" w:lineRule="exact"/>
        <w:rPr>
          <w:sz w:val="20"/>
          <w:szCs w:val="20"/>
          <w:color w:val="auto"/>
        </w:rPr>
      </w:pPr>
    </w:p>
    <w:p>
      <w:pPr>
        <w:ind w:right="220"/>
        <w:spacing w:after="0" w:line="277" w:lineRule="auto"/>
        <w:rPr>
          <w:sz w:val="20"/>
          <w:szCs w:val="20"/>
          <w:color w:val="auto"/>
        </w:rPr>
      </w:pPr>
      <w:r>
        <w:rPr>
          <w:rFonts w:ascii="Arial" w:cs="Arial" w:eastAsia="Arial" w:hAnsi="Arial"/>
          <w:sz w:val="19"/>
          <w:szCs w:val="19"/>
          <w:color w:val="auto"/>
        </w:rPr>
        <w:t>SPS Commerce is a leading provider of on-demand supply chain management solutions, providing integration, collaboration, connectivity, visibility and data analytics to thousands of customers worldwide. We deliver our solutions over the Internet using a Software-as-a-Service model to improve the way suppliers, retailers, distributors and other customers manage and fulfill orders. Our SPSCommerce.net platform features pre-built integrations used by current and new customers alike, spanning 3,000 order management models across 1,500 retailers, grocers and distributors, as well as integrations to over 100 accounting, warehouse management, enterprise resource planning, and packing and shipping applications. More than 40,000 customers across more than 40 countries have used SPSCommerce.net, making it one of the largest trading partner integration centers. SPS Commerce has 43</w:t>
      </w:r>
    </w:p>
    <w:p>
      <w:pPr>
        <w:sectPr>
          <w:pgSz w:w="11900" w:h="16838" w:orient="portrait"/>
          <w:cols w:equalWidth="0" w:num="1">
            <w:col w:w="11420"/>
          </w:cols>
          <w:pgMar w:left="240" w:top="118" w:right="239" w:bottom="0" w:gutter="0" w:footer="0" w:header="0"/>
        </w:sectPr>
      </w:pPr>
    </w:p>
    <w:bookmarkStart w:id="3" w:name="page4"/>
    <w:bookmarkEnd w:id="3"/>
    <w:p>
      <w:pPr>
        <w:ind w:right="380"/>
        <w:spacing w:after="0" w:line="251" w:lineRule="auto"/>
        <w:rPr>
          <w:sz w:val="20"/>
          <w:szCs w:val="20"/>
          <w:color w:val="auto"/>
        </w:rPr>
      </w:pPr>
      <w:r>
        <w:rPr>
          <w:rFonts w:ascii="Arial" w:cs="Arial" w:eastAsia="Arial" w:hAnsi="Arial"/>
          <w:sz w:val="22"/>
          <w:szCs w:val="22"/>
          <w:color w:val="auto"/>
        </w:rPr>
        <w:t>consecutive quarters of increased revenues and is headquartered in Minneapolis. For additional information, please contact SPS Commerce at 866-245-8100 or visit www.spscommerce.com.</w:t>
      </w:r>
    </w:p>
    <w:p>
      <w:pPr>
        <w:spacing w:after="0" w:line="174" w:lineRule="exact"/>
        <w:rPr>
          <w:sz w:val="20"/>
          <w:szCs w:val="20"/>
          <w:color w:val="auto"/>
        </w:rPr>
      </w:pPr>
    </w:p>
    <w:p>
      <w:pPr>
        <w:ind w:right="140"/>
        <w:spacing w:after="0" w:line="274" w:lineRule="auto"/>
        <w:rPr>
          <w:sz w:val="20"/>
          <w:szCs w:val="20"/>
          <w:color w:val="auto"/>
        </w:rPr>
      </w:pPr>
      <w:r>
        <w:rPr>
          <w:rFonts w:ascii="Arial" w:cs="Arial" w:eastAsia="Arial" w:hAnsi="Arial"/>
          <w:sz w:val="21"/>
          <w:szCs w:val="21"/>
          <w:color w:val="auto"/>
        </w:rPr>
        <w:t>SPS Commerce is a registered trademark of SPS Commerce, Inc. SPSCommerce.net and the SPS Commerce logo are the property of SPS Commerce, Inc. All other names and trademarks are the property of their respective holders.</w:t>
      </w:r>
    </w:p>
    <w:p>
      <w:pPr>
        <w:spacing w:after="0" w:line="151" w:lineRule="exact"/>
        <w:rPr>
          <w:sz w:val="20"/>
          <w:szCs w:val="20"/>
          <w:color w:val="auto"/>
        </w:rPr>
      </w:pPr>
    </w:p>
    <w:p>
      <w:pPr>
        <w:ind w:right="2680"/>
        <w:spacing w:after="0" w:line="504" w:lineRule="auto"/>
        <w:rPr>
          <w:sz w:val="20"/>
          <w:szCs w:val="20"/>
          <w:color w:val="auto"/>
        </w:rPr>
      </w:pPr>
      <w:r>
        <w:rPr>
          <w:rFonts w:ascii="Arial" w:cs="Arial" w:eastAsia="Arial" w:hAnsi="Arial"/>
          <w:sz w:val="19"/>
          <w:szCs w:val="19"/>
          <w:color w:val="auto"/>
        </w:rPr>
        <w:t xml:space="preserve">The SPS Commerce logo is available at http://www.globenewswire.com/newsroom/prs/?pkgid=7184 </w:t>
      </w:r>
      <w:r>
        <w:rPr>
          <w:rFonts w:ascii="Arial" w:cs="Arial" w:eastAsia="Arial" w:hAnsi="Arial"/>
          <w:sz w:val="19"/>
          <w:szCs w:val="19"/>
          <w:b w:val="1"/>
          <w:bCs w:val="1"/>
          <w:color w:val="auto"/>
        </w:rPr>
        <w:t>Use of Non-GAAP Financial Measures</w:t>
      </w:r>
    </w:p>
    <w:p>
      <w:pPr>
        <w:spacing w:after="0" w:line="1"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To supplement its financial statements, SPS Commerce also provides investors with Adjusted EBITDA and non-GAAP net income per share, which are non-GAAP financial measures. SPS Commerce believes that these non-GAAP measures provide useful information to management and investors regarding certain financial and business trends relating to its financial condition and results of operations. SPS Commerce's management uses these non-GAAP measures to compare the company's performance to that of prior periods for trend analyses and planning purposes. It uses Adjusted EBITDA for purposes of determining executive and senior management incentive compensation. These measures are also presented to the company's board of directors.</w:t>
      </w:r>
    </w:p>
    <w:p>
      <w:pPr>
        <w:spacing w:after="0" w:line="151"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EBITDA consists of net income plus depreciation and amortization, interest expense, interest income and income tax expense. Adjusted EBITDA consists of EBITDA plus non-cash, stock-based compensation expense. SPS Commerce uses Adjusted EBITDA as a measure of operating performance because it assists the company in comparing performance on a consistent basis, as it removes from operating results the impact of the company's capital structure. SPS Commerce believes Adjusted EBITDA is useful to an investor in evaluating the company's operating performance because it is widely used to measure a company's operating performance without regard to items such as depreciation and amortization, which can vary depending upon accounting methods and the book value of assets, and to present a meaningful measure of corporate performance exclusive of the company's capital structure and the method by which assets were acquired.</w:t>
      </w:r>
    </w:p>
    <w:p>
      <w:pPr>
        <w:spacing w:after="0" w:line="181" w:lineRule="exact"/>
        <w:rPr>
          <w:sz w:val="20"/>
          <w:szCs w:val="20"/>
          <w:color w:val="auto"/>
        </w:rPr>
      </w:pPr>
    </w:p>
    <w:p>
      <w:pPr>
        <w:ind w:right="280"/>
        <w:spacing w:after="0" w:line="238" w:lineRule="auto"/>
        <w:rPr>
          <w:sz w:val="20"/>
          <w:szCs w:val="20"/>
          <w:color w:val="auto"/>
        </w:rPr>
      </w:pPr>
      <w:r>
        <w:rPr>
          <w:rFonts w:ascii="Arial" w:cs="Arial" w:eastAsia="Arial" w:hAnsi="Arial"/>
          <w:sz w:val="22"/>
          <w:szCs w:val="22"/>
          <w:color w:val="auto"/>
        </w:rPr>
        <w:t>Non-GAAP net income per share consists of net income plus non-cash, stock-based compensation expense and amortization expense related to intangible assets divided by the weighted average number of shares of common stock outstanding during each period. SPS Commerce believes non-GAAP net income per share is useful to an investor because it is widely used to measure a company's operating performance.</w:t>
      </w:r>
    </w:p>
    <w:p>
      <w:pPr>
        <w:spacing w:after="0" w:line="185" w:lineRule="exact"/>
        <w:rPr>
          <w:sz w:val="20"/>
          <w:szCs w:val="20"/>
          <w:color w:val="auto"/>
        </w:rPr>
      </w:pPr>
    </w:p>
    <w:p>
      <w:pPr>
        <w:ind w:right="280"/>
        <w:spacing w:after="0" w:line="248" w:lineRule="auto"/>
        <w:rPr>
          <w:sz w:val="20"/>
          <w:szCs w:val="20"/>
          <w:color w:val="auto"/>
        </w:rPr>
      </w:pPr>
      <w:r>
        <w:rPr>
          <w:rFonts w:ascii="Arial" w:cs="Arial" w:eastAsia="Arial" w:hAnsi="Arial"/>
          <w:sz w:val="21"/>
          <w:szCs w:val="21"/>
          <w:color w:val="auto"/>
        </w:rPr>
        <w:t>These non-GAAP measures should not be considered a substitute for, or superior to, financial measures calculated in accordance with generally accepted accounting principles in the United States. These non-GAAP financial measures exclude significant expenses and income that are required by GAAP to be recorded in the company's financial statements and are subject to inherent limitations. SPS Commerce urges investors to review the reconciliation of its non-GAAP financial measures to the comparable GAAP financial measures that are included in this press release. The following tables provide reconciliations of net income to Adjusted EBITDA and non-GAAP net income per share:</w:t>
      </w:r>
    </w:p>
    <w:p>
      <w:pPr>
        <w:spacing w:after="0" w:line="200" w:lineRule="exact"/>
        <w:rPr>
          <w:sz w:val="20"/>
          <w:szCs w:val="20"/>
          <w:color w:val="auto"/>
        </w:rPr>
      </w:pPr>
    </w:p>
    <w:p>
      <w:pPr>
        <w:spacing w:after="0" w:line="332" w:lineRule="exact"/>
        <w:rPr>
          <w:sz w:val="20"/>
          <w:szCs w:val="20"/>
          <w:color w:val="auto"/>
        </w:rPr>
      </w:pPr>
    </w:p>
    <w:p>
      <w:pPr>
        <w:jc w:val="center"/>
        <w:ind w:right="3380"/>
        <w:spacing w:after="0"/>
        <w:rPr>
          <w:sz w:val="20"/>
          <w:szCs w:val="20"/>
          <w:color w:val="auto"/>
        </w:rPr>
      </w:pPr>
      <w:r>
        <w:rPr>
          <w:rFonts w:ascii="Arial" w:cs="Arial" w:eastAsia="Arial" w:hAnsi="Arial"/>
          <w:sz w:val="16"/>
          <w:szCs w:val="16"/>
          <w:b w:val="1"/>
          <w:bCs w:val="1"/>
          <w:color w:val="auto"/>
        </w:rPr>
        <w:t>SPS COMMERCE, INC.</w:t>
      </w:r>
    </w:p>
    <w:p>
      <w:pPr>
        <w:spacing w:after="0" w:line="86" w:lineRule="exact"/>
        <w:rPr>
          <w:sz w:val="20"/>
          <w:szCs w:val="20"/>
          <w:color w:val="auto"/>
        </w:rPr>
      </w:pPr>
    </w:p>
    <w:p>
      <w:pPr>
        <w:jc w:val="center"/>
        <w:ind w:right="3380"/>
        <w:spacing w:after="0"/>
        <w:rPr>
          <w:sz w:val="20"/>
          <w:szCs w:val="20"/>
          <w:color w:val="auto"/>
        </w:rPr>
      </w:pPr>
      <w:r>
        <w:rPr>
          <w:rFonts w:ascii="Arial" w:cs="Arial" w:eastAsia="Arial" w:hAnsi="Arial"/>
          <w:sz w:val="16"/>
          <w:szCs w:val="16"/>
          <w:b w:val="1"/>
          <w:bCs w:val="1"/>
          <w:color w:val="auto"/>
        </w:rPr>
        <w:t>NON-GAAP RECONCILIATION</w:t>
      </w:r>
    </w:p>
    <w:p>
      <w:pPr>
        <w:spacing w:after="0" w:line="106" w:lineRule="exact"/>
        <w:rPr>
          <w:sz w:val="20"/>
          <w:szCs w:val="20"/>
          <w:color w:val="auto"/>
        </w:rPr>
      </w:pPr>
    </w:p>
    <w:p>
      <w:pPr>
        <w:jc w:val="center"/>
        <w:ind w:right="3400"/>
        <w:spacing w:after="0"/>
        <w:rPr>
          <w:sz w:val="20"/>
          <w:szCs w:val="20"/>
          <w:color w:val="auto"/>
        </w:rPr>
      </w:pPr>
      <w:r>
        <w:rPr>
          <w:rFonts w:ascii="Arial" w:cs="Arial" w:eastAsia="Arial" w:hAnsi="Arial"/>
          <w:sz w:val="16"/>
          <w:szCs w:val="16"/>
          <w:color w:val="auto"/>
        </w:rPr>
        <w:t>(Unaudited; in thousands, except per share amounts)</w:t>
      </w:r>
    </w:p>
    <w:p>
      <w:pPr>
        <w:spacing w:after="0" w:line="336"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4440" w:type="dxa"/>
            <w:vAlign w:val="bottom"/>
          </w:tcPr>
          <w:p>
            <w:pPr>
              <w:spacing w:after="0"/>
              <w:rPr>
                <w:sz w:val="18"/>
                <w:szCs w:val="18"/>
                <w:color w:val="auto"/>
              </w:rPr>
            </w:pPr>
          </w:p>
        </w:tc>
        <w:tc>
          <w:tcPr>
            <w:tcW w:w="178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Three Months Ended</w:t>
            </w:r>
          </w:p>
        </w:tc>
        <w:tc>
          <w:tcPr>
            <w:tcW w:w="1600" w:type="dxa"/>
            <w:vAlign w:val="bottom"/>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r>
      <w:tr>
        <w:trPr>
          <w:trHeight w:val="263"/>
        </w:trPr>
        <w:tc>
          <w:tcPr>
            <w:tcW w:w="4440" w:type="dxa"/>
            <w:vAlign w:val="bottom"/>
          </w:tcPr>
          <w:p>
            <w:pPr>
              <w:spacing w:after="0"/>
              <w:rPr>
                <w:sz w:val="22"/>
                <w:szCs w:val="22"/>
                <w:color w:val="auto"/>
              </w:rPr>
            </w:pPr>
          </w:p>
        </w:tc>
        <w:tc>
          <w:tcPr>
            <w:tcW w:w="1780" w:type="dxa"/>
            <w:vAlign w:val="bottom"/>
            <w:gridSpan w:val="4"/>
          </w:tcPr>
          <w:p>
            <w:pPr>
              <w:jc w:val="right"/>
              <w:ind w:right="380"/>
              <w:spacing w:after="0"/>
              <w:rPr>
                <w:sz w:val="20"/>
                <w:szCs w:val="20"/>
                <w:color w:val="auto"/>
              </w:rPr>
            </w:pPr>
            <w:r>
              <w:rPr>
                <w:rFonts w:ascii="Arial" w:cs="Arial" w:eastAsia="Arial" w:hAnsi="Arial"/>
                <w:sz w:val="16"/>
                <w:szCs w:val="16"/>
                <w:b w:val="1"/>
                <w:bCs w:val="1"/>
                <w:color w:val="auto"/>
              </w:rPr>
              <w:t>September 30,</w:t>
            </w:r>
          </w:p>
        </w:tc>
        <w:tc>
          <w:tcPr>
            <w:tcW w:w="160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444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top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2010</w:t>
            </w:r>
          </w:p>
        </w:tc>
        <w:tc>
          <w:tcPr>
            <w:tcW w:w="8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2011</w:t>
            </w:r>
          </w:p>
        </w:tc>
        <w:tc>
          <w:tcPr>
            <w:tcW w:w="80" w:type="dxa"/>
            <w:vAlign w:val="bottom"/>
            <w:tcBorders>
              <w:top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2010</w:t>
            </w:r>
          </w:p>
        </w:tc>
      </w:tr>
      <w:tr>
        <w:trPr>
          <w:trHeight w:val="541"/>
        </w:trPr>
        <w:tc>
          <w:tcPr>
            <w:tcW w:w="44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00" w:type="dxa"/>
            <w:vAlign w:val="bottom"/>
          </w:tcPr>
          <w:p>
            <w:pPr>
              <w:jc w:val="right"/>
              <w:spacing w:after="0"/>
              <w:rPr>
                <w:sz w:val="20"/>
                <w:szCs w:val="20"/>
                <w:color w:val="auto"/>
              </w:rPr>
            </w:pPr>
            <w:r>
              <w:rPr>
                <w:rFonts w:ascii="Arial" w:cs="Arial" w:eastAsia="Arial" w:hAnsi="Arial"/>
                <w:sz w:val="16"/>
                <w:szCs w:val="16"/>
                <w:color w:val="auto"/>
              </w:rPr>
              <w:t>$ 177</w:t>
            </w:r>
          </w:p>
        </w:tc>
        <w:tc>
          <w:tcPr>
            <w:tcW w:w="10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$ 886</w:t>
            </w:r>
          </w:p>
        </w:tc>
        <w:tc>
          <w:tcPr>
            <w:tcW w:w="760" w:type="dxa"/>
            <w:vAlign w:val="bottom"/>
          </w:tcPr>
          <w:p>
            <w:pPr>
              <w:jc w:val="right"/>
              <w:spacing w:after="0"/>
              <w:rPr>
                <w:sz w:val="20"/>
                <w:szCs w:val="20"/>
                <w:color w:val="auto"/>
              </w:rPr>
            </w:pPr>
            <w:r>
              <w:rPr>
                <w:rFonts w:ascii="Arial" w:cs="Arial" w:eastAsia="Arial" w:hAnsi="Arial"/>
                <w:sz w:val="16"/>
                <w:szCs w:val="16"/>
                <w:color w:val="auto"/>
              </w:rPr>
              <w:t>$ 560</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$ 2,443</w:t>
            </w:r>
          </w:p>
        </w:tc>
      </w:tr>
      <w:tr>
        <w:trPr>
          <w:trHeight w:val="270"/>
        </w:trPr>
        <w:tc>
          <w:tcPr>
            <w:tcW w:w="4440" w:type="dxa"/>
            <w:vAlign w:val="bottom"/>
          </w:tcPr>
          <w:p>
            <w:pPr>
              <w:ind w:left="220"/>
              <w:spacing w:after="0"/>
              <w:rPr>
                <w:sz w:val="20"/>
                <w:szCs w:val="20"/>
                <w:color w:val="auto"/>
              </w:rPr>
            </w:pPr>
            <w:r>
              <w:rPr>
                <w:rFonts w:ascii="Arial" w:cs="Arial" w:eastAsia="Arial" w:hAnsi="Arial"/>
                <w:sz w:val="16"/>
                <w:szCs w:val="16"/>
                <w:color w:val="auto"/>
              </w:rPr>
              <w:t>Depreciation and amortization of property and equipment</w:t>
            </w:r>
          </w:p>
        </w:tc>
        <w:tc>
          <w:tcPr>
            <w:tcW w:w="800" w:type="dxa"/>
            <w:vAlign w:val="bottom"/>
          </w:tcPr>
          <w:p>
            <w:pPr>
              <w:jc w:val="right"/>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403</w:t>
            </w:r>
          </w:p>
        </w:tc>
        <w:tc>
          <w:tcPr>
            <w:tcW w:w="760" w:type="dxa"/>
            <w:vAlign w:val="bottom"/>
          </w:tcPr>
          <w:p>
            <w:pPr>
              <w:jc w:val="right"/>
              <w:spacing w:after="0"/>
              <w:rPr>
                <w:sz w:val="20"/>
                <w:szCs w:val="20"/>
                <w:color w:val="auto"/>
              </w:rPr>
            </w:pPr>
            <w:r>
              <w:rPr>
                <w:rFonts w:ascii="Arial" w:cs="Arial" w:eastAsia="Arial" w:hAnsi="Arial"/>
                <w:sz w:val="16"/>
                <w:szCs w:val="16"/>
                <w:color w:val="auto"/>
              </w:rPr>
              <w:t>1,436</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1,148</w:t>
            </w:r>
          </w:p>
        </w:tc>
      </w:tr>
      <w:tr>
        <w:trPr>
          <w:trHeight w:val="270"/>
        </w:trPr>
        <w:tc>
          <w:tcPr>
            <w:tcW w:w="4440" w:type="dxa"/>
            <w:vAlign w:val="bottom"/>
          </w:tcPr>
          <w:p>
            <w:pPr>
              <w:ind w:left="200"/>
              <w:spacing w:after="0"/>
              <w:rPr>
                <w:sz w:val="20"/>
                <w:szCs w:val="20"/>
                <w:color w:val="auto"/>
              </w:rPr>
            </w:pPr>
            <w:r>
              <w:rPr>
                <w:rFonts w:ascii="Arial" w:cs="Arial" w:eastAsia="Arial" w:hAnsi="Arial"/>
                <w:sz w:val="16"/>
                <w:szCs w:val="16"/>
                <w:color w:val="auto"/>
              </w:rPr>
              <w:t>Amortization of intangible assets</w:t>
            </w:r>
          </w:p>
        </w:tc>
        <w:tc>
          <w:tcPr>
            <w:tcW w:w="800" w:type="dxa"/>
            <w:vAlign w:val="bottom"/>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383</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444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8</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70"/>
        </w:trPr>
        <w:tc>
          <w:tcPr>
            <w:tcW w:w="444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8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(104)</w:t>
            </w:r>
          </w:p>
        </w:tc>
        <w:tc>
          <w:tcPr>
            <w:tcW w:w="760" w:type="dxa"/>
            <w:vAlign w:val="bottom"/>
          </w:tcPr>
          <w:p>
            <w:pPr>
              <w:jc w:val="right"/>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63"/>
        </w:trPr>
        <w:tc>
          <w:tcPr>
            <w:tcW w:w="4440" w:type="dxa"/>
            <w:vAlign w:val="bottom"/>
          </w:tcPr>
          <w:p>
            <w:pPr>
              <w:ind w:left="220"/>
              <w:spacing w:after="0"/>
              <w:rPr>
                <w:sz w:val="20"/>
                <w:szCs w:val="20"/>
                <w:color w:val="auto"/>
              </w:rPr>
            </w:pPr>
            <w:r>
              <w:rPr>
                <w:rFonts w:ascii="Arial" w:cs="Arial" w:eastAsia="Arial" w:hAnsi="Arial"/>
                <w:sz w:val="16"/>
                <w:szCs w:val="16"/>
                <w:color w:val="auto"/>
              </w:rPr>
              <w:t>Income tax expense (benefit)</w:t>
            </w:r>
          </w:p>
        </w:tc>
        <w:tc>
          <w:tcPr>
            <w:tcW w:w="80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(7)</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188</w:t>
            </w:r>
          </w:p>
        </w:tc>
        <w:tc>
          <w:tcPr>
            <w:tcW w:w="76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0"/>
        </w:trPr>
        <w:tc>
          <w:tcPr>
            <w:tcW w:w="4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595"/>
        </w:trPr>
        <w:tc>
          <w:tcPr>
            <w:tcW w:w="4440" w:type="dxa"/>
            <w:vAlign w:val="bottom"/>
          </w:tcPr>
          <w:p>
            <w:pPr>
              <w:ind w:left="20"/>
              <w:spacing w:after="0"/>
              <w:rPr>
                <w:sz w:val="20"/>
                <w:szCs w:val="20"/>
                <w:color w:val="auto"/>
              </w:rPr>
            </w:pPr>
            <w:r>
              <w:rPr>
                <w:rFonts w:ascii="Arial" w:cs="Arial" w:eastAsia="Arial" w:hAnsi="Arial"/>
                <w:sz w:val="16"/>
                <w:szCs w:val="16"/>
                <w:color w:val="auto"/>
              </w:rPr>
              <w:t>EBITDA</w:t>
            </w:r>
          </w:p>
        </w:tc>
        <w:tc>
          <w:tcPr>
            <w:tcW w:w="800" w:type="dxa"/>
            <w:vAlign w:val="bottom"/>
          </w:tcPr>
          <w:p>
            <w:pPr>
              <w:jc w:val="right"/>
              <w:spacing w:after="0"/>
              <w:rPr>
                <w:sz w:val="20"/>
                <w:szCs w:val="20"/>
                <w:color w:val="auto"/>
              </w:rPr>
            </w:pPr>
            <w:r>
              <w:rPr>
                <w:rFonts w:ascii="Arial" w:cs="Arial" w:eastAsia="Arial" w:hAnsi="Arial"/>
                <w:sz w:val="16"/>
                <w:szCs w:val="16"/>
                <w:color w:val="auto"/>
              </w:rPr>
              <w:t>1,043</w:t>
            </w:r>
          </w:p>
        </w:tc>
        <w:tc>
          <w:tcPr>
            <w:tcW w:w="10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1,186</w:t>
            </w:r>
          </w:p>
        </w:tc>
        <w:tc>
          <w:tcPr>
            <w:tcW w:w="760" w:type="dxa"/>
            <w:vAlign w:val="bottom"/>
          </w:tcPr>
          <w:p>
            <w:pPr>
              <w:jc w:val="right"/>
              <w:spacing w:after="0"/>
              <w:rPr>
                <w:sz w:val="20"/>
                <w:szCs w:val="20"/>
                <w:color w:val="auto"/>
              </w:rPr>
            </w:pPr>
            <w:r>
              <w:rPr>
                <w:rFonts w:ascii="Arial" w:cs="Arial" w:eastAsia="Arial" w:hAnsi="Arial"/>
                <w:sz w:val="16"/>
                <w:szCs w:val="16"/>
                <w:color w:val="auto"/>
              </w:rPr>
              <w:t>2,493</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3,649</w:t>
            </w:r>
          </w:p>
        </w:tc>
      </w:tr>
      <w:tr>
        <w:trPr>
          <w:trHeight w:val="263"/>
        </w:trPr>
        <w:tc>
          <w:tcPr>
            <w:tcW w:w="4440" w:type="dxa"/>
            <w:vAlign w:val="bottom"/>
          </w:tcPr>
          <w:p>
            <w:pPr>
              <w:ind w:left="220"/>
              <w:spacing w:after="0"/>
              <w:rPr>
                <w:sz w:val="20"/>
                <w:szCs w:val="20"/>
                <w:color w:val="auto"/>
              </w:rPr>
            </w:pPr>
            <w:r>
              <w:rPr>
                <w:rFonts w:ascii="Arial" w:cs="Arial" w:eastAsia="Arial" w:hAnsi="Arial"/>
                <w:sz w:val="16"/>
                <w:szCs w:val="16"/>
                <w:color w:val="auto"/>
              </w:rPr>
              <w:t>Non-cash, stock-based compensation expense</w:t>
            </w:r>
          </w:p>
        </w:tc>
        <w:tc>
          <w:tcPr>
            <w:tcW w:w="800" w:type="dxa"/>
            <w:vAlign w:val="bottom"/>
          </w:tcPr>
          <w:p>
            <w:pPr>
              <w:jc w:val="right"/>
              <w:spacing w:after="0"/>
              <w:rPr>
                <w:sz w:val="20"/>
                <w:szCs w:val="20"/>
                <w:color w:val="auto"/>
              </w:rPr>
            </w:pPr>
            <w:r>
              <w:rPr>
                <w:rFonts w:ascii="Arial" w:cs="Arial" w:eastAsia="Arial" w:hAnsi="Arial"/>
                <w:sz w:val="16"/>
                <w:szCs w:val="16"/>
                <w:color w:val="auto"/>
              </w:rPr>
              <w:t>487</w:t>
            </w:r>
          </w:p>
        </w:tc>
        <w:tc>
          <w:tcPr>
            <w:tcW w:w="10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232</w:t>
            </w:r>
          </w:p>
        </w:tc>
        <w:tc>
          <w:tcPr>
            <w:tcW w:w="760" w:type="dxa"/>
            <w:vAlign w:val="bottom"/>
          </w:tcPr>
          <w:p>
            <w:pPr>
              <w:jc w:val="right"/>
              <w:spacing w:after="0"/>
              <w:rPr>
                <w:sz w:val="20"/>
                <w:szCs w:val="20"/>
                <w:color w:val="auto"/>
              </w:rPr>
            </w:pPr>
            <w:r>
              <w:rPr>
                <w:rFonts w:ascii="Arial" w:cs="Arial" w:eastAsia="Arial" w:hAnsi="Arial"/>
                <w:sz w:val="16"/>
                <w:szCs w:val="16"/>
                <w:color w:val="auto"/>
              </w:rPr>
              <w:t>1,286</w:t>
            </w:r>
          </w:p>
        </w:tc>
        <w:tc>
          <w:tcPr>
            <w:tcW w:w="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458</w:t>
            </w:r>
          </w:p>
        </w:tc>
      </w:tr>
      <w:tr>
        <w:trPr>
          <w:trHeight w:val="20"/>
        </w:trPr>
        <w:tc>
          <w:tcPr>
            <w:tcW w:w="4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588"/>
        </w:trPr>
        <w:tc>
          <w:tcPr>
            <w:tcW w:w="4440" w:type="dxa"/>
            <w:vAlign w:val="bottom"/>
          </w:tcPr>
          <w:p>
            <w:pPr>
              <w:spacing w:after="0"/>
              <w:rPr>
                <w:sz w:val="20"/>
                <w:szCs w:val="20"/>
                <w:color w:val="auto"/>
              </w:rPr>
            </w:pPr>
            <w:r>
              <w:rPr>
                <w:rFonts w:ascii="Arial" w:cs="Arial" w:eastAsia="Arial" w:hAnsi="Arial"/>
                <w:sz w:val="16"/>
                <w:szCs w:val="16"/>
                <w:color w:val="auto"/>
              </w:rPr>
              <w:t>Adjusted EBITDA</w:t>
            </w:r>
          </w:p>
        </w:tc>
        <w:tc>
          <w:tcPr>
            <w:tcW w:w="800" w:type="dxa"/>
            <w:vAlign w:val="bottom"/>
          </w:tcPr>
          <w:p>
            <w:pPr>
              <w:jc w:val="right"/>
              <w:spacing w:after="0"/>
              <w:rPr>
                <w:sz w:val="20"/>
                <w:szCs w:val="20"/>
                <w:color w:val="auto"/>
              </w:rPr>
            </w:pPr>
            <w:r>
              <w:rPr>
                <w:rFonts w:ascii="Arial" w:cs="Arial" w:eastAsia="Arial" w:hAnsi="Arial"/>
                <w:sz w:val="16"/>
                <w:szCs w:val="16"/>
                <w:color w:val="auto"/>
              </w:rPr>
              <w:t>$ 1,530</w:t>
            </w:r>
          </w:p>
        </w:tc>
        <w:tc>
          <w:tcPr>
            <w:tcW w:w="10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$ 1,418</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$ 3,779</w:t>
            </w:r>
          </w:p>
        </w:tc>
        <w:tc>
          <w:tcPr>
            <w:tcW w:w="760" w:type="dxa"/>
            <w:vAlign w:val="bottom"/>
          </w:tcPr>
          <w:p>
            <w:pPr>
              <w:jc w:val="right"/>
              <w:spacing w:after="0"/>
              <w:rPr>
                <w:sz w:val="20"/>
                <w:szCs w:val="20"/>
                <w:color w:val="auto"/>
              </w:rPr>
            </w:pPr>
            <w:r>
              <w:rPr>
                <w:rFonts w:ascii="Arial" w:cs="Arial" w:eastAsia="Arial" w:hAnsi="Arial"/>
                <w:sz w:val="16"/>
                <w:szCs w:val="16"/>
                <w:color w:val="auto"/>
              </w:rPr>
              <w:t>$ 4,107</w:t>
            </w:r>
          </w:p>
        </w:tc>
      </w:tr>
      <w:tr>
        <w:trPr>
          <w:trHeight w:val="20"/>
        </w:trPr>
        <w:tc>
          <w:tcPr>
            <w:tcW w:w="4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528"/>
        </w:trPr>
        <w:tc>
          <w:tcPr>
            <w:tcW w:w="44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00" w:type="dxa"/>
            <w:vAlign w:val="bottom"/>
          </w:tcPr>
          <w:p>
            <w:pPr>
              <w:jc w:val="right"/>
              <w:spacing w:after="0"/>
              <w:rPr>
                <w:sz w:val="20"/>
                <w:szCs w:val="20"/>
                <w:color w:val="auto"/>
              </w:rPr>
            </w:pPr>
            <w:r>
              <w:rPr>
                <w:rFonts w:ascii="Arial" w:cs="Arial" w:eastAsia="Arial" w:hAnsi="Arial"/>
                <w:sz w:val="16"/>
                <w:szCs w:val="16"/>
                <w:color w:val="auto"/>
              </w:rPr>
              <w:t>$ 177</w:t>
            </w:r>
          </w:p>
        </w:tc>
        <w:tc>
          <w:tcPr>
            <w:tcW w:w="10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$ 886</w:t>
            </w:r>
          </w:p>
        </w:tc>
        <w:tc>
          <w:tcPr>
            <w:tcW w:w="760" w:type="dxa"/>
            <w:vAlign w:val="bottom"/>
          </w:tcPr>
          <w:p>
            <w:pPr>
              <w:jc w:val="right"/>
              <w:spacing w:after="0"/>
              <w:rPr>
                <w:sz w:val="20"/>
                <w:szCs w:val="20"/>
                <w:color w:val="auto"/>
              </w:rPr>
            </w:pPr>
            <w:r>
              <w:rPr>
                <w:rFonts w:ascii="Arial" w:cs="Arial" w:eastAsia="Arial" w:hAnsi="Arial"/>
                <w:sz w:val="16"/>
                <w:szCs w:val="16"/>
                <w:color w:val="auto"/>
              </w:rPr>
              <w:t>$ 560</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$ 2,443</w:t>
            </w:r>
          </w:p>
        </w:tc>
      </w:tr>
      <w:tr>
        <w:trPr>
          <w:trHeight w:val="270"/>
        </w:trPr>
        <w:tc>
          <w:tcPr>
            <w:tcW w:w="4440" w:type="dxa"/>
            <w:vAlign w:val="bottom"/>
          </w:tcPr>
          <w:p>
            <w:pPr>
              <w:ind w:left="220"/>
              <w:spacing w:after="0"/>
              <w:rPr>
                <w:sz w:val="20"/>
                <w:szCs w:val="20"/>
                <w:color w:val="auto"/>
              </w:rPr>
            </w:pPr>
            <w:r>
              <w:rPr>
                <w:rFonts w:ascii="Arial" w:cs="Arial" w:eastAsia="Arial" w:hAnsi="Arial"/>
                <w:sz w:val="16"/>
                <w:szCs w:val="16"/>
                <w:color w:val="auto"/>
              </w:rPr>
              <w:t>Non-cash, stock-based compensation expense</w:t>
            </w:r>
          </w:p>
        </w:tc>
        <w:tc>
          <w:tcPr>
            <w:tcW w:w="800" w:type="dxa"/>
            <w:vAlign w:val="bottom"/>
          </w:tcPr>
          <w:p>
            <w:pPr>
              <w:jc w:val="right"/>
              <w:spacing w:after="0"/>
              <w:rPr>
                <w:sz w:val="20"/>
                <w:szCs w:val="20"/>
                <w:color w:val="auto"/>
              </w:rPr>
            </w:pPr>
            <w:r>
              <w:rPr>
                <w:rFonts w:ascii="Arial" w:cs="Arial" w:eastAsia="Arial" w:hAnsi="Arial"/>
                <w:sz w:val="16"/>
                <w:szCs w:val="16"/>
                <w:color w:val="auto"/>
              </w:rPr>
              <w:t>487</w:t>
            </w:r>
          </w:p>
        </w:tc>
        <w:tc>
          <w:tcPr>
            <w:tcW w:w="10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232</w:t>
            </w:r>
          </w:p>
        </w:tc>
        <w:tc>
          <w:tcPr>
            <w:tcW w:w="760" w:type="dxa"/>
            <w:vAlign w:val="bottom"/>
          </w:tcPr>
          <w:p>
            <w:pPr>
              <w:jc w:val="right"/>
              <w:spacing w:after="0"/>
              <w:rPr>
                <w:sz w:val="20"/>
                <w:szCs w:val="20"/>
                <w:color w:val="auto"/>
              </w:rPr>
            </w:pPr>
            <w:r>
              <w:rPr>
                <w:rFonts w:ascii="Arial" w:cs="Arial" w:eastAsia="Arial" w:hAnsi="Arial"/>
                <w:sz w:val="16"/>
                <w:szCs w:val="16"/>
                <w:color w:val="auto"/>
              </w:rPr>
              <w:t>1,286</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458</w:t>
            </w:r>
          </w:p>
        </w:tc>
      </w:tr>
      <w:tr>
        <w:trPr>
          <w:trHeight w:val="263"/>
        </w:trPr>
        <w:tc>
          <w:tcPr>
            <w:tcW w:w="4440" w:type="dxa"/>
            <w:vAlign w:val="bottom"/>
          </w:tcPr>
          <w:p>
            <w:pPr>
              <w:ind w:left="200"/>
              <w:spacing w:after="0"/>
              <w:rPr>
                <w:sz w:val="20"/>
                <w:szCs w:val="20"/>
                <w:color w:val="auto"/>
              </w:rPr>
            </w:pPr>
            <w:r>
              <w:rPr>
                <w:rFonts w:ascii="Arial" w:cs="Arial" w:eastAsia="Arial" w:hAnsi="Arial"/>
                <w:sz w:val="16"/>
                <w:szCs w:val="16"/>
                <w:color w:val="auto"/>
              </w:rPr>
              <w:t>Amortization of intangible assets</w:t>
            </w:r>
          </w:p>
        </w:tc>
        <w:tc>
          <w:tcPr>
            <w:tcW w:w="800" w:type="dxa"/>
            <w:vAlign w:val="bottom"/>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383</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588"/>
        </w:trPr>
        <w:tc>
          <w:tcPr>
            <w:tcW w:w="4440" w:type="dxa"/>
            <w:vAlign w:val="bottom"/>
          </w:tcPr>
          <w:p>
            <w:pPr>
              <w:ind w:left="20"/>
              <w:spacing w:after="0"/>
              <w:rPr>
                <w:sz w:val="20"/>
                <w:szCs w:val="20"/>
                <w:color w:val="auto"/>
              </w:rPr>
            </w:pPr>
            <w:r>
              <w:rPr>
                <w:rFonts w:ascii="Arial" w:cs="Arial" w:eastAsia="Arial" w:hAnsi="Arial"/>
                <w:sz w:val="16"/>
                <w:szCs w:val="16"/>
                <w:color w:val="auto"/>
              </w:rPr>
              <w:t>Non-GAAP income</w:t>
            </w:r>
          </w:p>
        </w:tc>
        <w:tc>
          <w:tcPr>
            <w:tcW w:w="800" w:type="dxa"/>
            <w:vAlign w:val="bottom"/>
          </w:tcPr>
          <w:p>
            <w:pPr>
              <w:jc w:val="right"/>
              <w:spacing w:after="0"/>
              <w:rPr>
                <w:sz w:val="20"/>
                <w:szCs w:val="20"/>
                <w:color w:val="auto"/>
              </w:rPr>
            </w:pPr>
            <w:r>
              <w:rPr>
                <w:rFonts w:ascii="Arial" w:cs="Arial" w:eastAsia="Arial" w:hAnsi="Arial"/>
                <w:sz w:val="16"/>
                <w:szCs w:val="16"/>
                <w:color w:val="auto"/>
              </w:rPr>
              <w:t>$ 924</w:t>
            </w:r>
          </w:p>
        </w:tc>
        <w:tc>
          <w:tcPr>
            <w:tcW w:w="10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$ 1,118</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$ 2,229</w:t>
            </w:r>
          </w:p>
        </w:tc>
        <w:tc>
          <w:tcPr>
            <w:tcW w:w="760" w:type="dxa"/>
            <w:vAlign w:val="bottom"/>
          </w:tcPr>
          <w:p>
            <w:pPr>
              <w:jc w:val="right"/>
              <w:spacing w:after="0"/>
              <w:rPr>
                <w:sz w:val="20"/>
                <w:szCs w:val="20"/>
                <w:color w:val="auto"/>
              </w:rPr>
            </w:pPr>
            <w:r>
              <w:rPr>
                <w:rFonts w:ascii="Arial" w:cs="Arial" w:eastAsia="Arial" w:hAnsi="Arial"/>
                <w:sz w:val="16"/>
                <w:szCs w:val="16"/>
                <w:color w:val="auto"/>
              </w:rPr>
              <w:t>$ 2,901</w:t>
            </w:r>
          </w:p>
        </w:tc>
      </w:tr>
      <w:tr>
        <w:trPr>
          <w:trHeight w:val="20"/>
        </w:trPr>
        <w:tc>
          <w:tcPr>
            <w:tcW w:w="4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18" w:right="239" w:bottom="0" w:gutter="0" w:footer="0" w:header="0"/>
        </w:sectPr>
      </w:pPr>
    </w:p>
    <w:bookmarkStart w:id="4" w:name="page5"/>
    <w:bookmarkEnd w:id="4"/>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195"/>
        </w:trPr>
        <w:tc>
          <w:tcPr>
            <w:tcW w:w="3940" w:type="dxa"/>
            <w:vAlign w:val="bottom"/>
          </w:tcPr>
          <w:p>
            <w:pPr>
              <w:spacing w:after="0"/>
              <w:rPr>
                <w:sz w:val="20"/>
                <w:szCs w:val="20"/>
                <w:color w:val="auto"/>
              </w:rPr>
            </w:pPr>
            <w:r>
              <w:rPr>
                <w:rFonts w:ascii="Arial" w:cs="Arial" w:eastAsia="Arial" w:hAnsi="Arial"/>
                <w:sz w:val="16"/>
                <w:szCs w:val="16"/>
                <w:color w:val="auto"/>
              </w:rPr>
              <w:t>Shares used to compute non-GAAP income</w:t>
            </w:r>
          </w:p>
        </w:tc>
        <w:tc>
          <w:tcPr>
            <w:tcW w:w="1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70"/>
        </w:trPr>
        <w:tc>
          <w:tcPr>
            <w:tcW w:w="3940" w:type="dxa"/>
            <w:vAlign w:val="bottom"/>
          </w:tcPr>
          <w:p>
            <w:pPr>
              <w:spacing w:after="0"/>
              <w:rPr>
                <w:sz w:val="20"/>
                <w:szCs w:val="20"/>
                <w:color w:val="auto"/>
              </w:rPr>
            </w:pPr>
            <w:r>
              <w:rPr>
                <w:rFonts w:ascii="Arial" w:cs="Arial" w:eastAsia="Arial" w:hAnsi="Arial"/>
                <w:sz w:val="16"/>
                <w:szCs w:val="16"/>
                <w:color w:val="auto"/>
              </w:rPr>
              <w:t>per share</w:t>
            </w:r>
          </w:p>
        </w:tc>
        <w:tc>
          <w:tcPr>
            <w:tcW w:w="1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70"/>
        </w:trPr>
        <w:tc>
          <w:tcPr>
            <w:tcW w:w="3940" w:type="dxa"/>
            <w:vAlign w:val="bottom"/>
          </w:tcPr>
          <w:p>
            <w:pPr>
              <w:ind w:left="200"/>
              <w:spacing w:after="0"/>
              <w:rPr>
                <w:sz w:val="20"/>
                <w:szCs w:val="20"/>
                <w:color w:val="auto"/>
              </w:rPr>
            </w:pPr>
            <w:r>
              <w:rPr>
                <w:rFonts w:ascii="Arial" w:cs="Arial" w:eastAsia="Arial" w:hAnsi="Arial"/>
                <w:sz w:val="16"/>
                <w:szCs w:val="16"/>
                <w:color w:val="auto"/>
              </w:rPr>
              <w:t>Basic</w:t>
            </w: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11,970</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11,620</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11,918</w:t>
            </w:r>
          </w:p>
        </w:tc>
        <w:tc>
          <w:tcPr>
            <w:tcW w:w="660" w:type="dxa"/>
            <w:vAlign w:val="bottom"/>
          </w:tcPr>
          <w:p>
            <w:pPr>
              <w:jc w:val="right"/>
              <w:spacing w:after="0"/>
              <w:rPr>
                <w:sz w:val="20"/>
                <w:szCs w:val="20"/>
                <w:color w:val="auto"/>
              </w:rPr>
            </w:pPr>
            <w:r>
              <w:rPr>
                <w:rFonts w:ascii="Arial" w:cs="Arial" w:eastAsia="Arial" w:hAnsi="Arial"/>
                <w:sz w:val="16"/>
                <w:szCs w:val="16"/>
                <w:color w:val="auto"/>
              </w:rPr>
              <w:t>6,796</w:t>
            </w:r>
          </w:p>
        </w:tc>
      </w:tr>
      <w:tr>
        <w:trPr>
          <w:trHeight w:val="270"/>
        </w:trPr>
        <w:tc>
          <w:tcPr>
            <w:tcW w:w="3940" w:type="dxa"/>
            <w:vAlign w:val="bottom"/>
          </w:tcPr>
          <w:p>
            <w:pPr>
              <w:ind w:left="200"/>
              <w:spacing w:after="0"/>
              <w:rPr>
                <w:sz w:val="20"/>
                <w:szCs w:val="20"/>
                <w:color w:val="auto"/>
              </w:rPr>
            </w:pPr>
            <w:r>
              <w:rPr>
                <w:rFonts w:ascii="Arial" w:cs="Arial" w:eastAsia="Arial" w:hAnsi="Arial"/>
                <w:sz w:val="16"/>
                <w:szCs w:val="16"/>
                <w:color w:val="auto"/>
              </w:rPr>
              <w:t>Diluted</w:t>
            </w: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12,735</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12,413</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12,685</w:t>
            </w:r>
          </w:p>
        </w:tc>
        <w:tc>
          <w:tcPr>
            <w:tcW w:w="660" w:type="dxa"/>
            <w:vAlign w:val="bottom"/>
          </w:tcPr>
          <w:p>
            <w:pPr>
              <w:jc w:val="right"/>
              <w:spacing w:after="0"/>
              <w:rPr>
                <w:sz w:val="20"/>
                <w:szCs w:val="20"/>
                <w:color w:val="auto"/>
              </w:rPr>
            </w:pPr>
            <w:r>
              <w:rPr>
                <w:rFonts w:ascii="Arial" w:cs="Arial" w:eastAsia="Arial" w:hAnsi="Arial"/>
                <w:sz w:val="16"/>
                <w:szCs w:val="16"/>
                <w:color w:val="auto"/>
              </w:rPr>
              <w:t>11,275</w:t>
            </w:r>
          </w:p>
        </w:tc>
      </w:tr>
      <w:tr>
        <w:trPr>
          <w:trHeight w:val="540"/>
        </w:trPr>
        <w:tc>
          <w:tcPr>
            <w:tcW w:w="3940" w:type="dxa"/>
            <w:vAlign w:val="bottom"/>
          </w:tcPr>
          <w:p>
            <w:pPr>
              <w:spacing w:after="0"/>
              <w:rPr>
                <w:sz w:val="20"/>
                <w:szCs w:val="20"/>
                <w:color w:val="auto"/>
              </w:rPr>
            </w:pPr>
            <w:r>
              <w:rPr>
                <w:rFonts w:ascii="Arial" w:cs="Arial" w:eastAsia="Arial" w:hAnsi="Arial"/>
                <w:sz w:val="16"/>
                <w:szCs w:val="16"/>
                <w:color w:val="auto"/>
              </w:rPr>
              <w:t>Non-GAAP income per share</w:t>
            </w: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70"/>
        </w:trPr>
        <w:tc>
          <w:tcPr>
            <w:tcW w:w="3940" w:type="dxa"/>
            <w:vAlign w:val="bottom"/>
          </w:tcPr>
          <w:p>
            <w:pPr>
              <w:ind w:left="200"/>
              <w:spacing w:after="0"/>
              <w:rPr>
                <w:sz w:val="20"/>
                <w:szCs w:val="20"/>
                <w:color w:val="auto"/>
              </w:rPr>
            </w:pPr>
            <w:r>
              <w:rPr>
                <w:rFonts w:ascii="Arial" w:cs="Arial" w:eastAsia="Arial" w:hAnsi="Arial"/>
                <w:sz w:val="16"/>
                <w:szCs w:val="16"/>
                <w:color w:val="auto"/>
              </w:rPr>
              <w:t>Basic</w:t>
            </w: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$ 0.08</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$ 0.10</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$ 0.19</w:t>
            </w:r>
          </w:p>
        </w:tc>
        <w:tc>
          <w:tcPr>
            <w:tcW w:w="660" w:type="dxa"/>
            <w:vAlign w:val="bottom"/>
          </w:tcPr>
          <w:p>
            <w:pPr>
              <w:jc w:val="right"/>
              <w:spacing w:after="0"/>
              <w:rPr>
                <w:sz w:val="20"/>
                <w:szCs w:val="20"/>
                <w:color w:val="auto"/>
              </w:rPr>
            </w:pPr>
            <w:r>
              <w:rPr>
                <w:rFonts w:ascii="Arial" w:cs="Arial" w:eastAsia="Arial" w:hAnsi="Arial"/>
                <w:sz w:val="16"/>
                <w:szCs w:val="16"/>
                <w:color w:val="auto"/>
              </w:rPr>
              <w:t>$ 0.43</w:t>
            </w:r>
          </w:p>
        </w:tc>
      </w:tr>
      <w:tr>
        <w:trPr>
          <w:trHeight w:val="270"/>
        </w:trPr>
        <w:tc>
          <w:tcPr>
            <w:tcW w:w="3940" w:type="dxa"/>
            <w:vAlign w:val="bottom"/>
          </w:tcPr>
          <w:p>
            <w:pPr>
              <w:ind w:left="200"/>
              <w:spacing w:after="0"/>
              <w:rPr>
                <w:sz w:val="20"/>
                <w:szCs w:val="20"/>
                <w:color w:val="auto"/>
              </w:rPr>
            </w:pPr>
            <w:r>
              <w:rPr>
                <w:rFonts w:ascii="Arial" w:cs="Arial" w:eastAsia="Arial" w:hAnsi="Arial"/>
                <w:sz w:val="16"/>
                <w:szCs w:val="16"/>
                <w:color w:val="auto"/>
              </w:rPr>
              <w:t>Diluted</w:t>
            </w: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$ 0.07</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$ 0.09</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$ 0.18</w:t>
            </w:r>
          </w:p>
        </w:tc>
        <w:tc>
          <w:tcPr>
            <w:tcW w:w="660" w:type="dxa"/>
            <w:vAlign w:val="bottom"/>
          </w:tcPr>
          <w:p>
            <w:pPr>
              <w:jc w:val="right"/>
              <w:spacing w:after="0"/>
              <w:rPr>
                <w:sz w:val="20"/>
                <w:szCs w:val="20"/>
                <w:color w:val="auto"/>
              </w:rPr>
            </w:pPr>
            <w:r>
              <w:rPr>
                <w:rFonts w:ascii="Arial" w:cs="Arial" w:eastAsia="Arial" w:hAnsi="Arial"/>
                <w:sz w:val="16"/>
                <w:szCs w:val="16"/>
                <w:color w:val="auto"/>
              </w:rPr>
              <w:t>$ 0.26</w:t>
            </w: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This press release may contain forward-looking statements, including information about management's view of SPS Commerce's future expectations, plans and prospects, within the safe harbor provisions under The Private Securities Litigation Reform Act of 1995. These statements involve known and unknown risks, uncertainties and other factors which may cause the results of SPS Commerce to be materially different than those expressed or implied in such statements. Certain of these risk factors and others are included in documents SPS Commerce files with the Securities and Exchange Commission, including but not limited to, SPS Commerce's Annual Report on Form 10-K for the year ended December 31, 2010, as well as subsequent reports filed with the Securities and Exchange Commission. Other unknown or unpredictable factors also could have material adverse effects on SPS Commerce's future results. The forward-looking statements included in this press release are made only as of the date hereof. SPS Commerce cannot guarantee future results, levels of activity, performance or achievements. Accordingly, you should not place undue reliance on these forward-looking statements. Finally, SPS Commerce expressly disclaims any intent or obligation to update any forward-looking statements to reflect subsequent events or circumstances.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auto"/>
        </w:rPr>
        <w:t>SPS-F</w:t>
      </w: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SPS COMMERCE, INC.</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(Unaudited; in thousands, except share amounts)</w:t>
      </w:r>
    </w:p>
    <w:p>
      <w:pPr>
        <w:spacing w:after="0" w:line="336"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908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December</w:t>
            </w:r>
          </w:p>
        </w:tc>
        <w:tc>
          <w:tcPr>
            <w:tcW w:w="0" w:type="dxa"/>
            <w:vAlign w:val="bottom"/>
          </w:tcPr>
          <w:p>
            <w:pPr>
              <w:spacing w:after="0"/>
              <w:rPr>
                <w:sz w:val="1"/>
                <w:szCs w:val="1"/>
                <w:color w:val="auto"/>
              </w:rPr>
            </w:pPr>
          </w:p>
        </w:tc>
      </w:tr>
      <w:tr>
        <w:trPr>
          <w:trHeight w:val="215"/>
        </w:trPr>
        <w:tc>
          <w:tcPr>
            <w:tcW w:w="9080" w:type="dxa"/>
            <w:vAlign w:val="bottom"/>
          </w:tcPr>
          <w:p>
            <w:pPr>
              <w:spacing w:after="0"/>
              <w:rPr>
                <w:sz w:val="18"/>
                <w:szCs w:val="18"/>
                <w:color w:val="auto"/>
              </w:rPr>
            </w:pPr>
          </w:p>
        </w:tc>
        <w:tc>
          <w:tcPr>
            <w:tcW w:w="1060" w:type="dxa"/>
            <w:vAlign w:val="bottom"/>
          </w:tcPr>
          <w:p>
            <w:pPr>
              <w:jc w:val="right"/>
              <w:ind w:right="359"/>
              <w:spacing w:after="0"/>
              <w:rPr>
                <w:sz w:val="20"/>
                <w:szCs w:val="20"/>
                <w:color w:val="auto"/>
              </w:rPr>
            </w:pPr>
            <w:r>
              <w:rPr>
                <w:rFonts w:ascii="Arial" w:cs="Arial" w:eastAsia="Arial" w:hAnsi="Arial"/>
                <w:sz w:val="16"/>
                <w:szCs w:val="16"/>
                <w:b w:val="1"/>
                <w:bCs w:val="1"/>
                <w:color w:val="auto"/>
              </w:rPr>
              <w:t>30,</w:t>
            </w:r>
          </w:p>
        </w:tc>
        <w:tc>
          <w:tcPr>
            <w:tcW w:w="80" w:type="dxa"/>
            <w:vAlign w:val="bottom"/>
          </w:tcPr>
          <w:p>
            <w:pPr>
              <w:spacing w:after="0"/>
              <w:rPr>
                <w:sz w:val="18"/>
                <w:szCs w:val="18"/>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263"/>
        </w:trPr>
        <w:tc>
          <w:tcPr>
            <w:tcW w:w="9080" w:type="dxa"/>
            <w:vAlign w:val="bottom"/>
          </w:tcPr>
          <w:p>
            <w:pPr>
              <w:spacing w:after="0"/>
              <w:rPr>
                <w:sz w:val="22"/>
                <w:szCs w:val="22"/>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2011</w:t>
            </w:r>
          </w:p>
        </w:tc>
        <w:tc>
          <w:tcPr>
            <w:tcW w:w="80" w:type="dxa"/>
            <w:vAlign w:val="bottom"/>
          </w:tcPr>
          <w:p>
            <w:pPr>
              <w:spacing w:after="0"/>
              <w:rPr>
                <w:sz w:val="22"/>
                <w:szCs w:val="22"/>
                <w:color w:val="auto"/>
              </w:rPr>
            </w:pPr>
          </w:p>
        </w:tc>
        <w:tc>
          <w:tcPr>
            <w:tcW w:w="10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541"/>
        </w:trPr>
        <w:tc>
          <w:tcPr>
            <w:tcW w:w="9080" w:type="dxa"/>
            <w:vAlign w:val="bottom"/>
          </w:tcPr>
          <w:p>
            <w:pPr>
              <w:ind w:left="4180"/>
              <w:spacing w:after="0"/>
              <w:rPr>
                <w:sz w:val="20"/>
                <w:szCs w:val="20"/>
                <w:color w:val="auto"/>
              </w:rPr>
            </w:pPr>
            <w:r>
              <w:rPr>
                <w:rFonts w:ascii="Arial" w:cs="Arial" w:eastAsia="Arial" w:hAnsi="Arial"/>
                <w:sz w:val="16"/>
                <w:szCs w:val="16"/>
                <w:b w:val="1"/>
                <w:bCs w:val="1"/>
                <w:color w:val="auto"/>
              </w:rPr>
              <w:t>ASSETS</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80" w:type="dxa"/>
            <w:vAlign w:val="bottom"/>
          </w:tcPr>
          <w:p>
            <w:pPr>
              <w:spacing w:after="0"/>
              <w:rPr>
                <w:sz w:val="20"/>
                <w:szCs w:val="20"/>
                <w:color w:val="auto"/>
              </w:rPr>
            </w:pPr>
            <w:r>
              <w:rPr>
                <w:rFonts w:ascii="Arial" w:cs="Arial" w:eastAsia="Arial" w:hAnsi="Arial"/>
                <w:sz w:val="16"/>
                <w:szCs w:val="16"/>
                <w:color w:val="auto"/>
              </w:rPr>
              <w:t>CURRENT ASSETS</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08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1060" w:type="dxa"/>
            <w:vAlign w:val="bottom"/>
          </w:tcPr>
          <w:p>
            <w:pPr>
              <w:jc w:val="right"/>
              <w:spacing w:after="0"/>
              <w:rPr>
                <w:sz w:val="20"/>
                <w:szCs w:val="20"/>
                <w:color w:val="auto"/>
              </w:rPr>
            </w:pPr>
            <w:r>
              <w:rPr>
                <w:rFonts w:ascii="Arial" w:cs="Arial" w:eastAsia="Arial" w:hAnsi="Arial"/>
                <w:sz w:val="16"/>
                <w:szCs w:val="16"/>
                <w:color w:val="auto"/>
              </w:rPr>
              <w:t>$ 31,546</w:t>
            </w:r>
          </w:p>
        </w:tc>
        <w:tc>
          <w:tcPr>
            <w:tcW w:w="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$ 40,473</w:t>
            </w:r>
          </w:p>
        </w:tc>
        <w:tc>
          <w:tcPr>
            <w:tcW w:w="0" w:type="dxa"/>
            <w:vAlign w:val="bottom"/>
          </w:tcPr>
          <w:p>
            <w:pPr>
              <w:spacing w:after="0"/>
              <w:rPr>
                <w:sz w:val="1"/>
                <w:szCs w:val="1"/>
                <w:color w:val="auto"/>
              </w:rPr>
            </w:pPr>
          </w:p>
        </w:tc>
      </w:tr>
      <w:tr>
        <w:trPr>
          <w:trHeight w:val="270"/>
        </w:trPr>
        <w:tc>
          <w:tcPr>
            <w:tcW w:w="9080" w:type="dxa"/>
            <w:vAlign w:val="bottom"/>
          </w:tcPr>
          <w:p>
            <w:pPr>
              <w:ind w:left="220"/>
              <w:spacing w:after="0"/>
              <w:rPr>
                <w:sz w:val="20"/>
                <w:szCs w:val="20"/>
                <w:color w:val="auto"/>
              </w:rPr>
            </w:pPr>
            <w:r>
              <w:rPr>
                <w:rFonts w:ascii="Arial" w:cs="Arial" w:eastAsia="Arial" w:hAnsi="Arial"/>
                <w:sz w:val="16"/>
                <w:szCs w:val="16"/>
                <w:color w:val="auto"/>
              </w:rPr>
              <w:t>Accounts receivable, less allowance for doubtful accounts of $212 and $209, respectively</w:t>
            </w:r>
          </w:p>
        </w:tc>
        <w:tc>
          <w:tcPr>
            <w:tcW w:w="1060" w:type="dxa"/>
            <w:vAlign w:val="bottom"/>
          </w:tcPr>
          <w:p>
            <w:pPr>
              <w:jc w:val="right"/>
              <w:spacing w:after="0"/>
              <w:rPr>
                <w:sz w:val="20"/>
                <w:szCs w:val="20"/>
                <w:color w:val="auto"/>
              </w:rPr>
            </w:pPr>
            <w:r>
              <w:rPr>
                <w:rFonts w:ascii="Arial" w:cs="Arial" w:eastAsia="Arial" w:hAnsi="Arial"/>
                <w:sz w:val="16"/>
                <w:szCs w:val="16"/>
                <w:color w:val="auto"/>
              </w:rPr>
              <w:t>7,695</w:t>
            </w:r>
          </w:p>
        </w:tc>
        <w:tc>
          <w:tcPr>
            <w:tcW w:w="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5,574</w:t>
            </w:r>
          </w:p>
        </w:tc>
        <w:tc>
          <w:tcPr>
            <w:tcW w:w="0" w:type="dxa"/>
            <w:vAlign w:val="bottom"/>
          </w:tcPr>
          <w:p>
            <w:pPr>
              <w:spacing w:after="0"/>
              <w:rPr>
                <w:sz w:val="1"/>
                <w:szCs w:val="1"/>
                <w:color w:val="auto"/>
              </w:rPr>
            </w:pPr>
          </w:p>
        </w:tc>
      </w:tr>
      <w:tr>
        <w:trPr>
          <w:trHeight w:val="270"/>
        </w:trPr>
        <w:tc>
          <w:tcPr>
            <w:tcW w:w="9080" w:type="dxa"/>
            <w:vAlign w:val="bottom"/>
          </w:tcPr>
          <w:p>
            <w:pPr>
              <w:ind w:left="220"/>
              <w:spacing w:after="0"/>
              <w:rPr>
                <w:sz w:val="20"/>
                <w:szCs w:val="20"/>
                <w:color w:val="auto"/>
              </w:rPr>
            </w:pPr>
            <w:r>
              <w:rPr>
                <w:rFonts w:ascii="Arial" w:cs="Arial" w:eastAsia="Arial" w:hAnsi="Arial"/>
                <w:sz w:val="16"/>
                <w:szCs w:val="16"/>
                <w:color w:val="auto"/>
              </w:rPr>
              <w:t>Deferred costs, current</w:t>
            </w:r>
          </w:p>
        </w:tc>
        <w:tc>
          <w:tcPr>
            <w:tcW w:w="1060" w:type="dxa"/>
            <w:vAlign w:val="bottom"/>
          </w:tcPr>
          <w:p>
            <w:pPr>
              <w:jc w:val="right"/>
              <w:spacing w:after="0"/>
              <w:rPr>
                <w:sz w:val="20"/>
                <w:szCs w:val="20"/>
                <w:color w:val="auto"/>
              </w:rPr>
            </w:pPr>
            <w:r>
              <w:rPr>
                <w:rFonts w:ascii="Arial" w:cs="Arial" w:eastAsia="Arial" w:hAnsi="Arial"/>
                <w:sz w:val="16"/>
                <w:szCs w:val="16"/>
                <w:color w:val="auto"/>
              </w:rPr>
              <w:t>5,486</w:t>
            </w:r>
          </w:p>
        </w:tc>
        <w:tc>
          <w:tcPr>
            <w:tcW w:w="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4,720</w:t>
            </w:r>
          </w:p>
        </w:tc>
        <w:tc>
          <w:tcPr>
            <w:tcW w:w="0" w:type="dxa"/>
            <w:vAlign w:val="bottom"/>
          </w:tcPr>
          <w:p>
            <w:pPr>
              <w:spacing w:after="0"/>
              <w:rPr>
                <w:sz w:val="1"/>
                <w:szCs w:val="1"/>
                <w:color w:val="auto"/>
              </w:rPr>
            </w:pPr>
          </w:p>
        </w:tc>
      </w:tr>
      <w:tr>
        <w:trPr>
          <w:trHeight w:val="263"/>
        </w:trPr>
        <w:tc>
          <w:tcPr>
            <w:tcW w:w="908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1,233</w:t>
            </w:r>
          </w:p>
        </w:tc>
        <w:tc>
          <w:tcPr>
            <w:tcW w:w="8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w:t>
            </w:r>
          </w:p>
        </w:tc>
        <w:tc>
          <w:tcPr>
            <w:tcW w:w="0" w:type="dxa"/>
            <w:vAlign w:val="bottom"/>
          </w:tcPr>
          <w:p>
            <w:pPr>
              <w:spacing w:after="0"/>
              <w:rPr>
                <w:sz w:val="1"/>
                <w:szCs w:val="1"/>
                <w:color w:val="auto"/>
              </w:rPr>
            </w:pPr>
          </w:p>
        </w:tc>
      </w:tr>
      <w:tr>
        <w:trPr>
          <w:trHeight w:val="271"/>
        </w:trPr>
        <w:tc>
          <w:tcPr>
            <w:tcW w:w="9080" w:type="dxa"/>
            <w:vAlign w:val="bottom"/>
          </w:tcPr>
          <w:p>
            <w:pPr>
              <w:ind w:left="420"/>
              <w:spacing w:after="0"/>
              <w:rPr>
                <w:sz w:val="20"/>
                <w:szCs w:val="20"/>
                <w:color w:val="auto"/>
              </w:rPr>
            </w:pPr>
            <w:r>
              <w:rPr>
                <w:rFonts w:ascii="Arial" w:cs="Arial" w:eastAsia="Arial" w:hAnsi="Arial"/>
                <w:sz w:val="16"/>
                <w:szCs w:val="16"/>
                <w:color w:val="auto"/>
              </w:rPr>
              <w:t>Total current assets</w:t>
            </w:r>
          </w:p>
        </w:tc>
        <w:tc>
          <w:tcPr>
            <w:tcW w:w="1060" w:type="dxa"/>
            <w:vAlign w:val="bottom"/>
          </w:tcPr>
          <w:p>
            <w:pPr>
              <w:jc w:val="right"/>
              <w:spacing w:after="0"/>
              <w:rPr>
                <w:sz w:val="20"/>
                <w:szCs w:val="20"/>
                <w:color w:val="auto"/>
              </w:rPr>
            </w:pPr>
            <w:r>
              <w:rPr>
                <w:rFonts w:ascii="Arial" w:cs="Arial" w:eastAsia="Arial" w:hAnsi="Arial"/>
                <w:sz w:val="16"/>
                <w:szCs w:val="16"/>
                <w:color w:val="auto"/>
              </w:rPr>
              <w:t>45,960</w:t>
            </w:r>
          </w:p>
        </w:tc>
        <w:tc>
          <w:tcPr>
            <w:tcW w:w="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51,641</w:t>
            </w:r>
          </w:p>
        </w:tc>
        <w:tc>
          <w:tcPr>
            <w:tcW w:w="0" w:type="dxa"/>
            <w:vAlign w:val="bottom"/>
          </w:tcPr>
          <w:p>
            <w:pPr>
              <w:spacing w:after="0"/>
              <w:rPr>
                <w:sz w:val="1"/>
                <w:szCs w:val="1"/>
                <w:color w:val="auto"/>
              </w:rPr>
            </w:pPr>
          </w:p>
        </w:tc>
      </w:tr>
      <w:tr>
        <w:trPr>
          <w:trHeight w:val="270"/>
        </w:trPr>
        <w:tc>
          <w:tcPr>
            <w:tcW w:w="908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060" w:type="dxa"/>
            <w:vAlign w:val="bottom"/>
          </w:tcPr>
          <w:p>
            <w:pPr>
              <w:jc w:val="right"/>
              <w:spacing w:after="0"/>
              <w:rPr>
                <w:sz w:val="20"/>
                <w:szCs w:val="20"/>
                <w:color w:val="auto"/>
              </w:rPr>
            </w:pPr>
            <w:r>
              <w:rPr>
                <w:rFonts w:ascii="Arial" w:cs="Arial" w:eastAsia="Arial" w:hAnsi="Arial"/>
                <w:sz w:val="16"/>
                <w:szCs w:val="16"/>
                <w:color w:val="auto"/>
              </w:rPr>
              <w:t>3,082</w:t>
            </w:r>
          </w:p>
        </w:tc>
        <w:tc>
          <w:tcPr>
            <w:tcW w:w="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2,760</w:t>
            </w:r>
          </w:p>
        </w:tc>
        <w:tc>
          <w:tcPr>
            <w:tcW w:w="0" w:type="dxa"/>
            <w:vAlign w:val="bottom"/>
          </w:tcPr>
          <w:p>
            <w:pPr>
              <w:spacing w:after="0"/>
              <w:rPr>
                <w:sz w:val="1"/>
                <w:szCs w:val="1"/>
                <w:color w:val="auto"/>
              </w:rPr>
            </w:pPr>
          </w:p>
        </w:tc>
      </w:tr>
      <w:tr>
        <w:trPr>
          <w:trHeight w:val="270"/>
        </w:trPr>
        <w:tc>
          <w:tcPr>
            <w:tcW w:w="9080" w:type="dxa"/>
            <w:vAlign w:val="bottom"/>
          </w:tcPr>
          <w:p>
            <w:pPr>
              <w:spacing w:after="0"/>
              <w:rPr>
                <w:sz w:val="20"/>
                <w:szCs w:val="20"/>
                <w:color w:val="auto"/>
              </w:rPr>
            </w:pPr>
            <w:r>
              <w:rPr>
                <w:rFonts w:ascii="Arial" w:cs="Arial" w:eastAsia="Arial" w:hAnsi="Arial"/>
                <w:sz w:val="16"/>
                <w:szCs w:val="16"/>
                <w:color w:val="auto"/>
              </w:rPr>
              <w:t>GOODWILL</w:t>
            </w:r>
          </w:p>
        </w:tc>
        <w:tc>
          <w:tcPr>
            <w:tcW w:w="1060" w:type="dxa"/>
            <w:vAlign w:val="bottom"/>
          </w:tcPr>
          <w:p>
            <w:pPr>
              <w:jc w:val="right"/>
              <w:spacing w:after="0"/>
              <w:rPr>
                <w:sz w:val="20"/>
                <w:szCs w:val="20"/>
                <w:color w:val="auto"/>
              </w:rPr>
            </w:pPr>
            <w:r>
              <w:rPr>
                <w:rFonts w:ascii="Arial" w:cs="Arial" w:eastAsia="Arial" w:hAnsi="Arial"/>
                <w:sz w:val="16"/>
                <w:szCs w:val="16"/>
                <w:color w:val="auto"/>
              </w:rPr>
              <w:t>5,877</w:t>
            </w:r>
          </w:p>
        </w:tc>
        <w:tc>
          <w:tcPr>
            <w:tcW w:w="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1,166</w:t>
            </w:r>
          </w:p>
        </w:tc>
        <w:tc>
          <w:tcPr>
            <w:tcW w:w="0" w:type="dxa"/>
            <w:vAlign w:val="bottom"/>
          </w:tcPr>
          <w:p>
            <w:pPr>
              <w:spacing w:after="0"/>
              <w:rPr>
                <w:sz w:val="1"/>
                <w:szCs w:val="1"/>
                <w:color w:val="auto"/>
              </w:rPr>
            </w:pPr>
          </w:p>
        </w:tc>
      </w:tr>
      <w:tr>
        <w:trPr>
          <w:trHeight w:val="270"/>
        </w:trPr>
        <w:tc>
          <w:tcPr>
            <w:tcW w:w="9080" w:type="dxa"/>
            <w:vAlign w:val="bottom"/>
          </w:tcPr>
          <w:p>
            <w:pPr>
              <w:spacing w:after="0"/>
              <w:rPr>
                <w:sz w:val="20"/>
                <w:szCs w:val="20"/>
                <w:color w:val="auto"/>
              </w:rPr>
            </w:pPr>
            <w:r>
              <w:rPr>
                <w:rFonts w:ascii="Arial" w:cs="Arial" w:eastAsia="Arial" w:hAnsi="Arial"/>
                <w:sz w:val="16"/>
                <w:szCs w:val="16"/>
                <w:color w:val="auto"/>
              </w:rPr>
              <w:t>INTANGIBLE ASSETS, net</w:t>
            </w:r>
          </w:p>
        </w:tc>
        <w:tc>
          <w:tcPr>
            <w:tcW w:w="1060" w:type="dxa"/>
            <w:vAlign w:val="bottom"/>
          </w:tcPr>
          <w:p>
            <w:pPr>
              <w:jc w:val="right"/>
              <w:spacing w:after="0"/>
              <w:rPr>
                <w:sz w:val="20"/>
                <w:szCs w:val="20"/>
                <w:color w:val="auto"/>
              </w:rPr>
            </w:pPr>
            <w:r>
              <w:rPr>
                <w:rFonts w:ascii="Arial" w:cs="Arial" w:eastAsia="Arial" w:hAnsi="Arial"/>
                <w:sz w:val="16"/>
                <w:szCs w:val="16"/>
                <w:color w:val="auto"/>
              </w:rPr>
              <w:t>6,027</w:t>
            </w:r>
          </w:p>
        </w:tc>
        <w:tc>
          <w:tcPr>
            <w:tcW w:w="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70"/>
        </w:trPr>
        <w:tc>
          <w:tcPr>
            <w:tcW w:w="9080" w:type="dxa"/>
            <w:vAlign w:val="bottom"/>
          </w:tcPr>
          <w:p>
            <w:pPr>
              <w:spacing w:after="0"/>
              <w:rPr>
                <w:sz w:val="20"/>
                <w:szCs w:val="20"/>
                <w:color w:val="auto"/>
              </w:rPr>
            </w:pPr>
            <w:r>
              <w:rPr>
                <w:rFonts w:ascii="Arial" w:cs="Arial" w:eastAsia="Arial" w:hAnsi="Arial"/>
                <w:sz w:val="16"/>
                <w:szCs w:val="16"/>
                <w:color w:val="auto"/>
              </w:rPr>
              <w:t>OTHER ASSETS</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80" w:type="dxa"/>
            <w:vAlign w:val="bottom"/>
          </w:tcPr>
          <w:p>
            <w:pPr>
              <w:ind w:left="220"/>
              <w:spacing w:after="0"/>
              <w:rPr>
                <w:sz w:val="20"/>
                <w:szCs w:val="20"/>
                <w:color w:val="auto"/>
              </w:rPr>
            </w:pPr>
            <w:r>
              <w:rPr>
                <w:rFonts w:ascii="Arial" w:cs="Arial" w:eastAsia="Arial" w:hAnsi="Arial"/>
                <w:sz w:val="16"/>
                <w:szCs w:val="16"/>
                <w:color w:val="auto"/>
              </w:rPr>
              <w:t>Deferred costs, net of current portion</w:t>
            </w:r>
          </w:p>
        </w:tc>
        <w:tc>
          <w:tcPr>
            <w:tcW w:w="1060" w:type="dxa"/>
            <w:vAlign w:val="bottom"/>
          </w:tcPr>
          <w:p>
            <w:pPr>
              <w:jc w:val="right"/>
              <w:spacing w:after="0"/>
              <w:rPr>
                <w:sz w:val="20"/>
                <w:szCs w:val="20"/>
                <w:color w:val="auto"/>
              </w:rPr>
            </w:pPr>
            <w:r>
              <w:rPr>
                <w:rFonts w:ascii="Arial" w:cs="Arial" w:eastAsia="Arial" w:hAnsi="Arial"/>
                <w:sz w:val="16"/>
                <w:szCs w:val="16"/>
                <w:color w:val="auto"/>
              </w:rPr>
              <w:t>2,396</w:t>
            </w:r>
          </w:p>
        </w:tc>
        <w:tc>
          <w:tcPr>
            <w:tcW w:w="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1,943</w:t>
            </w:r>
          </w:p>
        </w:tc>
        <w:tc>
          <w:tcPr>
            <w:tcW w:w="0" w:type="dxa"/>
            <w:vAlign w:val="bottom"/>
          </w:tcPr>
          <w:p>
            <w:pPr>
              <w:spacing w:after="0"/>
              <w:rPr>
                <w:sz w:val="1"/>
                <w:szCs w:val="1"/>
                <w:color w:val="auto"/>
              </w:rPr>
            </w:pPr>
          </w:p>
        </w:tc>
      </w:tr>
      <w:tr>
        <w:trPr>
          <w:trHeight w:val="263"/>
        </w:trPr>
        <w:tc>
          <w:tcPr>
            <w:tcW w:w="9080" w:type="dxa"/>
            <w:vAlign w:val="bottom"/>
          </w:tcPr>
          <w:p>
            <w:pPr>
              <w:ind w:left="220"/>
              <w:spacing w:after="0"/>
              <w:rPr>
                <w:sz w:val="20"/>
                <w:szCs w:val="20"/>
                <w:color w:val="auto"/>
              </w:rPr>
            </w:pPr>
            <w:r>
              <w:rPr>
                <w:rFonts w:ascii="Arial" w:cs="Arial" w:eastAsia="Arial" w:hAnsi="Arial"/>
                <w:sz w:val="16"/>
                <w:szCs w:val="16"/>
                <w:color w:val="auto"/>
              </w:rPr>
              <w:t>Other non-current assets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8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64"/>
        </w:trPr>
        <w:tc>
          <w:tcPr>
            <w:tcW w:w="908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$ 63,422</w:t>
            </w:r>
          </w:p>
        </w:tc>
        <w:tc>
          <w:tcPr>
            <w:tcW w:w="8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$ 57,880</w:t>
            </w:r>
          </w:p>
        </w:tc>
        <w:tc>
          <w:tcPr>
            <w:tcW w:w="0" w:type="dxa"/>
            <w:vAlign w:val="bottom"/>
          </w:tcPr>
          <w:p>
            <w:pPr>
              <w:spacing w:after="0"/>
              <w:rPr>
                <w:sz w:val="1"/>
                <w:szCs w:val="1"/>
                <w:color w:val="auto"/>
              </w:rPr>
            </w:pPr>
          </w:p>
        </w:tc>
      </w:tr>
      <w:tr>
        <w:trPr>
          <w:trHeight w:val="20"/>
        </w:trPr>
        <w:tc>
          <w:tcPr>
            <w:tcW w:w="9080" w:type="dxa"/>
            <w:vAlign w:val="bottom"/>
            <w:vMerge w:val="restart"/>
          </w:tcPr>
          <w:p>
            <w:pPr>
              <w:ind w:left="2800"/>
              <w:spacing w:after="0"/>
              <w:rPr>
                <w:sz w:val="20"/>
                <w:szCs w:val="20"/>
                <w:color w:val="auto"/>
              </w:rPr>
            </w:pPr>
            <w:r>
              <w:rPr>
                <w:rFonts w:ascii="Arial" w:cs="Arial" w:eastAsia="Arial" w:hAnsi="Arial"/>
                <w:sz w:val="16"/>
                <w:szCs w:val="16"/>
                <w:b w:val="1"/>
                <w:bCs w:val="1"/>
                <w:color w:val="auto"/>
              </w:rPr>
              <w:t>LIABILITIES AND STOCKHOLDERS' EQUITY</w:t>
            </w: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90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80" w:type="dxa"/>
            <w:vAlign w:val="bottom"/>
          </w:tcPr>
          <w:p>
            <w:pPr>
              <w:spacing w:after="0"/>
              <w:rPr>
                <w:sz w:val="20"/>
                <w:szCs w:val="20"/>
                <w:color w:val="auto"/>
              </w:rPr>
            </w:pPr>
            <w:r>
              <w:rPr>
                <w:rFonts w:ascii="Arial" w:cs="Arial" w:eastAsia="Arial" w:hAnsi="Arial"/>
                <w:sz w:val="16"/>
                <w:szCs w:val="16"/>
                <w:color w:val="auto"/>
              </w:rPr>
              <w:t>CURRENT LIABILITIES</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080" w:type="dxa"/>
            <w:vAlign w:val="bottom"/>
          </w:tcPr>
          <w:p>
            <w:pPr>
              <w:ind w:left="220"/>
              <w:spacing w:after="0"/>
              <w:rPr>
                <w:sz w:val="20"/>
                <w:szCs w:val="20"/>
                <w:color w:val="auto"/>
              </w:rPr>
            </w:pPr>
            <w:r>
              <w:rPr>
                <w:rFonts w:ascii="Arial" w:cs="Arial" w:eastAsia="Arial" w:hAnsi="Arial"/>
                <w:sz w:val="16"/>
                <w:szCs w:val="16"/>
                <w:color w:val="auto"/>
              </w:rPr>
              <w:t>Capital lease obligations, current</w:t>
            </w:r>
          </w:p>
        </w:tc>
        <w:tc>
          <w:tcPr>
            <w:tcW w:w="1060" w:type="dxa"/>
            <w:vAlign w:val="bottom"/>
          </w:tcPr>
          <w:p>
            <w:pPr>
              <w:jc w:val="right"/>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$ 122</w:t>
            </w:r>
          </w:p>
        </w:tc>
        <w:tc>
          <w:tcPr>
            <w:tcW w:w="0" w:type="dxa"/>
            <w:vAlign w:val="bottom"/>
          </w:tcPr>
          <w:p>
            <w:pPr>
              <w:spacing w:after="0"/>
              <w:rPr>
                <w:sz w:val="1"/>
                <w:szCs w:val="1"/>
                <w:color w:val="auto"/>
              </w:rPr>
            </w:pPr>
          </w:p>
        </w:tc>
      </w:tr>
      <w:tr>
        <w:trPr>
          <w:trHeight w:val="270"/>
        </w:trPr>
        <w:tc>
          <w:tcPr>
            <w:tcW w:w="908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060" w:type="dxa"/>
            <w:vAlign w:val="bottom"/>
          </w:tcPr>
          <w:p>
            <w:pPr>
              <w:jc w:val="right"/>
              <w:spacing w:after="0"/>
              <w:rPr>
                <w:sz w:val="20"/>
                <w:szCs w:val="20"/>
                <w:color w:val="auto"/>
              </w:rPr>
            </w:pPr>
            <w:r>
              <w:rPr>
                <w:rFonts w:ascii="Arial" w:cs="Arial" w:eastAsia="Arial" w:hAnsi="Arial"/>
                <w:sz w:val="16"/>
                <w:szCs w:val="16"/>
                <w:color w:val="auto"/>
              </w:rPr>
              <w:t>1,387</w:t>
            </w:r>
          </w:p>
        </w:tc>
        <w:tc>
          <w:tcPr>
            <w:tcW w:w="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r>
        <w:trPr>
          <w:trHeight w:val="270"/>
        </w:trPr>
        <w:tc>
          <w:tcPr>
            <w:tcW w:w="9080" w:type="dxa"/>
            <w:vAlign w:val="bottom"/>
          </w:tcPr>
          <w:p>
            <w:pPr>
              <w:ind w:left="220"/>
              <w:spacing w:after="0"/>
              <w:rPr>
                <w:sz w:val="20"/>
                <w:szCs w:val="20"/>
                <w:color w:val="auto"/>
              </w:rPr>
            </w:pPr>
            <w:r>
              <w:rPr>
                <w:rFonts w:ascii="Arial" w:cs="Arial" w:eastAsia="Arial" w:hAnsi="Arial"/>
                <w:sz w:val="16"/>
                <w:szCs w:val="16"/>
                <w:color w:val="auto"/>
              </w:rPr>
              <w:t>Accrued compensation and benefits</w:t>
            </w:r>
          </w:p>
        </w:tc>
        <w:tc>
          <w:tcPr>
            <w:tcW w:w="1060" w:type="dxa"/>
            <w:vAlign w:val="bottom"/>
          </w:tcPr>
          <w:p>
            <w:pPr>
              <w:jc w:val="right"/>
              <w:spacing w:after="0"/>
              <w:rPr>
                <w:sz w:val="20"/>
                <w:szCs w:val="20"/>
                <w:color w:val="auto"/>
              </w:rPr>
            </w:pPr>
            <w:r>
              <w:rPr>
                <w:rFonts w:ascii="Arial" w:cs="Arial" w:eastAsia="Arial" w:hAnsi="Arial"/>
                <w:sz w:val="16"/>
                <w:szCs w:val="16"/>
                <w:color w:val="auto"/>
              </w:rPr>
              <w:t>5,189</w:t>
            </w:r>
          </w:p>
        </w:tc>
        <w:tc>
          <w:tcPr>
            <w:tcW w:w="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3,577</w:t>
            </w:r>
          </w:p>
        </w:tc>
        <w:tc>
          <w:tcPr>
            <w:tcW w:w="0" w:type="dxa"/>
            <w:vAlign w:val="bottom"/>
          </w:tcPr>
          <w:p>
            <w:pPr>
              <w:spacing w:after="0"/>
              <w:rPr>
                <w:sz w:val="1"/>
                <w:szCs w:val="1"/>
                <w:color w:val="auto"/>
              </w:rPr>
            </w:pPr>
          </w:p>
        </w:tc>
      </w:tr>
      <w:tr>
        <w:trPr>
          <w:trHeight w:val="270"/>
        </w:trPr>
        <w:tc>
          <w:tcPr>
            <w:tcW w:w="9080" w:type="dxa"/>
            <w:vAlign w:val="bottom"/>
          </w:tcPr>
          <w:p>
            <w:pPr>
              <w:ind w:left="220"/>
              <w:spacing w:after="0"/>
              <w:rPr>
                <w:sz w:val="20"/>
                <w:szCs w:val="20"/>
                <w:color w:val="auto"/>
              </w:rPr>
            </w:pPr>
            <w:r>
              <w:rPr>
                <w:rFonts w:ascii="Arial" w:cs="Arial" w:eastAsia="Arial" w:hAnsi="Arial"/>
                <w:sz w:val="16"/>
                <w:szCs w:val="16"/>
                <w:color w:val="auto"/>
              </w:rPr>
              <w:t>Accrued expenses and other current liabilities</w:t>
            </w:r>
          </w:p>
        </w:tc>
        <w:tc>
          <w:tcPr>
            <w:tcW w:w="1060" w:type="dxa"/>
            <w:vAlign w:val="bottom"/>
          </w:tcPr>
          <w:p>
            <w:pPr>
              <w:jc w:val="right"/>
              <w:spacing w:after="0"/>
              <w:rPr>
                <w:sz w:val="20"/>
                <w:szCs w:val="20"/>
                <w:color w:val="auto"/>
              </w:rPr>
            </w:pPr>
            <w:r>
              <w:rPr>
                <w:rFonts w:ascii="Arial" w:cs="Arial" w:eastAsia="Arial" w:hAnsi="Arial"/>
                <w:sz w:val="16"/>
                <w:szCs w:val="16"/>
                <w:color w:val="auto"/>
              </w:rPr>
              <w:t>1,126</w:t>
            </w:r>
          </w:p>
        </w:tc>
        <w:tc>
          <w:tcPr>
            <w:tcW w:w="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807</w:t>
            </w:r>
          </w:p>
        </w:tc>
        <w:tc>
          <w:tcPr>
            <w:tcW w:w="0" w:type="dxa"/>
            <w:vAlign w:val="bottom"/>
          </w:tcPr>
          <w:p>
            <w:pPr>
              <w:spacing w:after="0"/>
              <w:rPr>
                <w:sz w:val="1"/>
                <w:szCs w:val="1"/>
                <w:color w:val="auto"/>
              </w:rPr>
            </w:pPr>
          </w:p>
        </w:tc>
      </w:tr>
      <w:tr>
        <w:trPr>
          <w:trHeight w:val="263"/>
        </w:trPr>
        <w:tc>
          <w:tcPr>
            <w:tcW w:w="9080" w:type="dxa"/>
            <w:vAlign w:val="bottom"/>
          </w:tcPr>
          <w:p>
            <w:pPr>
              <w:ind w:left="220"/>
              <w:spacing w:after="0"/>
              <w:rPr>
                <w:sz w:val="20"/>
                <w:szCs w:val="20"/>
                <w:color w:val="auto"/>
              </w:rPr>
            </w:pPr>
            <w:r>
              <w:rPr>
                <w:rFonts w:ascii="Arial" w:cs="Arial" w:eastAsia="Arial" w:hAnsi="Arial"/>
                <w:sz w:val="16"/>
                <w:szCs w:val="16"/>
                <w:color w:val="auto"/>
              </w:rPr>
              <w:t>Deferred revenue, current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3,806</w:t>
            </w:r>
          </w:p>
        </w:tc>
        <w:tc>
          <w:tcPr>
            <w:tcW w:w="8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3,585</w:t>
            </w:r>
          </w:p>
        </w:tc>
        <w:tc>
          <w:tcPr>
            <w:tcW w:w="0" w:type="dxa"/>
            <w:vAlign w:val="bottom"/>
          </w:tcPr>
          <w:p>
            <w:pPr>
              <w:spacing w:after="0"/>
              <w:rPr>
                <w:sz w:val="1"/>
                <w:szCs w:val="1"/>
                <w:color w:val="auto"/>
              </w:rPr>
            </w:pPr>
          </w:p>
        </w:tc>
      </w:tr>
      <w:tr>
        <w:trPr>
          <w:trHeight w:val="271"/>
        </w:trPr>
        <w:tc>
          <w:tcPr>
            <w:tcW w:w="9080" w:type="dxa"/>
            <w:vAlign w:val="bottom"/>
          </w:tcPr>
          <w:p>
            <w:pPr>
              <w:ind w:left="420"/>
              <w:spacing w:after="0"/>
              <w:rPr>
                <w:sz w:val="20"/>
                <w:szCs w:val="20"/>
                <w:color w:val="auto"/>
              </w:rPr>
            </w:pPr>
            <w:r>
              <w:rPr>
                <w:rFonts w:ascii="Arial" w:cs="Arial" w:eastAsia="Arial" w:hAnsi="Arial"/>
                <w:sz w:val="16"/>
                <w:szCs w:val="16"/>
                <w:color w:val="auto"/>
              </w:rPr>
              <w:t>Total current liabilities</w:t>
            </w:r>
          </w:p>
        </w:tc>
        <w:tc>
          <w:tcPr>
            <w:tcW w:w="1060" w:type="dxa"/>
            <w:vAlign w:val="bottom"/>
          </w:tcPr>
          <w:p>
            <w:pPr>
              <w:jc w:val="right"/>
              <w:spacing w:after="0"/>
              <w:rPr>
                <w:sz w:val="20"/>
                <w:szCs w:val="20"/>
                <w:color w:val="auto"/>
              </w:rPr>
            </w:pPr>
            <w:r>
              <w:rPr>
                <w:rFonts w:ascii="Arial" w:cs="Arial" w:eastAsia="Arial" w:hAnsi="Arial"/>
                <w:sz w:val="16"/>
                <w:szCs w:val="16"/>
                <w:color w:val="auto"/>
              </w:rPr>
              <w:t>11,508</w:t>
            </w:r>
          </w:p>
        </w:tc>
        <w:tc>
          <w:tcPr>
            <w:tcW w:w="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9,089</w:t>
            </w:r>
          </w:p>
        </w:tc>
        <w:tc>
          <w:tcPr>
            <w:tcW w:w="0" w:type="dxa"/>
            <w:vAlign w:val="bottom"/>
          </w:tcPr>
          <w:p>
            <w:pPr>
              <w:spacing w:after="0"/>
              <w:rPr>
                <w:sz w:val="1"/>
                <w:szCs w:val="1"/>
                <w:color w:val="auto"/>
              </w:rPr>
            </w:pPr>
          </w:p>
        </w:tc>
      </w:tr>
      <w:tr>
        <w:trPr>
          <w:trHeight w:val="540"/>
        </w:trPr>
        <w:tc>
          <w:tcPr>
            <w:tcW w:w="9080" w:type="dxa"/>
            <w:vAlign w:val="bottom"/>
          </w:tcPr>
          <w:p>
            <w:pPr>
              <w:spacing w:after="0"/>
              <w:rPr>
                <w:sz w:val="20"/>
                <w:szCs w:val="20"/>
                <w:color w:val="auto"/>
              </w:rPr>
            </w:pPr>
            <w:r>
              <w:rPr>
                <w:rFonts w:ascii="Arial" w:cs="Arial" w:eastAsia="Arial" w:hAnsi="Arial"/>
                <w:sz w:val="16"/>
                <w:szCs w:val="16"/>
                <w:color w:val="auto"/>
              </w:rPr>
              <w:t>OTHER LIABILITIES</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080" w:type="dxa"/>
            <w:vAlign w:val="bottom"/>
          </w:tcPr>
          <w:p>
            <w:pPr>
              <w:ind w:left="220"/>
              <w:spacing w:after="0"/>
              <w:rPr>
                <w:sz w:val="20"/>
                <w:szCs w:val="20"/>
                <w:color w:val="auto"/>
              </w:rPr>
            </w:pPr>
            <w:r>
              <w:rPr>
                <w:rFonts w:ascii="Arial" w:cs="Arial" w:eastAsia="Arial" w:hAnsi="Arial"/>
                <w:sz w:val="16"/>
                <w:szCs w:val="16"/>
                <w:color w:val="auto"/>
              </w:rPr>
              <w:t>Deferred revenue, less current portion</w:t>
            </w:r>
          </w:p>
        </w:tc>
        <w:tc>
          <w:tcPr>
            <w:tcW w:w="1060" w:type="dxa"/>
            <w:vAlign w:val="bottom"/>
          </w:tcPr>
          <w:p>
            <w:pPr>
              <w:jc w:val="right"/>
              <w:spacing w:after="0"/>
              <w:rPr>
                <w:sz w:val="20"/>
                <w:szCs w:val="20"/>
                <w:color w:val="auto"/>
              </w:rPr>
            </w:pPr>
            <w:r>
              <w:rPr>
                <w:rFonts w:ascii="Arial" w:cs="Arial" w:eastAsia="Arial" w:hAnsi="Arial"/>
                <w:sz w:val="16"/>
                <w:szCs w:val="16"/>
                <w:color w:val="auto"/>
              </w:rPr>
              <w:t>6,104</w:t>
            </w:r>
          </w:p>
        </w:tc>
        <w:tc>
          <w:tcPr>
            <w:tcW w:w="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5,002</w:t>
            </w:r>
          </w:p>
        </w:tc>
        <w:tc>
          <w:tcPr>
            <w:tcW w:w="0" w:type="dxa"/>
            <w:vAlign w:val="bottom"/>
          </w:tcPr>
          <w:p>
            <w:pPr>
              <w:spacing w:after="0"/>
              <w:rPr>
                <w:sz w:val="1"/>
                <w:szCs w:val="1"/>
                <w:color w:val="auto"/>
              </w:rPr>
            </w:pPr>
          </w:p>
        </w:tc>
      </w:tr>
      <w:tr>
        <w:trPr>
          <w:trHeight w:val="263"/>
        </w:trPr>
        <w:tc>
          <w:tcPr>
            <w:tcW w:w="9080" w:type="dxa"/>
            <w:vAlign w:val="bottom"/>
          </w:tcPr>
          <w:p>
            <w:pPr>
              <w:ind w:left="220"/>
              <w:spacing w:after="0"/>
              <w:rPr>
                <w:sz w:val="20"/>
                <w:szCs w:val="20"/>
                <w:color w:val="auto"/>
              </w:rPr>
            </w:pPr>
            <w:r>
              <w:rPr>
                <w:rFonts w:ascii="Arial" w:cs="Arial" w:eastAsia="Arial" w:hAnsi="Arial"/>
                <w:sz w:val="16"/>
                <w:szCs w:val="16"/>
                <w:color w:val="auto"/>
              </w:rPr>
              <w:t>Other non-current liabilities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8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bl>
    <w:p>
      <w:pPr>
        <w:sectPr>
          <w:pgSz w:w="11900" w:h="16838" w:orient="portrait"/>
          <w:cols w:equalWidth="0" w:num="1">
            <w:col w:w="11360"/>
          </w:cols>
          <w:pgMar w:left="240" w:top="411" w:right="29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00" w:type="dxa"/>
            <w:vAlign w:val="bottom"/>
          </w:tcPr>
          <w:p>
            <w:pPr>
              <w:ind w:left="420"/>
              <w:spacing w:after="0"/>
              <w:rPr>
                <w:sz w:val="20"/>
                <w:szCs w:val="20"/>
                <w:color w:val="auto"/>
              </w:rPr>
            </w:pPr>
            <w:r>
              <w:rPr>
                <w:rFonts w:ascii="Arial" w:cs="Arial" w:eastAsia="Arial" w:hAnsi="Arial"/>
                <w:sz w:val="16"/>
                <w:szCs w:val="16"/>
                <w:color w:val="auto"/>
              </w:rPr>
              <w:t>Total liabilities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color w:val="auto"/>
              </w:rPr>
              <w:t>17,837</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14,372</w:t>
            </w:r>
          </w:p>
        </w:tc>
        <w:tc>
          <w:tcPr>
            <w:tcW w:w="0" w:type="dxa"/>
            <w:vAlign w:val="bottom"/>
          </w:tcPr>
          <w:p>
            <w:pPr>
              <w:spacing w:after="0"/>
              <w:rPr>
                <w:sz w:val="1"/>
                <w:szCs w:val="1"/>
                <w:color w:val="auto"/>
              </w:rPr>
            </w:pPr>
          </w:p>
        </w:tc>
      </w:tr>
      <w:tr>
        <w:trPr>
          <w:trHeight w:val="541"/>
        </w:trPr>
        <w:tc>
          <w:tcPr>
            <w:tcW w:w="550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500" w:type="dxa"/>
            <w:vAlign w:val="bottom"/>
          </w:tcPr>
          <w:p>
            <w:pPr>
              <w:spacing w:after="0"/>
              <w:rPr>
                <w:sz w:val="20"/>
                <w:szCs w:val="20"/>
                <w:color w:val="auto"/>
              </w:rPr>
            </w:pPr>
            <w:r>
              <w:rPr>
                <w:rFonts w:ascii="Arial" w:cs="Arial" w:eastAsia="Arial" w:hAnsi="Arial"/>
                <w:sz w:val="16"/>
                <w:szCs w:val="16"/>
                <w:color w:val="auto"/>
              </w:rPr>
              <w:t>STOCKHOLDERS' EQUITY</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80" w:type="dxa"/>
            <w:vAlign w:val="bottom"/>
            <w:gridSpan w:val="5"/>
          </w:tcPr>
          <w:p>
            <w:pPr>
              <w:ind w:left="220"/>
              <w:spacing w:after="0"/>
              <w:rPr>
                <w:sz w:val="20"/>
                <w:szCs w:val="20"/>
                <w:color w:val="auto"/>
              </w:rPr>
            </w:pPr>
            <w:r>
              <w:rPr>
                <w:rFonts w:ascii="Arial" w:cs="Arial" w:eastAsia="Arial" w:hAnsi="Arial"/>
                <w:sz w:val="16"/>
                <w:szCs w:val="16"/>
                <w:color w:val="auto"/>
              </w:rPr>
              <w:t>Preferred stock, $0.001 par value; 5,000,000 shares authorized; 0 shares issued and outstanding</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60" w:type="dxa"/>
            <w:vAlign w:val="bottom"/>
            <w:gridSpan w:val="4"/>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5"/>
        </w:trPr>
        <w:tc>
          <w:tcPr>
            <w:tcW w:w="8260" w:type="dxa"/>
            <w:vAlign w:val="bottom"/>
            <w:gridSpan w:val="8"/>
          </w:tcPr>
          <w:p>
            <w:pPr>
              <w:ind w:left="220"/>
              <w:spacing w:after="0"/>
              <w:rPr>
                <w:sz w:val="20"/>
                <w:szCs w:val="20"/>
                <w:color w:val="auto"/>
              </w:rPr>
            </w:pPr>
            <w:r>
              <w:rPr>
                <w:rFonts w:ascii="Arial" w:cs="Arial" w:eastAsia="Arial" w:hAnsi="Arial"/>
                <w:sz w:val="16"/>
                <w:szCs w:val="16"/>
                <w:color w:val="auto"/>
              </w:rPr>
              <w:t>Common stock, $0.001 par value; 55,000,000 shares authorized; 11,980,101 and 11,849,572 shares issued and</w:t>
            </w: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5500" w:type="dxa"/>
            <w:vAlign w:val="bottom"/>
          </w:tcPr>
          <w:p>
            <w:pPr>
              <w:ind w:left="220"/>
              <w:spacing w:after="0"/>
              <w:rPr>
                <w:sz w:val="20"/>
                <w:szCs w:val="20"/>
                <w:color w:val="auto"/>
              </w:rPr>
            </w:pPr>
            <w:r>
              <w:rPr>
                <w:rFonts w:ascii="Arial" w:cs="Arial" w:eastAsia="Arial" w:hAnsi="Arial"/>
                <w:sz w:val="16"/>
                <w:szCs w:val="16"/>
                <w:color w:val="auto"/>
              </w:rPr>
              <w:t>outstanding, respectively</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4"/>
          </w:tcPr>
          <w:p>
            <w:pPr>
              <w:jc w:val="right"/>
              <w:ind w:right="80"/>
              <w:spacing w:after="0"/>
              <w:rPr>
                <w:sz w:val="20"/>
                <w:szCs w:val="20"/>
                <w:color w:val="auto"/>
              </w:rPr>
            </w:pPr>
            <w:r>
              <w:rPr>
                <w:rFonts w:ascii="Arial" w:cs="Arial" w:eastAsia="Arial" w:hAnsi="Arial"/>
                <w:sz w:val="16"/>
                <w:szCs w:val="16"/>
                <w:color w:val="auto"/>
              </w:rPr>
              <w:t>12</w:t>
            </w: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550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color w:val="auto"/>
              </w:rPr>
              <w:t>107,781</w:t>
            </w:r>
          </w:p>
        </w:tc>
        <w:tc>
          <w:tcPr>
            <w:tcW w:w="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106,264</w:t>
            </w:r>
          </w:p>
        </w:tc>
        <w:tc>
          <w:tcPr>
            <w:tcW w:w="0" w:type="dxa"/>
            <w:vAlign w:val="bottom"/>
          </w:tcPr>
          <w:p>
            <w:pPr>
              <w:spacing w:after="0"/>
              <w:rPr>
                <w:sz w:val="1"/>
                <w:szCs w:val="1"/>
                <w:color w:val="auto"/>
              </w:rPr>
            </w:pPr>
          </w:p>
        </w:tc>
      </w:tr>
      <w:tr>
        <w:trPr>
          <w:trHeight w:val="263"/>
        </w:trPr>
        <w:tc>
          <w:tcPr>
            <w:tcW w:w="5500" w:type="dxa"/>
            <w:vAlign w:val="bottom"/>
          </w:tcPr>
          <w:p>
            <w:pPr>
              <w:ind w:left="220"/>
              <w:spacing w:after="0"/>
              <w:rPr>
                <w:sz w:val="20"/>
                <w:szCs w:val="20"/>
                <w:color w:val="auto"/>
              </w:rPr>
            </w:pPr>
            <w:r>
              <w:rPr>
                <w:rFonts w:ascii="Arial" w:cs="Arial" w:eastAsia="Arial" w:hAnsi="Arial"/>
                <w:sz w:val="16"/>
                <w:szCs w:val="16"/>
                <w:color w:val="auto"/>
              </w:rPr>
              <w:t>Accumulated deficit</w:t>
            </w: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(62,208)</w:t>
            </w:r>
          </w:p>
        </w:tc>
        <w:tc>
          <w:tcPr>
            <w:tcW w:w="8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(62,768)</w:t>
            </w:r>
          </w:p>
        </w:tc>
        <w:tc>
          <w:tcPr>
            <w:tcW w:w="0" w:type="dxa"/>
            <w:vAlign w:val="bottom"/>
          </w:tcPr>
          <w:p>
            <w:pPr>
              <w:spacing w:after="0"/>
              <w:rPr>
                <w:sz w:val="1"/>
                <w:szCs w:val="1"/>
                <w:color w:val="auto"/>
              </w:rPr>
            </w:pPr>
          </w:p>
        </w:tc>
      </w:tr>
      <w:tr>
        <w:trPr>
          <w:trHeight w:val="264"/>
        </w:trPr>
        <w:tc>
          <w:tcPr>
            <w:tcW w:w="5500" w:type="dxa"/>
            <w:vAlign w:val="bottom"/>
          </w:tcPr>
          <w:p>
            <w:pPr>
              <w:ind w:left="420"/>
              <w:spacing w:after="0"/>
              <w:rPr>
                <w:sz w:val="20"/>
                <w:szCs w:val="20"/>
                <w:color w:val="auto"/>
              </w:rPr>
            </w:pPr>
            <w:r>
              <w:rPr>
                <w:rFonts w:ascii="Arial" w:cs="Arial" w:eastAsia="Arial" w:hAnsi="Arial"/>
                <w:sz w:val="16"/>
                <w:szCs w:val="16"/>
                <w:color w:val="auto"/>
              </w:rPr>
              <w:t>Total stockholders' equity</w:t>
            </w: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45,585</w:t>
            </w:r>
          </w:p>
        </w:tc>
        <w:tc>
          <w:tcPr>
            <w:tcW w:w="8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43,508</w:t>
            </w:r>
          </w:p>
        </w:tc>
        <w:tc>
          <w:tcPr>
            <w:tcW w:w="0" w:type="dxa"/>
            <w:vAlign w:val="bottom"/>
          </w:tcPr>
          <w:p>
            <w:pPr>
              <w:spacing w:after="0"/>
              <w:rPr>
                <w:sz w:val="1"/>
                <w:szCs w:val="1"/>
                <w:color w:val="auto"/>
              </w:rPr>
            </w:pPr>
          </w:p>
        </w:tc>
      </w:tr>
      <w:tr>
        <w:trPr>
          <w:trHeight w:val="264"/>
        </w:trPr>
        <w:tc>
          <w:tcPr>
            <w:tcW w:w="55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60" w:type="dxa"/>
            <w:vAlign w:val="bottom"/>
            <w:gridSpan w:val="4"/>
          </w:tcPr>
          <w:p>
            <w:pPr>
              <w:jc w:val="right"/>
              <w:ind w:right="80"/>
              <w:spacing w:after="0"/>
              <w:rPr>
                <w:sz w:val="20"/>
                <w:szCs w:val="20"/>
                <w:color w:val="auto"/>
              </w:rPr>
            </w:pPr>
            <w:r>
              <w:rPr>
                <w:rFonts w:ascii="Arial" w:cs="Arial" w:eastAsia="Arial" w:hAnsi="Arial"/>
                <w:sz w:val="16"/>
                <w:szCs w:val="16"/>
                <w:color w:val="auto"/>
              </w:rPr>
              <w:t>$ 63,422</w:t>
            </w:r>
          </w:p>
        </w:tc>
        <w:tc>
          <w:tcPr>
            <w:tcW w:w="1040" w:type="dxa"/>
            <w:vAlign w:val="bottom"/>
          </w:tcPr>
          <w:p>
            <w:pPr>
              <w:jc w:val="right"/>
              <w:spacing w:after="0"/>
              <w:rPr>
                <w:sz w:val="20"/>
                <w:szCs w:val="20"/>
                <w:color w:val="auto"/>
              </w:rPr>
            </w:pPr>
            <w:r>
              <w:rPr>
                <w:rFonts w:ascii="Arial" w:cs="Arial" w:eastAsia="Arial" w:hAnsi="Arial"/>
                <w:sz w:val="16"/>
                <w:szCs w:val="16"/>
                <w:color w:val="auto"/>
              </w:rPr>
              <w:t>$ 57,880</w:t>
            </w:r>
          </w:p>
        </w:tc>
        <w:tc>
          <w:tcPr>
            <w:tcW w:w="0" w:type="dxa"/>
            <w:vAlign w:val="bottom"/>
          </w:tcPr>
          <w:p>
            <w:pPr>
              <w:spacing w:after="0"/>
              <w:rPr>
                <w:sz w:val="1"/>
                <w:szCs w:val="1"/>
                <w:color w:val="auto"/>
              </w:rPr>
            </w:pPr>
          </w:p>
        </w:tc>
      </w:tr>
      <w:tr>
        <w:trPr>
          <w:trHeight w:val="20"/>
        </w:trPr>
        <w:tc>
          <w:tcPr>
            <w:tcW w:w="5500" w:type="dxa"/>
            <w:vAlign w:val="bottom"/>
            <w:vMerge w:val="restart"/>
          </w:tcPr>
          <w:p>
            <w:pPr>
              <w:jc w:val="center"/>
              <w:ind w:left="3319"/>
              <w:spacing w:after="0"/>
              <w:rPr>
                <w:sz w:val="20"/>
                <w:szCs w:val="20"/>
                <w:color w:val="auto"/>
              </w:rPr>
            </w:pPr>
            <w:r>
              <w:rPr>
                <w:rFonts w:ascii="Arial" w:cs="Arial" w:eastAsia="Arial" w:hAnsi="Arial"/>
                <w:sz w:val="16"/>
                <w:szCs w:val="16"/>
                <w:b w:val="1"/>
                <w:bCs w:val="1"/>
                <w:color w:val="auto"/>
              </w:rPr>
              <w:t>SPS COMMERCE, INC.</w:t>
            </w: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55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80" w:type="dxa"/>
            <w:vAlign w:val="bottom"/>
            <w:gridSpan w:val="5"/>
          </w:tcPr>
          <w:p>
            <w:pPr>
              <w:jc w:val="center"/>
              <w:ind w:left="1539"/>
              <w:spacing w:after="0"/>
              <w:rPr>
                <w:sz w:val="20"/>
                <w:szCs w:val="20"/>
                <w:color w:val="auto"/>
              </w:rPr>
            </w:pPr>
            <w:r>
              <w:rPr>
                <w:rFonts w:ascii="Arial" w:cs="Arial" w:eastAsia="Arial" w:hAnsi="Arial"/>
                <w:sz w:val="16"/>
                <w:szCs w:val="16"/>
                <w:b w:val="1"/>
                <w:bCs w:val="1"/>
                <w:color w:val="auto"/>
              </w:rPr>
              <w:t>CONDENSED CONSOLIDATED STATEMENTS OF OPERATIONS</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00" w:type="dxa"/>
            <w:vAlign w:val="bottom"/>
            <w:gridSpan w:val="3"/>
          </w:tcPr>
          <w:p>
            <w:pPr>
              <w:jc w:val="center"/>
              <w:ind w:left="2419"/>
              <w:spacing w:after="0"/>
              <w:rPr>
                <w:sz w:val="20"/>
                <w:szCs w:val="20"/>
                <w:color w:val="auto"/>
              </w:rPr>
            </w:pPr>
            <w:r>
              <w:rPr>
                <w:rFonts w:ascii="Arial" w:cs="Arial" w:eastAsia="Arial" w:hAnsi="Arial"/>
                <w:sz w:val="16"/>
                <w:szCs w:val="16"/>
                <w:color w:val="auto"/>
              </w:rPr>
              <w:t>(Unaudited; in thousands, except per share amounts)</w:t>
            </w: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500" w:type="dxa"/>
            <w:vAlign w:val="bottom"/>
          </w:tcPr>
          <w:p>
            <w:pPr>
              <w:spacing w:after="0"/>
              <w:rPr>
                <w:sz w:val="24"/>
                <w:szCs w:val="24"/>
                <w:color w:val="auto"/>
              </w:rPr>
            </w:pPr>
          </w:p>
        </w:tc>
        <w:tc>
          <w:tcPr>
            <w:tcW w:w="178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Three Months Ended</w:t>
            </w:r>
          </w:p>
        </w:tc>
        <w:tc>
          <w:tcPr>
            <w:tcW w:w="2940" w:type="dxa"/>
            <w:vAlign w:val="bottom"/>
            <w:gridSpan w:val="7"/>
          </w:tcPr>
          <w:p>
            <w:pPr>
              <w:jc w:val="center"/>
              <w:ind w:right="1320"/>
              <w:spacing w:after="0"/>
              <w:rPr>
                <w:sz w:val="20"/>
                <w:szCs w:val="20"/>
                <w:color w:val="auto"/>
              </w:rPr>
            </w:pPr>
            <w:r>
              <w:rPr>
                <w:rFonts w:ascii="Arial" w:cs="Arial" w:eastAsia="Arial" w:hAnsi="Arial"/>
                <w:sz w:val="16"/>
                <w:szCs w:val="16"/>
                <w:b w:val="1"/>
                <w:bCs w:val="1"/>
                <w:color w:val="auto"/>
              </w:rPr>
              <w:t>Nine Months Ended</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00" w:type="dxa"/>
            <w:vAlign w:val="bottom"/>
          </w:tcPr>
          <w:p>
            <w:pPr>
              <w:spacing w:after="0"/>
              <w:rPr>
                <w:sz w:val="22"/>
                <w:szCs w:val="22"/>
                <w:color w:val="auto"/>
              </w:rPr>
            </w:pPr>
          </w:p>
        </w:tc>
        <w:tc>
          <w:tcPr>
            <w:tcW w:w="1780" w:type="dxa"/>
            <w:vAlign w:val="bottom"/>
            <w:gridSpan w:val="4"/>
          </w:tcPr>
          <w:p>
            <w:pPr>
              <w:jc w:val="right"/>
              <w:ind w:right="360"/>
              <w:spacing w:after="0"/>
              <w:rPr>
                <w:sz w:val="20"/>
                <w:szCs w:val="20"/>
                <w:color w:val="auto"/>
              </w:rPr>
            </w:pPr>
            <w:r>
              <w:rPr>
                <w:rFonts w:ascii="Arial" w:cs="Arial" w:eastAsia="Arial" w:hAnsi="Arial"/>
                <w:sz w:val="16"/>
                <w:szCs w:val="16"/>
                <w:b w:val="1"/>
                <w:bCs w:val="1"/>
                <w:color w:val="auto"/>
              </w:rPr>
              <w:t>September 30,</w:t>
            </w:r>
          </w:p>
        </w:tc>
        <w:tc>
          <w:tcPr>
            <w:tcW w:w="2940" w:type="dxa"/>
            <w:vAlign w:val="bottom"/>
            <w:gridSpan w:val="7"/>
          </w:tcPr>
          <w:p>
            <w:pPr>
              <w:jc w:val="center"/>
              <w:ind w:right="1320"/>
              <w:spacing w:after="0"/>
              <w:rPr>
                <w:sz w:val="20"/>
                <w:szCs w:val="20"/>
                <w:color w:val="auto"/>
              </w:rPr>
            </w:pPr>
            <w:r>
              <w:rPr>
                <w:rFonts w:ascii="Arial" w:cs="Arial" w:eastAsia="Arial" w:hAnsi="Arial"/>
                <w:sz w:val="16"/>
                <w:szCs w:val="16"/>
                <w:b w:val="1"/>
                <w:bCs w:val="1"/>
                <w:color w:val="auto"/>
              </w:rPr>
              <w:t>September 30,</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50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2011</w:t>
            </w:r>
          </w:p>
        </w:tc>
        <w:tc>
          <w:tcPr>
            <w:tcW w:w="80" w:type="dxa"/>
            <w:vAlign w:val="bottom"/>
            <w:tcBorders>
              <w:top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2010</w:t>
            </w:r>
          </w:p>
        </w:tc>
        <w:tc>
          <w:tcPr>
            <w:tcW w:w="8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2011</w:t>
            </w:r>
          </w:p>
        </w:tc>
        <w:tc>
          <w:tcPr>
            <w:tcW w:w="8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2010</w:t>
            </w: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1"/>
        </w:trPr>
        <w:tc>
          <w:tcPr>
            <w:tcW w:w="5500" w:type="dxa"/>
            <w:vAlign w:val="bottom"/>
          </w:tcPr>
          <w:p>
            <w:pPr>
              <w:spacing w:after="0"/>
              <w:rPr>
                <w:sz w:val="20"/>
                <w:szCs w:val="20"/>
                <w:color w:val="auto"/>
              </w:rPr>
            </w:pPr>
            <w:r>
              <w:rPr>
                <w:rFonts w:ascii="Arial" w:cs="Arial" w:eastAsia="Arial" w:hAnsi="Arial"/>
                <w:sz w:val="16"/>
                <w:szCs w:val="16"/>
                <w:color w:val="auto"/>
              </w:rPr>
              <w:t>Revenues</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$ 15,529</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$ 11,491</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$ 42,115</w:t>
            </w:r>
          </w:p>
        </w:tc>
        <w:tc>
          <w:tcPr>
            <w:tcW w:w="14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$ 32,678</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00" w:type="dxa"/>
            <w:vAlign w:val="bottom"/>
          </w:tcPr>
          <w:p>
            <w:pPr>
              <w:spacing w:after="0"/>
              <w:rPr>
                <w:sz w:val="20"/>
                <w:szCs w:val="20"/>
                <w:color w:val="auto"/>
              </w:rPr>
            </w:pPr>
            <w:r>
              <w:rPr>
                <w:rFonts w:ascii="Arial" w:cs="Arial" w:eastAsia="Arial" w:hAnsi="Arial"/>
                <w:sz w:val="16"/>
                <w:szCs w:val="16"/>
                <w:color w:val="auto"/>
              </w:rPr>
              <w:t>Cost of revenues</w:t>
            </w:r>
          </w:p>
        </w:tc>
        <w:tc>
          <w:tcPr>
            <w:tcW w:w="820" w:type="dxa"/>
            <w:vAlign w:val="bottom"/>
          </w:tcPr>
          <w:p>
            <w:pPr>
              <w:jc w:val="right"/>
              <w:spacing w:after="0"/>
              <w:rPr>
                <w:sz w:val="20"/>
                <w:szCs w:val="20"/>
                <w:color w:val="auto"/>
              </w:rPr>
            </w:pPr>
            <w:r>
              <w:rPr>
                <w:rFonts w:ascii="Arial" w:cs="Arial" w:eastAsia="Arial" w:hAnsi="Arial"/>
                <w:sz w:val="16"/>
                <w:szCs w:val="16"/>
                <w:color w:val="auto"/>
              </w:rPr>
              <w:t>4,076</w:t>
            </w:r>
          </w:p>
        </w:tc>
        <w:tc>
          <w:tcPr>
            <w:tcW w:w="8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3,211</w:t>
            </w:r>
          </w:p>
        </w:tc>
        <w:tc>
          <w:tcPr>
            <w:tcW w:w="760" w:type="dxa"/>
            <w:vAlign w:val="bottom"/>
          </w:tcPr>
          <w:p>
            <w:pPr>
              <w:jc w:val="right"/>
              <w:spacing w:after="0"/>
              <w:rPr>
                <w:sz w:val="20"/>
                <w:szCs w:val="20"/>
                <w:color w:val="auto"/>
              </w:rPr>
            </w:pPr>
            <w:r>
              <w:rPr>
                <w:rFonts w:ascii="Arial" w:cs="Arial" w:eastAsia="Arial" w:hAnsi="Arial"/>
                <w:sz w:val="16"/>
                <w:szCs w:val="16"/>
                <w:color w:val="auto"/>
              </w:rPr>
              <w:t>11,147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9,293</w:t>
            </w: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500" w:type="dxa"/>
            <w:vAlign w:val="bottom"/>
          </w:tcPr>
          <w:p>
            <w:pPr>
              <w:ind w:left="220"/>
              <w:spacing w:after="0"/>
              <w:rPr>
                <w:sz w:val="20"/>
                <w:szCs w:val="20"/>
                <w:color w:val="auto"/>
              </w:rPr>
            </w:pPr>
            <w:r>
              <w:rPr>
                <w:rFonts w:ascii="Arial" w:cs="Arial" w:eastAsia="Arial" w:hAnsi="Arial"/>
                <w:sz w:val="16"/>
                <w:szCs w:val="16"/>
                <w:color w:val="auto"/>
              </w:rPr>
              <w:t>Gross profit</w:t>
            </w:r>
          </w:p>
        </w:tc>
        <w:tc>
          <w:tcPr>
            <w:tcW w:w="820" w:type="dxa"/>
            <w:vAlign w:val="bottom"/>
          </w:tcPr>
          <w:p>
            <w:pPr>
              <w:jc w:val="right"/>
              <w:spacing w:after="0"/>
              <w:rPr>
                <w:sz w:val="20"/>
                <w:szCs w:val="20"/>
                <w:color w:val="auto"/>
              </w:rPr>
            </w:pPr>
            <w:r>
              <w:rPr>
                <w:rFonts w:ascii="Arial" w:cs="Arial" w:eastAsia="Arial" w:hAnsi="Arial"/>
                <w:sz w:val="16"/>
                <w:szCs w:val="16"/>
                <w:color w:val="auto"/>
              </w:rPr>
              <w:t>11,453</w:t>
            </w:r>
          </w:p>
        </w:tc>
        <w:tc>
          <w:tcPr>
            <w:tcW w:w="8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8,280</w:t>
            </w:r>
          </w:p>
        </w:tc>
        <w:tc>
          <w:tcPr>
            <w:tcW w:w="760" w:type="dxa"/>
            <w:vAlign w:val="bottom"/>
          </w:tcPr>
          <w:p>
            <w:pPr>
              <w:jc w:val="right"/>
              <w:spacing w:after="0"/>
              <w:rPr>
                <w:sz w:val="20"/>
                <w:szCs w:val="20"/>
                <w:color w:val="auto"/>
              </w:rPr>
            </w:pPr>
            <w:r>
              <w:rPr>
                <w:rFonts w:ascii="Arial" w:cs="Arial" w:eastAsia="Arial" w:hAnsi="Arial"/>
                <w:sz w:val="16"/>
                <w:szCs w:val="16"/>
                <w:color w:val="auto"/>
              </w:rPr>
              <w:t>30,968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23,385</w:t>
            </w: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5500" w:type="dxa"/>
            <w:vAlign w:val="bottom"/>
          </w:tcPr>
          <w:p>
            <w:pPr>
              <w:spacing w:after="0"/>
              <w:rPr>
                <w:sz w:val="20"/>
                <w:szCs w:val="20"/>
                <w:color w:val="auto"/>
              </w:rPr>
            </w:pPr>
            <w:r>
              <w:rPr>
                <w:rFonts w:ascii="Arial" w:cs="Arial" w:eastAsia="Arial" w:hAnsi="Arial"/>
                <w:sz w:val="16"/>
                <w:szCs w:val="16"/>
                <w:color w:val="auto"/>
              </w:rPr>
              <w:t>Operating expenses</w:t>
            </w:r>
          </w:p>
        </w:tc>
        <w:tc>
          <w:tcPr>
            <w:tcW w:w="8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220"/>
              <w:spacing w:after="0"/>
              <w:rPr>
                <w:sz w:val="20"/>
                <w:szCs w:val="20"/>
                <w:color w:val="auto"/>
              </w:rPr>
            </w:pPr>
            <w:r>
              <w:rPr>
                <w:rFonts w:ascii="Arial" w:cs="Arial" w:eastAsia="Arial" w:hAnsi="Arial"/>
                <w:sz w:val="16"/>
                <w:szCs w:val="16"/>
                <w:color w:val="auto"/>
              </w:rPr>
              <w:t>Sales and marketing</w:t>
            </w:r>
          </w:p>
        </w:tc>
        <w:tc>
          <w:tcPr>
            <w:tcW w:w="820" w:type="dxa"/>
            <w:vAlign w:val="bottom"/>
          </w:tcPr>
          <w:p>
            <w:pPr>
              <w:jc w:val="right"/>
              <w:spacing w:after="0"/>
              <w:rPr>
                <w:sz w:val="20"/>
                <w:szCs w:val="20"/>
                <w:color w:val="auto"/>
              </w:rPr>
            </w:pPr>
            <w:r>
              <w:rPr>
                <w:rFonts w:ascii="Arial" w:cs="Arial" w:eastAsia="Arial" w:hAnsi="Arial"/>
                <w:sz w:val="16"/>
                <w:szCs w:val="16"/>
                <w:color w:val="auto"/>
              </w:rPr>
              <w:t>6,404</w:t>
            </w:r>
          </w:p>
        </w:tc>
        <w:tc>
          <w:tcPr>
            <w:tcW w:w="8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4,139</w:t>
            </w:r>
          </w:p>
        </w:tc>
        <w:tc>
          <w:tcPr>
            <w:tcW w:w="760" w:type="dxa"/>
            <w:vAlign w:val="bottom"/>
          </w:tcPr>
          <w:p>
            <w:pPr>
              <w:jc w:val="right"/>
              <w:spacing w:after="0"/>
              <w:rPr>
                <w:sz w:val="20"/>
                <w:szCs w:val="20"/>
                <w:color w:val="auto"/>
              </w:rPr>
            </w:pPr>
            <w:r>
              <w:rPr>
                <w:rFonts w:ascii="Arial" w:cs="Arial" w:eastAsia="Arial" w:hAnsi="Arial"/>
                <w:sz w:val="16"/>
                <w:szCs w:val="16"/>
                <w:color w:val="auto"/>
              </w:rPr>
              <w:t>17,382</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11,768</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820" w:type="dxa"/>
            <w:vAlign w:val="bottom"/>
          </w:tcPr>
          <w:p>
            <w:pPr>
              <w:jc w:val="right"/>
              <w:spacing w:after="0"/>
              <w:rPr>
                <w:sz w:val="20"/>
                <w:szCs w:val="20"/>
                <w:color w:val="auto"/>
              </w:rPr>
            </w:pPr>
            <w:r>
              <w:rPr>
                <w:rFonts w:ascii="Arial" w:cs="Arial" w:eastAsia="Arial" w:hAnsi="Arial"/>
                <w:sz w:val="16"/>
                <w:szCs w:val="16"/>
                <w:color w:val="auto"/>
              </w:rPr>
              <w:t>1,605</w:t>
            </w:r>
          </w:p>
        </w:tc>
        <w:tc>
          <w:tcPr>
            <w:tcW w:w="8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1,108</w:t>
            </w:r>
          </w:p>
        </w:tc>
        <w:tc>
          <w:tcPr>
            <w:tcW w:w="760" w:type="dxa"/>
            <w:vAlign w:val="bottom"/>
          </w:tcPr>
          <w:p>
            <w:pPr>
              <w:jc w:val="right"/>
              <w:spacing w:after="0"/>
              <w:rPr>
                <w:sz w:val="20"/>
                <w:szCs w:val="20"/>
                <w:color w:val="auto"/>
              </w:rPr>
            </w:pPr>
            <w:r>
              <w:rPr>
                <w:rFonts w:ascii="Arial" w:cs="Arial" w:eastAsia="Arial" w:hAnsi="Arial"/>
                <w:sz w:val="16"/>
                <w:szCs w:val="16"/>
                <w:color w:val="auto"/>
              </w:rPr>
              <w:t>4,259</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3,218</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820" w:type="dxa"/>
            <w:vAlign w:val="bottom"/>
          </w:tcPr>
          <w:p>
            <w:pPr>
              <w:jc w:val="right"/>
              <w:spacing w:after="0"/>
              <w:rPr>
                <w:sz w:val="20"/>
                <w:szCs w:val="20"/>
                <w:color w:val="auto"/>
              </w:rPr>
            </w:pPr>
            <w:r>
              <w:rPr>
                <w:rFonts w:ascii="Arial" w:cs="Arial" w:eastAsia="Arial" w:hAnsi="Arial"/>
                <w:sz w:val="16"/>
                <w:szCs w:val="16"/>
                <w:color w:val="auto"/>
              </w:rPr>
              <w:t>2,914</w:t>
            </w:r>
          </w:p>
        </w:tc>
        <w:tc>
          <w:tcPr>
            <w:tcW w:w="8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2,165</w:t>
            </w:r>
          </w:p>
        </w:tc>
        <w:tc>
          <w:tcPr>
            <w:tcW w:w="760" w:type="dxa"/>
            <w:vAlign w:val="bottom"/>
          </w:tcPr>
          <w:p>
            <w:pPr>
              <w:jc w:val="right"/>
              <w:spacing w:after="0"/>
              <w:rPr>
                <w:sz w:val="20"/>
                <w:szCs w:val="20"/>
                <w:color w:val="auto"/>
              </w:rPr>
            </w:pPr>
            <w:r>
              <w:rPr>
                <w:rFonts w:ascii="Arial" w:cs="Arial" w:eastAsia="Arial" w:hAnsi="Arial"/>
                <w:sz w:val="16"/>
                <w:szCs w:val="16"/>
                <w:color w:val="auto"/>
              </w:rPr>
              <w:t>8,208</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5,805</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0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820" w:type="dxa"/>
            <w:vAlign w:val="bottom"/>
          </w:tcPr>
          <w:p>
            <w:pPr>
              <w:jc w:val="right"/>
              <w:spacing w:after="0"/>
              <w:rPr>
                <w:sz w:val="20"/>
                <w:szCs w:val="20"/>
                <w:color w:val="auto"/>
              </w:rPr>
            </w:pPr>
            <w:r>
              <w:rPr>
                <w:rFonts w:ascii="Arial" w:cs="Arial" w:eastAsia="Arial" w:hAnsi="Arial"/>
                <w:sz w:val="16"/>
                <w:szCs w:val="16"/>
                <w:color w:val="auto"/>
              </w:rPr>
              <w:t>260</w:t>
            </w:r>
          </w:p>
        </w:tc>
        <w:tc>
          <w:tcPr>
            <w:tcW w:w="8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383</w:t>
            </w:r>
          </w:p>
        </w:tc>
        <w:tc>
          <w:tcPr>
            <w:tcW w:w="140" w:type="dxa"/>
            <w:vAlign w:val="bottom"/>
          </w:tcPr>
          <w:p>
            <w:pPr>
              <w:spacing w:after="0"/>
              <w:rPr>
                <w:sz w:val="22"/>
                <w:szCs w:val="2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500" w:type="dxa"/>
            <w:vAlign w:val="bottom"/>
          </w:tcPr>
          <w:p>
            <w:pPr>
              <w:ind w:left="420"/>
              <w:spacing w:after="0"/>
              <w:rPr>
                <w:sz w:val="20"/>
                <w:szCs w:val="20"/>
                <w:color w:val="auto"/>
              </w:rPr>
            </w:pPr>
            <w:r>
              <w:rPr>
                <w:rFonts w:ascii="Arial" w:cs="Arial" w:eastAsia="Arial" w:hAnsi="Arial"/>
                <w:sz w:val="16"/>
                <w:szCs w:val="16"/>
                <w:color w:val="auto"/>
              </w:rPr>
              <w:t>Total operating expenses</w:t>
            </w:r>
          </w:p>
        </w:tc>
        <w:tc>
          <w:tcPr>
            <w:tcW w:w="820" w:type="dxa"/>
            <w:vAlign w:val="bottom"/>
          </w:tcPr>
          <w:p>
            <w:pPr>
              <w:jc w:val="right"/>
              <w:spacing w:after="0"/>
              <w:rPr>
                <w:sz w:val="20"/>
                <w:szCs w:val="20"/>
                <w:color w:val="auto"/>
              </w:rPr>
            </w:pPr>
            <w:r>
              <w:rPr>
                <w:rFonts w:ascii="Arial" w:cs="Arial" w:eastAsia="Arial" w:hAnsi="Arial"/>
                <w:sz w:val="16"/>
                <w:szCs w:val="16"/>
                <w:color w:val="auto"/>
              </w:rPr>
              <w:t>11,183</w:t>
            </w:r>
          </w:p>
        </w:tc>
        <w:tc>
          <w:tcPr>
            <w:tcW w:w="8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7,412</w:t>
            </w:r>
          </w:p>
        </w:tc>
        <w:tc>
          <w:tcPr>
            <w:tcW w:w="760" w:type="dxa"/>
            <w:vAlign w:val="bottom"/>
          </w:tcPr>
          <w:p>
            <w:pPr>
              <w:jc w:val="right"/>
              <w:spacing w:after="0"/>
              <w:rPr>
                <w:sz w:val="20"/>
                <w:szCs w:val="20"/>
                <w:color w:val="auto"/>
              </w:rPr>
            </w:pPr>
            <w:r>
              <w:rPr>
                <w:rFonts w:ascii="Arial" w:cs="Arial" w:eastAsia="Arial" w:hAnsi="Arial"/>
                <w:sz w:val="16"/>
                <w:szCs w:val="16"/>
                <w:color w:val="auto"/>
              </w:rPr>
              <w:t>30,232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20,791</w:t>
            </w: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500" w:type="dxa"/>
            <w:vAlign w:val="bottom"/>
          </w:tcPr>
          <w:p>
            <w:pPr>
              <w:spacing w:after="0"/>
              <w:rPr>
                <w:sz w:val="20"/>
                <w:szCs w:val="20"/>
                <w:color w:val="auto"/>
              </w:rPr>
            </w:pPr>
            <w:r>
              <w:rPr>
                <w:rFonts w:ascii="Arial" w:cs="Arial" w:eastAsia="Arial" w:hAnsi="Arial"/>
                <w:sz w:val="16"/>
                <w:szCs w:val="16"/>
                <w:color w:val="auto"/>
              </w:rPr>
              <w:t>Income from operations</w:t>
            </w:r>
          </w:p>
        </w:tc>
        <w:tc>
          <w:tcPr>
            <w:tcW w:w="820" w:type="dxa"/>
            <w:vAlign w:val="bottom"/>
          </w:tcPr>
          <w:p>
            <w:pPr>
              <w:jc w:val="right"/>
              <w:spacing w:after="0"/>
              <w:rPr>
                <w:sz w:val="20"/>
                <w:szCs w:val="20"/>
                <w:color w:val="auto"/>
              </w:rPr>
            </w:pPr>
            <w:r>
              <w:rPr>
                <w:rFonts w:ascii="Arial" w:cs="Arial" w:eastAsia="Arial" w:hAnsi="Arial"/>
                <w:sz w:val="16"/>
                <w:szCs w:val="16"/>
                <w:color w:val="auto"/>
              </w:rPr>
              <w:t>270</w:t>
            </w:r>
          </w:p>
        </w:tc>
        <w:tc>
          <w:tcPr>
            <w:tcW w:w="8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868</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736</w:t>
            </w:r>
          </w:p>
        </w:tc>
        <w:tc>
          <w:tcPr>
            <w:tcW w:w="140" w:type="dxa"/>
            <w:vAlign w:val="bottom"/>
          </w:tcPr>
          <w:p>
            <w:pPr>
              <w:spacing w:after="0"/>
              <w:rPr>
                <w:sz w:val="23"/>
                <w:szCs w:val="2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2,594</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16"/>
                <w:szCs w:val="16"/>
                <w:color w:val="auto"/>
              </w:rPr>
              <w:t>Other income (expense)</w:t>
            </w: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(8)</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(66)</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16</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104</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74</w:t>
            </w:r>
          </w:p>
        </w:tc>
        <w:tc>
          <w:tcPr>
            <w:tcW w:w="140" w:type="dxa"/>
            <w:vAlign w:val="bottom"/>
          </w:tcPr>
          <w:p>
            <w:pPr>
              <w:spacing w:after="0"/>
              <w:rPr>
                <w:sz w:val="23"/>
                <w:szCs w:val="2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104</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00" w:type="dxa"/>
            <w:vAlign w:val="bottom"/>
          </w:tcPr>
          <w:p>
            <w:pPr>
              <w:ind w:left="220"/>
              <w:spacing w:after="0"/>
              <w:rPr>
                <w:sz w:val="20"/>
                <w:szCs w:val="20"/>
                <w:color w:val="auto"/>
              </w:rPr>
            </w:pPr>
            <w:r>
              <w:rPr>
                <w:rFonts w:ascii="Arial" w:cs="Arial" w:eastAsia="Arial" w:hAnsi="Arial"/>
                <w:sz w:val="16"/>
                <w:szCs w:val="16"/>
                <w:color w:val="auto"/>
              </w:rPr>
              <w:t>Other expense</w:t>
            </w:r>
          </w:p>
        </w:tc>
        <w:tc>
          <w:tcPr>
            <w:tcW w:w="82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(85)</w:t>
            </w:r>
          </w:p>
        </w:tc>
        <w:tc>
          <w:tcPr>
            <w:tcW w:w="760" w:type="dxa"/>
            <w:vAlign w:val="bottom"/>
          </w:tcPr>
          <w:p>
            <w:pPr>
              <w:jc w:val="right"/>
              <w:spacing w:after="0"/>
              <w:rPr>
                <w:sz w:val="20"/>
                <w:szCs w:val="20"/>
                <w:color w:val="auto"/>
              </w:rPr>
            </w:pPr>
            <w:r>
              <w:rPr>
                <w:rFonts w:ascii="Arial" w:cs="Arial" w:eastAsia="Arial" w:hAnsi="Arial"/>
                <w:sz w:val="16"/>
                <w:szCs w:val="16"/>
                <w:color w:val="auto"/>
              </w:rPr>
              <w:t>(62)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(93)</w:t>
            </w: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500" w:type="dxa"/>
            <w:vAlign w:val="bottom"/>
          </w:tcPr>
          <w:p>
            <w:pPr>
              <w:ind w:left="420"/>
              <w:spacing w:after="0"/>
              <w:rPr>
                <w:sz w:val="20"/>
                <w:szCs w:val="20"/>
                <w:color w:val="auto"/>
              </w:rPr>
            </w:pPr>
            <w:r>
              <w:rPr>
                <w:rFonts w:ascii="Arial" w:cs="Arial" w:eastAsia="Arial" w:hAnsi="Arial"/>
                <w:sz w:val="16"/>
                <w:szCs w:val="16"/>
                <w:color w:val="auto"/>
              </w:rPr>
              <w:t>Total other income (expense), net</w:t>
            </w:r>
          </w:p>
        </w:tc>
        <w:tc>
          <w:tcPr>
            <w:tcW w:w="82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11</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22"/>
                <w:szCs w:val="2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(55)</w:t>
            </w: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50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820" w:type="dxa"/>
            <w:vAlign w:val="bottom"/>
          </w:tcPr>
          <w:p>
            <w:pPr>
              <w:jc w:val="right"/>
              <w:spacing w:after="0"/>
              <w:rPr>
                <w:sz w:val="20"/>
                <w:szCs w:val="20"/>
                <w:color w:val="auto"/>
              </w:rPr>
            </w:pPr>
            <w:r>
              <w:rPr>
                <w:rFonts w:ascii="Arial" w:cs="Arial" w:eastAsia="Arial" w:hAnsi="Arial"/>
                <w:sz w:val="16"/>
                <w:szCs w:val="16"/>
                <w:color w:val="auto"/>
              </w:rPr>
              <w:t>258</w:t>
            </w:r>
          </w:p>
        </w:tc>
        <w:tc>
          <w:tcPr>
            <w:tcW w:w="8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879</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748</w:t>
            </w:r>
          </w:p>
        </w:tc>
        <w:tc>
          <w:tcPr>
            <w:tcW w:w="140" w:type="dxa"/>
            <w:vAlign w:val="bottom"/>
          </w:tcPr>
          <w:p>
            <w:pPr>
              <w:spacing w:after="0"/>
              <w:rPr>
                <w:sz w:val="23"/>
                <w:szCs w:val="2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2,539</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00" w:type="dxa"/>
            <w:vAlign w:val="bottom"/>
          </w:tcPr>
          <w:p>
            <w:pPr>
              <w:ind w:left="220"/>
              <w:spacing w:after="0"/>
              <w:rPr>
                <w:sz w:val="20"/>
                <w:szCs w:val="20"/>
                <w:color w:val="auto"/>
              </w:rPr>
            </w:pPr>
            <w:r>
              <w:rPr>
                <w:rFonts w:ascii="Arial" w:cs="Arial" w:eastAsia="Arial" w:hAnsi="Arial"/>
                <w:sz w:val="16"/>
                <w:szCs w:val="16"/>
                <w:color w:val="auto"/>
              </w:rPr>
              <w:t>Income tax expense (benefit)</w:t>
            </w:r>
          </w:p>
        </w:tc>
        <w:tc>
          <w:tcPr>
            <w:tcW w:w="820" w:type="dxa"/>
            <w:vAlign w:val="bottom"/>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7</w:t>
            </w:r>
          </w:p>
        </w:tc>
        <w:tc>
          <w:tcPr>
            <w:tcW w:w="760" w:type="dxa"/>
            <w:vAlign w:val="bottom"/>
          </w:tcPr>
          <w:p>
            <w:pPr>
              <w:jc w:val="right"/>
              <w:spacing w:after="0"/>
              <w:rPr>
                <w:sz w:val="20"/>
                <w:szCs w:val="20"/>
                <w:color w:val="auto"/>
              </w:rPr>
            </w:pPr>
            <w:r>
              <w:rPr>
                <w:rFonts w:ascii="Arial" w:cs="Arial" w:eastAsia="Arial" w:hAnsi="Arial"/>
                <w:sz w:val="16"/>
                <w:szCs w:val="16"/>
                <w:color w:val="auto"/>
              </w:rPr>
              <w:t>(188)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(96)</w:t>
            </w: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500" w:type="dxa"/>
            <w:vAlign w:val="bottom"/>
          </w:tcPr>
          <w:p>
            <w:pPr>
              <w:spacing w:after="0"/>
              <w:rPr>
                <w:sz w:val="20"/>
                <w:szCs w:val="20"/>
                <w:color w:val="auto"/>
              </w:rPr>
            </w:pPr>
            <w:r>
              <w:rPr>
                <w:rFonts w:ascii="Arial" w:cs="Arial" w:eastAsia="Arial" w:hAnsi="Arial"/>
                <w:sz w:val="16"/>
                <w:szCs w:val="16"/>
                <w:color w:val="auto"/>
              </w:rPr>
              <w:t>Net income</w:t>
            </w:r>
          </w:p>
        </w:tc>
        <w:tc>
          <w:tcPr>
            <w:tcW w:w="820" w:type="dxa"/>
            <w:vAlign w:val="bottom"/>
          </w:tcPr>
          <w:p>
            <w:pPr>
              <w:jc w:val="right"/>
              <w:spacing w:after="0"/>
              <w:rPr>
                <w:sz w:val="20"/>
                <w:szCs w:val="20"/>
                <w:color w:val="auto"/>
              </w:rPr>
            </w:pPr>
            <w:r>
              <w:rPr>
                <w:rFonts w:ascii="Arial" w:cs="Arial" w:eastAsia="Arial" w:hAnsi="Arial"/>
                <w:sz w:val="16"/>
                <w:szCs w:val="16"/>
                <w:color w:val="auto"/>
              </w:rPr>
              <w:t>$ 177</w:t>
            </w:r>
          </w:p>
        </w:tc>
        <w:tc>
          <w:tcPr>
            <w:tcW w:w="8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$ 886</w:t>
            </w:r>
          </w:p>
        </w:tc>
        <w:tc>
          <w:tcPr>
            <w:tcW w:w="760" w:type="dxa"/>
            <w:vAlign w:val="bottom"/>
          </w:tcPr>
          <w:p>
            <w:pPr>
              <w:jc w:val="right"/>
              <w:spacing w:after="0"/>
              <w:rPr>
                <w:sz w:val="20"/>
                <w:szCs w:val="20"/>
                <w:color w:val="auto"/>
              </w:rPr>
            </w:pPr>
            <w:r>
              <w:rPr>
                <w:rFonts w:ascii="Arial" w:cs="Arial" w:eastAsia="Arial" w:hAnsi="Arial"/>
                <w:sz w:val="16"/>
                <w:szCs w:val="16"/>
                <w:color w:val="auto"/>
              </w:rPr>
              <w:t>$ 560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$ 2,443</w:t>
            </w: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ind w:left="60"/>
              <w:spacing w:after="0"/>
              <w:rPr>
                <w:sz w:val="20"/>
                <w:szCs w:val="20"/>
                <w:color w:val="auto"/>
              </w:rPr>
            </w:pPr>
            <w:r>
              <w:rPr>
                <w:rFonts w:ascii="Arial" w:cs="Arial" w:eastAsia="Arial" w:hAnsi="Arial"/>
                <w:sz w:val="16"/>
                <w:szCs w:val="16"/>
                <w:color w:val="auto"/>
              </w:rPr>
              <w:t>Net income per share</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5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260"/>
              <w:spacing w:after="0"/>
              <w:rPr>
                <w:sz w:val="20"/>
                <w:szCs w:val="20"/>
                <w:color w:val="auto"/>
              </w:rPr>
            </w:pPr>
            <w:r>
              <w:rPr>
                <w:rFonts w:ascii="Arial" w:cs="Arial" w:eastAsia="Arial" w:hAnsi="Arial"/>
                <w:sz w:val="16"/>
                <w:szCs w:val="16"/>
                <w:color w:val="auto"/>
              </w:rPr>
              <w:t>Basic</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$ 0.01</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$ 0.08</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$ 0.05</w:t>
            </w:r>
          </w:p>
        </w:tc>
        <w:tc>
          <w:tcPr>
            <w:tcW w:w="140" w:type="dxa"/>
            <w:vAlign w:val="bottom"/>
          </w:tcPr>
          <w:p>
            <w:pPr>
              <w:spacing w:after="0"/>
              <w:rPr>
                <w:sz w:val="23"/>
                <w:szCs w:val="2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$ 0.36</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260"/>
              <w:spacing w:after="0"/>
              <w:rPr>
                <w:sz w:val="20"/>
                <w:szCs w:val="20"/>
                <w:color w:val="auto"/>
              </w:rPr>
            </w:pPr>
            <w:r>
              <w:rPr>
                <w:rFonts w:ascii="Arial" w:cs="Arial" w:eastAsia="Arial" w:hAnsi="Arial"/>
                <w:sz w:val="16"/>
                <w:szCs w:val="16"/>
                <w:color w:val="auto"/>
              </w:rPr>
              <w:t>Diluted</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$ 0.01</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$ 0.07</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$ 0.04</w:t>
            </w:r>
          </w:p>
        </w:tc>
        <w:tc>
          <w:tcPr>
            <w:tcW w:w="140" w:type="dxa"/>
            <w:vAlign w:val="bottom"/>
          </w:tcPr>
          <w:p>
            <w:pPr>
              <w:spacing w:after="0"/>
              <w:rPr>
                <w:sz w:val="23"/>
                <w:szCs w:val="2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$ 0.22</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500" w:type="dxa"/>
            <w:vAlign w:val="bottom"/>
          </w:tcPr>
          <w:p>
            <w:pPr>
              <w:ind w:left="60"/>
              <w:spacing w:after="0"/>
              <w:rPr>
                <w:sz w:val="20"/>
                <w:szCs w:val="20"/>
                <w:color w:val="auto"/>
              </w:rPr>
            </w:pPr>
            <w:r>
              <w:rPr>
                <w:rFonts w:ascii="Arial" w:cs="Arial" w:eastAsia="Arial" w:hAnsi="Arial"/>
                <w:sz w:val="16"/>
                <w:szCs w:val="16"/>
                <w:color w:val="auto"/>
              </w:rPr>
              <w:t>Weighted average common shares used to compute net income per share</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260"/>
              <w:spacing w:after="0"/>
              <w:rPr>
                <w:sz w:val="20"/>
                <w:szCs w:val="20"/>
                <w:color w:val="auto"/>
              </w:rPr>
            </w:pPr>
            <w:r>
              <w:rPr>
                <w:rFonts w:ascii="Arial" w:cs="Arial" w:eastAsia="Arial" w:hAnsi="Arial"/>
                <w:sz w:val="16"/>
                <w:szCs w:val="16"/>
                <w:color w:val="auto"/>
              </w:rPr>
              <w:t>Basic</w:t>
            </w:r>
          </w:p>
        </w:tc>
        <w:tc>
          <w:tcPr>
            <w:tcW w:w="820" w:type="dxa"/>
            <w:vAlign w:val="bottom"/>
          </w:tcPr>
          <w:p>
            <w:pPr>
              <w:jc w:val="right"/>
              <w:spacing w:after="0"/>
              <w:rPr>
                <w:sz w:val="20"/>
                <w:szCs w:val="20"/>
                <w:color w:val="auto"/>
              </w:rPr>
            </w:pPr>
            <w:r>
              <w:rPr>
                <w:rFonts w:ascii="Arial" w:cs="Arial" w:eastAsia="Arial" w:hAnsi="Arial"/>
                <w:sz w:val="16"/>
                <w:szCs w:val="16"/>
                <w:color w:val="auto"/>
              </w:rPr>
              <w:t>11,970</w:t>
            </w:r>
          </w:p>
        </w:tc>
        <w:tc>
          <w:tcPr>
            <w:tcW w:w="8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11,620</w:t>
            </w:r>
          </w:p>
        </w:tc>
        <w:tc>
          <w:tcPr>
            <w:tcW w:w="760" w:type="dxa"/>
            <w:vAlign w:val="bottom"/>
          </w:tcPr>
          <w:p>
            <w:pPr>
              <w:jc w:val="right"/>
              <w:spacing w:after="0"/>
              <w:rPr>
                <w:sz w:val="20"/>
                <w:szCs w:val="20"/>
                <w:color w:val="auto"/>
              </w:rPr>
            </w:pPr>
            <w:r>
              <w:rPr>
                <w:rFonts w:ascii="Arial" w:cs="Arial" w:eastAsia="Arial" w:hAnsi="Arial"/>
                <w:sz w:val="16"/>
                <w:szCs w:val="16"/>
                <w:color w:val="auto"/>
              </w:rPr>
              <w:t>11,918</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6,796</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260"/>
              <w:spacing w:after="0"/>
              <w:rPr>
                <w:sz w:val="20"/>
                <w:szCs w:val="20"/>
                <w:color w:val="auto"/>
              </w:rPr>
            </w:pPr>
            <w:r>
              <w:rPr>
                <w:rFonts w:ascii="Arial" w:cs="Arial" w:eastAsia="Arial" w:hAnsi="Arial"/>
                <w:sz w:val="16"/>
                <w:szCs w:val="16"/>
                <w:color w:val="auto"/>
              </w:rPr>
              <w:t>Diluted</w:t>
            </w:r>
          </w:p>
        </w:tc>
        <w:tc>
          <w:tcPr>
            <w:tcW w:w="820" w:type="dxa"/>
            <w:vAlign w:val="bottom"/>
          </w:tcPr>
          <w:p>
            <w:pPr>
              <w:jc w:val="right"/>
              <w:spacing w:after="0"/>
              <w:rPr>
                <w:sz w:val="20"/>
                <w:szCs w:val="20"/>
                <w:color w:val="auto"/>
              </w:rPr>
            </w:pPr>
            <w:r>
              <w:rPr>
                <w:rFonts w:ascii="Arial" w:cs="Arial" w:eastAsia="Arial" w:hAnsi="Arial"/>
                <w:sz w:val="16"/>
                <w:szCs w:val="16"/>
                <w:color w:val="auto"/>
              </w:rPr>
              <w:t>12,735</w:t>
            </w:r>
          </w:p>
        </w:tc>
        <w:tc>
          <w:tcPr>
            <w:tcW w:w="8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12,413</w:t>
            </w:r>
          </w:p>
        </w:tc>
        <w:tc>
          <w:tcPr>
            <w:tcW w:w="760" w:type="dxa"/>
            <w:vAlign w:val="bottom"/>
          </w:tcPr>
          <w:p>
            <w:pPr>
              <w:jc w:val="right"/>
              <w:spacing w:after="0"/>
              <w:rPr>
                <w:sz w:val="20"/>
                <w:szCs w:val="20"/>
                <w:color w:val="auto"/>
              </w:rPr>
            </w:pPr>
            <w:r>
              <w:rPr>
                <w:rFonts w:ascii="Arial" w:cs="Arial" w:eastAsia="Arial" w:hAnsi="Arial"/>
                <w:sz w:val="16"/>
                <w:szCs w:val="16"/>
                <w:color w:val="auto"/>
              </w:rPr>
              <w:t>12,685</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11,275</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240"/>
        <w:spacing w:after="0"/>
        <w:rPr>
          <w:sz w:val="20"/>
          <w:szCs w:val="20"/>
          <w:color w:val="auto"/>
        </w:rPr>
      </w:pPr>
      <w:r>
        <w:rPr>
          <w:rFonts w:ascii="Arial" w:cs="Arial" w:eastAsia="Arial" w:hAnsi="Arial"/>
          <w:sz w:val="16"/>
          <w:szCs w:val="16"/>
          <w:b w:val="1"/>
          <w:bCs w:val="1"/>
          <w:color w:val="auto"/>
        </w:rPr>
        <w:t>SPS COMMERCE, INC.</w:t>
      </w:r>
    </w:p>
    <w:p>
      <w:pPr>
        <w:spacing w:after="0" w:line="86" w:lineRule="exact"/>
        <w:rPr>
          <w:sz w:val="20"/>
          <w:szCs w:val="20"/>
          <w:color w:val="auto"/>
        </w:rPr>
      </w:pPr>
    </w:p>
    <w:p>
      <w:pPr>
        <w:jc w:val="center"/>
        <w:ind w:right="424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06" w:lineRule="exact"/>
        <w:rPr>
          <w:sz w:val="20"/>
          <w:szCs w:val="20"/>
          <w:color w:val="auto"/>
        </w:rPr>
      </w:pPr>
    </w:p>
    <w:p>
      <w:pPr>
        <w:jc w:val="center"/>
        <w:ind w:right="4240"/>
        <w:spacing w:after="0"/>
        <w:rPr>
          <w:sz w:val="20"/>
          <w:szCs w:val="20"/>
          <w:color w:val="auto"/>
        </w:rPr>
      </w:pPr>
      <w:r>
        <w:rPr>
          <w:rFonts w:ascii="Arial" w:cs="Arial" w:eastAsia="Arial" w:hAnsi="Arial"/>
          <w:sz w:val="16"/>
          <w:szCs w:val="16"/>
          <w:color w:val="auto"/>
        </w:rPr>
        <w:t>(Unaudited; in thousands)</w:t>
      </w:r>
    </w:p>
    <w:p>
      <w:pPr>
        <w:spacing w:after="0" w:line="336" w:lineRule="exact"/>
        <w:rPr>
          <w:sz w:val="20"/>
          <w:szCs w:val="20"/>
          <w:color w:val="auto"/>
        </w:rPr>
      </w:pPr>
    </w:p>
    <w:p>
      <w:pPr>
        <w:jc w:val="center"/>
        <w:ind w:left="1160"/>
        <w:spacing w:after="0"/>
        <w:rPr>
          <w:sz w:val="20"/>
          <w:szCs w:val="20"/>
          <w:color w:val="auto"/>
        </w:rPr>
      </w:pPr>
      <w:r>
        <w:rPr>
          <w:rFonts w:ascii="Arial" w:cs="Arial" w:eastAsia="Arial" w:hAnsi="Arial"/>
          <w:sz w:val="16"/>
          <w:szCs w:val="16"/>
          <w:b w:val="1"/>
          <w:bCs w:val="1"/>
          <w:color w:val="auto"/>
        </w:rPr>
        <w:t>Nine Months Ended</w:t>
      </w:r>
    </w:p>
    <w:p>
      <w:pPr>
        <w:spacing w:after="0" w:line="86" w:lineRule="exact"/>
        <w:rPr>
          <w:sz w:val="20"/>
          <w:szCs w:val="20"/>
          <w:color w:val="auto"/>
        </w:rPr>
      </w:pPr>
    </w:p>
    <w:p>
      <w:pPr>
        <w:jc w:val="center"/>
        <w:ind w:left="116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14605</wp:posOffset>
            </wp:positionV>
            <wp:extent cx="1020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80" w:lineRule="exact"/>
        <w:rPr>
          <w:sz w:val="20"/>
          <w:szCs w:val="20"/>
          <w:color w:val="auto"/>
        </w:rPr>
      </w:pPr>
    </w:p>
    <w:p>
      <w:pPr>
        <w:ind w:left="5600"/>
        <w:spacing w:after="0"/>
        <w:tabs>
          <w:tab w:leader="none" w:pos="6440" w:val="left"/>
        </w:tabs>
        <w:rPr>
          <w:sz w:val="20"/>
          <w:szCs w:val="20"/>
          <w:color w:val="auto"/>
        </w:rPr>
      </w:pPr>
      <w:r>
        <w:rPr>
          <w:rFonts w:ascii="Arial" w:cs="Arial" w:eastAsia="Arial" w:hAnsi="Arial"/>
          <w:sz w:val="16"/>
          <w:szCs w:val="16"/>
          <w:b w:val="1"/>
          <w:bCs w:val="1"/>
          <w:color w:val="auto"/>
        </w:rPr>
        <w:t>2011</w:t>
      </w:r>
      <w:r>
        <w:rPr>
          <w:sz w:val="20"/>
          <w:szCs w:val="20"/>
          <w:color w:val="auto"/>
        </w:rPr>
        <w:tab/>
      </w:r>
      <w:r>
        <w:rPr>
          <w:rFonts w:ascii="Arial" w:cs="Arial" w:eastAsia="Arial" w:hAnsi="Arial"/>
          <w:sz w:val="16"/>
          <w:szCs w:val="16"/>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14605</wp:posOffset>
            </wp:positionV>
            <wp:extent cx="10204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6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2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70"/>
        </w:trPr>
        <w:tc>
          <w:tcPr>
            <w:tcW w:w="41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160" w:type="dxa"/>
            <w:vAlign w:val="bottom"/>
          </w:tcPr>
          <w:p>
            <w:pPr>
              <w:jc w:val="right"/>
              <w:ind w:right="79"/>
              <w:spacing w:after="0"/>
              <w:rPr>
                <w:sz w:val="20"/>
                <w:szCs w:val="20"/>
                <w:color w:val="auto"/>
              </w:rPr>
            </w:pPr>
            <w:r>
              <w:rPr>
                <w:rFonts w:ascii="Arial" w:cs="Arial" w:eastAsia="Arial" w:hAnsi="Arial"/>
                <w:sz w:val="16"/>
                <w:szCs w:val="16"/>
                <w:color w:val="auto"/>
              </w:rPr>
              <w:t>$ 560</w:t>
            </w:r>
          </w:p>
        </w:tc>
        <w:tc>
          <w:tcPr>
            <w:tcW w:w="700" w:type="dxa"/>
            <w:vAlign w:val="bottom"/>
          </w:tcPr>
          <w:p>
            <w:pPr>
              <w:jc w:val="right"/>
              <w:spacing w:after="0"/>
              <w:rPr>
                <w:sz w:val="20"/>
                <w:szCs w:val="20"/>
                <w:color w:val="auto"/>
              </w:rPr>
            </w:pPr>
            <w:r>
              <w:rPr>
                <w:rFonts w:ascii="Arial" w:cs="Arial" w:eastAsia="Arial" w:hAnsi="Arial"/>
                <w:sz w:val="16"/>
                <w:szCs w:val="16"/>
                <w:color w:val="auto"/>
              </w:rPr>
              <w:t>$ 2,443</w:t>
            </w:r>
          </w:p>
        </w:tc>
      </w:tr>
    </w:tbl>
    <w:p>
      <w:pPr>
        <w:sectPr>
          <w:pgSz w:w="11900" w:h="16838" w:orient="portrait"/>
          <w:cols w:equalWidth="0" w:num="1">
            <w:col w:w="11260"/>
          </w:cols>
          <w:pgMar w:left="320" w:top="141" w:right="319" w:bottom="0" w:gutter="0" w:footer="0" w:header="0"/>
        </w:sectPr>
      </w:pPr>
    </w:p>
    <w:bookmarkStart w:id="6" w:name="page7"/>
    <w:bookmarkEnd w:id="6"/>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5420" w:type="dxa"/>
            <w:vAlign w:val="bottom"/>
          </w:tcPr>
          <w:p>
            <w:pPr>
              <w:ind w:left="140"/>
              <w:spacing w:after="0"/>
              <w:rPr>
                <w:sz w:val="20"/>
                <w:szCs w:val="20"/>
                <w:color w:val="auto"/>
              </w:rPr>
            </w:pPr>
            <w:r>
              <w:rPr>
                <w:rFonts w:ascii="Arial" w:cs="Arial" w:eastAsia="Arial" w:hAnsi="Arial"/>
                <w:sz w:val="16"/>
                <w:szCs w:val="16"/>
                <w:color w:val="auto"/>
              </w:rPr>
              <w:t>Reconciliation of net income to net cash provided by operating activities</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70"/>
        </w:trPr>
        <w:tc>
          <w:tcPr>
            <w:tcW w:w="5420" w:type="dxa"/>
            <w:vAlign w:val="bottom"/>
          </w:tcPr>
          <w:p>
            <w:pPr>
              <w:ind w:left="280"/>
              <w:spacing w:after="0"/>
              <w:rPr>
                <w:sz w:val="20"/>
                <w:szCs w:val="20"/>
                <w:color w:val="auto"/>
              </w:rPr>
            </w:pPr>
            <w:r>
              <w:rPr>
                <w:rFonts w:ascii="Arial" w:cs="Arial" w:eastAsia="Arial" w:hAnsi="Arial"/>
                <w:sz w:val="16"/>
                <w:szCs w:val="16"/>
                <w:color w:val="auto"/>
              </w:rPr>
              <w:t>Depreciation and amortization of property and equipment</w:t>
            </w:r>
          </w:p>
        </w:tc>
        <w:tc>
          <w:tcPr>
            <w:tcW w:w="740" w:type="dxa"/>
            <w:vAlign w:val="bottom"/>
          </w:tcPr>
          <w:p>
            <w:pPr>
              <w:jc w:val="right"/>
              <w:spacing w:after="0"/>
              <w:rPr>
                <w:sz w:val="20"/>
                <w:szCs w:val="20"/>
                <w:color w:val="auto"/>
              </w:rPr>
            </w:pPr>
            <w:r>
              <w:rPr>
                <w:rFonts w:ascii="Arial" w:cs="Arial" w:eastAsia="Arial" w:hAnsi="Arial"/>
                <w:sz w:val="16"/>
                <w:szCs w:val="16"/>
                <w:color w:val="auto"/>
              </w:rPr>
              <w:t>1,436</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1,148</w:t>
            </w:r>
          </w:p>
        </w:tc>
      </w:tr>
      <w:tr>
        <w:trPr>
          <w:trHeight w:val="270"/>
        </w:trPr>
        <w:tc>
          <w:tcPr>
            <w:tcW w:w="54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740" w:type="dxa"/>
            <w:vAlign w:val="bottom"/>
          </w:tcPr>
          <w:p>
            <w:pPr>
              <w:jc w:val="right"/>
              <w:spacing w:after="0"/>
              <w:rPr>
                <w:sz w:val="20"/>
                <w:szCs w:val="20"/>
                <w:color w:val="auto"/>
              </w:rPr>
            </w:pPr>
            <w:r>
              <w:rPr>
                <w:rFonts w:ascii="Arial" w:cs="Arial" w:eastAsia="Arial" w:hAnsi="Arial"/>
                <w:sz w:val="16"/>
                <w:szCs w:val="16"/>
                <w:color w:val="auto"/>
              </w:rPr>
              <w:t>383</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5420" w:type="dxa"/>
            <w:vAlign w:val="bottom"/>
          </w:tcPr>
          <w:p>
            <w:pPr>
              <w:ind w:left="280"/>
              <w:spacing w:after="0"/>
              <w:rPr>
                <w:sz w:val="20"/>
                <w:szCs w:val="20"/>
                <w:color w:val="auto"/>
              </w:rPr>
            </w:pPr>
            <w:r>
              <w:rPr>
                <w:rFonts w:ascii="Arial" w:cs="Arial" w:eastAsia="Arial" w:hAnsi="Arial"/>
                <w:sz w:val="16"/>
                <w:szCs w:val="16"/>
                <w:color w:val="auto"/>
              </w:rPr>
              <w:t>Provision for doubtful accounts</w:t>
            </w:r>
          </w:p>
        </w:tc>
        <w:tc>
          <w:tcPr>
            <w:tcW w:w="740" w:type="dxa"/>
            <w:vAlign w:val="bottom"/>
          </w:tcPr>
          <w:p>
            <w:pPr>
              <w:jc w:val="right"/>
              <w:spacing w:after="0"/>
              <w:rPr>
                <w:sz w:val="20"/>
                <w:szCs w:val="20"/>
                <w:color w:val="auto"/>
              </w:rPr>
            </w:pPr>
            <w:r>
              <w:rPr>
                <w:rFonts w:ascii="Arial" w:cs="Arial" w:eastAsia="Arial" w:hAnsi="Arial"/>
                <w:sz w:val="16"/>
                <w:szCs w:val="16"/>
                <w:color w:val="auto"/>
              </w:rPr>
              <w:t>245</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270"/>
        </w:trPr>
        <w:tc>
          <w:tcPr>
            <w:tcW w:w="542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740" w:type="dxa"/>
            <w:vAlign w:val="bottom"/>
          </w:tcPr>
          <w:p>
            <w:pPr>
              <w:jc w:val="right"/>
              <w:spacing w:after="0"/>
              <w:rPr>
                <w:sz w:val="20"/>
                <w:szCs w:val="20"/>
                <w:color w:val="auto"/>
              </w:rPr>
            </w:pPr>
            <w:r>
              <w:rPr>
                <w:rFonts w:ascii="Arial" w:cs="Arial" w:eastAsia="Arial" w:hAnsi="Arial"/>
                <w:sz w:val="16"/>
                <w:szCs w:val="16"/>
                <w:color w:val="auto"/>
              </w:rPr>
              <w:t>1,286</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458</w:t>
            </w:r>
          </w:p>
        </w:tc>
      </w:tr>
      <w:tr>
        <w:trPr>
          <w:trHeight w:val="270"/>
        </w:trPr>
        <w:tc>
          <w:tcPr>
            <w:tcW w:w="5420" w:type="dxa"/>
            <w:vAlign w:val="bottom"/>
          </w:tcPr>
          <w:p>
            <w:pPr>
              <w:ind w:left="280"/>
              <w:spacing w:after="0"/>
              <w:rPr>
                <w:sz w:val="20"/>
                <w:szCs w:val="20"/>
                <w:color w:val="auto"/>
              </w:rPr>
            </w:pPr>
            <w:r>
              <w:rPr>
                <w:rFonts w:ascii="Arial" w:cs="Arial" w:eastAsia="Arial" w:hAnsi="Arial"/>
                <w:sz w:val="16"/>
                <w:szCs w:val="16"/>
                <w:color w:val="auto"/>
              </w:rPr>
              <w:t>Change in carrying value of preferred stock warrants</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70"/>
        </w:trPr>
        <w:tc>
          <w:tcPr>
            <w:tcW w:w="5420" w:type="dxa"/>
            <w:vAlign w:val="bottom"/>
          </w:tcPr>
          <w:p>
            <w:pPr>
              <w:ind w:left="280"/>
              <w:spacing w:after="0"/>
              <w:rPr>
                <w:sz w:val="20"/>
                <w:szCs w:val="20"/>
                <w:color w:val="auto"/>
              </w:rPr>
            </w:pPr>
            <w:r>
              <w:rPr>
                <w:rFonts w:ascii="Arial" w:cs="Arial" w:eastAsia="Arial" w:hAnsi="Arial"/>
                <w:sz w:val="16"/>
                <w:szCs w:val="16"/>
                <w:color w:val="auto"/>
              </w:rPr>
              <w:t>Other</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5420" w:type="dxa"/>
            <w:vAlign w:val="bottom"/>
          </w:tcPr>
          <w:p>
            <w:pPr>
              <w:ind w:left="280"/>
              <w:spacing w:after="0"/>
              <w:rPr>
                <w:sz w:val="20"/>
                <w:szCs w:val="20"/>
                <w:color w:val="auto"/>
              </w:rPr>
            </w:pPr>
            <w:r>
              <w:rPr>
                <w:rFonts w:ascii="Arial" w:cs="Arial" w:eastAsia="Arial" w:hAnsi="Arial"/>
                <w:sz w:val="16"/>
                <w:szCs w:val="16"/>
                <w:color w:val="auto"/>
              </w:rPr>
              <w:t>Changes in assets and liabilities, net of effect of acquisition</w:t>
            </w: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5420" w:type="dxa"/>
            <w:vAlign w:val="bottom"/>
          </w:tcPr>
          <w:p>
            <w:pPr>
              <w:ind w:left="340"/>
              <w:spacing w:after="0"/>
              <w:rPr>
                <w:sz w:val="20"/>
                <w:szCs w:val="20"/>
                <w:color w:val="auto"/>
              </w:rPr>
            </w:pPr>
            <w:r>
              <w:rPr>
                <w:rFonts w:ascii="Arial" w:cs="Arial" w:eastAsia="Arial" w:hAnsi="Arial"/>
                <w:sz w:val="16"/>
                <w:szCs w:val="16"/>
                <w:color w:val="auto"/>
              </w:rPr>
              <w:t>Accounts receivable</w:t>
            </w:r>
          </w:p>
        </w:tc>
        <w:tc>
          <w:tcPr>
            <w:tcW w:w="740" w:type="dxa"/>
            <w:vAlign w:val="bottom"/>
          </w:tcPr>
          <w:p>
            <w:pPr>
              <w:jc w:val="right"/>
              <w:spacing w:after="0"/>
              <w:rPr>
                <w:sz w:val="20"/>
                <w:szCs w:val="20"/>
                <w:color w:val="auto"/>
              </w:rPr>
            </w:pPr>
            <w:r>
              <w:rPr>
                <w:rFonts w:ascii="Arial" w:cs="Arial" w:eastAsia="Arial" w:hAnsi="Arial"/>
                <w:sz w:val="16"/>
                <w:szCs w:val="16"/>
                <w:color w:val="auto"/>
              </w:rPr>
              <w:t>(2,265)</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(975)</w:t>
            </w:r>
          </w:p>
        </w:tc>
      </w:tr>
      <w:tr>
        <w:trPr>
          <w:trHeight w:val="270"/>
        </w:trPr>
        <w:tc>
          <w:tcPr>
            <w:tcW w:w="5420" w:type="dxa"/>
            <w:vAlign w:val="bottom"/>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740" w:type="dxa"/>
            <w:vAlign w:val="bottom"/>
          </w:tcPr>
          <w:p>
            <w:pPr>
              <w:jc w:val="right"/>
              <w:spacing w:after="0"/>
              <w:rPr>
                <w:sz w:val="20"/>
                <w:szCs w:val="20"/>
                <w:color w:val="auto"/>
              </w:rPr>
            </w:pPr>
            <w:r>
              <w:rPr>
                <w:rFonts w:ascii="Arial" w:cs="Arial" w:eastAsia="Arial" w:hAnsi="Arial"/>
                <w:sz w:val="16"/>
                <w:szCs w:val="16"/>
                <w:color w:val="auto"/>
              </w:rPr>
              <w:t>(264)</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450</w:t>
            </w:r>
          </w:p>
        </w:tc>
      </w:tr>
      <w:tr>
        <w:trPr>
          <w:trHeight w:val="270"/>
        </w:trPr>
        <w:tc>
          <w:tcPr>
            <w:tcW w:w="5420" w:type="dxa"/>
            <w:vAlign w:val="bottom"/>
          </w:tcPr>
          <w:p>
            <w:pPr>
              <w:ind w:left="340"/>
              <w:spacing w:after="0"/>
              <w:rPr>
                <w:sz w:val="20"/>
                <w:szCs w:val="20"/>
                <w:color w:val="auto"/>
              </w:rPr>
            </w:pPr>
            <w:r>
              <w:rPr>
                <w:rFonts w:ascii="Arial" w:cs="Arial" w:eastAsia="Arial" w:hAnsi="Arial"/>
                <w:sz w:val="16"/>
                <w:szCs w:val="16"/>
                <w:color w:val="auto"/>
              </w:rPr>
              <w:t>Other assets</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70"/>
        </w:trPr>
        <w:tc>
          <w:tcPr>
            <w:tcW w:w="5420" w:type="dxa"/>
            <w:vAlign w:val="bottom"/>
          </w:tcPr>
          <w:p>
            <w:pPr>
              <w:ind w:left="340"/>
              <w:spacing w:after="0"/>
              <w:rPr>
                <w:sz w:val="20"/>
                <w:szCs w:val="20"/>
                <w:color w:val="auto"/>
              </w:rPr>
            </w:pPr>
            <w:r>
              <w:rPr>
                <w:rFonts w:ascii="Arial" w:cs="Arial" w:eastAsia="Arial" w:hAnsi="Arial"/>
                <w:sz w:val="16"/>
                <w:szCs w:val="16"/>
                <w:color w:val="auto"/>
              </w:rPr>
              <w:t>Deferred costs</w:t>
            </w:r>
          </w:p>
        </w:tc>
        <w:tc>
          <w:tcPr>
            <w:tcW w:w="740" w:type="dxa"/>
            <w:vAlign w:val="bottom"/>
          </w:tcPr>
          <w:p>
            <w:pPr>
              <w:jc w:val="right"/>
              <w:spacing w:after="0"/>
              <w:rPr>
                <w:sz w:val="20"/>
                <w:szCs w:val="20"/>
                <w:color w:val="auto"/>
              </w:rPr>
            </w:pPr>
            <w:r>
              <w:rPr>
                <w:rFonts w:ascii="Arial" w:cs="Arial" w:eastAsia="Arial" w:hAnsi="Arial"/>
                <w:sz w:val="16"/>
                <w:szCs w:val="16"/>
                <w:color w:val="auto"/>
              </w:rPr>
              <w:t>(1,219)</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(724)</w:t>
            </w:r>
          </w:p>
        </w:tc>
      </w:tr>
      <w:tr>
        <w:trPr>
          <w:trHeight w:val="270"/>
        </w:trPr>
        <w:tc>
          <w:tcPr>
            <w:tcW w:w="542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740" w:type="dxa"/>
            <w:vAlign w:val="bottom"/>
          </w:tcPr>
          <w:p>
            <w:pPr>
              <w:jc w:val="right"/>
              <w:spacing w:after="0"/>
              <w:rPr>
                <w:sz w:val="20"/>
                <w:szCs w:val="20"/>
                <w:color w:val="auto"/>
              </w:rPr>
            </w:pPr>
            <w:r>
              <w:rPr>
                <w:rFonts w:ascii="Arial" w:cs="Arial" w:eastAsia="Arial" w:hAnsi="Arial"/>
                <w:sz w:val="16"/>
                <w:szCs w:val="16"/>
                <w:color w:val="auto"/>
              </w:rPr>
              <w:t>389</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(287)</w:t>
            </w:r>
          </w:p>
        </w:tc>
      </w:tr>
      <w:tr>
        <w:trPr>
          <w:trHeight w:val="270"/>
        </w:trPr>
        <w:tc>
          <w:tcPr>
            <w:tcW w:w="542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740" w:type="dxa"/>
            <w:vAlign w:val="bottom"/>
          </w:tcPr>
          <w:p>
            <w:pPr>
              <w:jc w:val="right"/>
              <w:spacing w:after="0"/>
              <w:rPr>
                <w:sz w:val="20"/>
                <w:szCs w:val="20"/>
                <w:color w:val="auto"/>
              </w:rPr>
            </w:pPr>
            <w:r>
              <w:rPr>
                <w:rFonts w:ascii="Arial" w:cs="Arial" w:eastAsia="Arial" w:hAnsi="Arial"/>
                <w:sz w:val="16"/>
                <w:szCs w:val="16"/>
                <w:color w:val="auto"/>
              </w:rPr>
              <w:t>1,323</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866</w:t>
            </w:r>
          </w:p>
        </w:tc>
      </w:tr>
      <w:tr>
        <w:trPr>
          <w:trHeight w:val="270"/>
        </w:trPr>
        <w:tc>
          <w:tcPr>
            <w:tcW w:w="5420" w:type="dxa"/>
            <w:vAlign w:val="bottom"/>
          </w:tcPr>
          <w:p>
            <w:pPr>
              <w:ind w:left="340"/>
              <w:spacing w:after="0"/>
              <w:rPr>
                <w:sz w:val="20"/>
                <w:szCs w:val="20"/>
                <w:color w:val="auto"/>
              </w:rPr>
            </w:pPr>
            <w:r>
              <w:rPr>
                <w:rFonts w:ascii="Arial" w:cs="Arial" w:eastAsia="Arial" w:hAnsi="Arial"/>
                <w:sz w:val="16"/>
                <w:szCs w:val="16"/>
                <w:color w:val="auto"/>
              </w:rPr>
              <w:t>Accrued compensation and benefits</w:t>
            </w:r>
          </w:p>
        </w:tc>
        <w:tc>
          <w:tcPr>
            <w:tcW w:w="740" w:type="dxa"/>
            <w:vAlign w:val="bottom"/>
          </w:tcPr>
          <w:p>
            <w:pPr>
              <w:jc w:val="right"/>
              <w:spacing w:after="0"/>
              <w:rPr>
                <w:sz w:val="20"/>
                <w:szCs w:val="20"/>
                <w:color w:val="auto"/>
              </w:rPr>
            </w:pPr>
            <w:r>
              <w:rPr>
                <w:rFonts w:ascii="Arial" w:cs="Arial" w:eastAsia="Arial" w:hAnsi="Arial"/>
                <w:sz w:val="16"/>
                <w:szCs w:val="16"/>
                <w:color w:val="auto"/>
              </w:rPr>
              <w:t>1,612</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714</w:t>
            </w:r>
          </w:p>
        </w:tc>
      </w:tr>
      <w:tr>
        <w:trPr>
          <w:trHeight w:val="263"/>
        </w:trPr>
        <w:tc>
          <w:tcPr>
            <w:tcW w:w="5420" w:type="dxa"/>
            <w:vAlign w:val="bottom"/>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8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r>
      <w:tr>
        <w:trPr>
          <w:trHeight w:val="264"/>
        </w:trPr>
        <w:tc>
          <w:tcPr>
            <w:tcW w:w="5420" w:type="dxa"/>
            <w:vAlign w:val="bottom"/>
          </w:tcPr>
          <w:p>
            <w:pPr>
              <w:ind w:left="420"/>
              <w:spacing w:after="0"/>
              <w:rPr>
                <w:sz w:val="20"/>
                <w:szCs w:val="20"/>
                <w:color w:val="auto"/>
              </w:rPr>
            </w:pPr>
            <w:r>
              <w:rPr>
                <w:rFonts w:ascii="Arial" w:cs="Arial" w:eastAsia="Arial" w:hAnsi="Arial"/>
                <w:sz w:val="16"/>
                <w:szCs w:val="16"/>
                <w:color w:val="auto"/>
              </w:rPr>
              <w:t>Net cash provided by operating activities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3,546</w:t>
            </w:r>
          </w:p>
        </w:tc>
        <w:tc>
          <w:tcPr>
            <w:tcW w:w="8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4,072</w:t>
            </w:r>
          </w:p>
        </w:tc>
      </w:tr>
      <w:tr>
        <w:trPr>
          <w:trHeight w:val="271"/>
        </w:trPr>
        <w:tc>
          <w:tcPr>
            <w:tcW w:w="542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5420" w:type="dxa"/>
            <w:vAlign w:val="bottom"/>
          </w:tcPr>
          <w:p>
            <w:pPr>
              <w:ind w:left="140"/>
              <w:spacing w:after="0"/>
              <w:rPr>
                <w:sz w:val="20"/>
                <w:szCs w:val="20"/>
                <w:color w:val="auto"/>
              </w:rPr>
            </w:pPr>
            <w:r>
              <w:rPr>
                <w:rFonts w:ascii="Arial" w:cs="Arial" w:eastAsia="Arial" w:hAnsi="Arial"/>
                <w:sz w:val="16"/>
                <w:szCs w:val="16"/>
                <w:color w:val="auto"/>
              </w:rPr>
              <w:t>Acquisition of Direct EDI</w:t>
            </w:r>
          </w:p>
        </w:tc>
        <w:tc>
          <w:tcPr>
            <w:tcW w:w="740" w:type="dxa"/>
            <w:vAlign w:val="bottom"/>
          </w:tcPr>
          <w:p>
            <w:pPr>
              <w:jc w:val="right"/>
              <w:spacing w:after="0"/>
              <w:rPr>
                <w:sz w:val="20"/>
                <w:szCs w:val="20"/>
                <w:color w:val="auto"/>
              </w:rPr>
            </w:pPr>
            <w:r>
              <w:rPr>
                <w:rFonts w:ascii="Arial" w:cs="Arial" w:eastAsia="Arial" w:hAnsi="Arial"/>
                <w:sz w:val="16"/>
                <w:szCs w:val="16"/>
                <w:color w:val="auto"/>
              </w:rPr>
              <w:t>(10,865)</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5420" w:type="dxa"/>
            <w:vAlign w:val="bottom"/>
          </w:tcPr>
          <w:p>
            <w:pPr>
              <w:ind w:left="140"/>
              <w:spacing w:after="0"/>
              <w:rPr>
                <w:sz w:val="20"/>
                <w:szCs w:val="20"/>
                <w:color w:val="auto"/>
              </w:rPr>
            </w:pPr>
            <w:r>
              <w:rPr>
                <w:rFonts w:ascii="Arial" w:cs="Arial" w:eastAsia="Arial" w:hAnsi="Arial"/>
                <w:sz w:val="16"/>
                <w:szCs w:val="16"/>
                <w:color w:val="auto"/>
              </w:rPr>
              <w:t>Purchases of property and equipment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(1,716)</w:t>
            </w:r>
          </w:p>
        </w:tc>
        <w:tc>
          <w:tcPr>
            <w:tcW w:w="8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w:t>
            </w:r>
          </w:p>
        </w:tc>
      </w:tr>
      <w:tr>
        <w:trPr>
          <w:trHeight w:val="264"/>
        </w:trPr>
        <w:tc>
          <w:tcPr>
            <w:tcW w:w="5420" w:type="dxa"/>
            <w:vAlign w:val="bottom"/>
          </w:tcPr>
          <w:p>
            <w:pPr>
              <w:ind w:left="220"/>
              <w:spacing w:after="0"/>
              <w:rPr>
                <w:sz w:val="20"/>
                <w:szCs w:val="20"/>
                <w:color w:val="auto"/>
              </w:rPr>
            </w:pPr>
            <w:r>
              <w:rPr>
                <w:rFonts w:ascii="Arial" w:cs="Arial" w:eastAsia="Arial" w:hAnsi="Arial"/>
                <w:sz w:val="16"/>
                <w:szCs w:val="16"/>
                <w:color w:val="auto"/>
              </w:rPr>
              <w:t>Net cash used in investing activities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(12,581)</w:t>
            </w:r>
          </w:p>
        </w:tc>
        <w:tc>
          <w:tcPr>
            <w:tcW w:w="8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w:t>
            </w:r>
          </w:p>
        </w:tc>
      </w:tr>
      <w:tr>
        <w:trPr>
          <w:trHeight w:val="271"/>
        </w:trPr>
        <w:tc>
          <w:tcPr>
            <w:tcW w:w="542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5420" w:type="dxa"/>
            <w:vAlign w:val="bottom"/>
          </w:tcPr>
          <w:p>
            <w:pPr>
              <w:ind w:left="140"/>
              <w:spacing w:after="0"/>
              <w:rPr>
                <w:sz w:val="20"/>
                <w:szCs w:val="20"/>
                <w:color w:val="auto"/>
              </w:rPr>
            </w:pPr>
            <w:r>
              <w:rPr>
                <w:rFonts w:ascii="Arial" w:cs="Arial" w:eastAsia="Arial" w:hAnsi="Arial"/>
                <w:sz w:val="16"/>
                <w:szCs w:val="16"/>
                <w:color w:val="auto"/>
              </w:rPr>
              <w:t>Borrowings on line of credit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4,450</w:t>
            </w:r>
          </w:p>
        </w:tc>
      </w:tr>
      <w:tr>
        <w:trPr>
          <w:trHeight w:val="270"/>
        </w:trPr>
        <w:tc>
          <w:tcPr>
            <w:tcW w:w="5420" w:type="dxa"/>
            <w:vAlign w:val="bottom"/>
          </w:tcPr>
          <w:p>
            <w:pPr>
              <w:ind w:left="140"/>
              <w:spacing w:after="0"/>
              <w:rPr>
                <w:sz w:val="20"/>
                <w:szCs w:val="20"/>
                <w:color w:val="auto"/>
              </w:rPr>
            </w:pPr>
            <w:r>
              <w:rPr>
                <w:rFonts w:ascii="Arial" w:cs="Arial" w:eastAsia="Arial" w:hAnsi="Arial"/>
                <w:sz w:val="16"/>
                <w:szCs w:val="16"/>
                <w:color w:val="auto"/>
              </w:rPr>
              <w:t>Payments on line of credit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(5,950)</w:t>
            </w:r>
          </w:p>
        </w:tc>
      </w:tr>
      <w:tr>
        <w:trPr>
          <w:trHeight w:val="270"/>
        </w:trPr>
        <w:tc>
          <w:tcPr>
            <w:tcW w:w="5420" w:type="dxa"/>
            <w:vAlign w:val="bottom"/>
          </w:tcPr>
          <w:p>
            <w:pPr>
              <w:ind w:left="140"/>
              <w:spacing w:after="0"/>
              <w:rPr>
                <w:sz w:val="20"/>
                <w:szCs w:val="20"/>
                <w:color w:val="auto"/>
              </w:rPr>
            </w:pPr>
            <w:r>
              <w:rPr>
                <w:rFonts w:ascii="Arial" w:cs="Arial" w:eastAsia="Arial" w:hAnsi="Arial"/>
                <w:sz w:val="16"/>
                <w:szCs w:val="16"/>
                <w:color w:val="auto"/>
              </w:rPr>
              <w:t>Payments on equipment loans</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(732)</w:t>
            </w:r>
          </w:p>
        </w:tc>
      </w:tr>
      <w:tr>
        <w:trPr>
          <w:trHeight w:val="270"/>
        </w:trPr>
        <w:tc>
          <w:tcPr>
            <w:tcW w:w="5420" w:type="dxa"/>
            <w:vAlign w:val="bottom"/>
          </w:tcPr>
          <w:p>
            <w:pPr>
              <w:ind w:left="140"/>
              <w:spacing w:after="0"/>
              <w:rPr>
                <w:sz w:val="20"/>
                <w:szCs w:val="20"/>
                <w:color w:val="auto"/>
              </w:rPr>
            </w:pPr>
            <w:r>
              <w:rPr>
                <w:rFonts w:ascii="Arial" w:cs="Arial" w:eastAsia="Arial" w:hAnsi="Arial"/>
                <w:sz w:val="16"/>
                <w:szCs w:val="16"/>
                <w:color w:val="auto"/>
              </w:rPr>
              <w:t>Payments of capital lease obligations</w:t>
            </w:r>
          </w:p>
        </w:tc>
        <w:tc>
          <w:tcPr>
            <w:tcW w:w="740" w:type="dxa"/>
            <w:vAlign w:val="bottom"/>
          </w:tcPr>
          <w:p>
            <w:pPr>
              <w:jc w:val="right"/>
              <w:spacing w:after="0"/>
              <w:rPr>
                <w:sz w:val="20"/>
                <w:szCs w:val="20"/>
                <w:color w:val="auto"/>
              </w:rPr>
            </w:pPr>
            <w:r>
              <w:rPr>
                <w:rFonts w:ascii="Arial" w:cs="Arial" w:eastAsia="Arial" w:hAnsi="Arial"/>
                <w:sz w:val="16"/>
                <w:szCs w:val="16"/>
                <w:color w:val="auto"/>
              </w:rPr>
              <w:t>(122)</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(338)</w:t>
            </w:r>
          </w:p>
        </w:tc>
      </w:tr>
      <w:tr>
        <w:trPr>
          <w:trHeight w:val="270"/>
        </w:trPr>
        <w:tc>
          <w:tcPr>
            <w:tcW w:w="5420" w:type="dxa"/>
            <w:vAlign w:val="bottom"/>
          </w:tcPr>
          <w:p>
            <w:pPr>
              <w:ind w:left="140"/>
              <w:spacing w:after="0"/>
              <w:rPr>
                <w:sz w:val="20"/>
                <w:szCs w:val="20"/>
                <w:color w:val="auto"/>
              </w:rPr>
            </w:pPr>
            <w:r>
              <w:rPr>
                <w:rFonts w:ascii="Arial" w:cs="Arial" w:eastAsia="Arial" w:hAnsi="Arial"/>
                <w:sz w:val="16"/>
                <w:szCs w:val="16"/>
                <w:color w:val="auto"/>
              </w:rPr>
              <w:t>Net proceeds from initial public offering</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32,902</w:t>
            </w:r>
          </w:p>
        </w:tc>
      </w:tr>
      <w:tr>
        <w:trPr>
          <w:trHeight w:val="270"/>
        </w:trPr>
        <w:tc>
          <w:tcPr>
            <w:tcW w:w="5420" w:type="dxa"/>
            <w:vAlign w:val="bottom"/>
          </w:tcPr>
          <w:p>
            <w:pPr>
              <w:ind w:left="140"/>
              <w:spacing w:after="0"/>
              <w:rPr>
                <w:sz w:val="20"/>
                <w:szCs w:val="20"/>
                <w:color w:val="auto"/>
              </w:rPr>
            </w:pPr>
            <w:r>
              <w:rPr>
                <w:rFonts w:ascii="Arial" w:cs="Arial" w:eastAsia="Arial" w:hAnsi="Arial"/>
                <w:sz w:val="16"/>
                <w:szCs w:val="16"/>
                <w:color w:val="auto"/>
              </w:rPr>
              <w:t>Stock offering costs</w:t>
            </w:r>
          </w:p>
        </w:tc>
        <w:tc>
          <w:tcPr>
            <w:tcW w:w="740" w:type="dxa"/>
            <w:vAlign w:val="bottom"/>
          </w:tcPr>
          <w:p>
            <w:pPr>
              <w:jc w:val="right"/>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5420" w:type="dxa"/>
            <w:vAlign w:val="bottom"/>
          </w:tcPr>
          <w:p>
            <w:pPr>
              <w:ind w:left="140"/>
              <w:spacing w:after="0"/>
              <w:rPr>
                <w:sz w:val="20"/>
                <w:szCs w:val="20"/>
                <w:color w:val="auto"/>
              </w:rPr>
            </w:pPr>
            <w:r>
              <w:rPr>
                <w:rFonts w:ascii="Arial" w:cs="Arial" w:eastAsia="Arial" w:hAnsi="Arial"/>
                <w:sz w:val="16"/>
                <w:szCs w:val="16"/>
                <w:color w:val="auto"/>
              </w:rPr>
              <w:t>Net proceeds from exercise of options to purchase common stock</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8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64"/>
        </w:trPr>
        <w:tc>
          <w:tcPr>
            <w:tcW w:w="5420" w:type="dxa"/>
            <w:vAlign w:val="bottom"/>
          </w:tcPr>
          <w:p>
            <w:pPr>
              <w:ind w:left="280"/>
              <w:spacing w:after="0"/>
              <w:rPr>
                <w:sz w:val="20"/>
                <w:szCs w:val="20"/>
                <w:color w:val="auto"/>
              </w:rPr>
            </w:pPr>
            <w:r>
              <w:rPr>
                <w:rFonts w:ascii="Arial" w:cs="Arial" w:eastAsia="Arial" w:hAnsi="Arial"/>
                <w:sz w:val="16"/>
                <w:szCs w:val="16"/>
                <w:color w:val="auto"/>
              </w:rPr>
              <w:t>Net cash provided by financing activities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30,340</w:t>
            </w:r>
          </w:p>
        </w:tc>
      </w:tr>
      <w:tr>
        <w:trPr>
          <w:trHeight w:val="271"/>
        </w:trPr>
        <w:tc>
          <w:tcPr>
            <w:tcW w:w="542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740" w:type="dxa"/>
            <w:vAlign w:val="bottom"/>
          </w:tcPr>
          <w:p>
            <w:pPr>
              <w:jc w:val="right"/>
              <w:spacing w:after="0"/>
              <w:rPr>
                <w:sz w:val="20"/>
                <w:szCs w:val="20"/>
                <w:color w:val="auto"/>
              </w:rPr>
            </w:pPr>
            <w:r>
              <w:rPr>
                <w:rFonts w:ascii="Arial" w:cs="Arial" w:eastAsia="Arial" w:hAnsi="Arial"/>
                <w:sz w:val="16"/>
                <w:szCs w:val="16"/>
                <w:color w:val="auto"/>
              </w:rPr>
              <w:t>(8,927)</w:t>
            </w: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33,182</w:t>
            </w:r>
          </w:p>
        </w:tc>
      </w:tr>
      <w:tr>
        <w:trPr>
          <w:trHeight w:val="263"/>
        </w:trPr>
        <w:tc>
          <w:tcPr>
            <w:tcW w:w="542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40,473</w:t>
            </w:r>
          </w:p>
        </w:tc>
        <w:tc>
          <w:tcPr>
            <w:tcW w:w="8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5,931</w:t>
            </w:r>
          </w:p>
        </w:tc>
      </w:tr>
      <w:tr>
        <w:trPr>
          <w:trHeight w:val="264"/>
        </w:trPr>
        <w:tc>
          <w:tcPr>
            <w:tcW w:w="542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$ 31,546</w:t>
            </w:r>
          </w:p>
        </w:tc>
        <w:tc>
          <w:tcPr>
            <w:tcW w:w="8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$ 39,113</w:t>
            </w:r>
          </w:p>
        </w:tc>
      </w:tr>
      <w:tr>
        <w:trPr>
          <w:trHeight w:val="20"/>
        </w:trPr>
        <w:tc>
          <w:tcPr>
            <w:tcW w:w="5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Investor Relations:</w:t>
      </w:r>
    </w:p>
    <w:p>
      <w:pPr>
        <w:ind w:left="960"/>
        <w:spacing w:after="0" w:line="238" w:lineRule="auto"/>
        <w:rPr>
          <w:sz w:val="20"/>
          <w:szCs w:val="20"/>
          <w:color w:val="auto"/>
        </w:rPr>
      </w:pPr>
      <w:r>
        <w:rPr>
          <w:rFonts w:ascii="Courier New" w:cs="Courier New" w:eastAsia="Courier New" w:hAnsi="Courier New"/>
          <w:sz w:val="18"/>
          <w:szCs w:val="18"/>
          <w:color w:val="auto"/>
        </w:rPr>
        <w:t>The Blueshirt Group</w:t>
      </w:r>
    </w:p>
    <w:p>
      <w:pPr>
        <w:ind w:left="960"/>
        <w:spacing w:after="0"/>
        <w:rPr>
          <w:sz w:val="20"/>
          <w:szCs w:val="20"/>
          <w:color w:val="auto"/>
        </w:rPr>
      </w:pPr>
      <w:r>
        <w:rPr>
          <w:rFonts w:ascii="Courier New" w:cs="Courier New" w:eastAsia="Courier New" w:hAnsi="Courier New"/>
          <w:sz w:val="18"/>
          <w:szCs w:val="18"/>
          <w:color w:val="auto"/>
        </w:rPr>
        <w:t>415-217-7722</w:t>
      </w:r>
    </w:p>
    <w:p>
      <w:pPr>
        <w:ind w:left="960"/>
        <w:spacing w:after="0" w:line="237" w:lineRule="auto"/>
        <w:rPr>
          <w:sz w:val="20"/>
          <w:szCs w:val="20"/>
          <w:color w:val="auto"/>
        </w:rPr>
      </w:pPr>
      <w:r>
        <w:rPr>
          <w:rFonts w:ascii="Courier New" w:cs="Courier New" w:eastAsia="Courier New" w:hAnsi="Courier New"/>
          <w:sz w:val="18"/>
          <w:szCs w:val="18"/>
          <w:color w:val="auto"/>
        </w:rPr>
        <w:t>Todd Friedman, todd@blueshirtgroup.com</w:t>
      </w:r>
    </w:p>
    <w:p>
      <w:pPr>
        <w:ind w:left="960"/>
        <w:spacing w:after="0" w:line="238" w:lineRule="auto"/>
        <w:rPr>
          <w:sz w:val="20"/>
          <w:szCs w:val="20"/>
          <w:color w:val="auto"/>
        </w:rPr>
      </w:pPr>
      <w:r>
        <w:rPr>
          <w:rFonts w:ascii="Courier New" w:cs="Courier New" w:eastAsia="Courier New" w:hAnsi="Courier New"/>
          <w:sz w:val="18"/>
          <w:szCs w:val="18"/>
          <w:color w:val="auto"/>
        </w:rPr>
        <w:t>Stacie Bosinoff, stacie@blueshirtgroup.com</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Media:</w:t>
      </w:r>
    </w:p>
    <w:p>
      <w:pPr>
        <w:ind w:left="960"/>
        <w:spacing w:after="0" w:line="238" w:lineRule="auto"/>
        <w:rPr>
          <w:sz w:val="20"/>
          <w:szCs w:val="20"/>
          <w:color w:val="auto"/>
        </w:rPr>
      </w:pPr>
      <w:r>
        <w:rPr>
          <w:rFonts w:ascii="Courier New" w:cs="Courier New" w:eastAsia="Courier New" w:hAnsi="Courier New"/>
          <w:sz w:val="18"/>
          <w:szCs w:val="18"/>
          <w:color w:val="auto"/>
        </w:rPr>
        <w:t>Kay Rindels</w:t>
      </w:r>
    </w:p>
    <w:p>
      <w:pPr>
        <w:ind w:left="960"/>
        <w:spacing w:after="0"/>
        <w:rPr>
          <w:sz w:val="20"/>
          <w:szCs w:val="20"/>
          <w:color w:val="auto"/>
        </w:rPr>
      </w:pPr>
      <w:r>
        <w:rPr>
          <w:rFonts w:ascii="Courier New" w:cs="Courier New" w:eastAsia="Courier New" w:hAnsi="Courier New"/>
          <w:sz w:val="18"/>
          <w:szCs w:val="18"/>
          <w:color w:val="auto"/>
        </w:rPr>
        <w:t>SPS Commerce</w:t>
      </w:r>
    </w:p>
    <w:p>
      <w:pPr>
        <w:ind w:left="960"/>
        <w:spacing w:after="0" w:line="237" w:lineRule="auto"/>
        <w:rPr>
          <w:sz w:val="20"/>
          <w:szCs w:val="20"/>
          <w:color w:val="auto"/>
        </w:rPr>
      </w:pPr>
      <w:r>
        <w:rPr>
          <w:rFonts w:ascii="Courier New" w:cs="Courier New" w:eastAsia="Courier New" w:hAnsi="Courier New"/>
          <w:sz w:val="18"/>
          <w:szCs w:val="18"/>
          <w:color w:val="auto"/>
        </w:rPr>
        <w:t>866-245-8100</w:t>
      </w:r>
    </w:p>
    <w:p>
      <w:pPr>
        <w:ind w:left="960"/>
        <w:spacing w:after="0" w:line="238" w:lineRule="auto"/>
        <w:rPr>
          <w:sz w:val="20"/>
          <w:szCs w:val="20"/>
          <w:color w:val="auto"/>
        </w:rPr>
      </w:pPr>
      <w:r>
        <w:rPr>
          <w:rFonts w:ascii="Courier New" w:cs="Courier New" w:eastAsia="Courier New" w:hAnsi="Courier New"/>
          <w:sz w:val="18"/>
          <w:szCs w:val="18"/>
          <w:color w:val="auto"/>
        </w:rPr>
        <w:t>krindels@spscommerce.com</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Kim Baker</w:t>
      </w:r>
    </w:p>
    <w:p>
      <w:pPr>
        <w:ind w:left="960"/>
        <w:spacing w:after="0" w:line="238" w:lineRule="auto"/>
        <w:rPr>
          <w:sz w:val="20"/>
          <w:szCs w:val="20"/>
          <w:color w:val="auto"/>
        </w:rPr>
      </w:pPr>
      <w:r>
        <w:rPr>
          <w:rFonts w:ascii="Courier New" w:cs="Courier New" w:eastAsia="Courier New" w:hAnsi="Courier New"/>
          <w:sz w:val="18"/>
          <w:szCs w:val="18"/>
          <w:color w:val="auto"/>
        </w:rPr>
        <w:t>PAN Communications</w:t>
      </w:r>
    </w:p>
    <w:p>
      <w:pPr>
        <w:ind w:left="960"/>
        <w:spacing w:after="0"/>
        <w:rPr>
          <w:sz w:val="20"/>
          <w:szCs w:val="20"/>
          <w:color w:val="auto"/>
        </w:rPr>
      </w:pPr>
      <w:r>
        <w:rPr>
          <w:rFonts w:ascii="Courier New" w:cs="Courier New" w:eastAsia="Courier New" w:hAnsi="Courier New"/>
          <w:sz w:val="18"/>
          <w:szCs w:val="18"/>
          <w:color w:val="auto"/>
        </w:rPr>
        <w:t>978-474-1900</w:t>
      </w:r>
    </w:p>
    <w:p>
      <w:pPr>
        <w:ind w:left="960"/>
        <w:spacing w:after="0" w:line="237" w:lineRule="auto"/>
        <w:rPr>
          <w:sz w:val="20"/>
          <w:szCs w:val="20"/>
          <w:color w:val="auto"/>
        </w:rPr>
      </w:pPr>
      <w:r>
        <w:rPr>
          <w:rFonts w:ascii="Courier New" w:cs="Courier New" w:eastAsia="Courier New" w:hAnsi="Courier New"/>
          <w:sz w:val="18"/>
          <w:szCs w:val="18"/>
          <w:color w:val="auto"/>
        </w:rPr>
        <w:t>spscommerce@pancomm.com</w:t>
      </w:r>
    </w:p>
    <w:sectPr>
      <w:pgSz w:w="11900" w:h="16838" w:orient="portrait"/>
      <w:cols w:equalWidth="0" w:num="1">
        <w:col w:w="10219"/>
      </w:cols>
      <w:pgMar w:left="24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85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2019-12-10T18:56:04Z</dcterms:created>
  <dcterms:modified xsi:type="dcterms:W3CDTF">2019-12-10T18:56:04Z</dcterms:modified>
</cp:coreProperties>
</file>