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8"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6240" w:space="560"/>
            <w:col w:w="46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001-34702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32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41-2015127</w:t>
      </w:r>
    </w:p>
    <w:p>
      <w:pPr>
        <w:spacing w:after="0" w:line="44"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00" w:space="720"/>
            <w:col w:w="33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333 South Seventh Street, Suite 1000, Minneapolis, MN 55402</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8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68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320" w:type="dxa"/>
            <w:vAlign w:val="bottom"/>
          </w:tcPr>
          <w:p>
            <w:pPr>
              <w:ind w:left="6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0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32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par value $0.001 per share, outstanding at October 25, 2012 was 14,683,384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0" w:type="dxa"/>
            <w:vAlign w:val="bottom"/>
            <w:gridSpan w:val="10"/>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7580" w:type="dxa"/>
            <w:vAlign w:val="bottom"/>
            <w:gridSpan w:val="9"/>
            <w:vMerge w:val="restart"/>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8"/>
        </w:trPr>
        <w:tc>
          <w:tcPr>
            <w:tcW w:w="3000" w:type="dxa"/>
            <w:vAlign w:val="bottom"/>
            <w:tcBorders>
              <w:bottom w:val="single" w:sz="8" w:color="0000EE"/>
            </w:tcBorders>
            <w:gridSpan w:val="10"/>
            <w:vMerge w:val="continue"/>
          </w:tcPr>
          <w:p>
            <w:pPr>
              <w:spacing w:after="0"/>
              <w:rPr>
                <w:sz w:val="14"/>
                <w:szCs w:val="14"/>
                <w:color w:val="auto"/>
              </w:rPr>
            </w:pPr>
          </w:p>
        </w:tc>
        <w:tc>
          <w:tcPr>
            <w:tcW w:w="7580" w:type="dxa"/>
            <w:vAlign w:val="bottom"/>
            <w:gridSpan w:val="9"/>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2012 (unaudited) and December 31, 2011</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4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for the three and nine months ended September 30, 2012 and 2011 (unaudited)</w:t>
              </w:r>
            </w:hyperlink>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 for the nine months ended September 30, 2012 and 2011 (unaudited)</w:t>
              </w:r>
            </w:hyperlink>
          </w:p>
        </w:tc>
        <w:tc>
          <w:tcPr>
            <w:tcW w:w="980" w:type="dxa"/>
            <w:vAlign w:val="bottom"/>
            <w:gridSpan w:val="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4720" w:type="dxa"/>
            <w:vAlign w:val="bottom"/>
            <w:gridSpan w:val="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1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180" w:type="dxa"/>
            <w:vAlign w:val="bottom"/>
            <w:gridSpan w:val="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8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80" w:type="dxa"/>
            <w:vAlign w:val="bottom"/>
            <w:gridSpan w:val="19"/>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600" w:type="dxa"/>
            <w:vAlign w:val="bottom"/>
            <w:tcBorders>
              <w:top w:val="single" w:sz="8" w:color="0000EE"/>
            </w:tcBorders>
            <w:gridSpan w:val="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7880" w:type="dxa"/>
            <w:vAlign w:val="bottom"/>
            <w:gridSpan w:val="11"/>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8180" w:type="dxa"/>
            <w:vAlign w:val="bottom"/>
            <w:gridSpan w:val="1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1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524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7220" w:type="dxa"/>
            <w:vAlign w:val="bottom"/>
            <w:gridSpan w:val="8"/>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776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8200" w:type="dxa"/>
            <w:vAlign w:val="bottom"/>
            <w:gridSpan w:val="1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2011 as filed with the Securities and Exchange Commission. Readers are cautioned not to place undue reliance on these forward-looking statements, which speak only as of the date of this report. We undertake no obligation to revise any forward-looking statements in order to reflect events or circumstances that may subsequently arise. Readers are urged to carefully review and consider the various disclosures made by us in this report and in our other reports filed with the Commission that advise interested parties of the risks and factors that may affect our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60" w:type="dxa"/>
            <w:vAlign w:val="bottom"/>
          </w:tcPr>
          <w:p>
            <w:pPr>
              <w:jc w:val="center"/>
              <w:ind w:left="1592"/>
              <w:spacing w:after="0"/>
              <w:rPr>
                <w:sz w:val="20"/>
                <w:szCs w:val="20"/>
                <w:color w:val="auto"/>
              </w:rPr>
            </w:pPr>
            <w:r>
              <w:rPr>
                <w:rFonts w:ascii="Arial" w:cs="Arial" w:eastAsia="Arial" w:hAnsi="Arial"/>
                <w:sz w:val="18"/>
                <w:szCs w:val="18"/>
                <w:b w:val="1"/>
                <w:bCs w:val="1"/>
                <w:color w:val="auto"/>
                <w:w w:val="99"/>
              </w:rPr>
              <w:t>PART I. – FINANCIAL INFORMATION</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560" w:type="dxa"/>
            <w:vAlign w:val="bottom"/>
          </w:tcPr>
          <w:p>
            <w:pPr>
              <w:ind w:left="32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60" w:type="dxa"/>
            <w:vAlign w:val="bottom"/>
          </w:tcPr>
          <w:p>
            <w:pPr>
              <w:jc w:val="center"/>
              <w:ind w:left="1592"/>
              <w:spacing w:after="0"/>
              <w:rPr>
                <w:sz w:val="20"/>
                <w:szCs w:val="20"/>
                <w:color w:val="auto"/>
              </w:rPr>
            </w:pPr>
            <w:r>
              <w:rPr>
                <w:rFonts w:ascii="Arial" w:cs="Arial" w:eastAsia="Arial" w:hAnsi="Arial"/>
                <w:sz w:val="18"/>
                <w:szCs w:val="18"/>
                <w:b w:val="1"/>
                <w:bCs w:val="1"/>
                <w:color w:val="auto"/>
                <w:w w:val="96"/>
              </w:rPr>
              <w:t>SPS COMMERCE, INC.</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60" w:type="dxa"/>
            <w:vAlign w:val="bottom"/>
          </w:tcPr>
          <w:p>
            <w:pPr>
              <w:jc w:val="center"/>
              <w:ind w:left="15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60" w:type="dxa"/>
            <w:vAlign w:val="bottom"/>
          </w:tcPr>
          <w:p>
            <w:pPr>
              <w:jc w:val="center"/>
              <w:ind w:left="1572"/>
              <w:spacing w:after="0"/>
              <w:rPr>
                <w:sz w:val="20"/>
                <w:szCs w:val="20"/>
                <w:color w:val="auto"/>
              </w:rPr>
            </w:pPr>
            <w:r>
              <w:rPr>
                <w:rFonts w:ascii="Arial" w:cs="Arial" w:eastAsia="Arial" w:hAnsi="Arial"/>
                <w:sz w:val="18"/>
                <w:szCs w:val="18"/>
                <w:color w:val="auto"/>
                <w:w w:val="86"/>
              </w:rPr>
              <w:t>(Unaudited; in thousands, except share amounts)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560" w:type="dxa"/>
            <w:vAlign w:val="bottom"/>
            <w:shd w:val="clear" w:color="auto" w:fill="CCEEFF"/>
          </w:tcPr>
          <w:p>
            <w:pPr>
              <w:ind w:left="3440"/>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31,985</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Accounts receivable, less allowance for doubtful accounts of $ 244 and $ 222, respectively</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10,146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7,958</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costs, current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5,748</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Deferred income taxes, current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6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89,944</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48,239</w:t>
            </w: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w:t>
            </w: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25,487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5,853</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5,767</w:t>
            </w: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costs, net of current portion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Deferred income taxes, net of current portion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11,568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11,787</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156,744</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77,618</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560" w:type="dxa"/>
            <w:vAlign w:val="bottom"/>
            <w:shd w:val="clear" w:color="auto" w:fill="CCEEFF"/>
          </w:tcPr>
          <w:p>
            <w:pPr>
              <w:ind w:left="186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6,634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5,118</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w:t>
            </w: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Deferred revenue, current</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11,466</w:t>
            </w:r>
          </w:p>
        </w:tc>
      </w:tr>
      <w:tr>
        <w:trPr>
          <w:trHeight w:val="323"/>
        </w:trPr>
        <w:tc>
          <w:tcPr>
            <w:tcW w:w="91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 less current portion</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6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23,914</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18,065</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3"/>
        </w:trPr>
        <w:tc>
          <w:tcPr>
            <w:tcW w:w="916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w w:val="97"/>
              </w:rPr>
              <w:t>Common stock, $0.001 par value; 55,000,000 shares authorized; 14,683,384 and 12,138,858 shares issued and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60" w:type="dxa"/>
            <w:vAlign w:val="bottom"/>
          </w:tcPr>
          <w:p>
            <w:pPr>
              <w:ind w:left="60"/>
              <w:spacing w:after="0"/>
              <w:rPr>
                <w:sz w:val="20"/>
                <w:szCs w:val="20"/>
                <w:color w:val="auto"/>
              </w:rPr>
            </w:pPr>
            <w:r>
              <w:rPr>
                <w:rFonts w:ascii="Arial" w:cs="Arial" w:eastAsia="Arial" w:hAnsi="Arial"/>
                <w:sz w:val="18"/>
                <w:szCs w:val="18"/>
                <w:color w:val="auto"/>
              </w:rPr>
              <w:t>outstanding, respectively</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181,024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108,606</w:t>
            </w: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(48,209)</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(49,065)</w:t>
            </w: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132,830</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59,553</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156,744</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77,618</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6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5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15,529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54,622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Cost of revenues</w:t>
            </w:r>
          </w:p>
        </w:tc>
        <w:tc>
          <w:tcPr>
            <w:tcW w:w="1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15,236</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14,322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39,386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30,968</w:t>
            </w:r>
          </w:p>
        </w:tc>
        <w:tc>
          <w:tcPr>
            <w:tcW w:w="0" w:type="dxa"/>
            <w:vAlign w:val="bottom"/>
          </w:tcPr>
          <w:p>
            <w:pPr>
              <w:spacing w:after="0"/>
              <w:rPr>
                <w:sz w:val="1"/>
                <w:szCs w:val="1"/>
                <w:color w:val="auto"/>
              </w:rPr>
            </w:pP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Sales and marketing</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21,259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17,382</w:t>
            </w:r>
          </w:p>
        </w:tc>
        <w:tc>
          <w:tcPr>
            <w:tcW w:w="0" w:type="dxa"/>
            <w:vAlign w:val="bottom"/>
          </w:tcPr>
          <w:p>
            <w:pPr>
              <w:spacing w:after="0"/>
              <w:rPr>
                <w:sz w:val="1"/>
                <w:szCs w:val="1"/>
                <w:color w:val="auto"/>
              </w:rPr>
            </w:pPr>
          </w:p>
        </w:tc>
      </w:tr>
      <w:tr>
        <w:trPr>
          <w:trHeight w:val="216"/>
        </w:trPr>
        <w:tc>
          <w:tcPr>
            <w:tcW w:w="6780" w:type="dxa"/>
            <w:vAlign w:val="bottom"/>
          </w:tcPr>
          <w:p>
            <w:pPr>
              <w:ind w:left="880"/>
              <w:spacing w:after="0"/>
              <w:rPr>
                <w:sz w:val="20"/>
                <w:szCs w:val="20"/>
                <w:color w:val="auto"/>
              </w:rPr>
            </w:pPr>
            <w:r>
              <w:rPr>
                <w:rFonts w:ascii="Arial" w:cs="Arial" w:eastAsia="Arial" w:hAnsi="Arial"/>
                <w:sz w:val="18"/>
                <w:szCs w:val="18"/>
                <w:color w:val="auto"/>
              </w:rPr>
              <w:t>Research and development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2,088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5,650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10,079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8,208</w:t>
            </w:r>
          </w:p>
        </w:tc>
        <w:tc>
          <w:tcPr>
            <w:tcW w:w="0" w:type="dxa"/>
            <w:vAlign w:val="bottom"/>
          </w:tcPr>
          <w:p>
            <w:pPr>
              <w:spacing w:after="0"/>
              <w:rPr>
                <w:sz w:val="1"/>
                <w:szCs w:val="1"/>
                <w:color w:val="auto"/>
              </w:rPr>
            </w:pPr>
          </w:p>
        </w:tc>
      </w:tr>
      <w:tr>
        <w:trPr>
          <w:trHeight w:val="223"/>
        </w:trPr>
        <w:tc>
          <w:tcPr>
            <w:tcW w:w="6780" w:type="dxa"/>
            <w:vAlign w:val="bottom"/>
          </w:tcPr>
          <w:p>
            <w:pPr>
              <w:ind w:left="880"/>
              <w:spacing w:after="0"/>
              <w:rPr>
                <w:sz w:val="20"/>
                <w:szCs w:val="20"/>
                <w:color w:val="auto"/>
              </w:rPr>
            </w:pPr>
            <w:r>
              <w:rPr>
                <w:rFonts w:ascii="Arial" w:cs="Arial" w:eastAsia="Arial" w:hAnsi="Arial"/>
                <w:sz w:val="18"/>
                <w:szCs w:val="18"/>
                <w:color w:val="auto"/>
              </w:rPr>
              <w:t>Amortization of intangible assets</w:t>
            </w:r>
          </w:p>
        </w:tc>
        <w:tc>
          <w:tcPr>
            <w:tcW w:w="1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Total operating expenses</w:t>
            </w:r>
          </w:p>
        </w:tc>
        <w:tc>
          <w:tcPr>
            <w:tcW w:w="1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14,184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11,183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38,038</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8"/>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880"/>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6780" w:type="dxa"/>
            <w:vAlign w:val="bottom"/>
          </w:tcPr>
          <w:p>
            <w:pPr>
              <w:ind w:left="880"/>
              <w:spacing w:after="0"/>
              <w:rPr>
                <w:sz w:val="20"/>
                <w:szCs w:val="20"/>
                <w:color w:val="auto"/>
              </w:rPr>
            </w:pPr>
            <w:r>
              <w:rPr>
                <w:rFonts w:ascii="Arial" w:cs="Arial" w:eastAsia="Arial" w:hAnsi="Arial"/>
                <w:sz w:val="18"/>
                <w:szCs w:val="18"/>
                <w:color w:val="auto"/>
              </w:rPr>
              <w:t>Other expense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Total other income (expense), net</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tax benefit (expense)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vMerge w:val="continue"/>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177</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856</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per share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300"/>
              <w:spacing w:after="0"/>
              <w:rPr>
                <w:sz w:val="20"/>
                <w:szCs w:val="20"/>
                <w:color w:val="auto"/>
              </w:rPr>
            </w:pPr>
            <w:r>
              <w:rPr>
                <w:rFonts w:ascii="Arial" w:cs="Arial" w:eastAsia="Arial" w:hAnsi="Arial"/>
                <w:sz w:val="18"/>
                <w:szCs w:val="18"/>
                <w:color w:val="auto"/>
              </w:rPr>
              <w:t>Basic</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0.07</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Diluted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Basic</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13,042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11,970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11,918</w:t>
            </w:r>
          </w:p>
        </w:tc>
        <w:tc>
          <w:tcPr>
            <w:tcW w:w="0" w:type="dxa"/>
            <w:vAlign w:val="bottom"/>
          </w:tcPr>
          <w:p>
            <w:pPr>
              <w:spacing w:after="0"/>
              <w:rPr>
                <w:sz w:val="1"/>
                <w:szCs w:val="1"/>
                <w:color w:val="auto"/>
              </w:rPr>
            </w:pPr>
          </w:p>
        </w:tc>
      </w:tr>
      <w:tr>
        <w:trPr>
          <w:trHeight w:val="222"/>
        </w:trPr>
        <w:tc>
          <w:tcPr>
            <w:tcW w:w="6780" w:type="dxa"/>
            <w:vAlign w:val="bottom"/>
          </w:tcPr>
          <w:p>
            <w:pPr>
              <w:ind w:left="1300"/>
              <w:spacing w:after="0"/>
              <w:rPr>
                <w:sz w:val="20"/>
                <w:szCs w:val="20"/>
                <w:color w:val="auto"/>
              </w:rPr>
            </w:pPr>
            <w:r>
              <w:rPr>
                <w:rFonts w:ascii="Arial" w:cs="Arial" w:eastAsia="Arial" w:hAnsi="Arial"/>
                <w:sz w:val="18"/>
                <w:szCs w:val="18"/>
                <w:color w:val="auto"/>
              </w:rPr>
              <w:t>Diluted</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13,894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12,735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13,373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12,685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760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856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 and equipment</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w:t>
            </w:r>
          </w:p>
        </w:tc>
      </w:tr>
      <w:tr>
        <w:trPr>
          <w:trHeight w:val="216"/>
        </w:trPr>
        <w:tc>
          <w:tcPr>
            <w:tcW w:w="20" w:type="dxa"/>
            <w:vAlign w:val="bottom"/>
          </w:tcPr>
          <w:p>
            <w:pPr>
              <w:spacing w:after="0"/>
              <w:rPr>
                <w:sz w:val="18"/>
                <w:szCs w:val="18"/>
                <w:color w:val="auto"/>
              </w:rPr>
            </w:pPr>
          </w:p>
        </w:tc>
        <w:tc>
          <w:tcPr>
            <w:tcW w:w="7600" w:type="dxa"/>
            <w:vAlign w:val="bottom"/>
          </w:tcPr>
          <w:p>
            <w:pPr>
              <w:ind w:left="860"/>
              <w:spacing w:after="0"/>
              <w:rPr>
                <w:sz w:val="20"/>
                <w:szCs w:val="20"/>
                <w:color w:val="auto"/>
              </w:rPr>
            </w:pPr>
            <w:r>
              <w:rPr>
                <w:rFonts w:ascii="Arial" w:cs="Arial" w:eastAsia="Arial" w:hAnsi="Arial"/>
                <w:sz w:val="18"/>
                <w:szCs w:val="18"/>
                <w:color w:val="auto"/>
              </w:rPr>
              <w:t>Amortization of intangible assets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r>
      <w:tr>
        <w:trPr>
          <w:trHeight w:val="216"/>
        </w:trPr>
        <w:tc>
          <w:tcPr>
            <w:tcW w:w="20" w:type="dxa"/>
            <w:vAlign w:val="bottom"/>
          </w:tcPr>
          <w:p>
            <w:pPr>
              <w:spacing w:after="0"/>
              <w:rPr>
                <w:sz w:val="18"/>
                <w:szCs w:val="18"/>
                <w:color w:val="auto"/>
              </w:rPr>
            </w:pPr>
          </w:p>
        </w:tc>
        <w:tc>
          <w:tcPr>
            <w:tcW w:w="760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2,042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assets and liabilities, net of effect of acquisitions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(2,265)</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costs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(1,219)</w:t>
            </w:r>
          </w:p>
        </w:tc>
      </w:tr>
      <w:tr>
        <w:trPr>
          <w:trHeight w:val="216"/>
        </w:trPr>
        <w:tc>
          <w:tcPr>
            <w:tcW w:w="20" w:type="dxa"/>
            <w:vAlign w:val="bottom"/>
          </w:tcPr>
          <w:p>
            <w:pPr>
              <w:spacing w:after="0"/>
              <w:rPr>
                <w:sz w:val="18"/>
                <w:szCs w:val="18"/>
                <w:color w:val="auto"/>
              </w:rPr>
            </w:pPr>
          </w:p>
        </w:tc>
        <w:tc>
          <w:tcPr>
            <w:tcW w:w="760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r>
      <w:tr>
        <w:trPr>
          <w:trHeight w:val="216"/>
        </w:trPr>
        <w:tc>
          <w:tcPr>
            <w:tcW w:w="20" w:type="dxa"/>
            <w:vAlign w:val="bottom"/>
          </w:tcPr>
          <w:p>
            <w:pPr>
              <w:spacing w:after="0"/>
              <w:rPr>
                <w:sz w:val="18"/>
                <w:szCs w:val="18"/>
                <w:color w:val="auto"/>
              </w:rPr>
            </w:pPr>
          </w:p>
        </w:tc>
        <w:tc>
          <w:tcPr>
            <w:tcW w:w="7600" w:type="dxa"/>
            <w:vAlign w:val="bottom"/>
          </w:tcPr>
          <w:p>
            <w:pPr>
              <w:ind w:left="1280"/>
              <w:spacing w:after="0"/>
              <w:rPr>
                <w:sz w:val="20"/>
                <w:szCs w:val="20"/>
                <w:color w:val="auto"/>
              </w:rPr>
            </w:pPr>
            <w:r>
              <w:rPr>
                <w:rFonts w:ascii="Arial" w:cs="Arial" w:eastAsia="Arial" w:hAnsi="Arial"/>
                <w:sz w:val="18"/>
                <w:szCs w:val="18"/>
                <w:color w:val="auto"/>
              </w:rPr>
              <w:t>Accrued compensation and benefits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1,612</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and other current liabilities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23"/>
        </w:trPr>
        <w:tc>
          <w:tcPr>
            <w:tcW w:w="20" w:type="dxa"/>
            <w:vAlign w:val="bottom"/>
          </w:tcPr>
          <w:p>
            <w:pPr>
              <w:spacing w:after="0"/>
              <w:rPr>
                <w:sz w:val="19"/>
                <w:szCs w:val="19"/>
                <w:color w:val="auto"/>
              </w:rPr>
            </w:pPr>
          </w:p>
        </w:tc>
        <w:tc>
          <w:tcPr>
            <w:tcW w:w="7600" w:type="dxa"/>
            <w:vAlign w:val="bottom"/>
          </w:tcPr>
          <w:p>
            <w:pPr>
              <w:ind w:left="1280"/>
              <w:spacing w:after="0"/>
              <w:rPr>
                <w:sz w:val="20"/>
                <w:szCs w:val="20"/>
                <w:color w:val="auto"/>
              </w:rPr>
            </w:pPr>
            <w:r>
              <w:rPr>
                <w:rFonts w:ascii="Arial" w:cs="Arial" w:eastAsia="Arial" w:hAnsi="Arial"/>
                <w:sz w:val="18"/>
                <w:szCs w:val="18"/>
                <w:color w:val="auto"/>
              </w:rPr>
              <w:t>Deferred revenue</w:t>
            </w:r>
          </w:p>
        </w:tc>
        <w:tc>
          <w:tcPr>
            <w:tcW w:w="2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3,546</w:t>
            </w: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Business acquisitions, net of cash acquired</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(26,262)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(10,865)</w:t>
            </w: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(2,845)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(1,716)</w:t>
            </w:r>
          </w:p>
        </w:tc>
      </w:tr>
      <w:tr>
        <w:trPr>
          <w:trHeight w:val="27"/>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(29,107)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(12,581)</w:t>
            </w: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capital lease obligations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Net proceeds from exercise of options to purchase common stock</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exercise of options to purchase common stock</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Proceeds from common stock offering</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57,940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offering costs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r>
      <w:tr>
        <w:trPr>
          <w:trHeight w:val="230"/>
        </w:trPr>
        <w:tc>
          <w:tcPr>
            <w:tcW w:w="20" w:type="dxa"/>
            <w:vAlign w:val="bottom"/>
          </w:tcPr>
          <w:p>
            <w:pPr>
              <w:spacing w:after="0"/>
              <w:rPr>
                <w:sz w:val="20"/>
                <w:szCs w:val="20"/>
                <w:color w:val="auto"/>
              </w:rPr>
            </w:pPr>
          </w:p>
        </w:tc>
        <w:tc>
          <w:tcPr>
            <w:tcW w:w="7600" w:type="dxa"/>
            <w:vAlign w:val="bottom"/>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20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58,571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37,730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(8,927)</w:t>
            </w: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31,985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40,473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69,715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31,546</w:t>
            </w: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 leading provider of on-demand supply chain management solutions and the Retail Universe community, providing integration, collaboration, connectivity, visibility and data analytics to thousands of customers worldwide. We provide our solutions through SPSCommerce.net, a hosted software suite that improves the way suppliers, retailers, distributors and other customers manage and fulfill orders. We deliver our solutions to our customers over the Internet using a Software-as-a-Service model and derive the majority of our revenues from thousands of monthly recurring subscriptions from businesses that utilize our solutions.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for interim financial information and with the instructions to Form 10-Q and Rule 10-01 of Regulation S-X. Accordingly, these condensed consolidated financial statements do not include all of the information and footnotes required by GAAP. We have included all normal recurring adjustments considered necessary to give a fair statement of our financial position, results of operations and cash flows for the interim periods shown. Operating results for these interim periods are not necessarily indicative of the results to be expected for the full year. The December 31, 2011 balance sheet data was derived from our audited financial statements at that date. For further information, refer to the consolidated financial statements and accompanying notes for the year ended December 31, 2011 included in our Annual Report on Form 10-K as filed with the Securities and Exchange Commission on March 9, 2012.</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During the nine months ended September 30, 2012, there were no material changes in our significant accounting policies. See Note A to the consolidated financial statements included in our Annual Report on Form 10-K for the year ended December 31, 2011, as filed with the Securities and Exchange Commission on March 9, 2012, for additional information regarding our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evaluated all recent accounting pronouncements and believe that none of them will have a material effect on our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Business Acquisition</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August 6, 2012, we entered into an asset purchase agreement with Edifice Information Management Systems, Inc. (“Edifice”), a privately-held information services company specializing in the collection, analysis and distribution of point-of-sale data used by retailers and suppliers to improve their supply chain efficiencies. We completed the asset purchase on August 7, 2012. Under the asset purchase agreement, we purchased and acquired substantially all of the assets of Edifice for $26.3 million in cash and 347,852 shares of our common stock. We also assumed certain liabilities of Edifice. This acquisition allows us to expand our point-of-sale analytic offerings, expand our base of recurring revenue customers and add suppliers to our network.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accounted for the acquisition as a business combination. We allocated the purchase price to the tangible and identifiable intangible assets acquired and liabilities assumed based on their estimated fair values as of the acquisition date. We engaged an independent third-party valuation firm to assist us in the determination of the value of the purchased intangible assets.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assets. Goodwill will not be amortized; however it is deductible for tax purposes. Although we believe the purchase price allocation is substantially complete, it is considered preliminary and the finalization of the valuation of the net tangible and intangible assets acquired and liabilities assumed could result in a future adjustment to the purchase price allocation.</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380" w:type="dxa"/>
            <w:vAlign w:val="bottom"/>
            <w:gridSpan w:val="2"/>
          </w:tcPr>
          <w:p>
            <w:pPr>
              <w:spacing w:after="0"/>
              <w:rPr>
                <w:sz w:val="20"/>
                <w:szCs w:val="20"/>
                <w:color w:val="auto"/>
              </w:rPr>
            </w:pPr>
            <w:r>
              <w:rPr>
                <w:rFonts w:ascii="Arial" w:cs="Arial" w:eastAsia="Arial" w:hAnsi="Arial"/>
                <w:sz w:val="18"/>
                <w:szCs w:val="18"/>
                <w:color w:val="auto"/>
              </w:rPr>
              <w:t>The purchase price consisted of the following (in thousands):</w:t>
            </w:r>
          </w:p>
        </w:tc>
        <w:tc>
          <w:tcPr>
            <w:tcW w:w="2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50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SPS Commerce common stock</w:t>
            </w:r>
          </w:p>
        </w:tc>
        <w:tc>
          <w:tcPr>
            <w:tcW w:w="20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borrowed $11.0 million under our existing line of credit to fund a portion of the cash paid for the acquisition. The number of shares of our common stock issued for the acquisition was 347,852 shares as calculated according to the terms of the purchase agreement. The fair value of the shares issued was determined using the closing price of our common stock on August 6, 2012.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estimated fair values of the assets acquired and liabilities assumed at the acquisition date (in thousands):</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19,634</w:t>
            </w:r>
          </w:p>
        </w:tc>
        <w:tc>
          <w:tcPr>
            <w:tcW w:w="12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Intangible assets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16,240</w:t>
            </w:r>
          </w:p>
        </w:tc>
        <w:tc>
          <w:tcPr>
            <w:tcW w:w="12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Current liabilities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(1,232)</w:t>
            </w:r>
          </w:p>
        </w:tc>
      </w:tr>
      <w:tr>
        <w:trPr>
          <w:trHeight w:val="216"/>
        </w:trPr>
        <w:tc>
          <w:tcPr>
            <w:tcW w:w="43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37,671</w:t>
            </w:r>
          </w:p>
        </w:tc>
        <w:tc>
          <w:tcPr>
            <w:tcW w:w="120" w:type="dxa"/>
            <w:vAlign w:val="bottom"/>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Purchased 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estimated fair value of the purchased intangible assets and their estimated useful lives: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4"/>
                <w:szCs w:val="14"/>
                <w:color w:val="auto"/>
                <w:w w:val="86"/>
              </w:rPr>
              <w:t>Estimated</w:t>
            </w:r>
          </w:p>
        </w:tc>
        <w:tc>
          <w:tcPr>
            <w:tcW w:w="1340" w:type="dxa"/>
            <w:vAlign w:val="bottom"/>
            <w:gridSpan w:val="3"/>
          </w:tcPr>
          <w:p>
            <w:pPr>
              <w:jc w:val="right"/>
              <w:ind w:right="10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color w:val="auto"/>
                <w:w w:val="90"/>
              </w:rPr>
              <w:t>Purchased Intangible Assets</w:t>
            </w:r>
          </w:p>
        </w:tc>
        <w:tc>
          <w:tcPr>
            <w:tcW w:w="268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40"/>
              <w:spacing w:after="0" w:line="149" w:lineRule="exact"/>
              <w:rPr>
                <w:sz w:val="20"/>
                <w:szCs w:val="20"/>
                <w:color w:val="auto"/>
              </w:rPr>
            </w:pPr>
            <w:r>
              <w:rPr>
                <w:rFonts w:ascii="Arial" w:cs="Arial" w:eastAsia="Arial" w:hAnsi="Arial"/>
                <w:sz w:val="14"/>
                <w:szCs w:val="14"/>
                <w:color w:val="auto"/>
                <w:w w:val="84"/>
              </w:rPr>
              <w:t>Fair Value</w:t>
            </w:r>
          </w:p>
        </w:tc>
        <w:tc>
          <w:tcPr>
            <w:tcW w:w="700" w:type="dxa"/>
            <w:vAlign w:val="bottom"/>
          </w:tcPr>
          <w:p>
            <w:pPr>
              <w:spacing w:after="0"/>
              <w:rPr>
                <w:sz w:val="12"/>
                <w:szCs w:val="12"/>
                <w:color w:val="auto"/>
              </w:rPr>
            </w:pPr>
          </w:p>
        </w:tc>
        <w:tc>
          <w:tcPr>
            <w:tcW w:w="6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Life</w:t>
            </w:r>
          </w:p>
        </w:tc>
        <w:tc>
          <w:tcPr>
            <w:tcW w:w="0" w:type="dxa"/>
            <w:vAlign w:val="bottom"/>
          </w:tcPr>
          <w:p>
            <w:pPr>
              <w:spacing w:after="0"/>
              <w:rPr>
                <w:sz w:val="1"/>
                <w:szCs w:val="1"/>
                <w:color w:val="auto"/>
              </w:rPr>
            </w:pPr>
          </w:p>
        </w:tc>
      </w:tr>
      <w:tr>
        <w:trPr>
          <w:trHeight w:val="166"/>
        </w:trPr>
        <w:tc>
          <w:tcPr>
            <w:tcW w:w="1620" w:type="dxa"/>
            <w:vAlign w:val="bottom"/>
            <w:tcBorders>
              <w:bottom w:val="single" w:sz="8" w:color="auto"/>
            </w:tcBorders>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3040" w:type="dxa"/>
            <w:vAlign w:val="bottom"/>
            <w:gridSpan w:val="3"/>
          </w:tcPr>
          <w:p>
            <w:pPr>
              <w:ind w:left="2260"/>
              <w:spacing w:after="0" w:line="146" w:lineRule="exact"/>
              <w:rPr>
                <w:sz w:val="20"/>
                <w:szCs w:val="20"/>
                <w:color w:val="auto"/>
              </w:rPr>
            </w:pPr>
            <w:r>
              <w:rPr>
                <w:rFonts w:ascii="Arial" w:cs="Arial" w:eastAsia="Arial" w:hAnsi="Arial"/>
                <w:sz w:val="14"/>
                <w:szCs w:val="14"/>
                <w:color w:val="auto"/>
                <w:w w:val="85"/>
              </w:rPr>
              <w:t>(in thousands)</w:t>
            </w:r>
          </w:p>
        </w:tc>
        <w:tc>
          <w:tcPr>
            <w:tcW w:w="700" w:type="dxa"/>
            <w:vAlign w:val="bottom"/>
          </w:tcPr>
          <w:p>
            <w:pPr>
              <w:spacing w:after="0"/>
              <w:rPr>
                <w:sz w:val="14"/>
                <w:szCs w:val="14"/>
                <w:color w:val="auto"/>
              </w:rPr>
            </w:pPr>
          </w:p>
        </w:tc>
        <w:tc>
          <w:tcPr>
            <w:tcW w:w="640" w:type="dxa"/>
            <w:vAlign w:val="bottom"/>
            <w:gridSpan w:val="2"/>
          </w:tcPr>
          <w:p>
            <w:pPr>
              <w:jc w:val="right"/>
              <w:ind w:right="120"/>
              <w:spacing w:after="0" w:line="146" w:lineRule="exact"/>
              <w:rPr>
                <w:sz w:val="20"/>
                <w:szCs w:val="20"/>
                <w:color w:val="auto"/>
              </w:rPr>
            </w:pPr>
            <w:r>
              <w:rPr>
                <w:rFonts w:ascii="Arial" w:cs="Arial" w:eastAsia="Arial" w:hAnsi="Arial"/>
                <w:sz w:val="14"/>
                <w:szCs w:val="14"/>
                <w:color w:val="auto"/>
                <w:w w:val="85"/>
              </w:rPr>
              <w:t>(in years)</w:t>
            </w: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15,980</w:t>
            </w:r>
          </w:p>
        </w:tc>
        <w:tc>
          <w:tcPr>
            <w:tcW w:w="7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Non-competition agreements</w:t>
            </w:r>
          </w:p>
        </w:tc>
        <w:tc>
          <w:tcPr>
            <w:tcW w:w="2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16,240</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purchased intangible assets are being amortized on a straight-line basis over their estimated useful lives. Amortization expense related to these intangible assets was $270,000 for the period from August 7, 2012 through September 30, 2012.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Costs and Post-Acquisition Operating Results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Acquisition-related costs were $212,000 and are included in our condensed consolidated statements of operations for the three and nine months ended September 30, 2012. The operating results of Edifice have been included in our condensed consolidated financial statements from August 7, 2012, the date of the acquisition. For the period from August 7, 2012 through September 30, 2012, approximately $1.8 million of our revenues were derived from Edifice customers. The amount of operating income or loss from Edifice was not separately identifiable due to our integration.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unaudited pro forma financial information in the table below presents the combined operating results of SPS Commerce and Edifice as if the acquisition had occurred on January 1, 2011. The unaudited pro forma information includes the historical operating results of each company and pro forma adjustments for the approximate $1.8 million of annual amortization expense related to purchased intangible assets and the additional impact on the provision or benefit for income taxes, resulting from the combined income and intangible amortization expense, using our statutory blended income tax rate of 36.5%.</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440"/>
              <w:spacing w:after="0"/>
              <w:rPr>
                <w:sz w:val="20"/>
                <w:szCs w:val="20"/>
                <w:color w:val="auto"/>
              </w:rPr>
            </w:pPr>
            <w:r>
              <w:rPr>
                <w:rFonts w:ascii="Arial" w:cs="Arial" w:eastAsia="Arial" w:hAnsi="Arial"/>
                <w:sz w:val="14"/>
                <w:szCs w:val="14"/>
                <w:color w:val="auto"/>
                <w:w w:val="93"/>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40"/>
              <w:spacing w:after="0"/>
              <w:rPr>
                <w:sz w:val="20"/>
                <w:szCs w:val="20"/>
                <w:color w:val="auto"/>
              </w:rPr>
            </w:pPr>
            <w:r>
              <w:rPr>
                <w:rFonts w:ascii="Arial" w:cs="Arial" w:eastAsia="Arial" w:hAnsi="Arial"/>
                <w:sz w:val="14"/>
                <w:szCs w:val="14"/>
                <w:color w:val="auto"/>
                <w:w w:val="97"/>
              </w:rPr>
              <w:t>Nine Months Ended</w:t>
            </w:r>
          </w:p>
        </w:tc>
        <w:tc>
          <w:tcPr>
            <w:tcW w:w="0" w:type="dxa"/>
            <w:vAlign w:val="bottom"/>
          </w:tcPr>
          <w:p>
            <w:pPr>
              <w:spacing w:after="0"/>
              <w:rPr>
                <w:sz w:val="1"/>
                <w:szCs w:val="1"/>
                <w:color w:val="auto"/>
              </w:rPr>
            </w:pPr>
          </w:p>
        </w:tc>
      </w:tr>
      <w:tr>
        <w:trPr>
          <w:trHeight w:val="159"/>
        </w:trPr>
        <w:tc>
          <w:tcPr>
            <w:tcW w:w="6880" w:type="dxa"/>
            <w:vAlign w:val="bottom"/>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00" w:type="dxa"/>
            <w:vAlign w:val="bottom"/>
          </w:tcPr>
          <w:p>
            <w:pPr>
              <w:spacing w:after="0"/>
              <w:rPr>
                <w:sz w:val="13"/>
                <w:szCs w:val="13"/>
                <w:color w:val="auto"/>
              </w:rPr>
            </w:pPr>
          </w:p>
        </w:tc>
        <w:tc>
          <w:tcPr>
            <w:tcW w:w="1680" w:type="dxa"/>
            <w:vAlign w:val="bottom"/>
            <w:gridSpan w:val="5"/>
          </w:tcPr>
          <w:p>
            <w:pPr>
              <w:jc w:val="right"/>
              <w:ind w:right="620"/>
              <w:spacing w:after="0" w:line="159" w:lineRule="exact"/>
              <w:rPr>
                <w:sz w:val="20"/>
                <w:szCs w:val="20"/>
                <w:color w:val="auto"/>
              </w:rPr>
            </w:pPr>
            <w:r>
              <w:rPr>
                <w:rFonts w:ascii="Arial" w:cs="Arial" w:eastAsia="Arial" w:hAnsi="Arial"/>
                <w:sz w:val="14"/>
                <w:szCs w:val="14"/>
                <w:color w:val="auto"/>
              </w:rPr>
              <w:t>September 30,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6"/>
          </w:tcPr>
          <w:p>
            <w:pPr>
              <w:jc w:val="right"/>
              <w:ind w:right="500"/>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688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color w:val="auto"/>
                <w:w w:val="96"/>
              </w:rPr>
              <w:t>2012</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color w:val="auto"/>
                <w:w w:val="96"/>
              </w:rPr>
              <w:t>2012</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20,477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18,234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60,994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Pro forma 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0.01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unaudited pro forma financial information is presented for informational purposes only and is not necessarily indicative of the results of operations that would have actually been reported had the acquisition occurred on January 1, 2011, nor is it necessarily indicative of our results of operations for any future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Intangible Assets,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included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w w:val="94"/>
              </w:rPr>
              <w:t>September 30, 2012</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color w:val="auto"/>
                <w:w w:val="95"/>
              </w:rPr>
              <w:t>December 31, 2011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6160" w:type="dxa"/>
            <w:vAlign w:val="bottom"/>
          </w:tcPr>
          <w:p>
            <w:pPr>
              <w:spacing w:after="0"/>
              <w:rPr>
                <w:sz w:val="11"/>
                <w:szCs w:val="11"/>
                <w:color w:val="auto"/>
              </w:rPr>
            </w:pPr>
          </w:p>
        </w:tc>
        <w:tc>
          <w:tcPr>
            <w:tcW w:w="580" w:type="dxa"/>
            <w:vAlign w:val="bottom"/>
          </w:tcPr>
          <w:p>
            <w:pPr>
              <w:jc w:val="right"/>
              <w:spacing w:after="0" w:line="131" w:lineRule="exact"/>
              <w:rPr>
                <w:sz w:val="20"/>
                <w:szCs w:val="20"/>
                <w:color w:val="auto"/>
              </w:rPr>
            </w:pPr>
            <w:r>
              <w:rPr>
                <w:rFonts w:ascii="Arial" w:cs="Arial" w:eastAsia="Arial" w:hAnsi="Arial"/>
                <w:sz w:val="14"/>
                <w:szCs w:val="14"/>
                <w:color w:val="auto"/>
                <w:w w:val="94"/>
              </w:rPr>
              <w:t>Carrying</w:t>
            </w:r>
          </w:p>
        </w:tc>
        <w:tc>
          <w:tcPr>
            <w:tcW w:w="300" w:type="dxa"/>
            <w:vAlign w:val="bottom"/>
          </w:tcPr>
          <w:p>
            <w:pPr>
              <w:spacing w:after="0"/>
              <w:rPr>
                <w:sz w:val="11"/>
                <w:szCs w:val="11"/>
                <w:color w:val="auto"/>
              </w:rPr>
            </w:pPr>
          </w:p>
        </w:tc>
        <w:tc>
          <w:tcPr>
            <w:tcW w:w="1040" w:type="dxa"/>
            <w:vAlign w:val="bottom"/>
            <w:gridSpan w:val="3"/>
          </w:tcPr>
          <w:p>
            <w:pPr>
              <w:spacing w:after="0" w:line="131" w:lineRule="exact"/>
              <w:rPr>
                <w:sz w:val="20"/>
                <w:szCs w:val="20"/>
                <w:color w:val="auto"/>
              </w:rPr>
            </w:pPr>
            <w:r>
              <w:rPr>
                <w:rFonts w:ascii="Arial" w:cs="Arial" w:eastAsia="Arial" w:hAnsi="Arial"/>
                <w:sz w:val="14"/>
                <w:szCs w:val="14"/>
                <w:color w:val="auto"/>
              </w:rPr>
              <w:t>Accumulated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jc w:val="right"/>
              <w:spacing w:after="0" w:line="131" w:lineRule="exact"/>
              <w:rPr>
                <w:sz w:val="20"/>
                <w:szCs w:val="20"/>
                <w:color w:val="auto"/>
              </w:rPr>
            </w:pPr>
            <w:r>
              <w:rPr>
                <w:rFonts w:ascii="Arial" w:cs="Arial" w:eastAsia="Arial" w:hAnsi="Arial"/>
                <w:sz w:val="14"/>
                <w:szCs w:val="14"/>
                <w:color w:val="auto"/>
                <w:w w:val="86"/>
              </w:rPr>
              <w:t>Carrying</w:t>
            </w:r>
          </w:p>
        </w:tc>
        <w:tc>
          <w:tcPr>
            <w:tcW w:w="300" w:type="dxa"/>
            <w:vAlign w:val="bottom"/>
          </w:tcPr>
          <w:p>
            <w:pPr>
              <w:spacing w:after="0"/>
              <w:rPr>
                <w:sz w:val="11"/>
                <w:szCs w:val="11"/>
                <w:color w:val="auto"/>
              </w:rPr>
            </w:pPr>
          </w:p>
        </w:tc>
        <w:tc>
          <w:tcPr>
            <w:tcW w:w="1040" w:type="dxa"/>
            <w:vAlign w:val="bottom"/>
            <w:gridSpan w:val="3"/>
          </w:tcPr>
          <w:p>
            <w:pPr>
              <w:ind w:left="20"/>
              <w:spacing w:after="0" w:line="131" w:lineRule="exact"/>
              <w:rPr>
                <w:sz w:val="20"/>
                <w:szCs w:val="20"/>
                <w:color w:val="auto"/>
              </w:rPr>
            </w:pPr>
            <w:r>
              <w:rPr>
                <w:rFonts w:ascii="Arial" w:cs="Arial" w:eastAsia="Arial" w:hAnsi="Arial"/>
                <w:sz w:val="14"/>
                <w:szCs w:val="14"/>
                <w:color w:val="auto"/>
              </w:rPr>
              <w:t>Accumulated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616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99"/>
              </w:rPr>
              <w:t>Amount</w:t>
            </w:r>
          </w:p>
        </w:tc>
        <w:tc>
          <w:tcPr>
            <w:tcW w:w="300" w:type="dxa"/>
            <w:vAlign w:val="bottom"/>
          </w:tcPr>
          <w:p>
            <w:pPr>
              <w:spacing w:after="0"/>
              <w:rPr>
                <w:sz w:val="13"/>
                <w:szCs w:val="13"/>
                <w:color w:val="auto"/>
              </w:rPr>
            </w:pPr>
          </w:p>
        </w:tc>
        <w:tc>
          <w:tcPr>
            <w:tcW w:w="1040" w:type="dxa"/>
            <w:vAlign w:val="bottom"/>
            <w:gridSpan w:val="3"/>
          </w:tcPr>
          <w:p>
            <w:pPr>
              <w:spacing w:after="0" w:line="159" w:lineRule="exact"/>
              <w:rPr>
                <w:sz w:val="20"/>
                <w:szCs w:val="20"/>
                <w:color w:val="auto"/>
              </w:rPr>
            </w:pPr>
            <w:r>
              <w:rPr>
                <w:rFonts w:ascii="Arial" w:cs="Arial" w:eastAsia="Arial" w:hAnsi="Arial"/>
                <w:sz w:val="14"/>
                <w:szCs w:val="14"/>
                <w:color w:val="auto"/>
              </w:rPr>
              <w:t>Amortization</w:t>
            </w:r>
          </w:p>
        </w:tc>
        <w:tc>
          <w:tcPr>
            <w:tcW w:w="580" w:type="dxa"/>
            <w:vAlign w:val="bottom"/>
          </w:tcPr>
          <w:p>
            <w:pPr>
              <w:jc w:val="right"/>
              <w:ind w:right="97"/>
              <w:spacing w:after="0" w:line="159" w:lineRule="exact"/>
              <w:rPr>
                <w:sz w:val="20"/>
                <w:szCs w:val="20"/>
                <w:color w:val="auto"/>
              </w:rPr>
            </w:pPr>
            <w:r>
              <w:rPr>
                <w:rFonts w:ascii="Arial" w:cs="Arial" w:eastAsia="Arial" w:hAnsi="Arial"/>
                <w:sz w:val="14"/>
                <w:szCs w:val="14"/>
                <w:color w:val="auto"/>
              </w:rPr>
              <w:t>Net</w:t>
            </w:r>
          </w:p>
        </w:tc>
        <w:tc>
          <w:tcPr>
            <w:tcW w:w="3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1"/>
              </w:rPr>
              <w:t>Amount</w:t>
            </w:r>
          </w:p>
        </w:tc>
        <w:tc>
          <w:tcPr>
            <w:tcW w:w="300" w:type="dxa"/>
            <w:vAlign w:val="bottom"/>
          </w:tcPr>
          <w:p>
            <w:pPr>
              <w:spacing w:after="0"/>
              <w:rPr>
                <w:sz w:val="13"/>
                <w:szCs w:val="13"/>
                <w:color w:val="auto"/>
              </w:rPr>
            </w:pPr>
          </w:p>
        </w:tc>
        <w:tc>
          <w:tcPr>
            <w:tcW w:w="10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Amortization</w:t>
            </w:r>
          </w:p>
        </w:tc>
        <w:tc>
          <w:tcPr>
            <w:tcW w:w="60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Net</w:t>
            </w:r>
          </w:p>
        </w:tc>
      </w:tr>
      <w:tr>
        <w:trPr>
          <w:trHeight w:val="210"/>
        </w:trPr>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$23,160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(3,219)</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$19,941</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$7,180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(2,394)</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580" w:type="dxa"/>
            <w:vAlign w:val="bottom"/>
          </w:tcPr>
          <w:p>
            <w:pPr>
              <w:jc w:val="right"/>
              <w:spacing w:after="0"/>
              <w:rPr>
                <w:sz w:val="20"/>
                <w:szCs w:val="20"/>
                <w:color w:val="auto"/>
              </w:rPr>
            </w:pPr>
            <w:r>
              <w:rPr>
                <w:rFonts w:ascii="Arial" w:cs="Arial" w:eastAsia="Arial" w:hAnsi="Arial"/>
                <w:sz w:val="18"/>
                <w:szCs w:val="18"/>
                <w:color w:val="auto"/>
              </w:rPr>
              <w:t>1,710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(694)</w:t>
            </w:r>
          </w:p>
        </w:tc>
        <w:tc>
          <w:tcPr>
            <w:tcW w:w="580" w:type="dxa"/>
            <w:vAlign w:val="bottom"/>
          </w:tcPr>
          <w:p>
            <w:pPr>
              <w:jc w:val="right"/>
              <w:spacing w:after="0"/>
              <w:rPr>
                <w:sz w:val="20"/>
                <w:szCs w:val="20"/>
                <w:color w:val="auto"/>
              </w:rPr>
            </w:pPr>
            <w:r>
              <w:rPr>
                <w:rFonts w:ascii="Arial" w:cs="Arial" w:eastAsia="Arial" w:hAnsi="Arial"/>
                <w:sz w:val="18"/>
                <w:szCs w:val="18"/>
                <w:color w:val="auto"/>
              </w:rPr>
              <w:t>1,016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(469)</w:t>
            </w:r>
          </w:p>
        </w:tc>
        <w:tc>
          <w:tcPr>
            <w:tcW w:w="50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8"/>
                <w:szCs w:val="18"/>
                <w:color w:val="auto"/>
              </w:rPr>
            </w:pPr>
          </w:p>
        </w:tc>
      </w:tr>
      <w:tr>
        <w:trPr>
          <w:trHeight w:val="27"/>
        </w:trPr>
        <w:tc>
          <w:tcPr>
            <w:tcW w:w="6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24,870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20,957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8,630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5,767</w:t>
            </w:r>
          </w:p>
        </w:tc>
        <w:tc>
          <w:tcPr>
            <w:tcW w:w="100" w:type="dxa"/>
            <w:vAlign w:val="bottom"/>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expense for intangible assets was $530,000 and $1.1 million for the three and nine months ended September 30, 2012,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$260,000 and $383,000 for the three and nine months ended September 30, 2011,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880" w:type="dxa"/>
            <w:vAlign w:val="bottom"/>
            <w:gridSpan w:val="2"/>
          </w:tcPr>
          <w:p>
            <w:pPr>
              <w:spacing w:after="0"/>
              <w:rPr>
                <w:sz w:val="20"/>
                <w:szCs w:val="20"/>
                <w:color w:val="auto"/>
              </w:rPr>
            </w:pPr>
            <w:r>
              <w:rPr>
                <w:rFonts w:ascii="Arial" w:cs="Arial" w:eastAsia="Arial" w:hAnsi="Arial"/>
                <w:sz w:val="18"/>
                <w:szCs w:val="18"/>
                <w:color w:val="auto"/>
                <w:w w:val="94"/>
              </w:rPr>
              <w:t>At September 30, 2012, future amortization expense for intangible assets was as follows (in thousands):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2013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2015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Thereafter</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table above does not include amounts related to non-competition agreements where the term of the agreement has not yet started. The term of such agreements, and the related amortization, begins with the termination of employment of the respective employee(s).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Line of Credit</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a revolving credit agreement with JPMorgan Chase Bank, N.A. which provides for a $20 million revolving credit facility that we may draw upon from time to time, subject to certain terms and conditions, and will mature on September 30, 2016.</w:t>
      </w:r>
    </w:p>
    <w:p>
      <w:pPr>
        <w:spacing w:after="0" w:line="13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 connection with the acquisition of Edifice (see Note B), we borrowed $11.0 million under our line of credit to fund a portion of the cash paid for the acquisition. On September 11, 2012, this debt was repaid in full with a portion of the proceeds received from our public offering of common stock on that date (see Note F).</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were no borrowings outstanding at September 30, 2012 and we were in compliance with all covenants under the revolving credit agreement as of that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February 14, 2012, we executed a new lease agreement for our current headquarters location which commences on November 1, 2012 and expires on April 30, 2020. The lease includes additional square footage upon commencement, an automatic expansion of space on or about September 1, 2013, a right of first offer to lease certain additional space, and two options to extend the term of the lease for three years at a market rate determined in accordance with the lease. We will also have a rent holiday from November 2012 to October 2013 which will be incorporated into our deferred rent calculation upon commencement of the lease. In connection with this new lease, we delivered to the landlord cash or an irrevocable letter of credit for approximately $172,000, subject to increase based on square footage expansion, as security for performance of our obligations under the lease.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2012, our future minimum payments under operating leases were as follows (in thousands):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2012</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2013</w:t>
            </w: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2015</w:t>
            </w: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20"/>
                <w:szCs w:val="20"/>
                <w:color w:val="auto"/>
              </w:rPr>
            </w:pPr>
            <w:r>
              <w:rPr>
                <w:rFonts w:ascii="Arial" w:cs="Arial" w:eastAsia="Arial" w:hAnsi="Arial"/>
                <w:sz w:val="18"/>
                <w:szCs w:val="18"/>
                <w:color w:val="auto"/>
              </w:rPr>
              <w:t>Thereafter</w:t>
            </w:r>
          </w:p>
        </w:tc>
        <w:tc>
          <w:tcPr>
            <w:tcW w:w="4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4480" w:type="dxa"/>
            <w:vAlign w:val="bottom"/>
            <w:vMerge w:val="restart"/>
          </w:tcPr>
          <w:p>
            <w:pPr>
              <w:jc w:val="right"/>
              <w:ind w:right="3072"/>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60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Stockholders’ Equity</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 connection with the acquisition of Edifice (see Note B), we issued 347,852 shares of our common stock. The fair value of the shares issued was determined using the closing price of our common stock on August 6, 2012.</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September 11, 2012, we completed a public stock offering where we issued and sold 1,840,000 shares of common stock, including 240,000 shares sold pursuant to the exercise in full of the underwriters’ over-allotment option, at a price to the public of $33.50 per share. We received net proceeds of approximately $57.8 million from this offering after payment of approximately $3.8 million of underwriting discounts and commissions and legal, accounting and other fees incurred in connection with the offering.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Stock-Based Compensation</w:t>
      </w:r>
    </w:p>
    <w:p>
      <w:pPr>
        <w:spacing w:after="0" w:line="96"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Our equity compensation plans provide for the grant of incentive and nonqualified stock options, as well as other stock-based awards, to employees, non-employee directors and other consultants who provide services to us. Stock options generally vest over four years and have a contractual term of seven to ten years from the date of grant. At September 30, 2012, there were approximately 1.1 million shares available for grant under approved equity compensation plans.</w:t>
      </w:r>
    </w:p>
    <w:p>
      <w:pPr>
        <w:spacing w:after="0" w:line="8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recorded stock-based compensation expense of $715,000 and $2.0 million for the three and nine months ended September 30, 2012, respectively. We recorded stock-based compensation expense of $487,000 and $1.3 million for the three and nine months ended September 30, 2011, respectively. This expense was allocated as follows (in thousands):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380" w:type="dxa"/>
            <w:vAlign w:val="bottom"/>
            <w:gridSpan w:val="5"/>
          </w:tcPr>
          <w:p>
            <w:pPr>
              <w:jc w:val="center"/>
              <w:ind w:right="180"/>
              <w:spacing w:after="0"/>
              <w:rPr>
                <w:sz w:val="20"/>
                <w:szCs w:val="20"/>
                <w:color w:val="auto"/>
              </w:rPr>
            </w:pPr>
            <w:r>
              <w:rPr>
                <w:rFonts w:ascii="Arial" w:cs="Arial" w:eastAsia="Arial" w:hAnsi="Arial"/>
                <w:sz w:val="14"/>
                <w:szCs w:val="14"/>
                <w:color w:val="auto"/>
                <w:w w:val="87"/>
              </w:rPr>
              <w:t>Nine Months Ended</w:t>
            </w:r>
          </w:p>
        </w:tc>
      </w:tr>
      <w:tr>
        <w:trPr>
          <w:trHeight w:val="159"/>
        </w:trPr>
        <w:tc>
          <w:tcPr>
            <w:tcW w:w="7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5"/>
          </w:tcPr>
          <w:p>
            <w:pPr>
              <w:ind w:left="180"/>
              <w:spacing w:after="0" w:line="159" w:lineRule="exact"/>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3"/>
                <w:szCs w:val="13"/>
                <w:color w:val="auto"/>
              </w:rPr>
            </w:pPr>
          </w:p>
        </w:tc>
        <w:tc>
          <w:tcPr>
            <w:tcW w:w="1380" w:type="dxa"/>
            <w:vAlign w:val="bottom"/>
            <w:gridSpan w:val="5"/>
          </w:tcPr>
          <w:p>
            <w:pPr>
              <w:jc w:val="center"/>
              <w:ind w:right="200"/>
              <w:spacing w:after="0" w:line="159" w:lineRule="exact"/>
              <w:rPr>
                <w:sz w:val="20"/>
                <w:szCs w:val="20"/>
                <w:color w:val="auto"/>
              </w:rPr>
            </w:pPr>
            <w:r>
              <w:rPr>
                <w:rFonts w:ascii="Arial" w:cs="Arial" w:eastAsia="Arial" w:hAnsi="Arial"/>
                <w:sz w:val="14"/>
                <w:szCs w:val="14"/>
                <w:color w:val="auto"/>
                <w:w w:val="84"/>
              </w:rPr>
              <w:t>September 30,</w:t>
            </w:r>
          </w:p>
        </w:tc>
      </w:tr>
      <w:tr>
        <w:trPr>
          <w:trHeight w:val="142"/>
        </w:trPr>
        <w:tc>
          <w:tcPr>
            <w:tcW w:w="7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3"/>
              </w:rPr>
              <w:t>2011</w:t>
            </w: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color w:val="auto"/>
                <w:w w:val="89"/>
              </w:rPr>
              <w:t>2012</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8"/>
                <w:szCs w:val="18"/>
                <w:color w:val="auto"/>
              </w:rPr>
            </w:pPr>
          </w:p>
        </w:tc>
      </w:tr>
      <w:tr>
        <w:trPr>
          <w:trHeight w:val="222"/>
        </w:trPr>
        <w:tc>
          <w:tcPr>
            <w:tcW w:w="73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715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487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2,042</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1,286</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September 30, 2012, there was approximately $6.9 million of unrecognized stock-based compensation expense under our equity compensation plans, which is expected to be recognized on a straight line basis over a weighted average period of 2.6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option activity was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4"/>
          </w:tcPr>
          <w:p>
            <w:pPr>
              <w:jc w:val="center"/>
              <w:ind w:left="152"/>
              <w:spacing w:after="0"/>
              <w:rPr>
                <w:sz w:val="20"/>
                <w:szCs w:val="20"/>
                <w:color w:val="auto"/>
              </w:rPr>
            </w:pPr>
            <w:r>
              <w:rPr>
                <w:rFonts w:ascii="Arial" w:cs="Arial" w:eastAsia="Arial" w:hAnsi="Arial"/>
                <w:sz w:val="14"/>
                <w:szCs w:val="14"/>
                <w:color w:val="auto"/>
                <w:w w:val="85"/>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Exercise Price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14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w w:val="98"/>
              </w:rPr>
              <w:t>Options (#)</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2011</w:t>
            </w:r>
          </w:p>
        </w:tc>
        <w:tc>
          <w:tcPr>
            <w:tcW w:w="27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1,669,409</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Granted</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239,016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(356,674)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274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(28,227)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2012</w:t>
            </w:r>
          </w:p>
        </w:tc>
        <w:tc>
          <w:tcPr>
            <w:tcW w:w="274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1,523,524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40" w:type="dxa"/>
            <w:vAlign w:val="bottom"/>
            <w:vMerge w:val="restart"/>
          </w:tcPr>
          <w:p>
            <w:pPr>
              <w:jc w:val="right"/>
              <w:ind w:right="1592"/>
              <w:spacing w:after="0"/>
              <w:rPr>
                <w:sz w:val="20"/>
                <w:szCs w:val="20"/>
                <w:color w:val="auto"/>
              </w:rPr>
            </w:pPr>
            <w:r>
              <w:rPr>
                <w:rFonts w:ascii="Arial" w:cs="Arial" w:eastAsia="Arial" w:hAnsi="Arial"/>
                <w:sz w:val="18"/>
                <w:szCs w:val="18"/>
                <w:color w:val="auto"/>
              </w:rPr>
              <w:t>10</w:t>
            </w: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Of the total outstanding options at September 30, 2012, 871,782 were exercisable with a weighted average exercise price of $6.86 per share. The total outstanding options had a weighted average remaining contractual life of 6.4 years.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weighted average fair value per share of options granted during the first nine months of 2012 was $10.40 and this was estimated on the date of grant using the Black-Scholes option pricing model with the following assumptions: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4.75</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2760" w:type="dxa"/>
            <w:vAlign w:val="bottom"/>
          </w:tcPr>
          <w:p>
            <w:pPr>
              <w:jc w:val="right"/>
              <w:spacing w:after="0"/>
              <w:rPr>
                <w:sz w:val="20"/>
                <w:szCs w:val="20"/>
                <w:color w:val="auto"/>
              </w:rPr>
            </w:pPr>
            <w:r>
              <w:rPr>
                <w:rFonts w:ascii="Arial" w:cs="Arial" w:eastAsia="Arial" w:hAnsi="Arial"/>
                <w:sz w:val="18"/>
                <w:szCs w:val="18"/>
                <w:color w:val="auto"/>
              </w:rPr>
              <w:t>0.79%</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Awards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nine months ended September 30, 2012, we granted 82,203 restricted stock units and awards with a weighted average grant date fair value of $26.35 per share, and 2,368 of these have been forfeited. At September 30, 2012, there were 75,873 restricted stock units and 6,330 restricted stock awards outstanding. The restricted stock units vest over a four year period and the restricted stock awards vest over a one year period. Upon vesting, the holder is entitled to receive shares of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Effective July 1, 2012, we adopted an employee stock purchase plan which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July 1 and January 1 of each calendar year.</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of September 30, 2012, we have withheld approximately $225,000 from employees participating in the plan for the offering period that began on July 1, 2012. A total of 1.2 million shares of common stock are reserved for issuance under the plan and, at September 30, 2012, all 1.2 million shares were available for future purchases as the first offering period ends on December 31, 2012.</w:t>
      </w:r>
    </w:p>
    <w:p>
      <w:pPr>
        <w:spacing w:after="0" w:line="14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For the three and nine months ended September 30, 2012, we recorded approximately $70,000 of stock-based compensation expense associated with the employee stock purchase plan. The fair value was estimated based on the market price of our common stock at the beginning of the offering period, which was $30.38 per share, and using the Black-Scholes option pricing model with the following assumptions:</w:t>
      </w:r>
    </w:p>
    <w:p>
      <w:pPr>
        <w:spacing w:after="0" w:line="15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2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0.50</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280" w:type="dxa"/>
            <w:vAlign w:val="bottom"/>
          </w:tcPr>
          <w:p>
            <w:pPr>
              <w:jc w:val="right"/>
              <w:spacing w:after="0"/>
              <w:rPr>
                <w:sz w:val="20"/>
                <w:szCs w:val="20"/>
                <w:color w:val="auto"/>
              </w:rPr>
            </w:pPr>
            <w:r>
              <w:rPr>
                <w:rFonts w:ascii="Arial" w:cs="Arial" w:eastAsia="Arial" w:hAnsi="Arial"/>
                <w:sz w:val="18"/>
                <w:szCs w:val="18"/>
                <w:color w:val="auto"/>
              </w:rPr>
              <w:t>0.15%</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Income Taxes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recorded an income tax benefit of $124,000 and income tax expense of $329,000 for the three and nine months ended September 30, 2012, respectively. We recorded income tax expense of $81,000 and $188,000 for the three and nine months ended September 30, 2011, respectively. We record our interim provision for income taxes based on our estimated annual effective tax rate for the year. Our provisions for income taxes included current federal alternative minimum tax expense, current foreign and state income tax expense, and deferred tax expense.</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decrease in income tax expense for the three months ended September 30, 2012, compared to the three months ended September 30, 2011, was primarily related to discrete net favorable items of $175,000, consisting of an increase in the state deferred tax rate related to the Edifice acquisition and provision to return adjustments for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year 2011. The increase in income tax expense for the nine months ended September 30, 2012, compared to the nine months ended September 30, 2011 was primarily related to deferred tax expense incurred in 2012 subsequent to the reversal of substantially all of the valuation allowance on our deferred tax assets in the fourth quarter of 2011.</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periods prior to the fourth quarter of 2011, a full valuation allowance was recorded against all of our deferred tax assets as it was more-likely-than-not that we would not realize these deferred tax assets, largely due to our history of taxable losses since inception. Based on our assessment during the fourth quarter of 2011, we determined that it was more-likely-than-not that we would be able to realize approximately $12.8 million of our deferred tax assets, which enabled us to release a substantial portion of the valuation allowance previously recorded. This determination was based on weighing both the positive and negative evidence available including, but not limited to, our earnings history, our projected future taxable income, our business strategy and the nature of each of our deferred tax assets.</w:t>
      </w:r>
    </w:p>
    <w:p>
      <w:pPr>
        <w:spacing w:after="0" w:line="14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subject to income taxes in the U.S. federal and various state and international jurisdictions. As of September 30, 2012, we are generally subject to tax examinations for all prior years due to our net operating loss carry forwards.</w:t>
      </w:r>
    </w:p>
    <w:p>
      <w:pPr>
        <w:spacing w:after="0" w:line="132"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As of September 30, 2012,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Net Income Per Share</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and awards. Potential common shares that are anti-dilutive are excluded from the calculation of diluted net income per share.</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center"/>
              <w:ind w:right="360"/>
              <w:spacing w:after="0"/>
              <w:rPr>
                <w:sz w:val="20"/>
                <w:szCs w:val="20"/>
                <w:color w:val="auto"/>
              </w:rPr>
            </w:pPr>
            <w:r>
              <w:rPr>
                <w:rFonts w:ascii="Arial" w:cs="Arial" w:eastAsia="Arial" w:hAnsi="Arial"/>
                <w:sz w:val="14"/>
                <w:szCs w:val="14"/>
                <w:color w:val="auto"/>
                <w:w w:val="87"/>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4"/>
                <w:szCs w:val="14"/>
                <w:color w:val="auto"/>
                <w:w w:val="87"/>
              </w:rPr>
              <w:t>Nine Months Ended</w:t>
            </w:r>
          </w:p>
        </w:tc>
        <w:tc>
          <w:tcPr>
            <w:tcW w:w="0" w:type="dxa"/>
            <w:vAlign w:val="bottom"/>
          </w:tcPr>
          <w:p>
            <w:pPr>
              <w:spacing w:after="0"/>
              <w:rPr>
                <w:sz w:val="1"/>
                <w:szCs w:val="1"/>
                <w:color w:val="auto"/>
              </w:rPr>
            </w:pPr>
          </w:p>
        </w:tc>
      </w:tr>
      <w:tr>
        <w:trPr>
          <w:trHeight w:val="159"/>
        </w:trPr>
        <w:tc>
          <w:tcPr>
            <w:tcW w:w="5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tcPr>
          <w:p>
            <w:pPr>
              <w:jc w:val="center"/>
              <w:ind w:right="360"/>
              <w:spacing w:after="0" w:line="159" w:lineRule="exact"/>
              <w:rPr>
                <w:sz w:val="20"/>
                <w:szCs w:val="20"/>
                <w:color w:val="auto"/>
              </w:rPr>
            </w:pPr>
            <w:r>
              <w:rPr>
                <w:rFonts w:ascii="Arial" w:cs="Arial" w:eastAsia="Arial" w:hAnsi="Arial"/>
                <w:sz w:val="14"/>
                <w:szCs w:val="14"/>
                <w:color w:val="auto"/>
                <w:w w:val="84"/>
              </w:rPr>
              <w:t>September 30,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5"/>
          </w:tcPr>
          <w:p>
            <w:pPr>
              <w:jc w:val="center"/>
              <w:ind w:right="180"/>
              <w:spacing w:after="0" w:line="15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color w:val="auto"/>
                <w:w w:val="96"/>
              </w:rPr>
              <w:t>2012</w:t>
            </w:r>
          </w:p>
        </w:tc>
        <w:tc>
          <w:tcPr>
            <w:tcW w:w="2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2011</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color w:val="auto"/>
                <w:w w:val="96"/>
              </w:rPr>
              <w:t>2012</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174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177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Weighted average common shares outstanding, basic</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13,042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11,970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12,500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Options to purchase common stock</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880"/>
              <w:spacing w:after="0"/>
              <w:rPr>
                <w:sz w:val="20"/>
                <w:szCs w:val="20"/>
                <w:color w:val="auto"/>
              </w:rPr>
            </w:pPr>
            <w:r>
              <w:rPr>
                <w:rFonts w:ascii="Arial" w:cs="Arial" w:eastAsia="Arial" w:hAnsi="Arial"/>
                <w:sz w:val="18"/>
                <w:szCs w:val="18"/>
                <w:color w:val="auto"/>
              </w:rPr>
              <w:t>Restricted stock units and awards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Employee stock purchase plan</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440"/>
              <w:spacing w:after="0"/>
              <w:rPr>
                <w:sz w:val="20"/>
                <w:szCs w:val="20"/>
                <w:color w:val="auto"/>
              </w:rPr>
            </w:pPr>
            <w:r>
              <w:rPr>
                <w:rFonts w:ascii="Arial" w:cs="Arial" w:eastAsia="Arial" w:hAnsi="Arial"/>
                <w:sz w:val="18"/>
                <w:szCs w:val="18"/>
                <w:color w:val="auto"/>
              </w:rPr>
              <w:t>Weighted average common shares outstanding, diluted</w:t>
            </w: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13,894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12,735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13,373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Basic</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the three and nine months ended September 30, 2012, the effect of all outstanding potential common shares was included in the calculation of diluted net income per share. For the three and nine months ended September 30, 2011, the effect of approximately 1,000 outstanding potential common shares was excluded from the calculation of diluted net income per share because they were anti-dilutive.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a leading provider of on-demand supply chain management solutions and the Retail Universe community, providing integration, collaboration, connectivity, visibility and data analytics to thousands of trading partners worldwide. We provide our solutions through SPSCommerce.net, a hosted software suite that improves the way suppliers, retailers, distributors and other trading partners manage and fulfill orders. We deliver our solutions to our customers over the Internet using a Software-as-a-Service model.</w:t>
      </w:r>
    </w:p>
    <w:p>
      <w:pPr>
        <w:spacing w:after="0" w:line="14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We plan to grow our business by further penetrating the supply chain management market, increasing revenues from our customers as their businesses grow, expanding our distribution channels, expanding our international presence and developing new solutions and applications. We also intend to selectively pursue acquisitions that will add customers, allow us to expand into new regions or industries or allow us to offer new functionalities.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August 6, 2012, we entered into an asset purchase agreement with Edifice Information Management Systems, Inc. (“Edifice”), a privately-held information services company specializing in the collection, analysis and distribution of point-of-sale data used by retailers and suppliers to improve their supply chain efficiencies. We completed the asset purchase on August 7, 2012. Under the asset purchase agreement, we purchased and acquired substantially all of the assets of Edifice for $26.3 million in cash and 347,852 shares of our common stock. We also assumed certain liabilities of Edifice. This acquisition allows us to expand our point-of-sale analytic offerings, expand our base of recurring revenue customers and add suppliers to our network. See Note B to our condensed consolidated financial statements included in this Quarterly Report on Form 10-Q for additional information regarding the acquisition of Edifice.</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September 11, 2012, we completed a public stock offering where we issued and sold 1,840,000 shares of common stock, including 240,000 shares sold pursuant to the exercise in full of the underwriters’ over-allotment option, at a price to the public of $33.50 per share. We received net proceeds of approximately $57.8 million from this offering after payment of approximately $3.8 million of underwriting discounts and commissions and legal, accounting and other fees incurred in connection with the offering. See Note F to our condensed consolidated financial statements included in this Quarterly Report on Form 10-Q for additional information regarding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During the nine months ended September 30, 2012,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 December 31, 2011 as filed with the Securities and Exchange Commission on March 9, 2012.</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generally accepted accounting principles in the United States of America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discussion of our financial condition and results of operations is based upon our financial statements, which are prepared in accordance with accounting principles generally accepted in the United States of America. The preparation of these financial statements requires us to make estimates, judgments and assumptions that affect the reported amounts of assets, liabilities, revenues, costs and expenses and related disclosures. We base our estimates of the carrying value of certain assets and liabilities on historical experience and on various other assumptions that we believe to be reasonable. On an ongoing basis, we evaluate our estimates and assumptions. Our actual results may differ from these estimates under different assumptions or conditions.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of our significant accounting policies, the following accounting policies involve a greater degree of judgment, complexity and effect on materiality.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we believe that our policies for revenue recognition, the allowance for doubtful accounts, income taxes, stock-based compensation and the valuation of goodwill and intangible assets are the most critical to aid in fully understanding and evaluating our financial condition and results of operations.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nine months ended September 30, 2012, there were no significant changes in our critical accounting policies or estimates.</w:t>
      </w:r>
    </w:p>
    <w:p>
      <w:pPr>
        <w:spacing w:after="0" w:line="171"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See Note A to our financial statements included in this Quarterly Report on Form 10-Q and in our Annual Report on Form 10-K for the year ended December 31, 2011, as filed with the Securities and Exchange Commission on March 9, 2012, for additional information regarding our critical accounting policies, as well as a description of our other significant accounting policies.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7"/>
          </w:tcPr>
          <w:p>
            <w:pPr>
              <w:jc w:val="right"/>
              <w:ind w:right="1220"/>
              <w:spacing w:after="0"/>
              <w:rPr>
                <w:sz w:val="20"/>
                <w:szCs w:val="20"/>
                <w:color w:val="auto"/>
              </w:rPr>
            </w:pPr>
            <w:r>
              <w:rPr>
                <w:rFonts w:ascii="Arial" w:cs="Arial" w:eastAsia="Arial" w:hAnsi="Arial"/>
                <w:sz w:val="14"/>
                <w:szCs w:val="14"/>
                <w:color w:val="auto"/>
                <w:w w:val="92"/>
              </w:rPr>
              <w:t>Three Months Ended September 30,</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Change</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Arial" w:cs="Arial" w:eastAsia="Arial" w:hAnsi="Arial"/>
                <w:sz w:val="14"/>
                <w:szCs w:val="14"/>
                <w:color w:val="auto"/>
                <w:w w:val="83"/>
              </w:rPr>
              <w:t>2012</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Arial" w:cs="Arial" w:eastAsia="Arial" w:hAnsi="Arial"/>
                <w:sz w:val="14"/>
                <w:szCs w:val="14"/>
                <w:color w:val="auto"/>
                <w:w w:val="83"/>
              </w:rPr>
              <w:t>2011</w:t>
            </w:r>
          </w:p>
        </w:tc>
        <w:tc>
          <w:tcPr>
            <w:tcW w:w="400" w:type="dxa"/>
            <w:vAlign w:val="bottom"/>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400" w:type="dxa"/>
            <w:vAlign w:val="bottom"/>
          </w:tcPr>
          <w:p>
            <w:pPr>
              <w:spacing w:after="0"/>
              <w:rPr>
                <w:sz w:val="12"/>
                <w:szCs w:val="12"/>
                <w:color w:val="auto"/>
              </w:rPr>
            </w:pPr>
          </w:p>
        </w:tc>
        <w:tc>
          <w:tcPr>
            <w:tcW w:w="900" w:type="dxa"/>
            <w:vAlign w:val="bottom"/>
          </w:tcPr>
          <w:p>
            <w:pPr>
              <w:jc w:val="right"/>
              <w:ind w:right="494"/>
              <w:spacing w:after="0" w:line="142"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20,267</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15,529</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3"/>
              </w:rPr>
              <w:t>$ 4,738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5,945</w:t>
            </w:r>
          </w:p>
        </w:tc>
        <w:tc>
          <w:tcPr>
            <w:tcW w:w="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4,076</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26.2</w:t>
            </w:r>
          </w:p>
        </w:tc>
        <w:tc>
          <w:tcPr>
            <w:tcW w:w="900" w:type="dxa"/>
            <w:vAlign w:val="bottom"/>
          </w:tcPr>
          <w:p>
            <w:pPr>
              <w:jc w:val="right"/>
              <w:ind w:right="234"/>
              <w:spacing w:after="0"/>
              <w:rPr>
                <w:sz w:val="20"/>
                <w:szCs w:val="20"/>
                <w:color w:val="auto"/>
              </w:rPr>
            </w:pPr>
            <w:r>
              <w:rPr>
                <w:rFonts w:ascii="Arial" w:cs="Arial" w:eastAsia="Arial" w:hAnsi="Arial"/>
                <w:sz w:val="18"/>
                <w:szCs w:val="18"/>
                <w:color w:val="auto"/>
              </w:rPr>
              <w:t>1,869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14,322</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11,453</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73.8</w:t>
            </w: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2,869</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2"/>
        </w:trPr>
        <w:tc>
          <w:tcPr>
            <w:tcW w:w="5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6,404</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41.2</w:t>
            </w: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1,436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2,088</w:t>
            </w:r>
          </w:p>
        </w:tc>
        <w:tc>
          <w:tcPr>
            <w:tcW w:w="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1,605</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10.3</w:t>
            </w:r>
          </w:p>
        </w:tc>
        <w:tc>
          <w:tcPr>
            <w:tcW w:w="900" w:type="dxa"/>
            <w:vAlign w:val="bottom"/>
          </w:tcPr>
          <w:p>
            <w:pPr>
              <w:jc w:val="right"/>
              <w:ind w:right="234"/>
              <w:spacing w:after="0"/>
              <w:rPr>
                <w:sz w:val="20"/>
                <w:szCs w:val="20"/>
                <w:color w:val="auto"/>
              </w:rPr>
            </w:pPr>
            <w:r>
              <w:rPr>
                <w:rFonts w:ascii="Arial" w:cs="Arial" w:eastAsia="Arial" w:hAnsi="Arial"/>
                <w:sz w:val="18"/>
                <w:szCs w:val="18"/>
                <w:color w:val="auto"/>
              </w:rPr>
              <w:t>483</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2,914</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w:t>
            </w: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812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260</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900" w:type="dxa"/>
            <w:vAlign w:val="bottom"/>
          </w:tcPr>
          <w:p>
            <w:pPr>
              <w:jc w:val="right"/>
              <w:ind w:right="234"/>
              <w:spacing w:after="0"/>
              <w:rPr>
                <w:sz w:val="20"/>
                <w:szCs w:val="20"/>
                <w:color w:val="auto"/>
              </w:rPr>
            </w:pPr>
            <w:r>
              <w:rPr>
                <w:rFonts w:ascii="Arial" w:cs="Arial" w:eastAsia="Arial" w:hAnsi="Arial"/>
                <w:sz w:val="18"/>
                <w:szCs w:val="18"/>
                <w:color w:val="auto"/>
              </w:rPr>
              <w:t>270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14,184</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11,183</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72.0</w:t>
            </w: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3,001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vMerge w:val="restart"/>
          </w:tcPr>
          <w:p>
            <w:pPr>
              <w:ind w:left="86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1.7</w:t>
            </w:r>
          </w:p>
        </w:tc>
        <w:tc>
          <w:tcPr>
            <w:tcW w:w="900" w:type="dxa"/>
            <w:vAlign w:val="bottom"/>
            <w:vMerge w:val="restart"/>
          </w:tcPr>
          <w:p>
            <w:pPr>
              <w:jc w:val="right"/>
              <w:ind w:right="174"/>
              <w:spacing w:after="0"/>
              <w:rPr>
                <w:sz w:val="20"/>
                <w:szCs w:val="20"/>
                <w:color w:val="auto"/>
              </w:rPr>
            </w:pPr>
            <w:r>
              <w:rPr>
                <w:rFonts w:ascii="Arial" w:cs="Arial" w:eastAsia="Arial" w:hAnsi="Arial"/>
                <w:sz w:val="18"/>
                <w:szCs w:val="18"/>
                <w:color w:val="auto"/>
              </w:rPr>
              <w:t>(132)</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270</w:t>
            </w:r>
          </w:p>
        </w:tc>
        <w:tc>
          <w:tcPr>
            <w:tcW w:w="134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4"/>
              <w:spacing w:after="0"/>
              <w:rPr>
                <w:sz w:val="20"/>
                <w:szCs w:val="20"/>
                <w:color w:val="auto"/>
              </w:rPr>
            </w:pPr>
            <w:r>
              <w:rPr>
                <w:rFonts w:ascii="Arial" w:cs="Arial" w:eastAsia="Arial" w:hAnsi="Arial"/>
                <w:sz w:val="18"/>
                <w:szCs w:val="18"/>
                <w:color w:val="auto"/>
              </w:rPr>
              <w:t>(27)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9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900" w:type="dxa"/>
            <w:vAlign w:val="bottom"/>
          </w:tcPr>
          <w:p>
            <w:pPr>
              <w:jc w:val="right"/>
              <w:ind w:right="174"/>
              <w:spacing w:after="0"/>
              <w:rPr>
                <w:sz w:val="20"/>
                <w:szCs w:val="20"/>
                <w:color w:val="auto"/>
              </w:rPr>
            </w:pPr>
            <w:r>
              <w:rPr>
                <w:rFonts w:ascii="Arial" w:cs="Arial" w:eastAsia="Arial" w:hAnsi="Arial"/>
                <w:sz w:val="18"/>
                <w:szCs w:val="18"/>
                <w:color w:val="auto"/>
              </w:rPr>
              <w:t>(39)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139.3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9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1.7</w:t>
            </w:r>
          </w:p>
        </w:tc>
        <w:tc>
          <w:tcPr>
            <w:tcW w:w="900" w:type="dxa"/>
            <w:vAlign w:val="bottom"/>
            <w:vMerge w:val="restart"/>
          </w:tcPr>
          <w:p>
            <w:pPr>
              <w:jc w:val="right"/>
              <w:ind w:right="174"/>
              <w:spacing w:after="0"/>
              <w:rPr>
                <w:sz w:val="20"/>
                <w:szCs w:val="20"/>
                <w:color w:val="auto"/>
              </w:rPr>
            </w:pPr>
            <w:r>
              <w:rPr>
                <w:rFonts w:ascii="Arial" w:cs="Arial" w:eastAsia="Arial" w:hAnsi="Arial"/>
                <w:sz w:val="18"/>
                <w:szCs w:val="18"/>
                <w:color w:val="auto"/>
              </w:rPr>
              <w:t>(208)</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line="20" w:lineRule="exact"/>
              <w:rPr>
                <w:sz w:val="1"/>
                <w:szCs w:val="1"/>
                <w:color w:val="auto"/>
              </w:rPr>
            </w:pPr>
          </w:p>
        </w:tc>
      </w:tr>
      <w:tr>
        <w:trPr>
          <w:trHeight w:val="221"/>
        </w:trPr>
        <w:tc>
          <w:tcPr>
            <w:tcW w:w="5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c>
          <w:tcPr>
            <w:tcW w:w="134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205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1.1</w:t>
            </w:r>
          </w:p>
        </w:tc>
        <w:tc>
          <w:tcPr>
            <w:tcW w:w="900" w:type="dxa"/>
            <w:vAlign w:val="bottom"/>
            <w:vMerge w:val="restart"/>
          </w:tcPr>
          <w:p>
            <w:pPr>
              <w:jc w:val="right"/>
              <w:ind w:right="174"/>
              <w:spacing w:after="0"/>
              <w:rPr>
                <w:sz w:val="20"/>
                <w:szCs w:val="20"/>
                <w:color w:val="auto"/>
              </w:rPr>
            </w:pPr>
            <w:r>
              <w:rPr>
                <w:rFonts w:ascii="Arial" w:cs="Arial" w:eastAsia="Arial" w:hAnsi="Arial"/>
                <w:sz w:val="18"/>
                <w:szCs w:val="18"/>
                <w:color w:val="auto"/>
              </w:rPr>
              <w:t>(3)</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222"/>
        </w:trPr>
        <w:tc>
          <w:tcPr>
            <w:tcW w:w="58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134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gridSpan w:val="7"/>
          </w:tcPr>
          <w:p>
            <w:pPr>
              <w:jc w:val="right"/>
              <w:ind w:right="1240"/>
              <w:spacing w:after="0"/>
              <w:rPr>
                <w:sz w:val="20"/>
                <w:szCs w:val="20"/>
                <w:color w:val="auto"/>
              </w:rPr>
            </w:pPr>
            <w:r>
              <w:rPr>
                <w:rFonts w:ascii="Arial" w:cs="Arial" w:eastAsia="Arial" w:hAnsi="Arial"/>
                <w:sz w:val="14"/>
                <w:szCs w:val="14"/>
                <w:color w:val="auto"/>
                <w:w w:val="95"/>
              </w:rPr>
              <w:t>Nine Months Ended September 30,</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Change</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Arial" w:cs="Arial" w:eastAsia="Arial" w:hAnsi="Arial"/>
                <w:sz w:val="14"/>
                <w:szCs w:val="14"/>
                <w:color w:val="auto"/>
                <w:w w:val="83"/>
              </w:rPr>
              <w:t>2012</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Arial" w:cs="Arial" w:eastAsia="Arial" w:hAnsi="Arial"/>
                <w:sz w:val="14"/>
                <w:szCs w:val="14"/>
                <w:color w:val="auto"/>
                <w:w w:val="83"/>
              </w:rPr>
              <w:t>2011</w:t>
            </w:r>
          </w:p>
        </w:tc>
        <w:tc>
          <w:tcPr>
            <w:tcW w:w="400" w:type="dxa"/>
            <w:vAlign w:val="bottom"/>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400" w:type="dxa"/>
            <w:vAlign w:val="bottom"/>
          </w:tcPr>
          <w:p>
            <w:pPr>
              <w:spacing w:after="0"/>
              <w:rPr>
                <w:sz w:val="12"/>
                <w:szCs w:val="12"/>
                <w:color w:val="auto"/>
              </w:rPr>
            </w:pPr>
          </w:p>
        </w:tc>
        <w:tc>
          <w:tcPr>
            <w:tcW w:w="900" w:type="dxa"/>
            <w:vAlign w:val="bottom"/>
          </w:tcPr>
          <w:p>
            <w:pPr>
              <w:jc w:val="right"/>
              <w:ind w:right="494"/>
              <w:spacing w:after="0" w:line="142"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54,622</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42,115</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6"/>
              </w:rPr>
              <w:t>$12,507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29.7 %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15,236</w:t>
            </w:r>
          </w:p>
        </w:tc>
        <w:tc>
          <w:tcPr>
            <w:tcW w:w="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11,147</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26.5</w:t>
            </w:r>
          </w:p>
        </w:tc>
        <w:tc>
          <w:tcPr>
            <w:tcW w:w="900" w:type="dxa"/>
            <w:vAlign w:val="bottom"/>
          </w:tcPr>
          <w:p>
            <w:pPr>
              <w:jc w:val="right"/>
              <w:ind w:right="234"/>
              <w:spacing w:after="0"/>
              <w:rPr>
                <w:sz w:val="20"/>
                <w:szCs w:val="20"/>
                <w:color w:val="auto"/>
              </w:rPr>
            </w:pPr>
            <w:r>
              <w:rPr>
                <w:rFonts w:ascii="Arial" w:cs="Arial" w:eastAsia="Arial" w:hAnsi="Arial"/>
                <w:sz w:val="18"/>
                <w:szCs w:val="18"/>
                <w:color w:val="auto"/>
              </w:rPr>
              <w:t>4,089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39,386</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30,968</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73.5</w:t>
            </w: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8,418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2"/>
        </w:trPr>
        <w:tc>
          <w:tcPr>
            <w:tcW w:w="5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21,259</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17,382</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41.3</w:t>
            </w: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3,877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5,650</w:t>
            </w:r>
          </w:p>
        </w:tc>
        <w:tc>
          <w:tcPr>
            <w:tcW w:w="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4,259</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10.1</w:t>
            </w:r>
          </w:p>
        </w:tc>
        <w:tc>
          <w:tcPr>
            <w:tcW w:w="900" w:type="dxa"/>
            <w:vAlign w:val="bottom"/>
          </w:tcPr>
          <w:p>
            <w:pPr>
              <w:jc w:val="right"/>
              <w:ind w:right="234"/>
              <w:spacing w:after="0"/>
              <w:rPr>
                <w:sz w:val="20"/>
                <w:szCs w:val="20"/>
                <w:color w:val="auto"/>
              </w:rPr>
            </w:pPr>
            <w:r>
              <w:rPr>
                <w:rFonts w:ascii="Arial" w:cs="Arial" w:eastAsia="Arial" w:hAnsi="Arial"/>
                <w:sz w:val="18"/>
                <w:szCs w:val="18"/>
                <w:color w:val="auto"/>
              </w:rPr>
              <w:t>1,391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10,079</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8,208</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19.5</w:t>
            </w: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1,871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383</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0.9</w:t>
            </w:r>
          </w:p>
        </w:tc>
        <w:tc>
          <w:tcPr>
            <w:tcW w:w="900" w:type="dxa"/>
            <w:vAlign w:val="bottom"/>
          </w:tcPr>
          <w:p>
            <w:pPr>
              <w:jc w:val="right"/>
              <w:ind w:right="234"/>
              <w:spacing w:after="0"/>
              <w:rPr>
                <w:sz w:val="20"/>
                <w:szCs w:val="20"/>
                <w:color w:val="auto"/>
              </w:rPr>
            </w:pPr>
            <w:r>
              <w:rPr>
                <w:rFonts w:ascii="Arial" w:cs="Arial" w:eastAsia="Arial" w:hAnsi="Arial"/>
                <w:sz w:val="18"/>
                <w:szCs w:val="18"/>
                <w:color w:val="auto"/>
              </w:rPr>
              <w:t>667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174.2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38,038</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30,232</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71.8</w:t>
            </w: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7,806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vMerge w:val="restart"/>
          </w:tcPr>
          <w:p>
            <w:pPr>
              <w:ind w:left="86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1.7</w:t>
            </w:r>
          </w:p>
        </w:tc>
        <w:tc>
          <w:tcPr>
            <w:tcW w:w="900" w:type="dxa"/>
            <w:vAlign w:val="bottom"/>
            <w:vMerge w:val="restart"/>
          </w:tcPr>
          <w:p>
            <w:pPr>
              <w:jc w:val="right"/>
              <w:ind w:right="234"/>
              <w:spacing w:after="0"/>
              <w:rPr>
                <w:sz w:val="20"/>
                <w:szCs w:val="20"/>
                <w:color w:val="auto"/>
              </w:rPr>
            </w:pPr>
            <w:r>
              <w:rPr>
                <w:rFonts w:ascii="Arial" w:cs="Arial" w:eastAsia="Arial" w:hAnsi="Arial"/>
                <w:sz w:val="18"/>
                <w:szCs w:val="18"/>
                <w:color w:val="auto"/>
              </w:rPr>
              <w:t>612</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1,348</w:t>
            </w:r>
          </w:p>
        </w:tc>
        <w:tc>
          <w:tcPr>
            <w:tcW w:w="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736</w:t>
            </w:r>
          </w:p>
        </w:tc>
        <w:tc>
          <w:tcPr>
            <w:tcW w:w="134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4"/>
              <w:spacing w:after="0"/>
              <w:rPr>
                <w:sz w:val="20"/>
                <w:szCs w:val="20"/>
                <w:color w:val="auto"/>
              </w:rPr>
            </w:pPr>
            <w:r>
              <w:rPr>
                <w:rFonts w:ascii="Arial" w:cs="Arial" w:eastAsia="Arial" w:hAnsi="Arial"/>
                <w:sz w:val="18"/>
                <w:szCs w:val="18"/>
                <w:color w:val="auto"/>
              </w:rPr>
              <w:t>(27)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9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900" w:type="dxa"/>
            <w:vAlign w:val="bottom"/>
          </w:tcPr>
          <w:p>
            <w:pPr>
              <w:jc w:val="right"/>
              <w:ind w:right="174"/>
              <w:spacing w:after="0"/>
              <w:rPr>
                <w:sz w:val="20"/>
                <w:szCs w:val="20"/>
                <w:color w:val="auto"/>
              </w:rPr>
            </w:pPr>
            <w:r>
              <w:rPr>
                <w:rFonts w:ascii="Arial" w:cs="Arial" w:eastAsia="Arial" w:hAnsi="Arial"/>
                <w:sz w:val="18"/>
                <w:szCs w:val="18"/>
                <w:color w:val="auto"/>
              </w:rPr>
              <w:t>(108)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174.2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(175)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1.8</w:t>
            </w:r>
          </w:p>
        </w:tc>
        <w:tc>
          <w:tcPr>
            <w:tcW w:w="900" w:type="dxa"/>
            <w:vAlign w:val="bottom"/>
            <w:vMerge w:val="restart"/>
          </w:tcPr>
          <w:p>
            <w:pPr>
              <w:jc w:val="right"/>
              <w:ind w:right="234"/>
              <w:spacing w:after="0"/>
              <w:rPr>
                <w:sz w:val="20"/>
                <w:szCs w:val="20"/>
                <w:color w:val="auto"/>
              </w:rPr>
            </w:pPr>
            <w:r>
              <w:rPr>
                <w:rFonts w:ascii="Arial" w:cs="Arial" w:eastAsia="Arial" w:hAnsi="Arial"/>
                <w:sz w:val="18"/>
                <w:szCs w:val="18"/>
                <w:color w:val="auto"/>
              </w:rPr>
              <w:t>437</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line="20" w:lineRule="exact"/>
              <w:rPr>
                <w:sz w:val="1"/>
                <w:szCs w:val="1"/>
                <w:color w:val="auto"/>
              </w:rPr>
            </w:pPr>
          </w:p>
        </w:tc>
      </w:tr>
      <w:tr>
        <w:trPr>
          <w:trHeight w:val="221"/>
        </w:trPr>
        <w:tc>
          <w:tcPr>
            <w:tcW w:w="5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1,185</w:t>
            </w:r>
          </w:p>
        </w:tc>
        <w:tc>
          <w:tcPr>
            <w:tcW w:w="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748</w:t>
            </w:r>
          </w:p>
        </w:tc>
        <w:tc>
          <w:tcPr>
            <w:tcW w:w="134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w:t>
            </w:r>
          </w:p>
        </w:tc>
        <w:tc>
          <w:tcPr>
            <w:tcW w:w="9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(141)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1.3</w:t>
            </w:r>
          </w:p>
        </w:tc>
        <w:tc>
          <w:tcPr>
            <w:tcW w:w="900" w:type="dxa"/>
            <w:vAlign w:val="bottom"/>
            <w:vMerge w:val="restart"/>
          </w:tcPr>
          <w:p>
            <w:pPr>
              <w:jc w:val="right"/>
              <w:ind w:right="234"/>
              <w:spacing w:after="0"/>
              <w:rPr>
                <w:sz w:val="20"/>
                <w:szCs w:val="20"/>
                <w:color w:val="auto"/>
              </w:rPr>
            </w:pPr>
            <w:r>
              <w:rPr>
                <w:rFonts w:ascii="Arial" w:cs="Arial" w:eastAsia="Arial" w:hAnsi="Arial"/>
                <w:sz w:val="18"/>
                <w:szCs w:val="18"/>
                <w:color w:val="auto"/>
              </w:rPr>
              <w:t>296</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560</w:t>
            </w:r>
          </w:p>
        </w:tc>
        <w:tc>
          <w:tcPr>
            <w:tcW w:w="134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&amp; Nine Months Ended September 30, 2012 compared to Three &amp; Nine Months Ended September 30, 2011</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for the three months ended September 30, 2012 increased $4.8 million, or 31%, to $20.3 million from $15.5 million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2011. Our fiscal quarter ended September 30, 2012 represented our 47</w:t>
      </w:r>
      <w:r>
        <w:rPr>
          <w:rFonts w:ascii="Arial" w:cs="Arial" w:eastAsia="Arial" w:hAnsi="Arial"/>
          <w:sz w:val="10"/>
          <w:szCs w:val="10"/>
          <w:color w:val="auto"/>
        </w:rPr>
        <w:t>th</w:t>
      </w:r>
      <w:r>
        <w:rPr>
          <w:rFonts w:ascii="Arial" w:cs="Arial" w:eastAsia="Arial" w:hAnsi="Arial"/>
          <w:sz w:val="16"/>
          <w:szCs w:val="16"/>
          <w:color w:val="auto"/>
        </w:rPr>
        <w:t xml:space="preserve"> consecutive quarter of increased revenues. Revenues for the nine months ended September 30, 2012 increased $12.5 million, or 30%, to $54.6 million from $42.1 million for the same period in 2011.</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increase in revenues resulted from two primary factors: the increase in recurring revenue customers and the increase in annualized average recurring revenues per recurring revenue customer.</w:t>
      </w:r>
    </w:p>
    <w:p>
      <w:pPr>
        <w:spacing w:after="0" w:line="51" w:lineRule="exact"/>
        <w:rPr>
          <w:sz w:val="20"/>
          <w:szCs w:val="20"/>
          <w:color w:val="auto"/>
        </w:rPr>
      </w:pPr>
    </w:p>
    <w:p>
      <w:pPr>
        <w:ind w:left="1480" w:hanging="446"/>
        <w:spacing w:after="0"/>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number of recurring revenue customers increased 11% to 17,723 at September 30, 2012 from 15,896 at September 30, 2011.</w:t>
      </w:r>
    </w:p>
    <w:p>
      <w:pPr>
        <w:spacing w:after="0" w:line="113" w:lineRule="exact"/>
        <w:rPr>
          <w:rFonts w:ascii="Arial" w:cs="Arial" w:eastAsia="Arial" w:hAnsi="Arial"/>
          <w:sz w:val="16"/>
          <w:szCs w:val="16"/>
          <w:color w:val="auto"/>
        </w:rPr>
      </w:pPr>
    </w:p>
    <w:p>
      <w:pPr>
        <w:jc w:val="both"/>
        <w:ind w:left="1480" w:right="180" w:hanging="446"/>
        <w:spacing w:after="0" w:line="306"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Annualized average recurring revenues per recurring revenue customer increased 21% to $4,101 for the three months ended September 30, 2012 from $3,376 for the same period in 2011. This increase was primarily attributable to increased fees resulting from increased usage of our solutions by our recurring revenue customers and growth in larger customers, including those acquired from Edifice.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Recurring revenues from recurring revenue customers accounted for 88% and 87% of our total revenues for the three and nine months ended September 30, 2012, respectively, compared to 85% and 84% for each of the same periods in 2011. We anticipate that the number of recurring revenue customers and the recurring revenues per recurring revenue customer will continue to increase as we increase the number of solutions we offer and increase the penetration of those solutions across our customer base.</w:t>
      </w:r>
    </w:p>
    <w:p>
      <w:pPr>
        <w:spacing w:after="0" w:line="143"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i w:val="1"/>
          <w:iCs w:val="1"/>
          <w:color w:val="auto"/>
        </w:rPr>
        <w:t xml:space="preserve">Cost of Revenues. </w:t>
      </w:r>
      <w:r>
        <w:rPr>
          <w:rFonts w:ascii="Arial" w:cs="Arial" w:eastAsia="Arial" w:hAnsi="Arial"/>
          <w:sz w:val="15"/>
          <w:szCs w:val="15"/>
          <w:color w:val="auto"/>
        </w:rPr>
        <w:t>Cost of revenues for the three months ended September 30, 2012 increased $1.8 million, or 46%, to $5.9 million from $4.1 million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same period in 2011. Cost of revenues for the nine months ended September 30, 2012 increased $4.1 million, or 37%, to $15.2 million from $11.1 million for the same period in 2011. The increase in cost of revenues was attributable to increased costs for personnel and depreciation for both the three and nine month periods in 2012. In addition, increased costs for network services and stock-based compensation contributed to the increase in cost of revenues for the nine month period in 2012. As a percentage of revenues, cost of revenues was 29% and 28% for the three and nine months ended September 30, 2012, compared to 26% and 27% for the same periods in 2011. Going forward, we anticipate that cost of revenues will continue to increase in absolute dollars as we build our business.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the three months ended September 30, 2012 increased $1.4 million, or 22%, to</w:t>
      </w:r>
    </w:p>
    <w:p>
      <w:pPr>
        <w:spacing w:after="0" w:line="3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$7.8 million from $6.4 million for the same period in 2011. Sales and marketing expenses for the nine months ended September 30, 2012 increased $3.9 million, or 22%, to $21.3 million from $17.4 million for the same period in 2011. The increase in sales and marketing expenses for both the three and nine month periods in 2012 was primarily due to increased personnel costs and higher commissions earned by sales personnel from new business, as well as increased stock-based compensation and marketing costs. As a percentage of revenues, sales and marketing expenses were 39% for each of the three and nine months ended September 30, 2012, compared to 41% for the same periods in 2011, respectively. As we build our business, we will continue to add resources to our sales and marketing efforts over time, and we expect that these expenses will continue to increase in absolute dollars.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three months ended September 30, 2012 increased $483,000, or 30%, to</w:t>
      </w:r>
      <w:r>
        <w:rPr>
          <w:rFonts w:ascii="Arial" w:cs="Arial" w:eastAsia="Arial" w:hAnsi="Arial"/>
          <w:sz w:val="18"/>
          <w:szCs w:val="18"/>
          <w:i w:val="1"/>
          <w:iCs w:val="1"/>
          <w:color w:val="auto"/>
        </w:rPr>
        <w:t xml:space="preserve"> </w:t>
      </w:r>
      <w:r>
        <w:rPr>
          <w:rFonts w:ascii="Arial" w:cs="Arial" w:eastAsia="Arial" w:hAnsi="Arial"/>
          <w:sz w:val="18"/>
          <w:szCs w:val="18"/>
          <w:color w:val="auto"/>
        </w:rPr>
        <w:t>$2.1 million from $1.6 million for the same period in 2011. Research and development expenses for the nine months ended September 30, 2012 increased $1.4 million, or 33%, to $5.7 million from $4.3 million for the same period in 2011. The increase in research and development expenses for both the three and nine month periods in 2012 was primarily due to increased personnel costs and depreciation expense. As a percentage of revenues, research and development expenses were 10% for all periods presented. As we enhance and expand our solutions and applications, we expect that research and development expenses will continue to increase in absolute dollars.</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for the three months ended September 30, 2012 increased $812,000, or 28%, to</w:t>
      </w:r>
      <w:r>
        <w:rPr>
          <w:rFonts w:ascii="Arial" w:cs="Arial" w:eastAsia="Arial" w:hAnsi="Arial"/>
          <w:sz w:val="18"/>
          <w:szCs w:val="18"/>
          <w:i w:val="1"/>
          <w:iCs w:val="1"/>
          <w:color w:val="auto"/>
        </w:rPr>
        <w:t xml:space="preserve"> </w:t>
      </w:r>
      <w:r>
        <w:rPr>
          <w:rFonts w:ascii="Arial" w:cs="Arial" w:eastAsia="Arial" w:hAnsi="Arial"/>
          <w:sz w:val="18"/>
          <w:szCs w:val="18"/>
          <w:color w:val="auto"/>
        </w:rPr>
        <w:t>$3.7 million from $2.9 million for the same period in 2011. General and administrative expenses for the nine months ended September 30, 2012 increased $1.9 million, or 23%,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 $10.1 million from $8.2 million for the same period in 2011. The increase in general and administrative expenses for both the three and nine month periods in 2012 was primarily due to increased personnel costs, as well as increased stock-based compensation, accounting, legal and depreciation expenses. In addition, higher credit card processing fees contributed to the increase in general and administrative expense for the nine month period in 2012. As a percentage of revenues, general and administrative expenses were approximately 18% for each of the three and nine months ended September 30, 2012 compared to approximately 19% for each of the same periods in 2011. Going forward, we expect that general and administrative expenses will continue to increase in absolute dollars as we build our business.</w:t>
      </w:r>
    </w:p>
    <w:p>
      <w:pPr>
        <w:spacing w:after="0" w:line="144"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i w:val="1"/>
          <w:iCs w:val="1"/>
          <w:color w:val="auto"/>
        </w:rPr>
        <w:t xml:space="preserve">Amortization of Intangible Assets. </w:t>
      </w:r>
      <w:r>
        <w:rPr>
          <w:rFonts w:ascii="Arial" w:cs="Arial" w:eastAsia="Arial" w:hAnsi="Arial"/>
          <w:sz w:val="16"/>
          <w:szCs w:val="16"/>
          <w:color w:val="auto"/>
        </w:rPr>
        <w:t>Amortization expense was $530,000 and $1.1 million for the three and nine months ended September 30, 2012,</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$260,000 and $383,000 for each of the same periods in 2011. The increase in amortization expense in 2012 from 2011 was the result of the May 2011 acquisition of Direct EDI being included for all of 2012 as well as the August 2012 acquisition of Edifice.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Interest expense was $27,000 for the three and nine months ended September 30, 2012, resulting from borrowings under our line</w:t>
      </w:r>
      <w:r>
        <w:rPr>
          <w:rFonts w:ascii="Arial" w:cs="Arial" w:eastAsia="Arial" w:hAnsi="Arial"/>
          <w:sz w:val="16"/>
          <w:szCs w:val="16"/>
          <w:i w:val="1"/>
          <w:iCs w:val="1"/>
          <w:color w:val="auto"/>
        </w:rPr>
        <w:t xml:space="preserve"> </w:t>
      </w:r>
      <w:r>
        <w:rPr>
          <w:rFonts w:ascii="Arial" w:cs="Arial" w:eastAsia="Arial" w:hAnsi="Arial"/>
          <w:sz w:val="16"/>
          <w:szCs w:val="16"/>
          <w:color w:val="auto"/>
        </w:rPr>
        <w:t>of credit for the Edifice acquisition. There was no interest expense for the comparable periods in 2011. Interest income for the three and nine months ended September 30, 2012 was $6,000 and $34,000, respectively, compared to $16,000 and $74,000 for the same periods in 2011. Other expense for the three and nine months ended September 30, 2012 was $67,000 and $170,000, respectively, and $28,000 and $62,000 for the same periods in 2011. The increase in other expense was due primarily to higher franchise taxes in 2012.</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Income Tax Benefit (Expense). </w:t>
      </w:r>
      <w:r>
        <w:rPr>
          <w:rFonts w:ascii="Arial" w:cs="Arial" w:eastAsia="Arial" w:hAnsi="Arial"/>
          <w:sz w:val="16"/>
          <w:szCs w:val="16"/>
          <w:color w:val="auto"/>
        </w:rPr>
        <w:t>We recorded an income tax benefit of $124,000 for the three months ended September 30, 2012 and income tax expense of</w:t>
      </w:r>
      <w:r>
        <w:rPr>
          <w:rFonts w:ascii="Arial" w:cs="Arial" w:eastAsia="Arial" w:hAnsi="Arial"/>
          <w:sz w:val="16"/>
          <w:szCs w:val="16"/>
          <w:i w:val="1"/>
          <w:iCs w:val="1"/>
          <w:color w:val="auto"/>
        </w:rPr>
        <w:t xml:space="preserve"> </w:t>
      </w:r>
      <w:r>
        <w:rPr>
          <w:rFonts w:ascii="Arial" w:cs="Arial" w:eastAsia="Arial" w:hAnsi="Arial"/>
          <w:sz w:val="16"/>
          <w:szCs w:val="16"/>
          <w:color w:val="auto"/>
        </w:rPr>
        <w:t>$329,000 for the nine months ended September 30, 2012. Income tax expense was $81,000 and $188,000 for the three and nine months ended September 30, 2011, respectively. We record our interim provision for income taxes based on our estimated annual effective tax rate for the year. Our provisions for income taxes included current federal alternative minimum tax expense, current foreign and state income tax expense, and deferred tax expense. The decrease in income tax expense for the three months ended September 30, 2012, compared to the three months ended September 30, 2011, is primarily related to discrete net favorable tax items of $175,000, consisting of an increase in the state deferred tax rate related to the Edifice acquisition and provision to return adjustments for the year 2011. The increase in income tax expense for nine months ended September 30, 2012, compared to the nine months ended September 30, 2011, was primarily related to deferred tax expense incurred in 2012 subsequent to the reversal of substantially all of the valuation allowance on our deferred tax assets in the fourth quarter of 2011.</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Adjusted EBITDA, which is a non-GAAP measure of financial performance, consists of net income plus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expense, interest income, income tax expense (benefit) and non-cash, stock-based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Adjusted EBITDA (in thousands):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360"/>
              <w:spacing w:after="0"/>
              <w:rPr>
                <w:sz w:val="20"/>
                <w:szCs w:val="20"/>
                <w:color w:val="auto"/>
              </w:rPr>
            </w:pPr>
            <w:r>
              <w:rPr>
                <w:rFonts w:ascii="Arial" w:cs="Arial" w:eastAsia="Arial" w:hAnsi="Arial"/>
                <w:sz w:val="14"/>
                <w:szCs w:val="14"/>
                <w:color w:val="auto"/>
                <w:w w:val="87"/>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jc w:val="right"/>
              <w:ind w:right="260"/>
              <w:spacing w:after="0"/>
              <w:rPr>
                <w:sz w:val="20"/>
                <w:szCs w:val="20"/>
                <w:color w:val="auto"/>
              </w:rPr>
            </w:pPr>
            <w:r>
              <w:rPr>
                <w:rFonts w:ascii="Arial" w:cs="Arial" w:eastAsia="Arial" w:hAnsi="Arial"/>
                <w:sz w:val="14"/>
                <w:szCs w:val="14"/>
                <w:color w:val="auto"/>
                <w:w w:val="91"/>
              </w:rPr>
              <w:t>Nine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5"/>
          </w:tcPr>
          <w:p>
            <w:pPr>
              <w:jc w:val="right"/>
              <w:ind w:right="540"/>
              <w:spacing w:after="0" w:line="159" w:lineRule="exact"/>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6"/>
          </w:tcPr>
          <w:p>
            <w:pPr>
              <w:jc w:val="right"/>
              <w:ind w:right="420"/>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3"/>
              </w:rPr>
              <w:t>2012</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9"/>
              </w:rPr>
              <w:t>2011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3"/>
              </w:rPr>
              <w:t>2012</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Depreciation and amortization of property and equipment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2,117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Income tax (benefit)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1,474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4,345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2,042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2,189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1,530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6,387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stock-based compensation expense and amortization expense related to intangible assets divided by the weighted average number of shares of common stock outstanding during each period. We believe non-GAAP income per share is useful to an investor because it is widely used to measure a company’s operating performance.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non-GAAP income per share (in thousands, except per share amounts):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154"/>
              <w:spacing w:after="0"/>
              <w:rPr>
                <w:sz w:val="20"/>
                <w:szCs w:val="20"/>
                <w:color w:val="auto"/>
              </w:rPr>
            </w:pPr>
            <w:r>
              <w:rPr>
                <w:rFonts w:ascii="Arial" w:cs="Arial" w:eastAsia="Arial" w:hAnsi="Arial"/>
                <w:sz w:val="14"/>
                <w:szCs w:val="14"/>
                <w:color w:val="auto"/>
                <w:w w:val="96"/>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180"/>
              <w:spacing w:after="0"/>
              <w:rPr>
                <w:sz w:val="20"/>
                <w:szCs w:val="20"/>
                <w:color w:val="auto"/>
              </w:rPr>
            </w:pPr>
            <w:r>
              <w:rPr>
                <w:rFonts w:ascii="Arial" w:cs="Arial" w:eastAsia="Arial" w:hAnsi="Arial"/>
                <w:sz w:val="14"/>
                <w:szCs w:val="14"/>
                <w:color w:val="auto"/>
                <w:w w:val="87"/>
              </w:rPr>
              <w:t>Nine Months Ended</w:t>
            </w:r>
          </w:p>
        </w:tc>
        <w:tc>
          <w:tcPr>
            <w:tcW w:w="0" w:type="dxa"/>
            <w:vAlign w:val="bottom"/>
          </w:tcPr>
          <w:p>
            <w:pPr>
              <w:spacing w:after="0"/>
              <w:rPr>
                <w:sz w:val="1"/>
                <w:szCs w:val="1"/>
                <w:color w:val="auto"/>
              </w:rPr>
            </w:pPr>
          </w:p>
        </w:tc>
      </w:tr>
      <w:tr>
        <w:trPr>
          <w:trHeight w:val="159"/>
        </w:trPr>
        <w:tc>
          <w:tcPr>
            <w:tcW w:w="44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4"/>
          </w:tcPr>
          <w:p>
            <w:pPr>
              <w:jc w:val="right"/>
              <w:ind w:right="334"/>
              <w:spacing w:after="0" w:line="159" w:lineRule="exact"/>
              <w:rPr>
                <w:sz w:val="20"/>
                <w:szCs w:val="20"/>
                <w:color w:val="auto"/>
              </w:rPr>
            </w:pPr>
            <w:r>
              <w:rPr>
                <w:rFonts w:ascii="Arial" w:cs="Arial" w:eastAsia="Arial" w:hAnsi="Arial"/>
                <w:sz w:val="14"/>
                <w:szCs w:val="14"/>
                <w:color w:val="auto"/>
              </w:rPr>
              <w:t>September 30,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5"/>
          </w:tcPr>
          <w:p>
            <w:pPr>
              <w:jc w:val="center"/>
              <w:ind w:right="200"/>
              <w:spacing w:after="0" w:line="15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w w:val="96"/>
              </w:rPr>
              <w:t>2011</w:t>
            </w: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Stock-based compensation expense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Non-GAAP income</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60" w:type="dxa"/>
            <w:vAlign w:val="bottom"/>
            <w:vMerge w:val="continue"/>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1,419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3,948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 per share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Basic</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13,042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11,970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12,500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13,894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12,735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13,373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460" w:type="dxa"/>
            <w:vAlign w:val="bottom"/>
          </w:tcPr>
          <w:p>
            <w:pPr>
              <w:spacing w:after="0"/>
              <w:rPr>
                <w:sz w:val="20"/>
                <w:szCs w:val="20"/>
                <w:color w:val="auto"/>
              </w:rPr>
            </w:pPr>
            <w:r>
              <w:rPr>
                <w:rFonts w:ascii="Arial" w:cs="Arial" w:eastAsia="Arial" w:hAnsi="Arial"/>
                <w:sz w:val="18"/>
                <w:szCs w:val="18"/>
                <w:color w:val="auto"/>
              </w:rPr>
              <w:t>Non-GAAP income per share</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tcPr>
          <w:p>
            <w:pPr>
              <w:ind w:left="440"/>
              <w:spacing w:after="0"/>
              <w:rPr>
                <w:sz w:val="20"/>
                <w:szCs w:val="20"/>
                <w:color w:val="auto"/>
              </w:rPr>
            </w:pPr>
            <w:r>
              <w:rPr>
                <w:rFonts w:ascii="Arial" w:cs="Arial" w:eastAsia="Arial" w:hAnsi="Arial"/>
                <w:sz w:val="18"/>
                <w:szCs w:val="18"/>
                <w:color w:val="auto"/>
              </w:rPr>
              <w:t>Diluted</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0.30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4460" w:type="dxa"/>
            <w:vAlign w:val="bottom"/>
          </w:tcPr>
          <w:p>
            <w:pPr>
              <w:spacing w:after="0"/>
              <w:rPr>
                <w:sz w:val="24"/>
                <w:szCs w:val="24"/>
                <w:color w:val="auto"/>
              </w:rPr>
            </w:pPr>
          </w:p>
        </w:tc>
        <w:tc>
          <w:tcPr>
            <w:tcW w:w="2240" w:type="dxa"/>
            <w:vAlign w:val="bottom"/>
          </w:tcPr>
          <w:p>
            <w:pPr>
              <w:jc w:val="right"/>
              <w:ind w:right="127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September 30, 2012, our principal sources of liquidity were cash and cash equivalents of $69.7 million and accounts receivable, net of allowance for doubtful accounts, of $10.1 million. Our working capital at September 30, 2012 was $74.0 million compared to $36.8 million at December 31, 2011. The increase in working capital from December 31, 2011 to September 30, 2012 resulted primarily from the following:</w:t>
      </w:r>
    </w:p>
    <w:p>
      <w:pPr>
        <w:spacing w:after="0" w:line="59" w:lineRule="exact"/>
        <w:rPr>
          <w:sz w:val="20"/>
          <w:szCs w:val="20"/>
          <w:color w:val="auto"/>
        </w:rPr>
      </w:pPr>
    </w:p>
    <w:p>
      <w:pPr>
        <w:jc w:val="both"/>
        <w:ind w:left="900" w:right="26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$37.7 million increase in cash and cash equivalents, due primarily to cash received from our public offering of common stock in September 2012, cash provided by operations and cash received from the exercise of stock options, all reduced by cash used for the Edifice acquisition and capital expenditures;</w:t>
      </w:r>
    </w:p>
    <w:p>
      <w:pPr>
        <w:spacing w:after="0" w:line="59"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 million increase in net accounts receivable, due to new business for the nine months ended September 30, 2012, as well as accounts acquired from Edifice;</w:t>
      </w:r>
    </w:p>
    <w:p>
      <w:pPr>
        <w:spacing w:after="0" w:line="5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 million increase in deferred costs, current, for expenses related to increased implementation resources and commission payments for new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$633,000 increase in prepaid expenses and other current assets, primarily related to the Edifice acquisition;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$1.3 million increase in accounts payable, primarily due to timing of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$1.5 million increase in accrued compensation and benefits, due primarily to increased headcount and payroll timing;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$179,000 increase in accrued expenses and other current liabilities, primarily due to an increase in accruals for professional services;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$1.4 million increase in deferred revenue, current, due to new business for the nine months ended September 30,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Net cash provided by operating activities was $8.3 million for the nine months ended September 30, 2012 compared to $3.5 million for the same period in 2011. The increase in net income and the changes in non-cash expenses, including increased depreciation, amortization and stock-based compensation, and the changes in our working capital accounts discussed above, resulted in the overall increase in net cash provided by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cash used in investing activities was $29.1 million for the nine months ended September 30, 2012, with $26.3 million used for the acquisition of Edifice and $2.8 million used for capital expenditures. Net cash used in investing activities was $12.6 million for the nine months ended September 30, 2011, and represented $10.9 million for the acquisition of Direct EDI and $1.7 million for capital expenditures. Our capital expenditures are for supporting our business growth and existing customer base, as well as for our internal use such as equipment for our employees.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Net cash provided by financing activities was $58.6 million for the nine months ended September 30, 2012, and primarily represented $57.8 million of net proceeds from our public offering of common stock in September 2012 and $1.1 million proceeds from the exercise of stock options. Net cash provided by financing activities was $108,000 for the nine months ended September 30, 2011, representing proceeds from the exercise of stock options substantially offset by repayments of capital lease obligations and payment of offering costs related to the issuance of common stock.</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On September 30, 2011, we entered into a revolving credit agreement with JPMorgan Chase Bank, N.A. The revolving credit agreement provides for a $20 million revolving credit facility that we may draw upon from time to time, subject to certain terms and conditions, and will mature on September 30, 2016. Proceeds from the credit facility are anticipated to be used for acquisitions and our capital needs.</w:t>
      </w:r>
    </w:p>
    <w:p>
      <w:pPr>
        <w:spacing w:after="0" w:line="10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connection with the acquisition of Edifice, we borrowed $11.0 million under our line of credit to fund a portion of the cash paid for the acquisition. On September 11, 2012, this debt was repaid in full with a portion of the proceeds received from the public offering of our common stock on that date.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were no borrowings outstanding at September 30, 2012 and we were in compliance with all covenants under the revolving credit agreement as of that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Our future capital requirements may vary significantly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and internationally, the response of competitors to our solutions and applications and our use of capital for acquisitions, if any. Historically, we have experienced increases in our expenditures consistent with the growth in our operations and personnel, and we anticipate that our expenditures will increase as we continue to grow our business.</w:t>
      </w:r>
    </w:p>
    <w:p>
      <w:pPr>
        <w:spacing w:after="0" w:line="1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believe our cash and cash equivalents and cash flows from our operations will be sufficient to meet our working capital and capital expenditure requirements for at least the next twelve months.</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Inflation and changing prices did not have a material effect on our business during the nine months ended September 30, 2012. We do not expect that inflation or changing prices will materially affect our business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fixed rate debt, interest rate changes affect the fair value of financial instruments but do not impact earnings or cash flows. Conversely, for floating rate debt, interest rate changes generally do not affect the fair market value but do impact future earnings and cash flows, assuming other factors are held constant. The principal objectives of our investment activities are to preserve principal, provide liquidity and maximize income consistent with minimizing risk of material loss. The recorded carrying amounts of cash and cash equivalents approximate fair value due to their short maturities. We did not have any outstanding debt as of September 30, 2012. We therefore do not have any material risk to interest rate fluctuations unless we borrow under our credit facility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and cash flows are not materially affected by fluctuations in foreign currency exchange rates.</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not effective as of September 30, 2012 solely because we identified a material weakness in internal control over financial reporting related to modifications of contract information in our recently implemented Enterprise Resource Planning (“ERP”) system upgrade. We determined that the possibility exists for the contract billing masterfile to be modified in our ERP system without independent review.</w:t>
      </w:r>
    </w:p>
    <w:p>
      <w:pPr>
        <w:spacing w:after="0" w:line="12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light of the material weakness described above, additional procedures were performed by our management to ensure that the condensed consolidated financial statements included in this Quarterly Report on Form 10-Q were prepared in accordance with U.S. generally accepted accounting principles. No errors or adjustments were identified during our normal financial statement closing process or through those additional procedures.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order to remediate this material weakness, we immediately undertook steps to ensure that contract billing masterfile modifications outside of our normal business processes are properly reviewed and approved, including creating a system-generated change log that our management reviews and then can approve these contract modifications. While we expect these steps to remediate this material weakness, the impact of our remediation efforts will not be fully known until our assessment of internal control over financial reporting as of December 31, 2012, which will be audited as required.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2012 that have materially affected, or are reasonably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are not currently subject to any material legal proceedings. From time to time, however, we may be engaged in legal actions arising from our normal business activities. Any such actions, even those that lack merit, could result in the expenditure of significant financial and managerial resources.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2011 as filed with the Securities and Exchange Commission on March 9, 2012.</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August 6, 2012, we entered into an asset purchase agreement with Edifice Information Management Systems, Inc. (“Edifice”) and the parties completed the asset purchase on August 7, 2012. Pursuant to the asset purchase agreement, on August 7, 2012, we issued an aggregate of 347,852 shares of our common stock to Edifice in an unregistered transaction. We did so in reliance upon the exemption contained in Section 4(2) of the Securities Act of 1933, as amended, as a transaction not involving a public offering, and Rule 506 promulgated thereunder, in view of the absence of a general solicitation, the limited number of offerees and purchasers, and the representations and agreements of Edifice in the asset purchase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September 11, 2012, we completed an underwritten public offering of 1,840,000 shares of common stock with a price to the public of $33.50 per share. The number of shares we sold in the offering included the underwriters’ full exercise of their over-allotment option of 240,000 shares. The underwriters for the offering were Stifel Nicolaus Weisel, William Blair, JMP Securities, Needham &amp; Company, Canaccord Genuity, Craig-Hallum Capital Group and Northland Capital Markets. Northland Capital Markets is the trade name for certain capital markets and investment banking services of Northland Securities, Inc., member FINRA/SIPC.</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shares were offered and sold pursuant to a prospectus supplement dated September 6, 2012 and an accompanying base prospectus dated June 26, 2012, pursuant to our existing shelf registration statement on Form S-3 (File No. 333-182097) that was declared effective by the Securities and Exchange Commission on June 26, 2012.</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aggregate sale price for all of the shares sold by us was approximately $61.6 million, resulting in net proceeds to us of approximately $57.8 million after payment of underwriting discounts and commissions and legal, accounting and other fees incurred in connection with the offering.</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September 11, 2012, we used approximately $11.0 million of the net proceeds received from this offering to repay in full the borrowings outstanding on our line of credit. The remaining net proceeds were deposited into our checking and money market bank accounts. We expect to use the remaining net proceeds to fund working capital and for general corporate purposes, which may include the expansion of our content and service offerings and potential acquisitions of businesses, products and technologies. The amounts we actually spend for these purposes may vary significantly and will depend on a number of factors. Accordingly, our management will retain broad discretion in the allocation of the net proceeds from this offering.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jc w:val="center"/>
        <w:ind w:left="700"/>
        <w:spacing w:after="0" w:line="440" w:lineRule="auto"/>
        <w:rPr>
          <w:sz w:val="20"/>
          <w:szCs w:val="20"/>
          <w:color w:val="auto"/>
        </w:rPr>
      </w:pPr>
      <w:r>
        <w:rPr>
          <w:rFonts w:ascii="Arial" w:cs="Arial" w:eastAsia="Arial" w:hAnsi="Arial"/>
          <w:sz w:val="18"/>
          <w:szCs w:val="18"/>
          <w:color w:val="auto"/>
        </w:rPr>
        <w:t>The exhibits filed as part of this Quarterly Report on Form 10-Q are listed in the Exhibit Index immediately following the signatures to this report. 23</w:t>
      </w:r>
    </w:p>
    <w:p>
      <w:pPr>
        <w:sectPr>
          <w:pgSz w:w="11900" w:h="16838" w:orient="portrait"/>
          <w:cols w:equalWidth="0" w:num="1">
            <w:col w:w="10760"/>
          </w:cols>
          <w:pgMar w:left="240" w:top="459" w:right="8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Dated: November 7, 2012</w:t>
      </w:r>
      <w:r>
        <w:rPr>
          <w:sz w:val="20"/>
          <w:szCs w:val="20"/>
          <w:color w:val="auto"/>
        </w:rPr>
        <w:tab/>
      </w:r>
      <w:r>
        <w:rPr>
          <w:rFonts w:ascii="Arial" w:cs="Arial" w:eastAsia="Arial" w:hAnsi="Arial"/>
          <w:sz w:val="16"/>
          <w:szCs w:val="16"/>
          <w:b w:val="1"/>
          <w:bCs w:val="1"/>
          <w:color w:val="auto"/>
        </w:rPr>
        <w:t>SPS COMMERCE,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240" w:top="459" w:right="7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6040" w:type="dxa"/>
            <w:vAlign w:val="bottom"/>
            <w:gridSpan w:val="2"/>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42"/>
        </w:trPr>
        <w:tc>
          <w:tcPr>
            <w:tcW w:w="440" w:type="dxa"/>
            <w:vAlign w:val="bottom"/>
          </w:tcPr>
          <w:p>
            <w:pPr>
              <w:ind w:left="20"/>
              <w:spacing w:after="0"/>
              <w:rPr>
                <w:sz w:val="20"/>
                <w:szCs w:val="20"/>
                <w:color w:val="auto"/>
              </w:rPr>
            </w:pPr>
            <w:r>
              <w:rPr>
                <w:rFonts w:ascii="Arial" w:cs="Arial" w:eastAsia="Arial" w:hAnsi="Arial"/>
                <w:sz w:val="14"/>
                <w:szCs w:val="14"/>
                <w:i w:val="1"/>
                <w:iCs w:val="1"/>
                <w:color w:val="auto"/>
                <w:w w:val="95"/>
              </w:rPr>
              <w:t>Exhibit</w:t>
            </w:r>
          </w:p>
        </w:tc>
        <w:tc>
          <w:tcPr>
            <w:tcW w:w="5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i w:val="1"/>
                <w:iCs w:val="1"/>
                <w:color w:val="auto"/>
                <w:w w:val="84"/>
              </w:rPr>
              <w:t>Number</w:t>
            </w:r>
          </w:p>
        </w:tc>
        <w:tc>
          <w:tcPr>
            <w:tcW w:w="5380" w:type="dxa"/>
            <w:vAlign w:val="bottom"/>
          </w:tcPr>
          <w:p>
            <w:pPr>
              <w:spacing w:after="0"/>
              <w:rPr>
                <w:sz w:val="14"/>
                <w:szCs w:val="14"/>
                <w:color w:val="auto"/>
              </w:rPr>
            </w:pPr>
          </w:p>
        </w:tc>
        <w:tc>
          <w:tcPr>
            <w:tcW w:w="66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i w:val="1"/>
                <w:iCs w:val="1"/>
                <w:color w:val="auto"/>
                <w:w w:val="88"/>
              </w:rPr>
              <w:t>Description</w:t>
            </w:r>
          </w:p>
        </w:tc>
      </w:tr>
    </w:tbl>
    <w:p>
      <w:pPr>
        <w:spacing w:after="0" w:line="100" w:lineRule="exact"/>
        <w:rPr>
          <w:sz w:val="20"/>
          <w:szCs w:val="20"/>
          <w:color w:val="auto"/>
        </w:rPr>
      </w:pPr>
    </w:p>
    <w:p>
      <w:pPr>
        <w:jc w:val="right"/>
        <w:ind w:right="60"/>
        <w:spacing w:after="0"/>
        <w:tabs>
          <w:tab w:leader="none" w:pos="10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Asset Purchase Agreement, dated as of August 6, 2012, by and between Edifice Information Management Systems, Inc. and SPS Commerce, Inc.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(incorporated by reference to Exhibit 2.1 to our Current Report on Form 8-K filed with the Commission on August 7, 2012 (File No. 001-34702)).</w:t>
      </w:r>
    </w:p>
    <w:p>
      <w:pPr>
        <w:spacing w:after="0" w:line="134"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Rules 13a-14(a) under the Securities Exchange Act of 1934, as amended (filed herewith).</w:t>
      </w:r>
    </w:p>
    <w:p>
      <w:pPr>
        <w:spacing w:after="0" w:line="117"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Rules 13a-14(a) under the Securities Exchange Act of 1934, as amended (filed herewith).</w:t>
      </w:r>
    </w:p>
    <w:p>
      <w:pPr>
        <w:spacing w:after="0" w:line="117" w:lineRule="exact"/>
        <w:rPr>
          <w:sz w:val="20"/>
          <w:szCs w:val="20"/>
          <w:color w:val="auto"/>
        </w:rPr>
      </w:pPr>
    </w:p>
    <w:p>
      <w:pPr>
        <w:ind w:left="920" w:right="220" w:hanging="830"/>
        <w:spacing w:after="0" w:line="268"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and Chief Financial Officer pursuant to 18 U.S.C. Sec. 1350, as adopted pursuant to Section 906 of the Sarbanes-Oxley Act of 2002 (filed herewith).</w:t>
      </w:r>
    </w:p>
    <w:p>
      <w:pPr>
        <w:spacing w:after="0" w:line="78" w:lineRule="exact"/>
        <w:rPr>
          <w:sz w:val="20"/>
          <w:szCs w:val="20"/>
          <w:color w:val="auto"/>
        </w:rPr>
      </w:pPr>
    </w:p>
    <w:p>
      <w:pPr>
        <w:ind w:left="5620" w:right="4760" w:hanging="5612"/>
        <w:spacing w:after="0" w:line="525" w:lineRule="auto"/>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(filed herewith). 25</w:t>
      </w:r>
    </w:p>
    <w:p>
      <w:pPr>
        <w:sectPr>
          <w:pgSz w:w="11900" w:h="16838" w:orient="portrait"/>
          <w:cols w:equalWidth="0" w:num="1">
            <w:col w:w="11220"/>
          </w:cols>
          <w:pgMar w:left="240" w:top="459" w:right="4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80" w:hanging="440"/>
        <w:spacing w:after="0" w:line="306" w:lineRule="auto"/>
        <w:tabs>
          <w:tab w:leader="none" w:pos="1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1920" w:right="40" w:hanging="440"/>
        <w:spacing w:after="0" w:line="259" w:lineRule="auto"/>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1920" w:right="260" w:hanging="440"/>
        <w:spacing w:after="0" w:line="306" w:lineRule="auto"/>
        <w:tabs>
          <w:tab w:leader="none" w:pos="1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14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460" w:hanging="440"/>
        <w:spacing w:after="0" w:line="268" w:lineRule="auto"/>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7, 2012</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2400" w:firstLine="2391"/>
        <w:spacing w:after="0" w:line="394" w:lineRule="auto"/>
        <w:rPr>
          <w:sz w:val="20"/>
          <w:szCs w:val="20"/>
          <w:color w:val="auto"/>
        </w:rPr>
      </w:pPr>
      <w:r>
        <w:rPr>
          <w:rFonts w:ascii="Arial" w:cs="Arial" w:eastAsia="Arial" w:hAnsi="Arial"/>
          <w:sz w:val="18"/>
          <w:szCs w:val="18"/>
          <w:b w:val="1"/>
          <w:bCs w:val="1"/>
          <w:color w:val="auto"/>
        </w:rPr>
        <w:t xml:space="preserve">CERTIFICATION PURSUANT TO SECTION 302 OF THE SARBANES-OXLEY ACT </w:t>
      </w:r>
      <w:r>
        <w:rPr>
          <w:rFonts w:ascii="Arial" w:cs="Arial" w:eastAsia="Arial" w:hAnsi="Arial"/>
          <w:sz w:val="18"/>
          <w:szCs w:val="18"/>
          <w:color w:val="auto"/>
        </w:rPr>
        <w:t>I, Kimberly K. Nelson, certify that:</w:t>
      </w:r>
    </w:p>
    <w:p>
      <w:pPr>
        <w:spacing w:after="0" w:line="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80" w:hanging="440"/>
        <w:spacing w:after="0" w:line="306"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1920" w:right="40" w:hanging="440"/>
        <w:spacing w:after="0" w:line="259"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1920" w:right="260" w:hanging="440"/>
        <w:spacing w:after="0" w:line="306"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140" w:hanging="446"/>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460" w:hanging="440"/>
        <w:spacing w:after="0" w:line="268"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7, 2012</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September 30, 2012,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November 7,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0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2019-12-09T14:20:58Z</dcterms:created>
  <dcterms:modified xsi:type="dcterms:W3CDTF">2019-12-09T14:20:58Z</dcterms:modified>
</cp:coreProperties>
</file>