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December 31, 2021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9" w:lineRule="exact"/>
        <w:rPr>
          <w:sz w:val="24"/>
          <w:szCs w:val="24"/>
          <w:color w:val="auto"/>
        </w:rPr>
      </w:pPr>
    </w:p>
    <w:p>
      <w:pPr>
        <w:ind w:left="4440"/>
        <w:spacing w:after="0"/>
        <w:tabs>
          <w:tab w:leader="none" w:pos="64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-635</wp:posOffset>
            </wp:positionV>
            <wp:extent cx="128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-635</wp:posOffset>
            </wp:positionV>
            <wp:extent cx="128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7"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Commission file number 001-34702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73660</wp:posOffset>
            </wp:positionV>
            <wp:extent cx="57467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3720" w:type="dxa"/>
            <w:vAlign w:val="bottom"/>
          </w:tcPr>
          <w:p>
            <w:pPr>
              <w:spacing w:after="0"/>
              <w:rPr>
                <w:sz w:val="13"/>
                <w:szCs w:val="13"/>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4"/>
              </w:rPr>
              <w:t>(Exact Name of Registrant as Specified in its Charter)</w:t>
            </w:r>
          </w:p>
        </w:tc>
        <w:tc>
          <w:tcPr>
            <w:tcW w:w="3740" w:type="dxa"/>
            <w:vAlign w:val="bottom"/>
          </w:tcPr>
          <w:p>
            <w:pPr>
              <w:spacing w:after="0"/>
              <w:rPr>
                <w:sz w:val="13"/>
                <w:szCs w:val="13"/>
                <w:color w:val="auto"/>
              </w:rPr>
            </w:pPr>
          </w:p>
        </w:tc>
      </w:tr>
      <w:tr>
        <w:trPr>
          <w:trHeight w:val="191"/>
        </w:trPr>
        <w:tc>
          <w:tcPr>
            <w:tcW w:w="3720" w:type="dxa"/>
            <w:vAlign w:val="bottom"/>
          </w:tcPr>
          <w:p>
            <w:pPr>
              <w:jc w:val="center"/>
              <w:ind w:left="1734"/>
              <w:spacing w:after="0"/>
              <w:rPr>
                <w:sz w:val="20"/>
                <w:szCs w:val="20"/>
                <w:color w:val="auto"/>
              </w:rPr>
            </w:pPr>
            <w:r>
              <w:rPr>
                <w:rFonts w:ascii="Arial" w:cs="Arial" w:eastAsia="Arial" w:hAnsi="Arial"/>
                <w:sz w:val="13"/>
                <w:szCs w:val="13"/>
                <w:b w:val="1"/>
                <w:bCs w:val="1"/>
                <w:color w:val="auto"/>
                <w:w w:val="98"/>
              </w:rPr>
              <w:t>Delaware</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40" w:type="dxa"/>
            <w:vAlign w:val="bottom"/>
          </w:tcPr>
          <w:p>
            <w:pPr>
              <w:jc w:val="center"/>
              <w:ind w:right="1654"/>
              <w:spacing w:after="0"/>
              <w:rPr>
                <w:sz w:val="20"/>
                <w:szCs w:val="20"/>
                <w:color w:val="auto"/>
              </w:rPr>
            </w:pPr>
            <w:r>
              <w:rPr>
                <w:rFonts w:ascii="Arial" w:cs="Arial" w:eastAsia="Arial" w:hAnsi="Arial"/>
                <w:sz w:val="13"/>
                <w:szCs w:val="13"/>
                <w:b w:val="1"/>
                <w:bCs w:val="1"/>
                <w:color w:val="auto"/>
                <w:w w:val="95"/>
              </w:rPr>
              <w:t>41-2015127</w:t>
            </w:r>
          </w:p>
        </w:tc>
      </w:tr>
      <w:tr>
        <w:trPr>
          <w:trHeight w:val="135"/>
        </w:trPr>
        <w:tc>
          <w:tcPr>
            <w:tcW w:w="3720" w:type="dxa"/>
            <w:vAlign w:val="bottom"/>
          </w:tcPr>
          <w:p>
            <w:pPr>
              <w:jc w:val="center"/>
              <w:ind w:left="1734"/>
              <w:spacing w:after="0" w:line="135" w:lineRule="exact"/>
              <w:rPr>
                <w:sz w:val="20"/>
                <w:szCs w:val="20"/>
                <w:color w:val="auto"/>
              </w:rPr>
            </w:pPr>
            <w:r>
              <w:rPr>
                <w:rFonts w:ascii="Arial" w:cs="Arial" w:eastAsia="Arial" w:hAnsi="Arial"/>
                <w:sz w:val="13"/>
                <w:szCs w:val="13"/>
                <w:b w:val="1"/>
                <w:bCs w:val="1"/>
                <w:i w:val="1"/>
                <w:iCs w:val="1"/>
                <w:color w:val="auto"/>
                <w:w w:val="84"/>
              </w:rPr>
              <w:t>(State or Other Jurisdiction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40" w:type="dxa"/>
            <w:vAlign w:val="bottom"/>
          </w:tcPr>
          <w:p>
            <w:pPr>
              <w:jc w:val="center"/>
              <w:ind w:right="1634"/>
              <w:spacing w:after="0" w:line="135" w:lineRule="exact"/>
              <w:rPr>
                <w:sz w:val="20"/>
                <w:szCs w:val="20"/>
                <w:color w:val="auto"/>
              </w:rPr>
            </w:pPr>
            <w:r>
              <w:rPr>
                <w:rFonts w:ascii="Arial" w:cs="Arial" w:eastAsia="Arial" w:hAnsi="Arial"/>
                <w:sz w:val="13"/>
                <w:szCs w:val="13"/>
                <w:b w:val="1"/>
                <w:bCs w:val="1"/>
                <w:i w:val="1"/>
                <w:iCs w:val="1"/>
                <w:color w:val="auto"/>
                <w:w w:val="88"/>
              </w:rPr>
              <w:t>(I.R.S. Employer</w:t>
            </w:r>
          </w:p>
        </w:tc>
      </w:tr>
      <w:tr>
        <w:trPr>
          <w:trHeight w:val="160"/>
        </w:trPr>
        <w:tc>
          <w:tcPr>
            <w:tcW w:w="3720" w:type="dxa"/>
            <w:vAlign w:val="bottom"/>
          </w:tcPr>
          <w:p>
            <w:pPr>
              <w:jc w:val="center"/>
              <w:ind w:left="1734"/>
              <w:spacing w:after="0"/>
              <w:rPr>
                <w:sz w:val="20"/>
                <w:szCs w:val="20"/>
                <w:color w:val="auto"/>
              </w:rPr>
            </w:pPr>
            <w:r>
              <w:rPr>
                <w:rFonts w:ascii="Arial" w:cs="Arial" w:eastAsia="Arial" w:hAnsi="Arial"/>
                <w:sz w:val="13"/>
                <w:szCs w:val="13"/>
                <w:b w:val="1"/>
                <w:bCs w:val="1"/>
                <w:i w:val="1"/>
                <w:iCs w:val="1"/>
                <w:color w:val="auto"/>
                <w:w w:val="87"/>
              </w:rPr>
              <w:t>Incorporation or Organization)</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40" w:type="dxa"/>
            <w:vAlign w:val="bottom"/>
          </w:tcPr>
          <w:p>
            <w:pPr>
              <w:jc w:val="center"/>
              <w:ind w:right="1634"/>
              <w:spacing w:after="0"/>
              <w:rPr>
                <w:sz w:val="20"/>
                <w:szCs w:val="20"/>
                <w:color w:val="auto"/>
              </w:rPr>
            </w:pPr>
            <w:r>
              <w:rPr>
                <w:rFonts w:ascii="Arial" w:cs="Arial" w:eastAsia="Arial" w:hAnsi="Arial"/>
                <w:sz w:val="13"/>
                <w:szCs w:val="13"/>
                <w:b w:val="1"/>
                <w:bCs w:val="1"/>
                <w:i w:val="1"/>
                <w:iCs w:val="1"/>
                <w:color w:val="auto"/>
                <w:w w:val="87"/>
              </w:rPr>
              <w:t>Identification No.)</w:t>
            </w:r>
          </w:p>
        </w:tc>
      </w:tr>
      <w:tr>
        <w:trPr>
          <w:trHeight w:val="191"/>
        </w:trPr>
        <w:tc>
          <w:tcPr>
            <w:tcW w:w="3720" w:type="dxa"/>
            <w:vAlign w:val="bottom"/>
          </w:tcPr>
          <w:p>
            <w:pPr>
              <w:spacing w:after="0"/>
              <w:rPr>
                <w:sz w:val="16"/>
                <w:szCs w:val="16"/>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333 South Seventh Street, Suite 1000, Minneapolis, MN 55402</w:t>
            </w:r>
          </w:p>
        </w:tc>
        <w:tc>
          <w:tcPr>
            <w:tcW w:w="3740" w:type="dxa"/>
            <w:vAlign w:val="bottom"/>
          </w:tcPr>
          <w:p>
            <w:pPr>
              <w:spacing w:after="0"/>
              <w:rPr>
                <w:sz w:val="16"/>
                <w:szCs w:val="16"/>
                <w:color w:val="auto"/>
              </w:rPr>
            </w:pPr>
          </w:p>
        </w:tc>
      </w:tr>
      <w:tr>
        <w:trPr>
          <w:trHeight w:val="160"/>
        </w:trPr>
        <w:tc>
          <w:tcPr>
            <w:tcW w:w="3720" w:type="dxa"/>
            <w:vAlign w:val="bottom"/>
          </w:tcPr>
          <w:p>
            <w:pPr>
              <w:spacing w:after="0"/>
              <w:rPr>
                <w:sz w:val="13"/>
                <w:szCs w:val="13"/>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5"/>
              </w:rPr>
              <w:t>(Address of Principal Executive Offices, Including Zip Code)</w:t>
            </w:r>
          </w:p>
        </w:tc>
        <w:tc>
          <w:tcPr>
            <w:tcW w:w="3740" w:type="dxa"/>
            <w:vAlign w:val="bottom"/>
          </w:tcPr>
          <w:p>
            <w:pPr>
              <w:spacing w:after="0"/>
              <w:rPr>
                <w:sz w:val="13"/>
                <w:szCs w:val="13"/>
                <w:color w:val="auto"/>
              </w:rPr>
            </w:pPr>
          </w:p>
        </w:tc>
      </w:tr>
      <w:tr>
        <w:trPr>
          <w:trHeight w:val="204"/>
        </w:trPr>
        <w:tc>
          <w:tcPr>
            <w:tcW w:w="3720" w:type="dxa"/>
            <w:vAlign w:val="bottom"/>
          </w:tcPr>
          <w:p>
            <w:pPr>
              <w:spacing w:after="0"/>
              <w:rPr>
                <w:sz w:val="17"/>
                <w:szCs w:val="17"/>
                <w:color w:val="auto"/>
              </w:rPr>
            </w:pPr>
          </w:p>
        </w:tc>
        <w:tc>
          <w:tcPr>
            <w:tcW w:w="3120" w:type="dxa"/>
            <w:vAlign w:val="bottom"/>
            <w:gridSpan w:val="3"/>
          </w:tcPr>
          <w:p>
            <w:pPr>
              <w:jc w:val="center"/>
              <w:ind w:left="614"/>
              <w:spacing w:after="0"/>
              <w:rPr>
                <w:sz w:val="20"/>
                <w:szCs w:val="20"/>
                <w:color w:val="auto"/>
              </w:rPr>
            </w:pPr>
            <w:r>
              <w:rPr>
                <w:rFonts w:ascii="Arial" w:cs="Arial" w:eastAsia="Arial" w:hAnsi="Arial"/>
                <w:sz w:val="13"/>
                <w:szCs w:val="13"/>
                <w:b w:val="1"/>
                <w:bCs w:val="1"/>
                <w:color w:val="auto"/>
                <w:w w:val="94"/>
              </w:rPr>
              <w:t>(612) 435-9400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60"/>
        </w:trPr>
        <w:tc>
          <w:tcPr>
            <w:tcW w:w="3720" w:type="dxa"/>
            <w:vAlign w:val="bottom"/>
          </w:tcPr>
          <w:p>
            <w:pPr>
              <w:spacing w:after="0"/>
              <w:rPr>
                <w:sz w:val="13"/>
                <w:szCs w:val="13"/>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4"/>
              </w:rPr>
              <w:t>(Registrant’s Telephone Number, Including Area Code)</w:t>
            </w:r>
          </w:p>
        </w:tc>
        <w:tc>
          <w:tcPr>
            <w:tcW w:w="3740" w:type="dxa"/>
            <w:vAlign w:val="bottom"/>
          </w:tcPr>
          <w:p>
            <w:pPr>
              <w:spacing w:after="0"/>
              <w:rPr>
                <w:sz w:val="13"/>
                <w:szCs w:val="13"/>
                <w:color w:val="auto"/>
              </w:rPr>
            </w:pPr>
          </w:p>
        </w:tc>
      </w:tr>
      <w:tr>
        <w:trPr>
          <w:trHeight w:val="218"/>
        </w:trPr>
        <w:tc>
          <w:tcPr>
            <w:tcW w:w="3720" w:type="dxa"/>
            <w:vAlign w:val="bottom"/>
          </w:tcPr>
          <w:p>
            <w:pPr>
              <w:spacing w:after="0"/>
              <w:rPr>
                <w:sz w:val="18"/>
                <w:szCs w:val="18"/>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3740" w:type="dxa"/>
            <w:vAlign w:val="bottom"/>
          </w:tcPr>
          <w:p>
            <w:pPr>
              <w:spacing w:after="0"/>
              <w:rPr>
                <w:sz w:val="18"/>
                <w:szCs w:val="18"/>
                <w:color w:val="auto"/>
              </w:rPr>
            </w:pPr>
          </w:p>
        </w:tc>
      </w:tr>
      <w:tr>
        <w:trPr>
          <w:trHeight w:val="189"/>
        </w:trPr>
        <w:tc>
          <w:tcPr>
            <w:tcW w:w="3720" w:type="dxa"/>
            <w:vAlign w:val="bottom"/>
          </w:tcPr>
          <w:p>
            <w:pPr>
              <w:jc w:val="center"/>
              <w:ind w:left="714"/>
              <w:spacing w:after="0"/>
              <w:rPr>
                <w:sz w:val="20"/>
                <w:szCs w:val="20"/>
                <w:color w:val="auto"/>
              </w:rPr>
            </w:pPr>
            <w:r>
              <w:rPr>
                <w:rFonts w:ascii="Arial" w:cs="Arial" w:eastAsia="Arial" w:hAnsi="Arial"/>
                <w:sz w:val="13"/>
                <w:szCs w:val="13"/>
                <w:b w:val="1"/>
                <w:bCs w:val="1"/>
                <w:color w:val="auto"/>
                <w:w w:val="91"/>
              </w:rPr>
              <w:t>Title of each class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3"/>
              </w:rPr>
              <w:t>Trading Symbol</w:t>
            </w:r>
          </w:p>
        </w:tc>
        <w:tc>
          <w:tcPr>
            <w:tcW w:w="3740" w:type="dxa"/>
            <w:vAlign w:val="bottom"/>
          </w:tcPr>
          <w:p>
            <w:pPr>
              <w:jc w:val="center"/>
              <w:ind w:right="474"/>
              <w:spacing w:after="0"/>
              <w:rPr>
                <w:sz w:val="20"/>
                <w:szCs w:val="20"/>
                <w:color w:val="auto"/>
              </w:rPr>
            </w:pPr>
            <w:r>
              <w:rPr>
                <w:rFonts w:ascii="Arial" w:cs="Arial" w:eastAsia="Arial" w:hAnsi="Arial"/>
                <w:sz w:val="13"/>
                <w:szCs w:val="13"/>
                <w:b w:val="1"/>
                <w:bCs w:val="1"/>
                <w:color w:val="auto"/>
                <w:w w:val="91"/>
              </w:rPr>
              <w:t>Name of exchange on which registered</w:t>
            </w:r>
          </w:p>
        </w:tc>
      </w:tr>
      <w:tr>
        <w:trPr>
          <w:trHeight w:val="166"/>
        </w:trPr>
        <w:tc>
          <w:tcPr>
            <w:tcW w:w="3720" w:type="dxa"/>
            <w:vAlign w:val="bottom"/>
            <w:tcBorders>
              <w:top w:val="single" w:sz="8" w:color="auto"/>
            </w:tcBorders>
          </w:tcPr>
          <w:p>
            <w:pPr>
              <w:jc w:val="center"/>
              <w:ind w:left="714"/>
              <w:spacing w:after="0"/>
              <w:rPr>
                <w:sz w:val="20"/>
                <w:szCs w:val="20"/>
                <w:color w:val="auto"/>
              </w:rPr>
            </w:pPr>
            <w:r>
              <w:rPr>
                <w:rFonts w:ascii="Arial" w:cs="Arial" w:eastAsia="Arial" w:hAnsi="Arial"/>
                <w:sz w:val="13"/>
                <w:szCs w:val="13"/>
                <w:color w:val="auto"/>
                <w:w w:val="93"/>
              </w:rPr>
              <w:t>Common Stock, par value $0.001 per share</w:t>
            </w: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SPSC</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740" w:type="dxa"/>
            <w:vAlign w:val="bottom"/>
            <w:tcBorders>
              <w:top w:val="single" w:sz="8" w:color="auto"/>
            </w:tcBorders>
          </w:tcPr>
          <w:p>
            <w:pPr>
              <w:jc w:val="center"/>
              <w:ind w:right="474"/>
              <w:spacing w:after="0"/>
              <w:rPr>
                <w:sz w:val="20"/>
                <w:szCs w:val="20"/>
                <w:color w:val="auto"/>
              </w:rPr>
            </w:pPr>
            <w:r>
              <w:rPr>
                <w:rFonts w:ascii="Arial" w:cs="Arial" w:eastAsia="Arial" w:hAnsi="Arial"/>
                <w:sz w:val="13"/>
                <w:szCs w:val="13"/>
                <w:color w:val="auto"/>
                <w:w w:val="95"/>
              </w:rPr>
              <w:t>The Nasdaq Stock Market LLC (Nasdaq Global Market)</w:t>
            </w:r>
          </w:p>
        </w:tc>
      </w:tr>
      <w:tr>
        <w:trPr>
          <w:trHeight w:val="181"/>
        </w:trPr>
        <w:tc>
          <w:tcPr>
            <w:tcW w:w="3720" w:type="dxa"/>
            <w:vAlign w:val="bottom"/>
          </w:tcPr>
          <w:p>
            <w:pPr>
              <w:spacing w:after="0"/>
              <w:rPr>
                <w:sz w:val="15"/>
                <w:szCs w:val="15"/>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Securities registered pursuant to Section 12(g) of the Act:</w:t>
            </w:r>
          </w:p>
        </w:tc>
        <w:tc>
          <w:tcPr>
            <w:tcW w:w="3740" w:type="dxa"/>
            <w:vAlign w:val="bottom"/>
          </w:tcPr>
          <w:p>
            <w:pPr>
              <w:spacing w:after="0"/>
              <w:rPr>
                <w:sz w:val="15"/>
                <w:szCs w:val="15"/>
                <w:color w:val="auto"/>
              </w:rPr>
            </w:pPr>
          </w:p>
        </w:tc>
      </w:tr>
      <w:tr>
        <w:trPr>
          <w:trHeight w:val="172"/>
        </w:trPr>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3"/>
          </w:tcPr>
          <w:p>
            <w:pPr>
              <w:jc w:val="center"/>
              <w:ind w:right="820"/>
              <w:spacing w:after="0"/>
              <w:rPr>
                <w:sz w:val="20"/>
                <w:szCs w:val="20"/>
                <w:color w:val="auto"/>
              </w:rPr>
            </w:pPr>
            <w:r>
              <w:rPr>
                <w:rFonts w:ascii="Arial" w:cs="Arial" w:eastAsia="Arial" w:hAnsi="Arial"/>
                <w:sz w:val="13"/>
                <w:szCs w:val="13"/>
                <w:color w:val="auto"/>
                <w:w w:val="96"/>
              </w:rPr>
              <w:t>None</w:t>
            </w:r>
          </w:p>
        </w:tc>
        <w:tc>
          <w:tcPr>
            <w:tcW w:w="3740" w:type="dxa"/>
            <w:vAlign w:val="bottom"/>
          </w:tcPr>
          <w:p>
            <w:pPr>
              <w:spacing w:after="0"/>
              <w:rPr>
                <w:sz w:val="14"/>
                <w:szCs w:val="14"/>
                <w:color w:val="auto"/>
              </w:rPr>
            </w:pPr>
          </w:p>
        </w:tc>
      </w:tr>
    </w:tbl>
    <w:p>
      <w:pPr>
        <w:spacing w:after="0" w:line="32" w:lineRule="exact"/>
        <w:rPr>
          <w:sz w:val="24"/>
          <w:szCs w:val="24"/>
          <w:color w:val="auto"/>
        </w:rPr>
      </w:pPr>
    </w:p>
    <w:p>
      <w:pPr>
        <w:ind w:right="4100"/>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right="18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3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60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2" w:lineRule="exact"/>
        <w:rPr>
          <w:sz w:val="24"/>
          <w:szCs w:val="24"/>
          <w:color w:val="auto"/>
        </w:rPr>
      </w:pPr>
    </w:p>
    <w:p>
      <w:pPr>
        <w:ind w:right="120"/>
        <w:spacing w:after="0" w:line="274"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the aggregate market value of shares of the registrant’s common stock held by non-affiliates of the registrant (based upon the closing sale price of $99.85 per share on the Nasdaq Global Market on such date) was approximately $3.6 billion.</w:t>
      </w:r>
    </w:p>
    <w:p>
      <w:pPr>
        <w:spacing w:after="0" w:line="3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registrant’s common stock, par value $0.001 per share, outstanding as of February 11, 2022 was 36,005,013 shares.</w:t>
      </w:r>
    </w:p>
    <w:p>
      <w:pPr>
        <w:spacing w:after="0" w:line="67"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DOCUMENTS INCORPORATED BY REFERENCE</w:t>
      </w:r>
    </w:p>
    <w:p>
      <w:pPr>
        <w:spacing w:after="0" w:line="67" w:lineRule="exact"/>
        <w:rPr>
          <w:sz w:val="24"/>
          <w:szCs w:val="24"/>
          <w:color w:val="auto"/>
        </w:rPr>
      </w:pPr>
    </w:p>
    <w:p>
      <w:pPr>
        <w:ind w:right="160"/>
        <w:spacing w:after="0" w:line="274" w:lineRule="auto"/>
        <w:rPr>
          <w:sz w:val="20"/>
          <w:szCs w:val="20"/>
          <w:color w:val="auto"/>
        </w:rPr>
      </w:pPr>
      <w:r>
        <w:rPr>
          <w:rFonts w:ascii="Arial" w:cs="Arial" w:eastAsia="Arial" w:hAnsi="Arial"/>
          <w:sz w:val="13"/>
          <w:szCs w:val="13"/>
          <w:color w:val="auto"/>
        </w:rPr>
        <w:t>Portions of the Company’s definitive Proxy Statement for the Annual Meeting of Stockholders to be held on May 17, 2022 (the “2022 Proxy Statement”), which is expected to be filed within 120 days after the end of the fiscal year covered by this Annual Report on Form 10-K, are incorporated by reference in Part III of this Annual Report on Form 10-K.</w:t>
      </w:r>
    </w:p>
    <w:p>
      <w:pPr>
        <w:spacing w:after="0" w:line="172" w:lineRule="exact"/>
        <w:rPr>
          <w:sz w:val="24"/>
          <w:szCs w:val="24"/>
          <w:color w:val="auto"/>
        </w:rPr>
      </w:pPr>
    </w:p>
    <w:p>
      <w:pPr>
        <w:ind w:left="420"/>
        <w:spacing w:after="0"/>
        <w:tabs>
          <w:tab w:leader="none" w:pos="2460" w:val="left"/>
          <w:tab w:leader="none" w:pos="3860" w:val="left"/>
          <w:tab w:leader="none" w:pos="5640" w:val="left"/>
          <w:tab w:leader="none" w:pos="7220" w:val="left"/>
          <w:tab w:leader="none" w:pos="9140" w:val="left"/>
        </w:tabs>
        <w:rPr>
          <w:sz w:val="20"/>
          <w:szCs w:val="20"/>
          <w:color w:val="auto"/>
        </w:rPr>
      </w:pPr>
      <w:r>
        <w:rPr>
          <w:rFonts w:ascii="Arial" w:cs="Arial" w:eastAsia="Arial" w:hAnsi="Arial"/>
          <w:sz w:val="13"/>
          <w:szCs w:val="13"/>
          <w:color w:val="auto"/>
        </w:rPr>
        <w:t>Auditor Firm Id:</w:t>
      </w:r>
      <w:r>
        <w:rPr>
          <w:sz w:val="20"/>
          <w:szCs w:val="20"/>
          <w:color w:val="auto"/>
        </w:rPr>
        <w:tab/>
      </w:r>
      <w:r>
        <w:rPr>
          <w:rFonts w:ascii="Arial" w:cs="Arial" w:eastAsia="Arial" w:hAnsi="Arial"/>
          <w:sz w:val="13"/>
          <w:szCs w:val="13"/>
          <w:color w:val="auto"/>
        </w:rPr>
        <w:t>185</w:t>
      </w:r>
      <w:r>
        <w:rPr>
          <w:sz w:val="20"/>
          <w:szCs w:val="20"/>
          <w:color w:val="auto"/>
        </w:rPr>
        <w:tab/>
      </w:r>
      <w:r>
        <w:rPr>
          <w:rFonts w:ascii="Arial" w:cs="Arial" w:eastAsia="Arial" w:hAnsi="Arial"/>
          <w:sz w:val="13"/>
          <w:szCs w:val="13"/>
          <w:color w:val="auto"/>
        </w:rPr>
        <w:t>Auditor Name:</w:t>
      </w:r>
      <w:r>
        <w:rPr>
          <w:sz w:val="20"/>
          <w:szCs w:val="20"/>
          <w:color w:val="auto"/>
        </w:rPr>
        <w:tab/>
      </w:r>
      <w:r>
        <w:rPr>
          <w:rFonts w:ascii="Arial" w:cs="Arial" w:eastAsia="Arial" w:hAnsi="Arial"/>
          <w:sz w:val="13"/>
          <w:szCs w:val="13"/>
          <w:color w:val="auto"/>
        </w:rPr>
        <w:t>KPMG, LLP</w:t>
      </w:r>
      <w:r>
        <w:rPr>
          <w:sz w:val="20"/>
          <w:szCs w:val="20"/>
          <w:color w:val="auto"/>
        </w:rPr>
        <w:tab/>
      </w:r>
      <w:r>
        <w:rPr>
          <w:rFonts w:ascii="Arial" w:cs="Arial" w:eastAsia="Arial" w:hAnsi="Arial"/>
          <w:sz w:val="13"/>
          <w:szCs w:val="13"/>
          <w:color w:val="auto"/>
        </w:rPr>
        <w:t>Auditor Location:</w:t>
      </w:r>
      <w:r>
        <w:rPr>
          <w:sz w:val="20"/>
          <w:szCs w:val="20"/>
          <w:color w:val="auto"/>
        </w:rPr>
        <w:tab/>
      </w:r>
      <w:r>
        <w:rPr>
          <w:rFonts w:ascii="Arial" w:cs="Arial" w:eastAsia="Arial" w:hAnsi="Arial"/>
          <w:sz w:val="12"/>
          <w:szCs w:val="12"/>
          <w:color w:val="auto"/>
        </w:rPr>
        <w:t>Minneapolis, MN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6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00AAE5"/>
                <w:w w:val="98"/>
              </w:rPr>
              <w:t>SPS COMMERCE, INC.</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2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00AAE5"/>
                <w:w w:val="99"/>
              </w:rPr>
              <w:t>ANNUAL REPORT ON FORM 10-K</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6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00AAE5"/>
                <w:w w:val="98"/>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9480" w:type="dxa"/>
            <w:vAlign w:val="bottom"/>
            <w:gridSpan w:val="26"/>
            <w:vMerge w:val="restart"/>
          </w:tcPr>
          <w:p>
            <w:pPr>
              <w:ind w:left="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9480" w:type="dxa"/>
            <w:vAlign w:val="bottom"/>
            <w:gridSpan w:val="26"/>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Business</w:t>
              </w:r>
            </w:hyperlink>
          </w:p>
        </w:tc>
        <w:tc>
          <w:tcPr>
            <w:tcW w:w="8120" w:type="dxa"/>
            <w:vAlign w:val="bottom"/>
            <w:gridSpan w:val="20"/>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3"/>
              </w:rPr>
            </w:pPr>
            <w:hyperlink w:anchor="page10">
              <w:r>
                <w:rPr>
                  <w:rFonts w:ascii="Arial" w:cs="Arial" w:eastAsia="Arial" w:hAnsi="Arial"/>
                  <w:sz w:val="18"/>
                  <w:szCs w:val="18"/>
                  <w:color w:val="0000EE"/>
                  <w:w w:val="83"/>
                </w:rPr>
                <w:t>Risk Factors</w:t>
              </w:r>
            </w:hyperlink>
          </w:p>
        </w:tc>
        <w:tc>
          <w:tcPr>
            <w:tcW w:w="7860" w:type="dxa"/>
            <w:vAlign w:val="bottom"/>
            <w:gridSpan w:val="1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Unresolved Staff Comments</w:t>
              </w:r>
            </w:hyperlink>
          </w:p>
        </w:tc>
        <w:tc>
          <w:tcPr>
            <w:tcW w:w="6720" w:type="dxa"/>
            <w:vAlign w:val="bottom"/>
            <w:gridSpan w:val="1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700" w:type="dxa"/>
            <w:vAlign w:val="bottom"/>
          </w:tcPr>
          <w:p>
            <w:pPr>
              <w:spacing w:after="0"/>
              <w:rPr>
                <w:sz w:val="24"/>
                <w:szCs w:val="24"/>
                <w:color w:val="auto"/>
              </w:rPr>
            </w:pPr>
          </w:p>
        </w:tc>
        <w:tc>
          <w:tcPr>
            <w:tcW w:w="760" w:type="dxa"/>
            <w:vAlign w:val="bottom"/>
            <w:gridSpan w:val="4"/>
          </w:tcPr>
          <w:p>
            <w:pPr>
              <w:ind w:left="60"/>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1720" w:type="dxa"/>
            <w:vAlign w:val="bottom"/>
            <w:tcBorders>
              <w:top w:val="single" w:sz="8" w:color="0000EE"/>
            </w:tcBorders>
            <w:gridSpan w:val="8"/>
          </w:tcPr>
          <w:p>
            <w:pPr>
              <w:spacing w:after="0"/>
              <w:rPr>
                <w:sz w:val="24"/>
                <w:szCs w:val="24"/>
                <w:color w:val="auto"/>
              </w:rPr>
            </w:pPr>
          </w:p>
        </w:tc>
        <w:tc>
          <w:tcPr>
            <w:tcW w:w="7000" w:type="dxa"/>
            <w:vAlign w:val="bottom"/>
            <w:gridSpan w:val="14"/>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 w:type="dxa"/>
            <w:vAlign w:val="bottom"/>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720" w:type="dxa"/>
            <w:vAlign w:val="bottom"/>
            <w:gridSpan w:val="22"/>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Market for Registrant’s Common Equity, Related Stockholder Matters and Issuer Purchases of Equity Securities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[Reserved]</w:t>
              </w:r>
            </w:hyperlink>
          </w:p>
        </w:tc>
        <w:tc>
          <w:tcPr>
            <w:tcW w:w="7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232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420" w:type="dxa"/>
            <w:vAlign w:val="bottom"/>
            <w:gridSpan w:val="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Changes in and Disagreements with Accountants on Accounting and Financial Disclosure</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230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7000" w:type="dxa"/>
            <w:vAlign w:val="bottom"/>
            <w:gridSpan w:val="1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w w:val="99"/>
              </w:rPr>
              <w:t>Item 9C.</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Disclosure Regarding Foreign Jurisdictions that Prevent Inspections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0000EE"/>
            </w:tcBorders>
            <w:gridSpan w:val="3"/>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480" w:type="dxa"/>
            <w:vAlign w:val="bottom"/>
            <w:gridSpan w:val="26"/>
          </w:tcPr>
          <w:p>
            <w:pPr>
              <w:ind w:left="60"/>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III</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10.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72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680" w:type="dxa"/>
            <w:vAlign w:val="bottom"/>
            <w:gridSpan w:val="8"/>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148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332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0000EE"/>
            </w:tcBorders>
            <w:gridSpan w:val="3"/>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00" w:type="dxa"/>
            <w:vAlign w:val="bottom"/>
          </w:tcPr>
          <w:p>
            <w:pPr>
              <w:spacing w:after="0"/>
              <w:rPr>
                <w:sz w:val="24"/>
                <w:szCs w:val="24"/>
                <w:color w:val="auto"/>
              </w:rPr>
            </w:pPr>
          </w:p>
        </w:tc>
        <w:tc>
          <w:tcPr>
            <w:tcW w:w="9480" w:type="dxa"/>
            <w:vAlign w:val="bottom"/>
            <w:gridSpan w:val="26"/>
          </w:tcPr>
          <w:p>
            <w:pPr>
              <w:ind w:left="60"/>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IV</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8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Exhibits, Financial Statement Schedules</w:t>
              </w:r>
            </w:hyperlink>
          </w:p>
        </w:tc>
        <w:tc>
          <w:tcPr>
            <w:tcW w:w="5860" w:type="dxa"/>
            <w:vAlign w:val="bottom"/>
            <w:gridSpan w:val="10"/>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Form 10-K Summary</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0000EE"/>
            </w:tcBorders>
            <w:gridSpan w:val="3"/>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722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66">
              <w:r>
                <w:rPr>
                  <w:rFonts w:ascii="Arial" w:cs="Arial" w:eastAsia="Arial" w:hAnsi="Arial"/>
                  <w:sz w:val="18"/>
                  <w:szCs w:val="18"/>
                  <w:b w:val="1"/>
                  <w:bCs w:val="1"/>
                  <w:color w:val="0000EE"/>
                  <w:w w:val="96"/>
                </w:rPr>
                <w:t>SIGNATURES</w:t>
              </w:r>
            </w:hyperlink>
          </w:p>
        </w:tc>
        <w:tc>
          <w:tcPr>
            <w:tcW w:w="8240" w:type="dxa"/>
            <w:vAlign w:val="bottom"/>
            <w:gridSpan w:val="2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Annual Report on Form 10-K,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20574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4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in this Annual Report on Form 10-K for the year ended December 31, 2021,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20574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00AAE5"/>
        </w:rPr>
        <w:t>PART 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3"/>
          <w:szCs w:val="13"/>
          <w:b w:val="1"/>
          <w:bCs w:val="1"/>
          <w:color w:val="00AAE5"/>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SPS Commerce provides enable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7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of December 31, 2021, we had approximately 37,500 customers with ongoing contracts to pay us monthly fees, which we refer to as recurring revenue customers. We also generate revenues by providing our cloud-based supply chain management services to an additional 67,500 organizations that, together with our recurring revenue customers, we refer to as our customers. Once connected to the SPS Commerce cloud-based retail network, our customers often require additional integrations to new organizations that represent an expansion of our cloud-based network and new sources of revenues for us.</w:t>
      </w:r>
    </w:p>
    <w:p>
      <w:pPr>
        <w:spacing w:after="0" w:line="8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the years ended December 31, 2021, 2020, and 2019, we generated revenues of $385.3 million, $312.6 million, and $279.1 million, respectively. Our quarter ended December 31, 2021 represented our 84th consecutive quarter of revenue growth. Recurring revenues from recurring revenue customers accounted for 92%, 94% and 94% of our total revenues for the years ended December 31, 2021, 2020, and 2019, respectively. Our revenues are not concentrated with any customer, as our largest customer represented less than 1% of total revenues for the years ended December 31, 2021, 2020, and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Increasing Demand for a Retail Network</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retail industry has undergone many changes in recent years which have accelerated the need for a more automated supply chain to navigate disruptions and meet growing consumer demands. Companies across the retail ecosystem need to integrate their operations and communications from their wholesale, e-commerce, direct-to-consumer, and marketplace sales channels into a single omnichannel process. These channels no longer operate independently but instead in an interconnected fashion as consumers demand more buying and delivery options. The rise in buy online, pickup in store (BOPIS), is one example of the intersection of e-commerce and wholesale channels. The coordination needed to manage multiple channels has added complexity to supply chains and trading partner relationships.</w:t>
      </w:r>
    </w:p>
    <w:p>
      <w:pPr>
        <w:spacing w:after="0" w:line="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SPS Commerce retail network offers a single destination where customers can manage item details, orders, shipments, invoices, and much more from any channel. The network provides retail businesses with a comprehensive view of retail transactions and gives them the agility to quickly identify opportunities to optimize inventory and fulfill orders, regardless of channel. Customers use our retail network to consolidate all channels into a single system, saving time and reducing errors common when managing complex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Products</w:t>
      </w:r>
    </w:p>
    <w:p>
      <w:pPr>
        <w:spacing w:after="0" w:line="12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SPS Commerce operates one of the largest retail networks in the world to improve the way retailers, suppliers, grocers, distributors, and logistics firms manage and fulfill omnichannel orders, optimize sell-through performance, and automate new trading relationships. Approximately 105,000 customers across approximately 80 countries use SPS Commerce products to expand and optimize the performance of their trading relationships through the network.</w:t>
      </w:r>
    </w:p>
    <w:p>
      <w:pPr>
        <w:spacing w:after="0" w:line="79"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SPS Commerce business model fundamentally changes how organizations use electronic communication to manage their omnichannel, supply chain, and other business requirements. Our products replace the collection of traditional, custom-built, point-to-point integrations with a model that facilitates a single automated connection to the entire SPS Commerce retail network that offers prebuilt connections to thousands of global trading partners.</w:t>
      </w:r>
    </w:p>
    <w:p>
      <w:pPr>
        <w:spacing w:after="0" w:line="4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From that single network connection, a customer can make use of the full suite of our products with any trading partner, from fulfillment automation to the analysis and optimization of item sell-through performance. These cloud-based products deliver value as stand-alone offerings but can also provide greater value when used collectively. This represents a fundamental change to order fulfillment automation and enables inherent adaptability and flexibility not possible with traditional supply chain management system architectures.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 w:name="page5"/>
    <w:bookmarkEnd w:id="4"/>
    <w:p>
      <w:pPr>
        <w:ind w:right="40" w:firstLine="510"/>
        <w:spacing w:after="0" w:line="263" w:lineRule="auto"/>
        <w:rPr>
          <w:sz w:val="20"/>
          <w:szCs w:val="20"/>
          <w:color w:val="auto"/>
        </w:rPr>
      </w:pPr>
      <w:r>
        <w:rPr>
          <w:rFonts w:ascii="Arial" w:cs="Arial" w:eastAsia="Arial" w:hAnsi="Arial"/>
          <w:sz w:val="18"/>
          <w:szCs w:val="18"/>
          <w:color w:val="auto"/>
        </w:rPr>
        <w:t>Our Fulfillment product allows suppliers and logistics firms to comply with numerous rulebooks that govern the details of trading relationships with retailers, grocers, and distributors. Maintaining current connections with these buying organizations removes the need for their trading partners to continually stay up to date with their required rulebook changes to remain compliant.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SPS Commerce offers the following major products:</w:t>
      </w:r>
    </w:p>
    <w:p>
      <w:pPr>
        <w:spacing w:after="0" w:line="117" w:lineRule="exact"/>
        <w:rPr>
          <w:sz w:val="20"/>
          <w:szCs w:val="20"/>
          <w:color w:val="auto"/>
        </w:rPr>
      </w:pPr>
    </w:p>
    <w:p>
      <w:pPr>
        <w:ind w:left="1000" w:right="200" w:hanging="493"/>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Fulfillment - </w:t>
      </w:r>
      <w:r>
        <w:rPr>
          <w:rFonts w:ascii="Arial" w:cs="Arial" w:eastAsia="Arial" w:hAnsi="Arial"/>
          <w:sz w:val="16"/>
          <w:szCs w:val="16"/>
          <w:color w:val="auto"/>
        </w:rPr>
        <w:t>The Fulfillment product provides fulfillment automation and replaces or augments an organization’s existing staff and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electronic communication infrastructure by enabling easy compliance with retailers’ rulebooks, automatic, digital exchange of information among numerous trading partners through various protocols, and greater visibility into the journey of an order.</w:t>
      </w:r>
    </w:p>
    <w:p>
      <w:pPr>
        <w:spacing w:after="0" w:line="40" w:lineRule="exact"/>
        <w:rPr>
          <w:rFonts w:ascii="Arial" w:cs="Arial" w:eastAsia="Arial" w:hAnsi="Arial"/>
          <w:sz w:val="16"/>
          <w:szCs w:val="16"/>
          <w:color w:val="auto"/>
        </w:rPr>
      </w:pPr>
    </w:p>
    <w:p>
      <w:pPr>
        <w:ind w:left="1000" w:right="38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Analytics product consists of data analytics applications that enable our customers to improve their visibility across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supply chains through greater analytics capabilities. When focused on point-of-sale data, for example, retailers and suppliers can ensure inventory is located where demand is highest. Additionally, retailers improve their visibility into supplier performance and their understanding of product sell-through.</w:t>
      </w:r>
    </w:p>
    <w:p>
      <w:pPr>
        <w:spacing w:after="0" w:line="78"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Products - </w:t>
      </w:r>
      <w:r>
        <w:rPr>
          <w:rFonts w:ascii="Arial" w:cs="Arial" w:eastAsia="Arial" w:hAnsi="Arial"/>
          <w:sz w:val="18"/>
          <w:szCs w:val="18"/>
          <w:color w:val="auto"/>
        </w:rPr>
        <w:t>We provide several complimentary products, such as our assortment product (which enables accurate order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rapid fulfillment) and our community product (which accelerates vendor onboarding and ensures trading partner adoption of new supply chain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Growing Our Network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one of the largest providers of cloud-based services for retail supply chain management, the trading partner relationships that we enable among our retailer, supplier, grocer, distributor, and logistics firms naturally lead to new customer acquisition opportunities.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Once connected to our retail network, trading partners can exchange electronic supply chain information with each other. The value of our network increases with the number of trading partners connected to it. As one of the largest retail networks, customers often find that many of their existing or new trading partners are already on the network, allowing for easy connections. The addition of each new customer enables that new customer to communicate with our existing customers and permits our existing customers to do business with the new customer. This “network effect” of adding additional customers to our products’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i w:val="1"/>
          <w:iCs w:val="1"/>
          <w:color w:val="auto"/>
        </w:rPr>
        <w:t xml:space="preserve">Community. </w:t>
      </w:r>
      <w:r>
        <w:rPr>
          <w:rFonts w:ascii="Arial" w:cs="Arial" w:eastAsia="Arial" w:hAnsi="Arial"/>
          <w:sz w:val="17"/>
          <w:szCs w:val="17"/>
          <w:color w:val="auto"/>
        </w:rPr>
        <w:t>As retailers and suppliers reshape how they do business in an omnichannel landscape, they need to bring new capabilities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to their trading partner networks. Our Community product is designed to manage this process and bring suppliers into compliance with new requirements.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generates supplier sales leads for us.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Referrals from Our Customers. </w:t>
      </w:r>
      <w:r>
        <w:rPr>
          <w:rFonts w:ascii="Arial" w:cs="Arial" w:eastAsia="Arial" w:hAnsi="Arial"/>
          <w:sz w:val="16"/>
          <w:szCs w:val="16"/>
          <w:color w:val="auto"/>
        </w:rPr>
        <w:t>We also receive sales leads from our customers seeking to communicate electronically with their trading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a supplier may refer its third-party logistics provider or manufacturer, which is not in our network, to us.</w:t>
      </w:r>
    </w:p>
    <w:p>
      <w:pPr>
        <w:spacing w:after="0" w:line="103" w:lineRule="exact"/>
        <w:rPr>
          <w:sz w:val="20"/>
          <w:szCs w:val="20"/>
          <w:color w:val="auto"/>
        </w:rPr>
      </w:pPr>
    </w:p>
    <w:p>
      <w:pPr>
        <w:jc w:val="both"/>
        <w:ind w:right="80" w:firstLine="510"/>
        <w:spacing w:after="0" w:line="342" w:lineRule="auto"/>
        <w:rPr>
          <w:sz w:val="20"/>
          <w:szCs w:val="20"/>
          <w:color w:val="auto"/>
        </w:rPr>
      </w:pPr>
      <w:r>
        <w:rPr>
          <w:rFonts w:ascii="Arial" w:cs="Arial" w:eastAsia="Arial" w:hAnsi="Arial"/>
          <w:sz w:val="16"/>
          <w:szCs w:val="16"/>
          <w:i w:val="1"/>
          <w:iCs w:val="1"/>
          <w:color w:val="auto"/>
        </w:rPr>
        <w:t xml:space="preserve">Direct Marketing. </w:t>
      </w:r>
      <w:r>
        <w:rPr>
          <w:rFonts w:ascii="Arial" w:cs="Arial" w:eastAsia="Arial" w:hAnsi="Arial"/>
          <w:sz w:val="16"/>
          <w:szCs w:val="16"/>
          <w:color w:val="auto"/>
        </w:rPr>
        <w:t>We employ various marketing strategies. Our marketing programs include a variety of lead generating activities including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conferences and tradeshows, sponsored events, and public relations activities targeted at key decision makers within our prospective customers.</w:t>
      </w:r>
    </w:p>
    <w:p>
      <w:pPr>
        <w:spacing w:after="0" w:line="16" w:lineRule="exact"/>
        <w:rPr>
          <w:sz w:val="20"/>
          <w:szCs w:val="20"/>
          <w:color w:val="auto"/>
        </w:rPr>
      </w:pPr>
    </w:p>
    <w:p>
      <w:pPr>
        <w:jc w:val="both"/>
        <w:ind w:right="240" w:firstLine="510"/>
        <w:spacing w:after="0" w:line="257"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products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products as part of their service offerings</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574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2"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AAE5"/>
        </w:rPr>
        <w:t>Our Growth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objective is to be the leading global retail network and provider of supply chain management products. Key elements of our strategy include:</w:t>
      </w:r>
    </w:p>
    <w:p>
      <w:pPr>
        <w:spacing w:after="0" w:line="140" w:lineRule="exact"/>
        <w:rPr>
          <w:sz w:val="20"/>
          <w:szCs w:val="20"/>
          <w:color w:val="auto"/>
        </w:rPr>
      </w:pPr>
    </w:p>
    <w:p>
      <w:pPr>
        <w:ind w:left="1000" w:right="380" w:hanging="493"/>
        <w:spacing w:after="0" w:line="279"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Further Penetrate Our Current Market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the global supply chain management market is underpenetrated and, as the retail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continues to respond to the changing requirements of the omnichannel marketplace, and as the supply chain ecosystem becomes more complex and geographically dispersed, the demand for supply chain management solutions will increase. We intend to continue leveraging our relationships with customers and their trading partners to obtain new sales leads.</w:t>
      </w:r>
    </w:p>
    <w:p>
      <w:pPr>
        <w:spacing w:after="0" w:line="63" w:lineRule="exact"/>
        <w:rPr>
          <w:rFonts w:ascii="Arial" w:cs="Arial" w:eastAsia="Arial" w:hAnsi="Arial"/>
          <w:sz w:val="17"/>
          <w:szCs w:val="17"/>
          <w:color w:val="auto"/>
        </w:rPr>
      </w:pPr>
    </w:p>
    <w:p>
      <w:pPr>
        <w:ind w:left="1000" w:hanging="493"/>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Increase Revenues from Our Customer Base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overall customer satisfaction is strong and will lead our customers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their use of our products they have purchased, as well as purchase additional products to continue improving the performance of their trading partner relationships, generating additional revenues for us. We also expect to introduce new products to sell to our customers. We believe our position as the incumbent supply chain management solution provider to our customers, our integration into our recurring revenue customers’ business systems, and the modular nature of our cloud-based products are conducive to deploying additional products with customers.</w:t>
      </w:r>
    </w:p>
    <w:p>
      <w:pPr>
        <w:spacing w:after="0" w:line="8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Distribution Channels. </w:t>
      </w:r>
      <w:r>
        <w:rPr>
          <w:rFonts w:ascii="Arial" w:cs="Arial" w:eastAsia="Arial" w:hAnsi="Arial"/>
          <w:sz w:val="18"/>
          <w:szCs w:val="18"/>
          <w:color w:val="auto"/>
        </w:rPr>
        <w:t>We intend to grow our business by expanding our sales capacity to gain new customers. We also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valuable opportunities to promote and sell our products through collaboration with other providers.</w:t>
      </w:r>
    </w:p>
    <w:p>
      <w:pPr>
        <w:spacing w:after="0" w:line="62"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International Presence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presence in Asia Pacific, as well as in Europe, represents a significant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We plan to increase our global sales efforts to obtain new customers around the world. We intend to leverage our current global presence to increase the number of integrations we have with retailers in foreign markets to make our products more valuable to their trading partners based overseas.</w:t>
      </w:r>
    </w:p>
    <w:p>
      <w:pPr>
        <w:spacing w:after="0" w:line="78"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Services. </w:t>
      </w:r>
      <w:r>
        <w:rPr>
          <w:rFonts w:ascii="Arial" w:cs="Arial" w:eastAsia="Arial" w:hAnsi="Arial"/>
          <w:sz w:val="18"/>
          <w:szCs w:val="18"/>
          <w:color w:val="auto"/>
        </w:rPr>
        <w:t>We intend to further improve and develop the functionality and features of our cloud-based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from time to time, developing new offerings and applications.</w:t>
      </w:r>
    </w:p>
    <w:p>
      <w:pPr>
        <w:spacing w:after="0" w:line="62"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Strategic Acquisitions. </w:t>
      </w:r>
      <w:r>
        <w:rPr>
          <w:rFonts w:ascii="Arial" w:cs="Arial" w:eastAsia="Arial" w:hAnsi="Arial"/>
          <w:sz w:val="16"/>
          <w:szCs w:val="16"/>
          <w:color w:val="auto"/>
        </w:rPr>
        <w:t>The nature of our market provides an opportunity for selective acquisitions. We plan to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potential acquisitions based on the number of new customers, revenue, functionality, or geographic reach the acquisition would provide relative to the purchase price and our ability to integrate and operate the acquired business. In 2021, we acquired Genius Central Systems, Inc., a leading provider of in-aisle order management and software products for natural and specialty food providers. In 2020, we acquired D Masons Software, LLC (“Data Masons”), a leading provider of electronic data interchange (“EDI”) products for the Microsoft Dynamics market. These acquisitions further extend the capabilities of our network and added new customers and technology.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Market Opportunity</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believe we have a significant market opportunity in helping organizations accelerate their omnichannel retail strategies with our retail network and supply chain products.</w:t>
      </w:r>
    </w:p>
    <w:p>
      <w:pPr>
        <w:spacing w:after="0" w:line="72" w:lineRule="exact"/>
        <w:rPr>
          <w:sz w:val="20"/>
          <w:szCs w:val="20"/>
          <w:color w:val="auto"/>
        </w:rPr>
      </w:pPr>
    </w:p>
    <w:p>
      <w:pPr>
        <w:ind w:left="1000" w:right="100" w:hanging="493"/>
        <w:spacing w:after="0" w:line="314"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Omnichannel retail requires new connections/transactions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sales channel (wholesale, e-commerce, drop-ship and marketplaces)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brings new trading partners to the supply chain process. As customers expand their business, the SPS Commerce retail network is a core part of their omnichannel strategy. Each additional channel brings more reliance and volume to the network and increases customer revenue.</w:t>
      </w:r>
    </w:p>
    <w:p>
      <w:pPr>
        <w:spacing w:after="0" w:line="33" w:lineRule="exact"/>
        <w:rPr>
          <w:rFonts w:ascii="Arial" w:cs="Arial" w:eastAsia="Arial" w:hAnsi="Arial"/>
          <w:sz w:val="16"/>
          <w:szCs w:val="16"/>
          <w:color w:val="auto"/>
        </w:rPr>
      </w:pPr>
    </w:p>
    <w:p>
      <w:pPr>
        <w:ind w:left="1000" w:right="20" w:hanging="493"/>
        <w:spacing w:after="0" w:line="277"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Retail needs automation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increased retail store openings and closings, labor shortages, supply chain disruptions, and new online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patterns, retailers are demanding more from their trading partners as they need to be agile and transition their businesses as markets change. Businesses using SPS Commerce products to automate supply chain functions with their trading partners are able to pivot quickly to new delivery models and capture market share. The visibility to orders, shipments and inventory gained by automating trading relationships on the SPS Commerce retail network is critical to their success and offers a competitive advantage.</w:t>
      </w:r>
    </w:p>
    <w:p>
      <w:pPr>
        <w:spacing w:after="0" w:line="63" w:lineRule="exact"/>
        <w:rPr>
          <w:rFonts w:ascii="Arial" w:cs="Arial" w:eastAsia="Arial" w:hAnsi="Arial"/>
          <w:sz w:val="17"/>
          <w:szCs w:val="17"/>
          <w:color w:val="auto"/>
        </w:rPr>
      </w:pPr>
    </w:p>
    <w:p>
      <w:pPr>
        <w:ind w:left="1000" w:hanging="493"/>
        <w:spacing w:after="0" w:line="275"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Consumers want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Retail assortments are everchanging with seasonality shifts and new product introductions from companies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all sizes. Consumers want the latest products and retailers are continually chasing trends, offering differentiated items, and introducing new products and suppliers to their supply chains. As retailers evolve, their trading partner relationships must support any new product introductions or new suppliers to achieve their merchandising goals. The SPS Commerce retail network automates these relationships to quickly secure product details, initiate orders, and track performance to help keep operations running smoothly.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057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0"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0AAE5"/>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SPS Commerce was an early provider of cloud-services to the retail supply chain management industry, launching the first version of what would become our current services in 1997. We use commercially available hardware and cloud-services with a combination of proprietary and commercially available software.</w:t>
      </w:r>
    </w:p>
    <w:p>
      <w:pPr>
        <w:spacing w:after="0" w:line="76"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Our cloud-service model treats all customers as logically separate tenants within a shared virtual infrastructure. As a result, we spread the cost of delivering our products across our customer base. Because we do not manage thousands of distinct applications with their own business logic and database schemes, we can scale our business faster than traditional software vendors, even those that modified their products to be accessible over the Internet.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research and development efforts focus on maintaining, improving, and enhancing our existing products, as well as developing new products and applications. Our multi-tenant products serve all of our customers, which allows us to maintain relatively low research and development expenses and release software updates more frequently compared to traditional on-premise licensed software products that support multiple versions. Our development efforts take place at our U.S. locations in Minnesota and New Jersey, as well as in Melbourne, Australia; Toronto, Canada; and Kyiv, Ukraine.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We operate our infrastructure in third-party data centers located throughout the United States and in Australia, as well as provisioned services in cloud providers. In most cases, infrastructure and services are managed by us.</w:t>
      </w:r>
    </w:p>
    <w:p>
      <w:pPr>
        <w:spacing w:after="0" w:line="62"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We have internal and third-party monitoring software that continually checks our cloud-based network and key underlying components for continuous availability and performance, helping ensure that the network is always available and providing desired service levels. We have a technology engineering team that includes system provisioning, management, maintenance, monitoring, and back-up.</w:t>
      </w:r>
    </w:p>
    <w:p>
      <w:pPr>
        <w:spacing w:after="0" w:line="5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Sales &amp; Marketing</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sell our products through an employed global sales force that focuses on retailers, suppliers, grocers, distributors, and logistics firms.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marketing teams focus on driving awareness and demand for our products through the following activities:</w:t>
      </w:r>
    </w:p>
    <w:p>
      <w:pPr>
        <w:spacing w:after="0" w:line="117"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Demand Generation</w:t>
      </w:r>
      <w:r>
        <w:rPr>
          <w:rFonts w:ascii="Arial" w:cs="Arial" w:eastAsia="Arial" w:hAnsi="Arial"/>
          <w:sz w:val="16"/>
          <w:szCs w:val="16"/>
          <w:color w:val="auto"/>
        </w:rPr>
        <w:t>. Engages with target audiences using the latest digital marketing strategies to bring opportunities to our sales teams.</w:t>
      </w:r>
    </w:p>
    <w:p>
      <w:pPr>
        <w:spacing w:after="0" w:line="153" w:lineRule="exact"/>
        <w:rPr>
          <w:rFonts w:ascii="Arial" w:cs="Arial" w:eastAsia="Arial" w:hAnsi="Arial"/>
          <w:sz w:val="16"/>
          <w:szCs w:val="16"/>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Communications</w:t>
      </w:r>
      <w:r>
        <w:rPr>
          <w:rFonts w:ascii="Arial" w:cs="Arial" w:eastAsia="Arial" w:hAnsi="Arial"/>
          <w:sz w:val="18"/>
          <w:szCs w:val="18"/>
          <w:color w:val="auto"/>
        </w:rPr>
        <w:t>. Manages our brand, public relations, and go-to-market support.</w:t>
      </w:r>
    </w:p>
    <w:p>
      <w:pPr>
        <w:spacing w:after="0" w:line="130"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Product Marketing</w:t>
      </w:r>
      <w:r>
        <w:rPr>
          <w:rFonts w:ascii="Arial" w:cs="Arial" w:eastAsia="Arial" w:hAnsi="Arial"/>
          <w:sz w:val="18"/>
          <w:szCs w:val="18"/>
          <w:color w:val="auto"/>
        </w:rPr>
        <w:t>. Equips our sales teams, performs market studies, and promotes the unique capabilities of each of our products using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go-to-market strategies.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Events</w:t>
      </w:r>
      <w:r>
        <w:rPr>
          <w:rFonts w:ascii="Arial" w:cs="Arial" w:eastAsia="Arial" w:hAnsi="Arial"/>
          <w:sz w:val="18"/>
          <w:szCs w:val="18"/>
          <w:color w:val="auto"/>
        </w:rPr>
        <w:t>. Highlights our presence at industry tradeshows as well as orchestrates virtual and in-person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057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AAE5"/>
        </w:rPr>
        <w:t>Customer Success</w:t>
      </w:r>
    </w:p>
    <w:p>
      <w:pPr>
        <w:spacing w:after="0" w:line="121" w:lineRule="exact"/>
        <w:rPr>
          <w:sz w:val="20"/>
          <w:szCs w:val="20"/>
          <w:color w:val="auto"/>
        </w:rPr>
      </w:pPr>
    </w:p>
    <w:p>
      <w:pPr>
        <w:ind w:right="140" w:firstLine="468"/>
        <w:spacing w:after="0" w:line="263" w:lineRule="auto"/>
        <w:rPr>
          <w:sz w:val="20"/>
          <w:szCs w:val="20"/>
          <w:color w:val="auto"/>
        </w:rPr>
      </w:pPr>
      <w:r>
        <w:rPr>
          <w:rFonts w:ascii="Arial" w:cs="Arial" w:eastAsia="Arial" w:hAnsi="Arial"/>
          <w:sz w:val="18"/>
          <w:szCs w:val="18"/>
          <w:color w:val="auto"/>
        </w:rPr>
        <w:t>The Customer Success team is made up of retail and technology experts who implement our products on the customer’s behalf, provide ongoing support, and collaborate with accounts to identify opportunities for added value from their existing products. This team focuses on delivering services that build customer satisfaction and result in high customer retention rates.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Competition</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Vendors in the supply chain management industry offer products through three delivery methods: traditional on-premise software, cloud-based managed services, and cloud-based full-service products.</w:t>
      </w:r>
    </w:p>
    <w:p>
      <w:pPr>
        <w:spacing w:after="0" w:line="6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market for cloud-based supply chain management products is fragmented and rapidly evolving. Cloud-service vendors compete directly with each other based mainly on the following:</w:t>
      </w:r>
    </w:p>
    <w:p>
      <w:pPr>
        <w:spacing w:after="0" w:line="62"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breadth of pre-built network connections to retailers, third-party logistics providers, and other trading partners;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history of establishing and maintaining reliable connections with trading partners;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reputation of the cloud-service vendor in the supply chain management industry;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cloud-service vendor can integrate its customers to their trading partners;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cloud-service product, such as the ability to integrate the product with a customer’s business systems;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products the cloud-service vendor offers;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3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cloud-service vendors could create a direct competitor that can compete with us more effectively than the numerous, smaller vendors currently offering cloud-service supply chain management products. Increased competition from cloud-service vendors could reduce our market share, revenues, and operating margins or otherwise adversely affect our business.</w:t>
      </w:r>
    </w:p>
    <w:p>
      <w:pPr>
        <w:spacing w:after="0" w:line="7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Cloud-service vendors also compete with traditional on-premise software companies. Traditional on-premise software companies focused on supply chain integration management include IBM Sterling and OpenText. These companies offer a “do-it-yourself” method in which customers purchase, install, and manage specialized software, hardware, and value-added networks for their supply chain integration needs. This method requires customers to invest in staff to operate and maintain the software. Traditional on-premise software companies use a single-tenant approach in which information maps to retailers are built for and used by one supplier, as compared to cloud-service products that allow multiple customers to share information maps with a retailer.</w:t>
      </w:r>
    </w:p>
    <w:p>
      <w:pPr>
        <w:spacing w:after="0" w:line="5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Managed service providers focused on the supply chain management market include IBM Sterling, OpenText, TrueCommerce and many other small providers. These companies offer a cloud-based product in which they develop and maintain the core technology, while the customer’s internal staff is responsible for the day-to-day customization, optimization, and operations of the technology.</w:t>
      </w:r>
    </w:p>
    <w:p>
      <w:pPr>
        <w:spacing w:after="0" w:line="76"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In contrast, full-service providers, including SPS Commerce, offer cloud-based products that customize, optimize, and operate the technology. This approach offloads the time-intensive process of managing these products, which is not a core competency for most businesses.</w:t>
      </w:r>
    </w:p>
    <w:p>
      <w:pPr>
        <w:spacing w:after="0" w:line="38"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Customers of traditional on-premise software providers must typically make significant upfront investments in the supply chain management products these competitors provide, which can decrease the customers’ willingness to abandon their investments in favor of a cloud-service product. Cloud-service vendors compete with these traditional software products based on the total cost of ownership and flexibility.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Intellectual Property and Proprietary Content</w:t>
      </w:r>
    </w:p>
    <w:p>
      <w:pPr>
        <w:spacing w:after="0" w:line="12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SPS Commerce relies on a combination of copyright, trademark, and trade secret laws as well as confidentiality procedures and contractual provisions to protect our proprietary technology and our brand. We enter into confidentiality and proprietary rights agreements with our employees, consultants and additional third parties, and control access to software, documentation, and other proprietary information. We have registered trademarks and pending trademark applications in the U.S. and certain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right="100" w:firstLine="510"/>
        <w:spacing w:after="0" w:line="301" w:lineRule="auto"/>
        <w:rPr>
          <w:sz w:val="20"/>
          <w:szCs w:val="20"/>
          <w:color w:val="auto"/>
        </w:rPr>
      </w:pPr>
      <w:r>
        <w:rPr>
          <w:rFonts w:ascii="Arial" w:cs="Arial" w:eastAsia="Arial" w:hAnsi="Arial"/>
          <w:sz w:val="16"/>
          <w:szCs w:val="16"/>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do not have any patents, but we have pending patent applications. Our trade secrets consist primarily of the software we have developed for our SPS Commerce cloud-based products and network. Our software is also protected under copyright law, but we do not have any registered copyrights.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Human Capital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we employed people across the following functional areas:</w:t>
      </w:r>
    </w:p>
    <w:p>
      <w:pPr>
        <w:spacing w:after="0" w:line="311"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Employees</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top w:val="single" w:sz="8" w:color="CFF0FC"/>
            </w:tcBorders>
            <w:shd w:val="clear" w:color="auto" w:fill="CFF0FC"/>
          </w:tcPr>
          <w:p>
            <w:pPr>
              <w:spacing w:after="0"/>
              <w:rPr>
                <w:sz w:val="19"/>
                <w:szCs w:val="19"/>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0"/>
                <w:szCs w:val="20"/>
                <w:color w:val="auto"/>
              </w:rPr>
            </w:pPr>
          </w:p>
        </w:tc>
      </w:tr>
      <w:tr>
        <w:trPr>
          <w:trHeight w:val="236"/>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20"/>
                <w:szCs w:val="20"/>
                <w:color w:val="auto"/>
              </w:rPr>
            </w:pPr>
          </w:p>
        </w:tc>
      </w:tr>
      <w:tr>
        <w:trPr>
          <w:trHeight w:val="237"/>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FF0FC"/>
            </w:tcBorders>
          </w:tcPr>
          <w:p>
            <w:pPr>
              <w:spacing w:after="0"/>
              <w:rPr>
                <w:sz w:val="20"/>
                <w:szCs w:val="20"/>
                <w:color w:val="auto"/>
              </w:rPr>
            </w:pPr>
          </w:p>
        </w:tc>
      </w:tr>
      <w:tr>
        <w:trPr>
          <w:trHeight w:val="229"/>
        </w:trPr>
        <w:tc>
          <w:tcPr>
            <w:tcW w:w="7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employees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engage independent contractors to support our operations. None of our employees are represented by a labor union.</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believe our employees have and will continue to be a primary reason for our growth and success. SPS values diversity, equity and inclusion and believes that our differences make us, our customers, and our communities better. Team SPS is driven to influence those around us by cultivating an inclusive culture that values every individual and brings positive and lasting change. We offer competitive benefits as well as training, development, review, and feedback programs to develop employees’ expertise and skillsets, as well as strive to provide a safe, harassment-free work environment guided by principles of fair and equal treatment and prioritize employee engagement. As a result, we believe our employees are committed to building strong, innovative, and long-term relationships with each other and our organization in order to succeed together and with our customers.</w:t>
      </w:r>
    </w:p>
    <w:p>
      <w:pPr>
        <w:spacing w:after="0" w:line="5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offer our employees pay and benefits packages that we believe are competitive with others in our industry, as well as within the local markets in which we operate, and that align individual performance with our success. The health of our employees is also very important to us. In response to the threats of the COVID-19 pandemic, we have, where possible, offered remote work flexibility beginning in March 2020 which has continued through December 2021, without significant impacts to productivity.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Company Information</w:t>
      </w:r>
    </w:p>
    <w:p>
      <w:pPr>
        <w:spacing w:after="0" w:line="121"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We were originally incorporated as St. Paul Software, Inc., a Minnesota corporation, on January 28, 1987. On May 30, 2001, we reincorporated in Delaware under our current name, SPS Commerce, Inc. Our principal executive offices are located at the address listed below. Our telephone number is</w:t>
      </w:r>
    </w:p>
    <w:p>
      <w:pPr>
        <w:ind w:right="40" w:firstLine="8"/>
        <w:spacing w:after="0" w:line="270" w:lineRule="auto"/>
        <w:tabs>
          <w:tab w:leader="none" w:pos="43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435-9400 and our website address is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Stockholders may also request copies of these documents by writing to us at the address below, with attention to ‘Investor Relations’.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0574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You should carefully consider all of the following risks and the other information in this Report and our other filings with the SEC before you decide to invest in our Company or to maintain or increase your investment.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56"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Our Business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products to existing customers, or if our customers do not increase their use of our products, our revenue growth and profitability will be adversely affected.</w:t>
      </w:r>
    </w:p>
    <w:p>
      <w:pPr>
        <w:spacing w:after="0" w:line="58"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To increase our revenues and achieve and maintain profitability, we believe that we must regularly add new customers, sell additional products to existing customers, and our customers must increase their use of the products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products to be of sufficiently high value and quality, we might not be able to increase sales and our operating results will be adversely affected. If we fail to sell our products to existing or new customers, we will not generate anticipated revenues from these products, our operating results will suffer, and we will not be able to grow our revenues or maintain profitability as planned.</w:t>
      </w:r>
    </w:p>
    <w:p>
      <w:pPr>
        <w:spacing w:after="0" w:line="28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therefore a lack of success in maintaining or improving forecasted renewal rates will have adverse effects on revenue and financial results.</w:t>
      </w:r>
    </w:p>
    <w:p>
      <w:pPr>
        <w:spacing w:after="0" w:line="5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products.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spacing w:after="0" w:line="26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more difficult for us to forecast operating results accurately.</w:t>
      </w:r>
    </w:p>
    <w:p>
      <w:pPr>
        <w:spacing w:after="0" w:line="5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revenues depend significantly on general economic conditions and the sustainability and health of retailers. Economic weakness and constrained retail spending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products. Our sales cycles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products, and consequently our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 w:name="page11"/>
    <w:bookmarkEnd w:id="10"/>
    <w:p>
      <w:pPr>
        <w:ind w:right="560"/>
        <w:spacing w:after="0" w:line="312" w:lineRule="auto"/>
        <w:rPr>
          <w:sz w:val="20"/>
          <w:szCs w:val="20"/>
          <w:color w:val="auto"/>
        </w:rPr>
      </w:pPr>
      <w:r>
        <w:rPr>
          <w:rFonts w:ascii="Arial" w:cs="Arial" w:eastAsia="Arial" w:hAnsi="Arial"/>
          <w:sz w:val="17"/>
          <w:szCs w:val="17"/>
          <w:b w:val="1"/>
          <w:bCs w:val="1"/>
          <w:color w:val="auto"/>
        </w:rPr>
        <w:t>Our continued growth could significantly strain our personnel resources and infrastructure, and if we are unable to implement appropriate controls and procedures to manage our growth, we may not be able to implement our business plan successfully.</w:t>
      </w:r>
    </w:p>
    <w:p>
      <w:pPr>
        <w:spacing w:after="0" w:line="3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To manage the expected growth of our operations and personnel, we will need to continue to improve our operational, financial and management controls and our reporting systems and procedures. If we fail to successfully manage our growth, we will be unable to execute our business plan as expected.</w:t>
      </w:r>
    </w:p>
    <w:p>
      <w:pPr>
        <w:spacing w:after="0" w:line="26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we fail to attract, retain, and train members of our senior management team, including our Chief Executive Officer and other key personnel, our business plan would be impacted, and we might not be able to implement our plan successfully.</w:t>
      </w:r>
    </w:p>
    <w:p>
      <w:pPr>
        <w:spacing w:after="0" w:line="5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Given the complex nature of the cloud-based technology through which our business operates and the speed with which such technology advances, our future success is dependent, in large part, upon our ability to attract, retain and train highly qualified executive, managerial, engineering and sales personnel. Competition for talented personnel is intense, and we cannot be certain that we can retain our key personnel or that we can attract, assimilate, or retain such personnel in the future. Additionally, the loss of any key or a significant number of personnel in our engineering, project management, or sales teams might significantly delay or prevent the achievement of our business objectives and could materially harm our business, customer relationships, results of operations and financial condition.</w:t>
      </w:r>
    </w:p>
    <w:p>
      <w:pPr>
        <w:spacing w:after="0" w:line="296"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The market for cloud-based supply chain management products is at a relatively early stage of development and acceptance. If this market does not develop or develops more slowly than we expect, our revenues may decline or fail to grow and we may incur operating losses.</w:t>
      </w:r>
    </w:p>
    <w:p>
      <w:pPr>
        <w:spacing w:after="0" w:line="12" w:lineRule="exact"/>
        <w:rPr>
          <w:sz w:val="20"/>
          <w:szCs w:val="20"/>
          <w:color w:val="auto"/>
        </w:rPr>
      </w:pPr>
    </w:p>
    <w:p>
      <w:pPr>
        <w:ind w:right="380" w:firstLine="510"/>
        <w:spacing w:after="0" w:line="301" w:lineRule="auto"/>
        <w:rPr>
          <w:sz w:val="20"/>
          <w:szCs w:val="20"/>
          <w:color w:val="auto"/>
        </w:rPr>
      </w:pPr>
      <w:r>
        <w:rPr>
          <w:rFonts w:ascii="Arial" w:cs="Arial" w:eastAsia="Arial" w:hAnsi="Arial"/>
          <w:sz w:val="16"/>
          <w:szCs w:val="16"/>
          <w:color w:val="auto"/>
        </w:rPr>
        <w:t>We derive, and expect to continue to derive, substantially all of our revenues from providing cloud-based supply chain management products to suppliers, retailers, distributors, and logistics firms. The market for these products is growing, but in a relatively early stage of development, and it is uncertain whether these products will achieve and sustain high levels of demand and market acceptance. Our success will depend on the willingness of retailers and their trading partners to accept our products as an alternative to traditional licensed hardware and software products.</w:t>
      </w:r>
    </w:p>
    <w:p>
      <w:pPr>
        <w:spacing w:after="0" w:line="49"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Some suppliers, retailers, distributors, or logistics firms may be reluctant or unwilling to use our cloud-based products for a number of reasons, including their potential significant initial investment to replace existing investments in supply chain management hardware and licensed software and perceived loss of control over user data with a cloud-based product. Other factors that may limit market acceptance of our cloud-based supply chain management products include:</w:t>
      </w:r>
    </w:p>
    <w:p>
      <w:pPr>
        <w:spacing w:after="0" w:line="79"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cloud-based products;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products;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address customers’ confidentiality and security concerns about information stored within our cloud-based products.</w:t>
      </w:r>
    </w:p>
    <w:p>
      <w:pPr>
        <w:spacing w:after="0" w:line="13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If retailers and their trading partners do not perceive the benefits of our cloud-based supply chain management products, or if retailers and their trading partners are unwilling to accept our cloud-based products as an alternative to the traditional approach, demand for our products may not continue to develop or may develop more slowly than we expect, either of which would significantly adversely affect our revenues, growth prospects, and overall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right="46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markets for supply chain management products are increasingly competitive and global. We expect competition to increase in the future both from existing competitors and new companies that may enter our markets. We face competition from:</w:t>
      </w:r>
    </w:p>
    <w:p>
      <w:pPr>
        <w:spacing w:after="0" w:line="62"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cloud-service providers that deliver business-to-business information systems using a multi-tenant approach;</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3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Moreover, 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acquisitions, partnerships, or strategic relationships. Any such consolidation, acquisition, alliance or cooperative relationship could lead to pricing pressure, loss of customers and our loss of market share and could result in one or more competitors with greater financial, technical, marketing, service and other resources, all of which could have a material adverse effect on our business, operating results and financial condition. Increased competition could reduce our market share, revenues, and operating margins, increase our costs of operations, and otherwise adversely affect our business.</w:t>
      </w:r>
    </w:p>
    <w:p>
      <w:pPr>
        <w:spacing w:after="0" w:line="58"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To remain competitive, we will need to invest continuously in software development, marketing, customer service and support, product delivery and other cloud-based network infrastructure. However, we cannot assure you that new or established competitors will not offer products that are superior to or lower in price than ours or both. We may not have sufficient resources to continue the investments in all areas of software development, marketing, customer service and support and infrastructure needed to maintain our competitive position which may diminish our market share and business prospects.</w:t>
      </w:r>
    </w:p>
    <w:p>
      <w:pPr>
        <w:spacing w:after="0" w:line="26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may not be able to successfully integrate or otherwise operate newly acquired companies or businesses, which could adversely affect our financial results.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Acquisitions involve numerous risks including:</w:t>
      </w:r>
    </w:p>
    <w:p>
      <w:pPr>
        <w:spacing w:after="0" w:line="11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or distracting our management resources;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improper compliance with laws and regulations and exposure to other contingent liabilities;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Fully integrating an acquired company or business into our operations may take a significant amount of time.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057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2"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right="500"/>
        <w:spacing w:after="0" w:line="378" w:lineRule="auto"/>
        <w:rPr>
          <w:sz w:val="20"/>
          <w:szCs w:val="20"/>
          <w:color w:val="auto"/>
        </w:rPr>
      </w:pPr>
      <w:r>
        <w:rPr>
          <w:rFonts w:ascii="Arial" w:cs="Arial" w:eastAsia="Arial" w:hAnsi="Arial"/>
          <w:sz w:val="15"/>
          <w:szCs w:val="15"/>
          <w:b w:val="1"/>
          <w:bCs w:val="1"/>
          <w:color w:val="auto"/>
        </w:rPr>
        <w:t>Because our long-term success depends, in part, on our ability to expand the sales of our products to customers located outside of the United States and expand operations to support such expansion, our business will be susceptible to risks associated with international operations.</w:t>
      </w:r>
    </w:p>
    <w:p>
      <w:pPr>
        <w:spacing w:after="0" w:line="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limited experience in operating our business outside of the United States increases the risk that our current and any future international expansion efforts will not be successful. Expanding international sales and operations subjects us to new risks that, generally, we have not faced in the U.S., including:</w:t>
      </w:r>
    </w:p>
    <w:p>
      <w:pPr>
        <w:spacing w:after="0" w:line="76"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misjudging the markets and competitive landscape of foreign jurisdictions;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30"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products, including translation into foreign languages and associated expenses;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53"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3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79"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addition, we operate in parts of the world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spacing w:after="0" w:line="5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Any unrest, military activities, or sanctions impacting our international operations, should they occur, could disrupt operations, and have a material adverse effect on our business. Any such disruption to our operations may be prolonged and require a transition to alternative workforce locations. An alternative workforce location may be more expensive to train, staff, and operate and may cause delays and shortfalls in programming deliverables and services, thus potentially harming our business. Given our significant international workforce in the Ukraine and the Philippines and the potentially volatile political and civil unrest situations in both areas, including but not limited to Russian interference and civil unrest with multiple groups, respectively, we are more susceptible to disruptions there. Those environments are out of our control and we cannot predict the outcome of future developments or reactions to such developments by the U.S., European, Asian, Oceanic, U.N. or other international authorities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00AAE5"/>
        </w:rPr>
        <w:t>Products and Service Offerings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new products and changes to existing products we pursue could fail to attract or retain customers or generate expected revenues.</w:t>
      </w:r>
    </w:p>
    <w:p>
      <w:pPr>
        <w:spacing w:after="0" w:line="13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ability to retain, increase, and engage our customers and to increase our revenues depends heavily on our ability to identify, develop, and launch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garner expected customer demand in a timely manner or at all, we may fail to generate sufficient revenues, operating margin, or other value to justify our investments and our business may be adversely affected.</w:t>
      </w:r>
    </w:p>
    <w:p>
      <w:pPr>
        <w:spacing w:after="0" w:line="292"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Our business is dependent on our ability to maintain and scale our technical infrastructure, and any failure to effectively maintain or scale such infrastructure could damage our reputation, result in a potential loss of revenue, and adversely affect our financial results.</w:t>
      </w:r>
    </w:p>
    <w:p>
      <w:pPr>
        <w:spacing w:after="0" w:line="3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reputation and ability to attract, retain and serve our customers is dependent upon the reliable performance of our cloud-based products and our underlying technical infrastructure and cloud providers. As our user base and the amount and types of information shared on our cloud-based network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result in interruptions or delays in service which may damage our reputation, result in a potential loss of customers, and adversely affect our financial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evolving requirements, and future industry standards, and to continue to enhance our existing products or introduce or acquire new products to keep pace with such technological developments. The success of our enhanced or new products depend on several factors, including the timely completion, introduction and market acceptance of the enhancement or product. Any new product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 provide more effective products than ours at lower prices. Any delay or failure in the introduction of new or enhanced products could adversely affect our business, results of operations and financial condition.</w:t>
      </w:r>
    </w:p>
    <w:p>
      <w:pPr>
        <w:spacing w:after="0" w:line="28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rely on third-party infrastructure, software and services that could take a significant time, and involve a complex transition, to replace or upgrade.</w:t>
      </w:r>
    </w:p>
    <w:p>
      <w:pPr>
        <w:spacing w:after="0" w:line="5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rely on infrastructure, software and services licensed from third parties to offer our cloud-based supply chain management products. This infrastructure, software, and services, as well as related maintenance and updates, may not continue to be available to us on commercially reasonable terms, or at all. If we lose the right to use or upgrade any of these licenses, our customers could experience delays or be unable to access our products until we can obtain and integrate equivalent technology. There might not always be commercially reasonable alternatives to the third-party infrastructure, software, and services that we currently license. Any such alternatives could be more difficult or costly to replace than what we currently license, and integration of the alternatives into our cloud-based products could require significant work and resources and delays. Any delays or failures associated with our cloud-based products could injure our reputation with current and potential customers and have an adverse effect on our business.</w:t>
      </w:r>
    </w:p>
    <w:p>
      <w:pPr>
        <w:spacing w:after="0" w:line="27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Interruptions or delays from third-party data centers or to the telecommunications infrastructure we use or rely on could impair the delivery of our products and our business could suffer.</w:t>
      </w:r>
    </w:p>
    <w:p>
      <w:pPr>
        <w:spacing w:after="0" w:line="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use third-party data centers, located in the U.S. and internationally, as well as provision services from cloud providers, to conduct our operations.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providers, against damage or service interruptions that may be caused by fire, flood,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2"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0"/>
        <w:spacing w:after="0" w:line="293" w:lineRule="auto"/>
        <w:rPr>
          <w:sz w:val="20"/>
          <w:szCs w:val="20"/>
          <w:color w:val="auto"/>
        </w:rPr>
      </w:pPr>
      <w:r>
        <w:rPr>
          <w:rFonts w:ascii="Arial" w:cs="Arial" w:eastAsia="Arial" w:hAnsi="Arial"/>
          <w:sz w:val="16"/>
          <w:szCs w:val="16"/>
          <w:color w:val="auto"/>
        </w:rPr>
        <w:t>storm, power loss, telecommunications failures, natural disasters, war, criminal act, military action, terrorist attack, financial failure of the service provider, and other events beyond our control. In addition, third-party malfeasance, such as intentional misconduct by computer hackers, unauthorized intrusions, computer viruses, ransomware, or denial of service attacks, may also cause substantial service disruptions. A prolonged service disruption affecting our products could damage our reputation with potential customers, cause us to lose existing customers, expose us to liability, or otherwise adversely affect our business. We may also incur significant costs for using alternative equipment or taking other actions in preparation for, or in reaction to, events that damage the data centers or infrastructure we use or rely on, including the additional expense of transitioning to substitute facilities or service providers.</w:t>
      </w:r>
    </w:p>
    <w:p>
      <w:pPr>
        <w:spacing w:after="0" w:line="2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prevent cyber-attacks, could materially damage our reputation, expose us to claims and litigation, and lead to service disruptions and harm our business. Additionally, the growing costs to avoid or reduce the risks of such a failure could adversely affect our results of operations.</w:t>
      </w:r>
    </w:p>
    <w:p>
      <w:pPr>
        <w:spacing w:after="0" w:line="7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As demonstrated by the frequency and sophistication of material and high-profile data security breaches within the retail industry, computer malware, viruses, computer hacking, phishing attacks, spamming, ransomware, and other electronic threats have become more prevalent in our industry. Given the interconnected nature of the retail supply chain, our significant presence in the retail industry, and the occurrence of cyber-attacks on our system in the past, we believe that we are a particularly attractive target for such attacks.</w:t>
      </w:r>
    </w:p>
    <w:p>
      <w:pPr>
        <w:spacing w:after="0" w:line="79"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Our business involves the collection and use of confidential information of our customers and their trading partners which sometimes requires our direct access to our customers’ information systems. Our security measures may be breached as a result of third-party action, including intentional misconduct by computer hackers via cyber-attacks, employee error, malfeasance, system errors or vulnerabilities, including vulnerabilities of our third-party vendors, customers, or otherwise and result in someone obtaining unauthorized access to our customers’ information and information 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spacing w:after="0" w:line="88"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Any failure to maintain performance, reliability, security and availability of our cloud-based products to the satisfaction of our customers, or any unauthorized access to our customers’ information or systems is caused by our products or cloud-based network, may cause service disruptions, harm our reputation, impair our ability to retain existing customers and attract new customers and expose us to legal claims and government action, each of which could have a material adverse impact on our financial condition, results of operations and growth prospects. Although we are allocating more resources to address cyber threats and safeguard our products and services, we cannot assure you that these efforts to protect this confidential information and authorized access to such information systems will be successful, and the growing costs related to these efforts could adversely affect our results of operations. In addition, because of the critical nature of information security and system access, any actual or perceived failure of our security measures could cause existing or potential customers not to use our products and harm our reputation.</w:t>
      </w:r>
    </w:p>
    <w:p>
      <w:pPr>
        <w:spacing w:after="0" w:line="57" w:lineRule="exact"/>
        <w:rPr>
          <w:sz w:val="20"/>
          <w:szCs w:val="20"/>
          <w:color w:val="auto"/>
        </w:rPr>
      </w:pPr>
    </w:p>
    <w:p>
      <w:pPr>
        <w:ind w:right="340" w:firstLine="510"/>
        <w:spacing w:after="0" w:line="257" w:lineRule="auto"/>
        <w:rPr>
          <w:sz w:val="20"/>
          <w:szCs w:val="20"/>
          <w:color w:val="auto"/>
        </w:rPr>
      </w:pPr>
      <w:r>
        <w:rPr>
          <w:rFonts w:ascii="Arial" w:cs="Arial" w:eastAsia="Arial" w:hAnsi="Arial"/>
          <w:sz w:val="18"/>
          <w:szCs w:val="18"/>
          <w:color w:val="auto"/>
        </w:rPr>
        <w:t>Businesses in the retail industry have experienced material sales declines after discovering data security breaches, and our business could be similarly impacted in the event of a breach or other cyber incident. Furthermore, many U.S. states and international jurisdictions have enacted laws requiring companies to notify consumers of data security breaches involving their personal data. These mandatory disclosures regarding a data security breach often lead to widespread negative publicity, which may cause our customers to lose confidence in our products and the effectiveness of our data security measures.</w:t>
      </w:r>
    </w:p>
    <w:p>
      <w:pPr>
        <w:spacing w:after="0" w:line="29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third-party components or processes that comprise our existing or new products, any of which could adversely affect our business.</w:t>
      </w:r>
    </w:p>
    <w:p>
      <w:pPr>
        <w:spacing w:after="0" w:line="5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Technology products like ours may contain undetected defects in the hardware, software, infrastructure, third-party components or processes that are part of the products we provide. If these defects lead to service failures, we could experience delays or lost revenues, diversion of software engineering resources, negative media attention or increased service costs as a result of performance claims during the period required to correct the cause of the defects. We cannot be certain that defects will be avoided in our upgraded or new products, resulting in loss of, or delay in, market acceptance, which could have an adverse effect on our business, results of operations and financial condition.</w:t>
      </w:r>
    </w:p>
    <w:p>
      <w:pPr>
        <w:spacing w:after="0" w:line="6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Because customers use our cloud-based supply chain management products for critical business processes, any defect in our products, any disruption to our products or any error in execution could cause recurring revenue customers to cancel their contracts with us, cause potential customers to not join our network and harm our reputation. We could also be subject to litigation for actual or alleged losses to our customers’ businesses,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0574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7"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40" w:firstLine="510"/>
        <w:spacing w:after="0" w:line="273" w:lineRule="auto"/>
        <w:rPr>
          <w:sz w:val="20"/>
          <w:szCs w:val="20"/>
          <w:color w:val="auto"/>
        </w:rPr>
      </w:pPr>
      <w:r>
        <w:rPr>
          <w:rFonts w:ascii="Arial" w:cs="Arial" w:eastAsia="Arial" w:hAnsi="Arial"/>
          <w:sz w:val="17"/>
          <w:szCs w:val="17"/>
          <w:color w:val="auto"/>
        </w:rPr>
        <w:t>The insurers under our existing liability insurance policy could deny coverage of a future claim that results from an error or defect in our technology or a resulting disruption in our products,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against by, our insurance coverage, or the occurrence of changes in our liability insurance policy, including an increase in premiums or imposition of large deductible or co-insurance requirements, could have an adverse effect on our business, financial condition, and operating results.</w:t>
      </w:r>
    </w:p>
    <w:p>
      <w:pPr>
        <w:spacing w:after="0" w:line="28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open source, or other no-cost products and services, expand into enterprise application and supply chain software or products, our prices, revenues, and operating results may decline.</w:t>
      </w:r>
    </w:p>
    <w:p>
      <w:pPr>
        <w:spacing w:after="0" w:line="5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If developers contribute effective and scalable enterprise and supply chain application software to the open source community, or if competitors make such software or service available at no cost, we may need to lower our product pricing and alter our distribution strategy to compete successfully, and our revenues and operating results may decline as a result.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products that incorporate the open source software for no cost or making the source code we create based upon, incorporating, or using the open source software available for modifications or derivative works. If an author or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58"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While we monitor the use of a majority of open source software in our products, processes and technology and work to ensure that open source software is not used in such a way as to require us to disclose the source code to the related product or product, such use could inadvertently occur. Additionally, if a third-party software provider has incorporated certain types of open source software into software we license from such third-party for our products, we could, under certain circumstances, be required to disclose the source code to our products. This could harm our intellectual property position and have a material adverse effect on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suffer material adverse effects.</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license agreements, trademarks, domain names and other measures, some of which afford only limited protection. We do not have any issued patents or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the same extent as the laws of the U.S.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73"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line="282" w:lineRule="auto"/>
        <w:rPr>
          <w:sz w:val="20"/>
          <w:szCs w:val="20"/>
          <w:color w:val="auto"/>
        </w:rPr>
      </w:pPr>
      <w:r>
        <w:rPr>
          <w:rFonts w:ascii="Arial" w:cs="Arial" w:eastAsia="Arial" w:hAnsi="Arial"/>
          <w:sz w:val="18"/>
          <w:szCs w:val="18"/>
          <w:b w:val="1"/>
          <w:bCs w:val="1"/>
          <w:color w:val="auto"/>
        </w:rPr>
        <w:t>An assertion by a third-party that we are infringing its intellectual property, whether or not correct, could subject us to costly and time-consuming litigation or expensive licenses and our business might be materially harmed.</w:t>
      </w:r>
    </w:p>
    <w:p>
      <w:pPr>
        <w:spacing w:after="0" w:line="5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products, we could be constrained by the intellectual property rights of others.</w:t>
      </w:r>
    </w:p>
    <w:p>
      <w:pPr>
        <w:spacing w:after="0" w:line="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might not prevail in any intellectual property infringement litigation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products violate any third-party proprietary rights, we could be required to withdraw those products from the market, re-develop those products or seek to obtain licenses from third parties, which might not be available on reasonable terms or at all. Any efforts to re-develop our products,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third-party proprietary information and who decides to use such information in connection with our products, services, or business processes without such third-party’s authorization. Regardless of the source of such misuse of third-party intellectual property, any resulting withdrawal of our products from the market might materially harm our business, financial condition, and operating results.</w:t>
      </w:r>
    </w:p>
    <w:p>
      <w:pPr>
        <w:spacing w:after="0" w:line="6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addition, we incorporate open source software into our cloud-based products.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products. In that event, we could be required to seek licenses from third parties in order to continue offering our products, to re-develop our products or to discontinue sales of our products, or to release our proprietary software code under the terms of an open source license, any of which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Regulation</w:t>
      </w:r>
    </w:p>
    <w:p>
      <w:pPr>
        <w:spacing w:after="0" w:line="221"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Privacy concerns and laws, evolving regulation of cloud computing, cross-border data transfer restrictions and other domestic or foreign regulations may limit the use and adoption of our products and adversely affect our business.</w:t>
      </w:r>
    </w:p>
    <w:p>
      <w:pPr>
        <w:spacing w:after="0" w:line="58"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General Data Protection Regulation, also governs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products or restrict our ability to store and process data or, in some cases, impact our ability to offer our services and products in certain locations.</w:t>
      </w:r>
    </w:p>
    <w:p>
      <w:pPr>
        <w:spacing w:after="0" w:line="6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products to certain customers and could harm our business.</w:t>
      </w:r>
    </w:p>
    <w:p>
      <w:pPr>
        <w:spacing w:after="0" w:line="79"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spacing w:after="0" w:line="6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products.</w:t>
      </w:r>
    </w:p>
    <w:p>
      <w:pPr>
        <w:spacing w:after="0" w:line="288"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Evolving regulation of the internet may increase our expenditures related to compliance efforts, which may adversely affect our financial condition.</w:t>
      </w:r>
    </w:p>
    <w:p>
      <w:pPr>
        <w:spacing w:after="0" w:line="5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e-commerce continues to evolve, increasing regulation by federal, state, or foreign agencies becomes more likely. We are particularly sensitive to these risks because the internet is a critical component of our cloud-based business model. In addition, taxation of services provided over the internet or other charges imposed by government agencies or by private organizations for accessing the internet may adversely impact our business. Any regulation imposing greater fees for internet use or restricting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information exchange over the internet could result in a deceleration or decline in the use of the internet and the viability of internet-based services, which could materially harm our business.</w:t>
      </w:r>
    </w:p>
    <w:p>
      <w:pPr>
        <w:spacing w:after="0" w:line="2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Industry-specific regulation is evolving, and unfavorable or burdensome industry-specific laws, regulations or interpretive positions could harm our business.</w:t>
      </w:r>
    </w:p>
    <w:p>
      <w:pPr>
        <w:spacing w:after="0" w:line="5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Ownership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in the future, which could result in volatility in our stock price.</w:t>
      </w:r>
    </w:p>
    <w:p>
      <w:pPr>
        <w:spacing w:after="0" w:line="12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Our quarterly revenues and results of operations have varied in the past and may fluctuate in the future. Fluctuations in our results of operations may be due to a number of factors, including, but not limited to, those listed below and identified throughout this “Risk Factors” section:</w:t>
      </w:r>
    </w:p>
    <w:p>
      <w:pPr>
        <w:spacing w:after="0" w:line="38" w:lineRule="exact"/>
        <w:rPr>
          <w:sz w:val="20"/>
          <w:szCs w:val="20"/>
          <w:color w:val="auto"/>
        </w:rPr>
      </w:pPr>
    </w:p>
    <w:p>
      <w:pPr>
        <w:ind w:left="1000" w:right="2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introductions of new products or upgrades by us or our competitors;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the U.S and global economy, in particular, as it affects the U.S. retail sector;</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w:t>
      </w:r>
    </w:p>
    <w:p>
      <w:pPr>
        <w:spacing w:after="0" w:line="130"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costs and unforeseen legal expenses, including litigation and settlement costs;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size, integration and operational success of potential future acquisitions;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payment terms for our products;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3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Due to the foregoing factors, and other risks, including those identified in this “Risk Factors” section, comparing our operating results on a period-to-period basis may not be meaningful. You should not rely on these comparisons of our past results of operations as an indication of our future performance.</w:t>
      </w:r>
    </w:p>
    <w:p>
      <w:pPr>
        <w:spacing w:after="0" w:line="76" w:lineRule="exact"/>
        <w:rPr>
          <w:sz w:val="20"/>
          <w:szCs w:val="20"/>
          <w:color w:val="auto"/>
        </w:rPr>
      </w:pPr>
    </w:p>
    <w:p>
      <w:pPr>
        <w:ind w:right="280" w:firstLine="510"/>
        <w:spacing w:after="0" w:line="308" w:lineRule="auto"/>
        <w:rPr>
          <w:sz w:val="20"/>
          <w:szCs w:val="20"/>
          <w:color w:val="auto"/>
        </w:rPr>
      </w:pPr>
      <w:r>
        <w:rPr>
          <w:rFonts w:ascii="Arial" w:cs="Arial" w:eastAsia="Arial" w:hAnsi="Arial"/>
          <w:sz w:val="17"/>
          <w:szCs w:val="17"/>
          <w:color w:val="auto"/>
        </w:rPr>
        <w:t>Our operating results in one or more future quarters may fluctuate, fall below the expectations of securities analysts and investors, or be less than any guidance we may provide to the market. If this occurs, the trading price of our common stock could decline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0574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Shares of our common stock were sold in our April 2010 initial public offering at a split adjusted price of $6.00 per share, and through December 31, 2021, our common stock has traded as high as a split adjusted price of $174.42 per share and as low as a split adjusted price of $4.23 per share. An active, liquid, and orderly market for our common stock may not be sustained, which could depress the trading price of our common stock. Some of the factors that may cause the market price of our common stock to fluctuate include:</w:t>
      </w:r>
    </w:p>
    <w:p>
      <w:pPr>
        <w:spacing w:after="0" w:line="79" w:lineRule="exact"/>
        <w:rPr>
          <w:sz w:val="20"/>
          <w:szCs w:val="20"/>
          <w:color w:val="auto"/>
        </w:rPr>
      </w:pPr>
    </w:p>
    <w:p>
      <w:pPr>
        <w:ind w:left="1000" w:right="1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guidance and quarterly financial results or the guidance or quarterly financial results of companies perceived to be similar to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of our products to achieve or maintain market acceptance;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companies perceived to be similar to us;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contracts, acquisitions, or strategic alliances;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3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if the market for software or technology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1000" w:right="1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30"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31" w:lineRule="exact"/>
        <w:rPr>
          <w:sz w:val="20"/>
          <w:szCs w:val="20"/>
          <w:color w:val="auto"/>
        </w:rPr>
      </w:pPr>
    </w:p>
    <w:p>
      <w:pPr>
        <w:ind w:right="160" w:firstLine="562"/>
        <w:spacing w:after="0" w:line="263"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entrenching our management team and may deprive you of the opportunity to sell your shares to potential acquirers at a premium over prevailing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potential inability to obtain a control premium could reduce the price of our common stock.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General Risks</w:t>
      </w:r>
    </w:p>
    <w:p>
      <w:pPr>
        <w:spacing w:after="0" w:line="32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280" w:firstLine="562"/>
        <w:spacing w:after="0" w:line="296" w:lineRule="auto"/>
        <w:rPr>
          <w:sz w:val="20"/>
          <w:szCs w:val="20"/>
          <w:color w:val="auto"/>
        </w:rPr>
      </w:pPr>
      <w:r>
        <w:rPr>
          <w:rFonts w:ascii="Arial" w:cs="Arial" w:eastAsia="Arial" w:hAnsi="Arial"/>
          <w:sz w:val="16"/>
          <w:szCs w:val="16"/>
          <w:color w:val="auto"/>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5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enhance our products;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new or complementary technologies, products, or businesses;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Unanticipated changes in effective tax rates or adverse outcomes resulting from examination of our income or other tax returns could adversely affect our operating results and financial condition.</w:t>
      </w:r>
    </w:p>
    <w:p>
      <w:pPr>
        <w:spacing w:after="0" w:line="5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are subject to income taxes in the U.S. and various foreign jurisdictions, and our domestic and international tax liabilities will be subject to the allocation of expenses in differing jurisdictions. Our future effective tax rates could be subject to volatility or adversely affected by a number of factors, including:</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timing and amount of the release of tax valuation allowances;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regulations, accounting principles or interpretations thereof; and</w:t>
      </w:r>
    </w:p>
    <w:p>
      <w:pPr>
        <w:spacing w:after="0" w:line="130"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are subject to audits of our income, sales, and other taxes by the Internal Revenue Service and other foreign and state tax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ind w:right="8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spacing w:after="0" w:line="72"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pacing w:after="0" w:line="285"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The extent to which the COVID-19 outbreak and measures taken in response thereto impact our business, results of operations and financial condition will depend on on-going and future developments and outcomes, which are highly uncertain and cannot be predicted.</w:t>
      </w:r>
    </w:p>
    <w:p>
      <w:pPr>
        <w:spacing w:after="0" w:line="3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business operations and financial results may be adversely impacted by health epidemics, pandemics, and similar outbreaks. Despite our efforts to manage these impacts, their ultimate impact also depends on factors beyond our knowledge or control, including the duration and severity of any such outbreak and actions taken to contain its spread and mitigate its public health effects.</w:t>
      </w:r>
    </w:p>
    <w:p>
      <w:pPr>
        <w:spacing w:after="0" w:line="76"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COVID-19 pandemic, including resurgences and variants, could have adverse impacts on our business operations by limiting our employees' ability to work and travel, disrupting our third-party technology providers, or causing internal operational workflow to change, among other potentially unforeseen circumstances given the unprecedented and continuously evolving situation.</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Additionally, the COVID-19 pandemic may continue to cause significant disruptions and changes in the economic or political conditions in markets in which we operate. This may cause significant volatility in demand for our services due to, among other adverse impacts, disruption and downturns in our customers’ businesses and related supply chains, an acceleration of existing customer bankruptcies, or our customers’ ability to pay for our services when due or in full. Although certain customers may have a reduced demand for our services, we also may see increased demand by certain customer segments, potentially offsetting reduced demand.</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1B.</w:t>
      </w:r>
      <w:r>
        <w:rPr>
          <w:sz w:val="20"/>
          <w:szCs w:val="20"/>
          <w:color w:val="auto"/>
        </w:rPr>
        <w:tab/>
      </w:r>
      <w:r>
        <w:rPr>
          <w:rFonts w:ascii="Arial" w:cs="Arial" w:eastAsia="Arial" w:hAnsi="Arial"/>
          <w:sz w:val="16"/>
          <w:szCs w:val="16"/>
          <w:b w:val="1"/>
          <w:bCs w:val="1"/>
          <w:color w:val="00AAE5"/>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Properties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Minnesota. This location includes approximately 198,000 square feet of space and is under lease through 2027. We also lease office space in or near Little Falls, New Jersey; Kyiv, Ukraine; Toronto, Canada; Melbourne and Sydney, Australia; Beijing, China; and Amsterdam, Netherlands. We believe that our current facilities are suitable and adequate to meet our current needs and that suitable additional or substitute space will be available as needed to accommodate expansion of our operations.</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0AAE5"/>
        </w:rPr>
        <w:t>PART II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6"/>
          <w:szCs w:val="16"/>
          <w:b w:val="1"/>
          <w:bCs w:val="1"/>
          <w:color w:val="00AAE5"/>
        </w:rPr>
        <w:t>Market for Registrant’s Common Equity, Related Stockholder Matters, and Issuer Purchases of Equity Securities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w:t>
      </w:r>
    </w:p>
    <w:p>
      <w:pPr>
        <w:spacing w:after="0" w:line="6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11, 2022, we had 77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have not historically paid cash dividends on our common stock. We currently intend to retain our future earnings, if any,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Stock Performance Graph and Cumulative Total Return</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63"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table and graph below compare the cumulative total stockholder return of our common stock with that of the Nasdaq US Benchmark TR Index and the Nasdaq Computer Index from December 31, 2016 through December 31, 2021, utilizing the last trading day of each respective year. The return assumes that $100 was invested in shares of our common stock and the other indexes at the close of market on December 31, 2016, and that dividends, if any, were reinvested. The comparisons in this table and graph are based on historical data and are not intended to forecast or be indicative of future performance of our common stock.</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Comparison of Cumulative Total Returns of SPS Commerce, Inc. to Comparable Indexes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left="484"/>
              <w:spacing w:after="0"/>
              <w:rPr>
                <w:sz w:val="20"/>
                <w:szCs w:val="20"/>
                <w:color w:val="auto"/>
              </w:rPr>
            </w:pPr>
            <w:r>
              <w:rPr>
                <w:rFonts w:ascii="Arial" w:cs="Arial" w:eastAsia="Arial" w:hAnsi="Arial"/>
                <w:sz w:val="14"/>
                <w:szCs w:val="14"/>
                <w:b w:val="1"/>
                <w:bCs w:val="1"/>
                <w:color w:val="auto"/>
                <w:w w:val="91"/>
              </w:rPr>
              <w:t>Nasdaq US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Nasdaq</w:t>
            </w:r>
          </w:p>
        </w:tc>
      </w:t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left="484"/>
              <w:spacing w:after="0"/>
              <w:rPr>
                <w:sz w:val="20"/>
                <w:szCs w:val="20"/>
                <w:color w:val="auto"/>
              </w:rPr>
            </w:pPr>
            <w:r>
              <w:rPr>
                <w:rFonts w:ascii="Arial" w:cs="Arial" w:eastAsia="Arial" w:hAnsi="Arial"/>
                <w:sz w:val="14"/>
                <w:szCs w:val="14"/>
                <w:b w:val="1"/>
                <w:bCs w:val="1"/>
                <w:color w:val="auto"/>
                <w:w w:val="94"/>
              </w:rPr>
              <w:t>Benchmark</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Computer</w:t>
            </w:r>
          </w:p>
        </w:tc>
      </w:tr>
      <w:tr>
        <w:trPr>
          <w:trHeight w:val="171"/>
        </w:trPr>
        <w:tc>
          <w:tcPr>
            <w:tcW w:w="5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SPS Commerce</w:t>
            </w:r>
          </w:p>
        </w:tc>
        <w:tc>
          <w:tcPr>
            <w:tcW w:w="1400" w:type="dxa"/>
            <w:vAlign w:val="bottom"/>
          </w:tcPr>
          <w:p>
            <w:pPr>
              <w:jc w:val="center"/>
              <w:ind w:left="484"/>
              <w:spacing w:after="0"/>
              <w:rPr>
                <w:sz w:val="20"/>
                <w:szCs w:val="20"/>
                <w:color w:val="auto"/>
              </w:rPr>
            </w:pPr>
            <w:r>
              <w:rPr>
                <w:rFonts w:ascii="Arial" w:cs="Arial" w:eastAsia="Arial" w:hAnsi="Arial"/>
                <w:sz w:val="14"/>
                <w:szCs w:val="14"/>
                <w:b w:val="1"/>
                <w:bCs w:val="1"/>
                <w:color w:val="auto"/>
              </w:rPr>
              <w:t>TR Index</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Index</w:t>
            </w:r>
          </w:p>
        </w:tc>
      </w:tr>
      <w:tr>
        <w:trPr>
          <w:trHeight w:val="223"/>
        </w:trPr>
        <w:tc>
          <w:tcPr>
            <w:tcW w:w="5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12/30/2016</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2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100.00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140" w:type="dxa"/>
            <w:vAlign w:val="bottom"/>
          </w:tcPr>
          <w:p>
            <w:pPr>
              <w:jc w:val="center"/>
              <w:spacing w:after="0"/>
              <w:rPr>
                <w:sz w:val="20"/>
                <w:szCs w:val="20"/>
                <w:color w:val="auto"/>
              </w:rPr>
            </w:pPr>
            <w:r>
              <w:rPr>
                <w:rFonts w:ascii="Arial" w:cs="Arial" w:eastAsia="Arial" w:hAnsi="Arial"/>
                <w:sz w:val="18"/>
                <w:szCs w:val="18"/>
                <w:color w:val="auto"/>
                <w:w w:val="90"/>
              </w:rPr>
              <w:t>12/29/2017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69.52</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121.38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138.77</w:t>
            </w:r>
          </w:p>
        </w:tc>
        <w:tc>
          <w:tcPr>
            <w:tcW w:w="100" w:type="dxa"/>
            <w:vAlign w:val="bottom"/>
          </w:tcPr>
          <w:p>
            <w:pPr>
              <w:spacing w:after="0"/>
              <w:rPr>
                <w:sz w:val="21"/>
                <w:szCs w:val="21"/>
                <w:color w:val="auto"/>
              </w:rPr>
            </w:pPr>
          </w:p>
        </w:tc>
      </w:tr>
      <w:tr>
        <w:trPr>
          <w:trHeight w:val="243"/>
        </w:trPr>
        <w:tc>
          <w:tcPr>
            <w:tcW w:w="5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12/31/2018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117.87</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114.77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133.66</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jc w:val="center"/>
              <w:spacing w:after="0"/>
              <w:rPr>
                <w:sz w:val="20"/>
                <w:szCs w:val="20"/>
                <w:color w:val="auto"/>
              </w:rPr>
            </w:pPr>
            <w:r>
              <w:rPr>
                <w:rFonts w:ascii="Arial" w:cs="Arial" w:eastAsia="Arial" w:hAnsi="Arial"/>
                <w:sz w:val="18"/>
                <w:szCs w:val="18"/>
                <w:color w:val="auto"/>
                <w:w w:val="90"/>
              </w:rPr>
              <w:t>12/31/2019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158.59</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150.55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200.94</w:t>
            </w:r>
          </w:p>
        </w:tc>
        <w:tc>
          <w:tcPr>
            <w:tcW w:w="100" w:type="dxa"/>
            <w:vAlign w:val="bottom"/>
          </w:tcPr>
          <w:p>
            <w:pPr>
              <w:spacing w:after="0"/>
              <w:rPr>
                <w:sz w:val="21"/>
                <w:szCs w:val="21"/>
                <w:color w:val="auto"/>
              </w:rPr>
            </w:pPr>
          </w:p>
        </w:tc>
      </w:tr>
      <w:tr>
        <w:trPr>
          <w:trHeight w:val="243"/>
        </w:trPr>
        <w:tc>
          <w:tcPr>
            <w:tcW w:w="5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12/31/2020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310.75</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301.37</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jc w:val="center"/>
              <w:spacing w:after="0"/>
              <w:rPr>
                <w:sz w:val="20"/>
                <w:szCs w:val="20"/>
                <w:color w:val="auto"/>
              </w:rPr>
            </w:pPr>
            <w:r>
              <w:rPr>
                <w:rFonts w:ascii="Arial" w:cs="Arial" w:eastAsia="Arial" w:hAnsi="Arial"/>
                <w:sz w:val="18"/>
                <w:szCs w:val="18"/>
                <w:color w:val="auto"/>
                <w:w w:val="90"/>
              </w:rPr>
              <w:t>12/31/2021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407.35</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229.84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415.46</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0</wp:posOffset>
            </wp:positionV>
            <wp:extent cx="4877435" cy="1928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743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Sales of 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repurchase activity for the quarter ended December 31, 2021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Part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ind w:left="266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Paid per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(1)(2)</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1 - 31, 2021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20,389,000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November 1 - 30,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4,287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49,394,000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138.83</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40,231,000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138.98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40,231,000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20" w:right="40" w:hanging="1012"/>
        <w:spacing w:after="0" w:line="25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November 2, 2019, our board of directors authorized a program to repurchase up to $50.0 million of common stock. Under the program, purchases could be made from time to time in the open market over two years. At the program’s expiration, November 2, 2021, $20.4 million worth of shares expired from the program.</w:t>
      </w:r>
    </w:p>
    <w:p>
      <w:pPr>
        <w:spacing w:after="0" w:line="2" w:lineRule="exact"/>
        <w:rPr>
          <w:rFonts w:ascii="Arial" w:cs="Arial" w:eastAsia="Arial" w:hAnsi="Arial"/>
          <w:sz w:val="18"/>
          <w:szCs w:val="18"/>
          <w:color w:val="auto"/>
        </w:rPr>
      </w:pPr>
    </w:p>
    <w:p>
      <w:pPr>
        <w:ind w:left="1020" w:right="300" w:hanging="1012"/>
        <w:spacing w:after="0" w:line="277"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October 28, 2021, our board of directors authorized a new program to repurchase up to $50.0 million of our common stock. Under the program, purchases may be made from time to time in the open market or in privately negotiated purchases, or both. The new share repurchase program became effective on November 28, 2021 and expires on November 28, 2023.</w:t>
      </w:r>
    </w:p>
    <w:p>
      <w:pPr>
        <w:spacing w:after="0" w:line="105"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See Note K to our consolidated financial statements, included in Part II, Item 8, “Financial Statements and Supplementary Data” of this Annual Report on Form 10-K, for additional information regarding our stock repurchase program.</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00AAE5"/>
              </w:rPr>
              <w:t>Item 6.</w:t>
            </w:r>
          </w:p>
        </w:tc>
        <w:tc>
          <w:tcPr>
            <w:tcW w:w="2840" w:type="dxa"/>
            <w:vAlign w:val="bottom"/>
          </w:tcPr>
          <w:p>
            <w:pPr>
              <w:jc w:val="right"/>
              <w:ind w:right="1610"/>
              <w:spacing w:after="0"/>
              <w:rPr>
                <w:sz w:val="20"/>
                <w:szCs w:val="20"/>
                <w:color w:val="auto"/>
              </w:rPr>
            </w:pPr>
            <w:r>
              <w:rPr>
                <w:rFonts w:ascii="Arial" w:cs="Arial" w:eastAsia="Arial" w:hAnsi="Arial"/>
                <w:sz w:val="18"/>
                <w:szCs w:val="18"/>
                <w:b w:val="1"/>
                <w:bCs w:val="1"/>
                <w:color w:val="00AAE5"/>
              </w:rPr>
              <w:t>[Reserved]</w:t>
            </w:r>
          </w:p>
        </w:tc>
        <w:tc>
          <w:tcPr>
            <w:tcW w:w="320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24"/>
        </w:trPr>
        <w:tc>
          <w:tcPr>
            <w:tcW w:w="3720" w:type="dxa"/>
            <w:vAlign w:val="bottom"/>
            <w:gridSpan w:val="2"/>
          </w:tcPr>
          <w:p>
            <w:pPr>
              <w:jc w:val="right"/>
              <w:ind w:right="2010"/>
              <w:spacing w:after="0"/>
              <w:rPr>
                <w:sz w:val="20"/>
                <w:szCs w:val="20"/>
                <w:color w:val="auto"/>
              </w:rPr>
            </w:pPr>
            <w:r>
              <w:rPr>
                <w:rFonts w:ascii="Arial" w:cs="Arial" w:eastAsia="Arial" w:hAnsi="Arial"/>
                <w:sz w:val="18"/>
                <w:szCs w:val="18"/>
                <w:color w:val="auto"/>
              </w:rPr>
              <w:t>Not applicable.</w:t>
            </w:r>
          </w:p>
        </w:tc>
        <w:tc>
          <w:tcPr>
            <w:tcW w:w="32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798"/>
        </w:trPr>
        <w:tc>
          <w:tcPr>
            <w:tcW w:w="3720" w:type="dxa"/>
            <w:vAlign w:val="bottom"/>
            <w:gridSpan w:val="2"/>
          </w:tcPr>
          <w:p>
            <w:pPr>
              <w:jc w:val="right"/>
              <w:ind w:right="1610"/>
              <w:spacing w:after="0"/>
              <w:rPr>
                <w:sz w:val="20"/>
                <w:szCs w:val="20"/>
                <w:color w:val="auto"/>
              </w:rPr>
            </w:pPr>
            <w:r>
              <w:rPr>
                <w:rFonts w:ascii="Arial" w:cs="Arial" w:eastAsia="Arial" w:hAnsi="Arial"/>
                <w:sz w:val="14"/>
                <w:szCs w:val="14"/>
                <w:b w:val="1"/>
                <w:bCs w:val="1"/>
                <w:color w:val="auto"/>
              </w:rPr>
              <w:t>SPS COMMERCE, INC.</w:t>
            </w:r>
          </w:p>
        </w:tc>
        <w:tc>
          <w:tcPr>
            <w:tcW w:w="3200" w:type="dxa"/>
            <w:vAlign w:val="bottom"/>
          </w:tcPr>
          <w:p>
            <w:pPr>
              <w:jc w:val="right"/>
              <w:ind w:right="1268"/>
              <w:spacing w:after="0"/>
              <w:rPr>
                <w:sz w:val="20"/>
                <w:szCs w:val="20"/>
                <w:color w:val="auto"/>
              </w:rPr>
            </w:pPr>
            <w:r>
              <w:rPr>
                <w:rFonts w:ascii="Arial" w:cs="Arial" w:eastAsia="Arial" w:hAnsi="Arial"/>
                <w:sz w:val="14"/>
                <w:szCs w:val="14"/>
                <w:color w:val="auto"/>
              </w:rPr>
              <w:t>23</w:t>
            </w:r>
          </w:p>
        </w:tc>
        <w:tc>
          <w:tcPr>
            <w:tcW w:w="4320" w:type="dxa"/>
            <w:vAlign w:val="bottom"/>
          </w:tcPr>
          <w:p>
            <w:pPr>
              <w:ind w:left="134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r>
      <w:tr>
        <w:trPr>
          <w:trHeight w:val="329"/>
        </w:trPr>
        <w:tc>
          <w:tcPr>
            <w:tcW w:w="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tabs>
          <w:tab w:leader="none" w:pos="1000" w:val="left"/>
        </w:tabs>
        <w:rPr>
          <w:sz w:val="20"/>
          <w:szCs w:val="20"/>
          <w:color w:val="auto"/>
        </w:rPr>
      </w:pPr>
      <w:r>
        <w:rPr>
          <w:rFonts w:ascii="Arial" w:cs="Arial" w:eastAsia="Arial" w:hAnsi="Arial"/>
          <w:sz w:val="18"/>
          <w:szCs w:val="18"/>
          <w:b w:val="1"/>
          <w:bCs w:val="1"/>
          <w:color w:val="00AAE5"/>
        </w:rPr>
        <w:t>Item 7.</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right="60" w:firstLine="510"/>
        <w:spacing w:after="0" w:line="279"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audited financial statements and related notes which are included in Part II, Item 8, “Financial Statements and Supplementary Data” of this Annual Report on Form 10-K. Our actual results could differ materially from those anticipated in the forward-looking statements included in this discussion as a result of certain factors, including, but not limited to, those discussed in Part I, Item 1A, “</w:t>
      </w:r>
      <w:hyperlink w:anchor="page10">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auto"/>
        </w:rPr>
        <w:t>”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that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SPS Commerce provides enable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79"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7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the years ended December 31, 2021, 2020, and 2019, we generated revenues of $385.3 million, $312.6 million and $279.1 million, respectively. Our quarter ended December 31, 2021 represented our 84th consecutive quarter of revenue growth. Recurring revenues from recurring revenue customers accounted for 92%, 94%, and 94% of our total revenues for the years ended December 31, 2021, 2020, and 2019, respectively. Our revenues are not concentrated with any customer, as our largest customer represented less than 1% of total revenues for the years ended December 31, 2021, 2020, and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i w:val="1"/>
          <w:iCs w:val="1"/>
          <w:color w:val="auto"/>
        </w:rPr>
        <w:t xml:space="preserve">Fulfillment - </w:t>
      </w:r>
      <w:r>
        <w:rPr>
          <w:rFonts w:ascii="Arial" w:cs="Arial" w:eastAsia="Arial" w:hAnsi="Arial"/>
          <w:sz w:val="18"/>
          <w:szCs w:val="18"/>
          <w:color w:val="auto"/>
        </w:rPr>
        <w:t>Our Fulfillment product provides fulfillment automation and replaces or augments an organization’s existing staff and trading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communication infrastructure by enabling easy compliance with retailers’ rulebooks, automatic, digital exchange of information among numerous trading partners through various protocols, and greater visibility into the journey of an order.</w:t>
      </w:r>
    </w:p>
    <w:p>
      <w:pPr>
        <w:spacing w:after="0" w:line="7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i w:val="1"/>
          <w:iCs w:val="1"/>
          <w:color w:val="auto"/>
        </w:rPr>
        <w:t xml:space="preserve">Analytics - </w:t>
      </w:r>
      <w:r>
        <w:rPr>
          <w:rFonts w:ascii="Arial" w:cs="Arial" w:eastAsia="Arial" w:hAnsi="Arial"/>
          <w:sz w:val="16"/>
          <w:szCs w:val="16"/>
          <w:color w:val="auto"/>
        </w:rPr>
        <w:t>Our Analytics product consists of data analytics applications that enable our customers to improve their visibility across their supply</w:t>
      </w:r>
      <w:r>
        <w:rPr>
          <w:rFonts w:ascii="Arial" w:cs="Arial" w:eastAsia="Arial" w:hAnsi="Arial"/>
          <w:sz w:val="16"/>
          <w:szCs w:val="16"/>
          <w:i w:val="1"/>
          <w:iCs w:val="1"/>
          <w:color w:val="auto"/>
        </w:rPr>
        <w:t xml:space="preserve"> </w:t>
      </w:r>
      <w:r>
        <w:rPr>
          <w:rFonts w:ascii="Arial" w:cs="Arial" w:eastAsia="Arial" w:hAnsi="Arial"/>
          <w:sz w:val="16"/>
          <w:szCs w:val="16"/>
          <w:color w:val="auto"/>
        </w:rPr>
        <w:t>chains through greater analytics capabilities. When focused on point-of-sale data, for example, retailers and suppliers can ensure inventory is located where demand is highest. Additionally, retailers improve their visibility into supplier performance and their understanding of product sell-through.</w:t>
      </w:r>
    </w:p>
    <w:p>
      <w:pPr>
        <w:spacing w:after="0" w:line="41" w:lineRule="exact"/>
        <w:rPr>
          <w:sz w:val="20"/>
          <w:szCs w:val="20"/>
          <w:color w:val="auto"/>
        </w:rPr>
      </w:pPr>
    </w:p>
    <w:p>
      <w:pPr>
        <w:jc w:val="both"/>
        <w:ind w:right="80" w:firstLine="510"/>
        <w:spacing w:after="0" w:line="286" w:lineRule="auto"/>
        <w:rPr>
          <w:sz w:val="20"/>
          <w:szCs w:val="20"/>
          <w:color w:val="auto"/>
        </w:rPr>
      </w:pPr>
      <w:r>
        <w:rPr>
          <w:rFonts w:ascii="Arial" w:cs="Arial" w:eastAsia="Arial" w:hAnsi="Arial"/>
          <w:sz w:val="17"/>
          <w:szCs w:val="17"/>
          <w:i w:val="1"/>
          <w:iCs w:val="1"/>
          <w:color w:val="auto"/>
        </w:rPr>
        <w:t xml:space="preserve">Other Products - </w:t>
      </w:r>
      <w:r>
        <w:rPr>
          <w:rFonts w:ascii="Arial" w:cs="Arial" w:eastAsia="Arial" w:hAnsi="Arial"/>
          <w:sz w:val="17"/>
          <w:szCs w:val="17"/>
          <w:color w:val="auto"/>
        </w:rPr>
        <w:t>We provide several complimentary products such as our assortment product (which enables accurate order management and rapid</w:t>
      </w:r>
      <w:r>
        <w:rPr>
          <w:rFonts w:ascii="Arial" w:cs="Arial" w:eastAsia="Arial" w:hAnsi="Arial"/>
          <w:sz w:val="17"/>
          <w:szCs w:val="17"/>
          <w:i w:val="1"/>
          <w:iCs w:val="1"/>
          <w:color w:val="auto"/>
        </w:rPr>
        <w:t xml:space="preserve"> </w:t>
      </w:r>
      <w:r>
        <w:rPr>
          <w:rFonts w:ascii="Arial" w:cs="Arial" w:eastAsia="Arial" w:hAnsi="Arial"/>
          <w:sz w:val="17"/>
          <w:szCs w:val="17"/>
          <w:color w:val="auto"/>
        </w:rPr>
        <w:t>fulfillment) and our community solution (which accelerates vendor onboarding and ensures trading partner adoption of new supply chain requirements). In addition to our product offerings, we also provide one-time services such as professional services and testing and certification.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i w:val="1"/>
          <w:iCs w:val="1"/>
          <w:color w:val="auto"/>
        </w:rPr>
        <w:t xml:space="preserve">Cost of Revenues -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as well as network services costs.</w:t>
      </w:r>
    </w:p>
    <w:p>
      <w:pPr>
        <w:spacing w:after="0" w:line="62" w:lineRule="exact"/>
        <w:rPr>
          <w:sz w:val="20"/>
          <w:szCs w:val="20"/>
          <w:color w:val="auto"/>
        </w:rPr>
      </w:pPr>
    </w:p>
    <w:p>
      <w:pPr>
        <w:ind w:right="960" w:firstLine="510"/>
        <w:spacing w:after="0" w:line="277" w:lineRule="auto"/>
        <w:rPr>
          <w:sz w:val="20"/>
          <w:szCs w:val="20"/>
          <w:color w:val="auto"/>
        </w:rPr>
      </w:pPr>
      <w:r>
        <w:rPr>
          <w:rFonts w:ascii="Arial" w:cs="Arial" w:eastAsia="Arial" w:hAnsi="Arial"/>
          <w:sz w:val="18"/>
          <w:szCs w:val="18"/>
          <w:i w:val="1"/>
          <w:iCs w:val="1"/>
          <w:color w:val="auto"/>
        </w:rPr>
        <w:t xml:space="preserve">Sales and Marketing Expenses - </w:t>
      </w:r>
      <w:r>
        <w:rPr>
          <w:rFonts w:ascii="Arial" w:cs="Arial" w:eastAsia="Arial" w:hAnsi="Arial"/>
          <w:sz w:val="18"/>
          <w:szCs w:val="18"/>
          <w:color w:val="auto"/>
        </w:rPr>
        <w:t>Sales and marketing expenses consist primarily of personnel costs for our sales, marketing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commissions earned by our sales personnel and marketing costs.</w:t>
      </w:r>
    </w:p>
    <w:p>
      <w:pPr>
        <w:spacing w:after="0" w:line="6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i w:val="1"/>
          <w:iCs w:val="1"/>
          <w:color w:val="auto"/>
        </w:rPr>
        <w:t xml:space="preserve">Research and Development Expenses - </w:t>
      </w:r>
      <w:r>
        <w:rPr>
          <w:rFonts w:ascii="Arial" w:cs="Arial" w:eastAsia="Arial" w:hAnsi="Arial"/>
          <w:sz w:val="18"/>
          <w:szCs w:val="18"/>
          <w:color w:val="auto"/>
        </w:rPr>
        <w:t>Research and development expenses consist primarily of personnel costs for development of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existing products, net of amounts capitalized as developed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4" w:name="page25"/>
    <w:bookmarkEnd w:id="24"/>
    <w:p>
      <w:pPr>
        <w:ind w:right="120" w:firstLine="510"/>
        <w:spacing w:after="0" w:line="342" w:lineRule="auto"/>
        <w:rPr>
          <w:sz w:val="20"/>
          <w:szCs w:val="20"/>
          <w:color w:val="auto"/>
        </w:rPr>
      </w:pPr>
      <w:r>
        <w:rPr>
          <w:rFonts w:ascii="Arial" w:cs="Arial" w:eastAsia="Arial" w:hAnsi="Arial"/>
          <w:sz w:val="16"/>
          <w:szCs w:val="16"/>
          <w:i w:val="1"/>
          <w:iCs w:val="1"/>
          <w:color w:val="auto"/>
        </w:rPr>
        <w:t xml:space="preserve">General and Administrative Expenses - </w:t>
      </w:r>
      <w:r>
        <w:rPr>
          <w:rFonts w:ascii="Arial" w:cs="Arial" w:eastAsia="Arial" w:hAnsi="Arial"/>
          <w:sz w:val="16"/>
          <w:szCs w:val="16"/>
          <w:color w:val="auto"/>
        </w:rPr>
        <w:t>General and administrative expenses consist primarily of personnel costs for finance, human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information technology support, as well as legal, accounting, and other fees, such as bad debt expense and credit card processing fees.</w:t>
      </w:r>
    </w:p>
    <w:p>
      <w:pPr>
        <w:spacing w:after="0" w:line="1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i w:val="1"/>
          <w:iCs w:val="1"/>
          <w:color w:val="auto"/>
        </w:rPr>
        <w:t xml:space="preserve">Overhead Allocation - </w:t>
      </w:r>
      <w:r>
        <w:rPr>
          <w:rFonts w:ascii="Arial" w:cs="Arial" w:eastAsia="Arial" w:hAnsi="Arial"/>
          <w:sz w:val="18"/>
          <w:szCs w:val="18"/>
          <w:color w:val="auto"/>
        </w:rPr>
        <w:t>We allocate overhead expenses such as rent, certain employee benefit costs, office supplies and depreciation of general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cost of revenues and operating expenses categories based on headcount.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Metrics and Non-GAAP Measures</w:t>
      </w:r>
    </w:p>
    <w:p>
      <w:pPr>
        <w:spacing w:after="0" w:line="117"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i w:val="1"/>
          <w:iCs w:val="1"/>
          <w:color w:val="auto"/>
        </w:rPr>
        <w:t xml:space="preserve">Recurring Revenue Customers - </w:t>
      </w:r>
      <w:r>
        <w:rPr>
          <w:rFonts w:ascii="Arial" w:cs="Arial" w:eastAsia="Arial" w:hAnsi="Arial"/>
          <w:sz w:val="17"/>
          <w:szCs w:val="17"/>
          <w:color w:val="auto"/>
        </w:rPr>
        <w:t>As of December 31, 2021, we had approximately 37,500 customers with contracts to pay us recurring fees,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 refer to as recurring revenue customers. A small portion of our recurring revenue customers consist of separate units within a larger organization. We treat each of these units, which may include divisions, departments, affiliates and franchises, as distinct customers.</w:t>
      </w:r>
    </w:p>
    <w:p>
      <w:pPr>
        <w:spacing w:after="0" w:line="5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i w:val="1"/>
          <w:iCs w:val="1"/>
          <w:color w:val="auto"/>
        </w:rPr>
        <w:t xml:space="preserve">Wallet Share - </w:t>
      </w:r>
      <w:r>
        <w:rPr>
          <w:rFonts w:ascii="Arial" w:cs="Arial" w:eastAsia="Arial" w:hAnsi="Arial"/>
          <w:sz w:val="18"/>
          <w:szCs w:val="18"/>
          <w:color w:val="auto"/>
        </w:rPr>
        <w:t>We calculate average recurring revenues per recurring revenue customer, which we also refer to as wallet share, by dividing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revenues from recurring revenue customers for the period by the average of the beginning and ending number of recurring revenue customers for the period.</w:t>
      </w:r>
    </w:p>
    <w:p>
      <w:pPr>
        <w:spacing w:after="0" w:line="76"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i w:val="1"/>
          <w:iCs w:val="1"/>
          <w:color w:val="auto"/>
        </w:rPr>
        <w:t xml:space="preserve">Non-GAAP Financial Measures - </w:t>
      </w:r>
      <w:r>
        <w:rPr>
          <w:rFonts w:ascii="Arial" w:cs="Arial" w:eastAsia="Arial" w:hAnsi="Arial"/>
          <w:sz w:val="18"/>
          <w:szCs w:val="18"/>
          <w:color w:val="auto"/>
        </w:rPr>
        <w:t>To supplement our financial statements, we also provide investors with Adjusted EBITDA,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and non-GAAP income per share,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believe that our critical accounting policies and estimates, which are described in the notes to our consolidated financial statements, involve a greater degree of judgment and complexity and are material to our financial statement presentation. A critical accounting policy or estimate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Revenues are the amount that reflects the consideration we are contractually and legally entitled to, as well as expect to collect, in exchange for those services. Set-up fees are specific for each connection a customer has with a trading partner and many of our customers have connections with numerous trading partners. These nonrefundable fees are necessary for our customers to utilize our services and do not provide any standalone value.</w:t>
      </w:r>
    </w:p>
    <w:p>
      <w:pPr>
        <w:spacing w:after="0" w:line="41"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0574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3"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Internal-use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Internal-use software is amortized over the estimated useful life, three years, commencing on the date when the asset is ready for its intended use. Amortization is computed using the straight-line method. Maintenance and enhancements of internal-use software are expensed as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require us to make significant estimates and assumptions, especially with respect to intangible assets.</w:t>
      </w:r>
    </w:p>
    <w:p>
      <w:pPr>
        <w:spacing w:after="0" w:line="41"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Significant estimates in valuing certain intangible assets include, but are not limited to, future expected cash flows from acquired customers and acquired technology from a market participant perspective, useful lives, and discount rates. Significant estimates in valuing liabilities for contingent consideration include, but are not limited to, discount rates, projected financial results of the acquired businesses based on our most recent internal forecasts, and factors indicating the probability of achieving the forecasted results.</w:t>
      </w:r>
    </w:p>
    <w:p>
      <w:pPr>
        <w:spacing w:after="0" w:line="7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385,276</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72,646</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131,678</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31,842</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253,598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212,794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40,804</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12,089</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39,038</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31,024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8,014</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11,186</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198,513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162,636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55,085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50,158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(1,544)</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(4,066)</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53,541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52,680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45,586</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4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revenues resulted from two primary factors: the increase in recurring revenue customers, which is driven by 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1000" w:right="1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13% to 37,500 at December 31, 2021 from 33,150 at December 31, 2020 due to sales and marketing efforts to acquire new customers and due to new acquisitions.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Wallet share increased 9% to $10,050 at December 31, 2021 from $9,250 at December 31, 2020. This was primarily attributable to increased usage of our products by our recurring revenue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right="280" w:firstLine="510"/>
        <w:spacing w:after="0" w:line="286" w:lineRule="auto"/>
        <w:rPr>
          <w:sz w:val="20"/>
          <w:szCs w:val="20"/>
          <w:color w:val="auto"/>
        </w:rPr>
      </w:pPr>
      <w:r>
        <w:rPr>
          <w:rFonts w:ascii="Arial" w:cs="Arial" w:eastAsia="Arial" w:hAnsi="Arial"/>
          <w:sz w:val="17"/>
          <w:szCs w:val="17"/>
          <w:color w:val="auto"/>
        </w:rPr>
        <w:t>Recurring revenues from recurring revenue customers increased 20% in 2021, as compared to 2020, and accounted for 92% and 94% of our total revenues in 2021 and 2020, respectively. We anticipate that the number of recurring revenue customers and wallet share will continue to increase as we execute our growth strategy focused on further penetrations of our market and on new sources of revenues.</w:t>
      </w:r>
    </w:p>
    <w:p>
      <w:pPr>
        <w:spacing w:after="0" w:line="5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 The increase in cost of revenues was primarily due to increased headcount which resulted in an increase of $26.3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personnel-related costs and an increase of $2.8 million in stock-based compensation. Additionally, as we continued to invest in the infrastructure supporting our platform, depreciation expense increased by $1.7 million.</w:t>
      </w:r>
    </w:p>
    <w:p>
      <w:pPr>
        <w:spacing w:after="0" w:line="76" w:lineRule="exact"/>
        <w:rPr>
          <w:sz w:val="20"/>
          <w:szCs w:val="20"/>
          <w:color w:val="auto"/>
        </w:rPr>
      </w:pPr>
    </w:p>
    <w:p>
      <w:pPr>
        <w:ind w:right="560" w:firstLine="510"/>
        <w:spacing w:after="0" w:line="286"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increase in sales and marketing expense was primarily due to increased headcount which resulted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$5.9 million in personnel-related costs, an increase of $1.6 million in sales commissions, and an increase of $2.1 million in stock-based compensation. Also, with continued business growth, our referral partners costs increased $2.4 million.</w:t>
      </w:r>
    </w:p>
    <w:p>
      <w:pPr>
        <w:spacing w:after="0" w:line="5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research and development expense was primarily due to increased headcount which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increases of personnel costs of $5.9 million and stock-based compensation of $0.8 million. In addition, there was an increase in software subscription expense of $1.4 million.</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general and administrative expense was primarily due to increased headcount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resulted in an increase in personnel-related costs of $5.8 million and a stock-based compensation increase of $2.9 million. The remaining increase primarily related to supporting continued business growth which resulted in increased general and administrative costs, such as credit card fees, professional fees, and software subscriptions.</w:t>
      </w:r>
    </w:p>
    <w:p>
      <w:pPr>
        <w:spacing w:after="0" w:line="7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 xml:space="preserve">Amortization of Intangible Assets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amortization of intangible assets was driven by the amortization of the acquired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related to recent business combinations.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 The change was primarily due to unfavorable foreign currency exchange rate changes and decreased investment income.</w:t>
      </w:r>
    </w:p>
    <w:p>
      <w:pPr>
        <w:spacing w:after="0" w:line="14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income tax expense was due to an increase in nondeductible executive compensation and an increase in pre-tax income. Excess tax benefits generated upon the settlement or exercise of stock awards are recognized as a reduction to income tax expense and, as a result, we expect that our annual effective income tax rate will fluctuate. See Note M to our consolidated financial statements, included in this Annual Report on Form 10-K, for additional information regarding our income taxes.</w:t>
      </w:r>
    </w:p>
    <w:p>
      <w:pPr>
        <w:spacing w:after="0" w:line="79"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which is a non-GAAP measure of financial performance, consists of net income adjusted for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depreciation and amortization expense, stock-based compensation expense, realized gain or loss from foreign currency on cash and investments held, investment income or loss, and other adjustments as necessary for a fair presentation. For the year ended December 31, 2021, other adjustments include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year ended December 31, 2020, other adjustments included the expense impact from the disposals of certain capitalized internally developed software and cloud hosting arrangement implementation costs in addition to an earn-out liability fair value adjustment. The following table provides a reconciliation of net income to Adjusted EBITDA: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 of property and equipment</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w w:val="90"/>
              </w:rPr>
              <w:t>Realized (gain) loss from foreign currency on cash and investments held</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 income</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3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380" w:type="dxa"/>
            <w:vAlign w:val="bottom"/>
            <w:vMerge w:val="restart"/>
          </w:tcPr>
          <w:p>
            <w:pPr>
              <w:jc w:val="right"/>
              <w:ind w:right="210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538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6"/>
          </w:tcPr>
          <w:p>
            <w:pPr>
              <w:jc w:val="right"/>
              <w:spacing w:after="0"/>
              <w:rPr>
                <w:sz w:val="20"/>
                <w:szCs w:val="20"/>
                <w:color w:val="auto"/>
              </w:rPr>
            </w:pPr>
            <w:r>
              <w:rPr>
                <w:rFonts w:ascii="Arial" w:cs="Arial" w:eastAsia="Arial" w:hAnsi="Arial"/>
                <w:sz w:val="12"/>
                <w:szCs w:val="12"/>
                <w:b w:val="1"/>
                <w:bCs w:val="1"/>
                <w:color w:val="auto"/>
                <w:w w:val="94"/>
              </w:rPr>
              <w:t>Form 10-K for the Annual Period ended December 31, 2021</w:t>
            </w:r>
          </w:p>
        </w:tc>
        <w:tc>
          <w:tcPr>
            <w:tcW w:w="0" w:type="dxa"/>
            <w:vAlign w:val="bottom"/>
          </w:tcPr>
          <w:p>
            <w:pPr>
              <w:spacing w:after="0"/>
              <w:rPr>
                <w:sz w:val="1"/>
                <w:szCs w:val="1"/>
                <w:color w:val="auto"/>
              </w:rPr>
            </w:pPr>
          </w:p>
        </w:tc>
      </w:tr>
      <w:tr>
        <w:trPr>
          <w:trHeight w:val="329"/>
        </w:trPr>
        <w:tc>
          <w:tcPr>
            <w:tcW w:w="53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200" w:firstLine="578"/>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w:t>
      </w:r>
      <w:r>
        <w:rPr>
          <w:rFonts w:ascii="Arial" w:cs="Arial" w:eastAsia="Arial" w:hAnsi="Arial"/>
          <w:sz w:val="18"/>
          <w:szCs w:val="18"/>
          <w:i w:val="1"/>
          <w:iCs w:val="1"/>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19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2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385,276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Pr>
          <w:p>
            <w:pPr>
              <w:spacing w:after="0"/>
              <w:rPr>
                <w:sz w:val="20"/>
                <w:szCs w:val="20"/>
                <w:color w:val="auto"/>
              </w:rPr>
            </w:pPr>
            <w:r>
              <w:rPr>
                <w:rFonts w:ascii="Arial" w:cs="Arial" w:eastAsia="Arial" w:hAnsi="Arial"/>
                <w:sz w:val="18"/>
                <w:szCs w:val="18"/>
                <w:color w:val="auto"/>
              </w:rPr>
              <w:t>Margin</w:t>
            </w:r>
          </w:p>
        </w:tc>
        <w:tc>
          <w:tcPr>
            <w:tcW w:w="1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5720" w:type="dxa"/>
            <w:vAlign w:val="bottom"/>
            <w:tcBorders>
              <w:top w:val="single" w:sz="8" w:color="CFF0FC"/>
            </w:tcBorders>
            <w:shd w:val="clear" w:color="auto" w:fill="CFF0FC"/>
          </w:tcPr>
          <w:p>
            <w:pPr>
              <w:spacing w:after="0"/>
              <w:rPr>
                <w:sz w:val="18"/>
                <w:szCs w:val="18"/>
                <w:color w:val="auto"/>
              </w:rPr>
            </w:pPr>
          </w:p>
        </w:tc>
        <w:tc>
          <w:tcPr>
            <w:tcW w:w="19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282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107,015</w:t>
            </w:r>
          </w:p>
        </w:tc>
        <w:tc>
          <w:tcPr>
            <w:tcW w:w="240" w:type="dxa"/>
            <w:vAlign w:val="bottom"/>
          </w:tcPr>
          <w:p>
            <w:pPr>
              <w:spacing w:after="0"/>
              <w:rPr>
                <w:sz w:val="19"/>
                <w:szCs w:val="19"/>
                <w:color w:val="auto"/>
              </w:rPr>
            </w:pP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86,994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9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b w:val="1"/>
          <w:bCs w:val="1"/>
          <w:i w:val="1"/>
          <w:iCs w:val="1"/>
          <w:color w:val="auto"/>
        </w:rPr>
        <w:t xml:space="preserve">Non-GAAP Income per Share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Non-GAAP income per share, which is a non-GAAP measure of financial performance, consists of net income plus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stock-based compensation expense, amortization expense related to intangible assets, realized gain or loss from foreign currency on cash and investments held, and other adjustments as necessary for a fair presentation, and the corresponding tax impacts of the adjustments to net income, divided by the weighted average number of shares of common stock outstanding during each period. For the year ended December 31, 2021, other adjustments include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year ended December 31, 2020, other adjustments included the expense impact from the disposals of certain capitalized internally developed software and cloud hosting arrangement implementation costs in addition to an earn-out liability fair value adjustment.</w:t>
      </w:r>
    </w:p>
    <w:p>
      <w:pPr>
        <w:spacing w:after="0" w:line="73"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(16,454)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36,962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jc w:val="both"/>
        <w:ind w:right="20" w:firstLine="468"/>
        <w:spacing w:after="0" w:line="263" w:lineRule="auto"/>
        <w:rPr>
          <w:sz w:val="20"/>
          <w:szCs w:val="20"/>
          <w:color w:val="auto"/>
        </w:rPr>
      </w:pPr>
      <w:r>
        <w:rPr>
          <w:rFonts w:ascii="Arial" w:cs="Arial" w:eastAsia="Arial" w:hAnsi="Arial"/>
          <w:sz w:val="18"/>
          <w:szCs w:val="18"/>
          <w:color w:val="auto"/>
        </w:rPr>
        <w:t>The discussion of our results from operations for the year ended December 31, 2020 compared to the year ended December 31, 2019 can be found in Part II, Item 7, “Management’s Discussion and Analysis of Financial Condition and Results of Operations” in the Company’s Annual Report on Form 10-K for the year ended December 31, 2020.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At December 31, 2021, our principal sources of liquidity were cash and cash equivalents, and short-term investments totaling $257.3 million, and net accounts receivable of $34.6 million. Our investments are selected in accordance with our investment policy, with a goal of maintaining liquidity and capital preservation. Our cash equivalents and short-term investments are held in highly liquid money market funds, certificates of deposits, commercial paper, U.S. treasury securities and U.S. corporate bonds.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summary of activity within the consolidated statements of cash flows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112,893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(46,703)</w:t>
            </w:r>
          </w:p>
        </w:tc>
        <w:tc>
          <w:tcPr>
            <w:tcW w:w="5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(120,469)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(8,361)</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increase in cash provided by operating activities was primarily driven by an increase in non-cash expenses and changes in operating assets and liabilities. Significant changes in non-cash items included increased stock-based compensation and amortization of intangible assets resulting from business expansion. Significant changes in operating assets and liabilities included increases in deferred revenue and accrued compensation balances. This was partially offset by decreases in other assets and deferred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decrease in net cash used in investing activities was primarily due to decreased cash used for acquisitions of business and intangible assets, driven by the larger acquisition in 2020 as compared to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net cash flows from financing activities was primarily due to the decrease in net proceeds from stock option exercises.</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discussion of our liquidity and capital resources for the year ended December 31, 2020 compared to the year ended December 31, 2019 can be found in Part II, Item 7, “Management’s Discussion and Analysis of Financial Condition and Results of Operations” in the Company’s Annual Report on Form 10-K for the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December 31, 2021 are summarized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3-5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commitments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9,922</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32,631</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develop and implement new products and applications, if any;</w:t>
      </w:r>
    </w:p>
    <w:p>
      <w:pPr>
        <w:spacing w:after="0" w:line="130"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products and applications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response of competitors to our products and applications;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3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believe our cash, cash equivalents, investments, and cash flows from our operations will be sufficient to meet our working capital and capital expenditure requirements for at least the next twelve months.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9" w:name="page30"/>
    <w:bookmarkEnd w:id="29"/>
    <w:p>
      <w:pPr>
        <w:ind w:right="100" w:firstLine="510"/>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Inflation Rate Changes</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w:t>
      </w:r>
      <w:r>
        <w:rPr>
          <w:rFonts w:ascii="Arial" w:cs="Arial" w:eastAsia="Arial" w:hAnsi="Arial"/>
          <w:sz w:val="17"/>
          <w:szCs w:val="17"/>
          <w:i w:val="1"/>
          <w:iCs w:val="1"/>
          <w:color w:val="auto"/>
        </w:rPr>
        <w:t>Foreign Currency Exchange Risk,</w:t>
      </w:r>
      <w:r>
        <w:rPr>
          <w:rFonts w:ascii="Arial" w:cs="Arial" w:eastAsia="Arial" w:hAnsi="Arial"/>
          <w:sz w:val="17"/>
          <w:szCs w:val="17"/>
          <w:color w:val="auto"/>
        </w:rPr>
        <w:t>” included in Part II, Item 7A, “Quantitative and Qualitative Disclosures About Market Risk” of this Annual Report on Form 10-K.</w:t>
      </w:r>
    </w:p>
    <w:p>
      <w:pPr>
        <w:spacing w:after="0" w:line="38"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For information regarding recent accounting pronouncements, refer to Note A, General, in our Notes to Consolidated Financial Statements in the sections entitled “Recently Adopted Accounting Pronouncements” and “Accounting Pronouncements Not Yet Adopted” as applicable, included in Part II, Item 8, “Financial Instruments and Supplementary Data”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0574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00AAE5"/>
        </w:rPr>
        <w:t>Item 7A.</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Risk</w:t>
      </w:r>
    </w:p>
    <w:p>
      <w:pPr>
        <w:spacing w:after="0" w:line="117"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spacing w:after="0" w:line="4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did not have any variable interest rate outstanding debt as of December 31, 2021. Therefore, we do not have any material risk to interest rate fluctuations.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220" w:firstLine="749"/>
        <w:spacing w:after="0" w:line="311" w:lineRule="auto"/>
        <w:rPr>
          <w:sz w:val="20"/>
          <w:szCs w:val="20"/>
          <w:color w:val="auto"/>
        </w:rPr>
      </w:pPr>
      <w:r>
        <w:rPr>
          <w:rFonts w:ascii="Arial" w:cs="Arial" w:eastAsia="Arial" w:hAnsi="Arial"/>
          <w:sz w:val="16"/>
          <w:szCs w:val="16"/>
          <w:color w:val="auto"/>
        </w:rPr>
        <w:t>Due to international operations, we have revenue, expenses, assets, and liabilities that are denominated in currencies other than the U.S. dollar, primarily the Australian and Canadian dollars. Our consolidated balance sheet, results of operations, and cash flows are, therefore, subject to fluctuations due to changes in foreign currency exchange rates and may be adversely affected in the future due to changes in foreign exchange rates.</w:t>
      </w:r>
    </w:p>
    <w:p>
      <w:pPr>
        <w:spacing w:after="0" w:line="41"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Our sales are primarily denominated in U.S. dollars. Our expenses are generally denominated in the local currencies in which our operations are located. As of December 31, 2021, we maintained approximately 8% of our total cash and cash equivalents and investments in foreign currencies.</w:t>
      </w:r>
    </w:p>
    <w:p>
      <w:pPr>
        <w:spacing w:after="0" w:line="16" w:lineRule="exact"/>
        <w:rPr>
          <w:sz w:val="20"/>
          <w:szCs w:val="20"/>
          <w:color w:val="auto"/>
        </w:rPr>
      </w:pPr>
    </w:p>
    <w:p>
      <w:pPr>
        <w:ind w:right="100" w:firstLine="749"/>
        <w:spacing w:after="0" w:line="308" w:lineRule="auto"/>
        <w:rPr>
          <w:sz w:val="20"/>
          <w:szCs w:val="20"/>
          <w:color w:val="auto"/>
        </w:rPr>
      </w:pPr>
      <w:r>
        <w:rPr>
          <w:rFonts w:ascii="Arial" w:cs="Arial" w:eastAsia="Arial" w:hAnsi="Arial"/>
          <w:sz w:val="17"/>
          <w:szCs w:val="17"/>
          <w:color w:val="auto"/>
        </w:rPr>
        <w:t>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w:t>
      </w:r>
    </w:p>
    <w:p>
      <w:pPr>
        <w:spacing w:after="0" w:line="3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have not used any forward contracts or currency borrowings to hedge our exposure to foreign currency exchange risk, although we may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0574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1" w:name="page32"/>
    <w:bookmarkEnd w:id="31"/>
    <w:p>
      <w:pPr>
        <w:spacing w:after="0"/>
        <w:tabs>
          <w:tab w:leader="none" w:pos="1000" w:val="left"/>
        </w:tabs>
        <w:rPr>
          <w:sz w:val="20"/>
          <w:szCs w:val="20"/>
          <w:color w:val="auto"/>
        </w:rPr>
      </w:pPr>
      <w:r>
        <w:rPr>
          <w:rFonts w:ascii="Arial" w:cs="Arial" w:eastAsia="Arial" w:hAnsi="Arial"/>
          <w:sz w:val="18"/>
          <w:szCs w:val="18"/>
          <w:b w:val="1"/>
          <w:bCs w:val="1"/>
          <w:color w:val="00AAE5"/>
        </w:rPr>
        <w:t>Item 8.</w:t>
      </w:r>
      <w:r>
        <w:rPr>
          <w:sz w:val="20"/>
          <w:szCs w:val="20"/>
          <w:color w:val="auto"/>
        </w:rPr>
        <w:tab/>
      </w:r>
      <w:r>
        <w:rPr>
          <w:rFonts w:ascii="Arial" w:cs="Arial" w:eastAsia="Arial" w:hAnsi="Arial"/>
          <w:sz w:val="16"/>
          <w:szCs w:val="16"/>
          <w:b w:val="1"/>
          <w:bCs w:val="1"/>
          <w:color w:val="00AAE5"/>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00AAE5"/>
        </w:rPr>
        <w:t>SPS Commerce, Inc. and Subsidiaries Consolidated Financial Statements</w:t>
      </w:r>
    </w:p>
    <w:p>
      <w:pPr>
        <w:spacing w:after="0" w:line="306"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Reports of Independent Registered Public Accounting Firm</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Balance Sheets</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Consolidated Statements of Comprehensive Income</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Stockholders’ Equity</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Statements of Cash Flows</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20574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ectPr>
          <w:pgSz w:w="11900" w:h="16838" w:orient="portrait"/>
          <w:cols w:equalWidth="0" w:num="2">
            <w:col w:w="10240" w:space="720"/>
            <w:col w:w="280"/>
          </w:cols>
          <w:pgMar w:left="320" w:top="7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180"/>
        <w:spacing w:after="0" w:line="219" w:lineRule="exact"/>
        <w:rPr>
          <w:sz w:val="20"/>
          <w:szCs w:val="20"/>
          <w:color w:val="auto"/>
        </w:rPr>
      </w:pPr>
      <w:r>
        <w:rPr>
          <w:rFonts w:ascii="Arial" w:cs="Arial" w:eastAsia="Arial" w:hAnsi="Arial"/>
          <w:sz w:val="16"/>
          <w:szCs w:val="16"/>
          <w:color w:val="auto"/>
        </w:rPr>
        <w:t>We have audited the accompanying consolidated balance sheets of SPS Commerce, Inc. and subsidiaries (the Company) as of December 31, 2021 and 2020, the related consolidated statements of comprehensive income,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in conformity with U.S. generally accepted accounting principles.</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22, 2022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capitalized internal costs to develop internal-use software</w:t>
      </w:r>
    </w:p>
    <w:p>
      <w:pPr>
        <w:spacing w:after="0" w:line="198" w:lineRule="exact"/>
        <w:rPr>
          <w:sz w:val="20"/>
          <w:szCs w:val="20"/>
          <w:color w:val="auto"/>
        </w:rPr>
      </w:pPr>
    </w:p>
    <w:p>
      <w:pPr>
        <w:ind w:left="380" w:right="60"/>
        <w:spacing w:after="0" w:line="263" w:lineRule="auto"/>
        <w:rPr>
          <w:sz w:val="20"/>
          <w:szCs w:val="20"/>
          <w:color w:val="auto"/>
        </w:rPr>
      </w:pPr>
      <w:r>
        <w:rPr>
          <w:rFonts w:ascii="Arial" w:cs="Arial" w:eastAsia="Arial" w:hAnsi="Arial"/>
          <w:sz w:val="18"/>
          <w:szCs w:val="18"/>
          <w:color w:val="auto"/>
        </w:rPr>
        <w:t>As discussed in Note A to the consolidated financial statements, the Company capitalizes costs incurred to develop internal-use software during the application development stage. Capitalized internal-use software is recorded within property and equipment and depreciated over the estimated useful life.</w:t>
      </w:r>
    </w:p>
    <w:p>
      <w:pPr>
        <w:spacing w:after="0" w:line="143" w:lineRule="exact"/>
        <w:rPr>
          <w:sz w:val="20"/>
          <w:szCs w:val="20"/>
          <w:color w:val="auto"/>
        </w:rPr>
      </w:pPr>
    </w:p>
    <w:p>
      <w:pPr>
        <w:ind w:left="380" w:right="240"/>
        <w:spacing w:after="0" w:line="263" w:lineRule="auto"/>
        <w:rPr>
          <w:sz w:val="20"/>
          <w:szCs w:val="20"/>
          <w:color w:val="auto"/>
        </w:rPr>
      </w:pPr>
      <w:r>
        <w:rPr>
          <w:rFonts w:ascii="Arial" w:cs="Arial" w:eastAsia="Arial" w:hAnsi="Arial"/>
          <w:sz w:val="18"/>
          <w:szCs w:val="18"/>
          <w:color w:val="auto"/>
        </w:rPr>
        <w:t>We identified the assessment of the capitalized internal costs to develop internal-use software as a critical audit matter. Subjective auditor judgment was required to assess the stage of software development for new internal-use software or upgrades and enhancements for existing internal-use software, which determines when costs should be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20574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33</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3" w:name="page34"/>
    <w:bookmarkEnd w:id="33"/>
    <w:p>
      <w:pPr>
        <w:ind w:left="380" w:right="10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internal-use software process. This included controls related to the evaluation and approval of new internal-use software projects or upgrades and enhancements to existing internal-use software projects, monitoring of the software development stage, and capitalization of internal costs. We examined a sample of capitalized internal-use software costs to evaluate costs that were capitalized for new internal-use software or upgrades and enhancements for existing internal-use software. For each sample, we evaluated the capitalized costs and assessed the stage of software development by inspecting underlying documentation and inquiring of the Company's technology developers performing the internal-use software development activities regarding the specific nature, stage of completion, and hours incurred on the project.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audited SPS Commerce, Inc.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comprehensive income, stockholders’ equity, and cash flows for each of the years in the three-year period ended December 31, 2021, and the related notes (collectively, the consolidated financial statements), and our report dated February 22, 2022 expressed an unqualified opinion on those consolidated financial statements.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acquired the Genius Central business during 2021, and management excluded from its assessment of the effectiveness of the Company’s internal control over financial reporting as of December 31, 2021, Genius Central’s internal control over financial reporting associated with total consolidated assets of less than 1% and total consolidated revenues of less than 1%, in the consolidated financial statements of the Company as of and for the year ended December 31, 2021. Our audit of internal control over financial reporting of the Company also excluded an evaluation of the internal control over financial reporting of the Genius Central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20574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20574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CONSOLIDATED BALANCE SHEETS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207,552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(4,249)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2"/>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34,562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33,578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352,443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143,663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Investments, non-current</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costs, non-current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income tax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non-current</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6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615,846</w:t>
            </w:r>
          </w:p>
        </w:tc>
        <w:tc>
          <w:tcPr>
            <w:tcW w:w="160" w:type="dxa"/>
            <w:vAlign w:val="bottom"/>
          </w:tcPr>
          <w:p>
            <w:pPr>
              <w:spacing w:after="0"/>
              <w:rPr>
                <w:sz w:val="21"/>
                <w:szCs w:val="21"/>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526,458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760" w:type="dxa"/>
            <w:vAlign w:val="bottom"/>
            <w:tcBorders>
              <w:top w:val="single" w:sz="8" w:color="CFF0FC"/>
            </w:tcBorders>
            <w:shd w:val="clear" w:color="auto" w:fill="CFF0FC"/>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8,330</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102,872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revenue, non-current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income tax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131,587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Common stock, $0.001 par value; 110,000,000 shares authorized; 37,798,610 and 37,100,467 shares issued; and</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36,009,257 and 35,487,217 shares outstanding, respectively</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Treasury Stock, at cost; 1,789,353 and 1,613,250 shares, respectively</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(85,677)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(65,247)</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433,258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484,259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420,721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615,846</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20574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Borders>
              <w:bottom w:val="single" w:sz="8" w:color="CFF0FC"/>
            </w:tcBorders>
            <w:vMerge w:val="continue"/>
          </w:tcPr>
          <w:p>
            <w:pPr>
              <w:spacing w:after="0"/>
              <w:rPr>
                <w:sz w:val="13"/>
                <w:szCs w:val="13"/>
                <w:color w:val="auto"/>
              </w:rPr>
            </w:pPr>
          </w:p>
        </w:tc>
        <w:tc>
          <w:tcPr>
            <w:tcW w:w="30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3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99,836</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212,794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31,024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3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162,636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50,158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52,680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45,586</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3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4"/>
              </w:rPr>
              <w:t>Unrealized gain (loss) on investments, net of tax of ($34), ($3), and $122 respectively</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gridSpan w:val="2"/>
          </w:tcPr>
          <w:p>
            <w:pPr>
              <w:ind w:left="260"/>
              <w:spacing w:after="0"/>
              <w:rPr>
                <w:sz w:val="20"/>
                <w:szCs w:val="20"/>
                <w:color w:val="auto"/>
              </w:rPr>
            </w:pPr>
            <w:r>
              <w:rPr>
                <w:rFonts w:ascii="Arial" w:cs="Arial" w:eastAsia="Arial" w:hAnsi="Arial"/>
                <w:sz w:val="18"/>
                <w:szCs w:val="18"/>
                <w:color w:val="auto"/>
                <w:w w:val="91"/>
              </w:rPr>
              <w:t>Reclassification of (gain) loss on investments into earnings, net of tax of $63, ($52), and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($133), respectively</w:t>
            </w: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89"/>
              </w:rPr>
              <w:t>Total other comprehensive income (expense)</w:t>
            </w:r>
          </w:p>
        </w:tc>
        <w:tc>
          <w:tcPr>
            <w:tcW w:w="3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30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44,171</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46,516</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Net income per share</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0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4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36,285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4520" w:type="dxa"/>
            <w:vAlign w:val="bottom"/>
            <w:gridSpan w:val="5"/>
          </w:tcPr>
          <w:p>
            <w:pPr>
              <w:jc w:val="right"/>
              <w:ind w:right="600"/>
              <w:spacing w:after="0"/>
              <w:rPr>
                <w:sz w:val="20"/>
                <w:szCs w:val="20"/>
                <w:color w:val="auto"/>
              </w:rPr>
            </w:pPr>
            <w:r>
              <w:rPr>
                <w:rFonts w:ascii="Arial" w:cs="Arial" w:eastAsia="Arial" w:hAnsi="Arial"/>
                <w:sz w:val="14"/>
                <w:szCs w:val="14"/>
                <w:color w:val="auto"/>
                <w:w w:val="91"/>
              </w:rPr>
              <w:t>See accompanying notes to these consolidated financial statements.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7"/>
        </w:trPr>
        <w:tc>
          <w:tcPr>
            <w:tcW w:w="364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3060" w:type="dxa"/>
            <w:vAlign w:val="bottom"/>
          </w:tcPr>
          <w:p>
            <w:pPr>
              <w:jc w:val="right"/>
              <w:ind w:right="10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8"/>
          </w:tcPr>
          <w:p>
            <w:pPr>
              <w:jc w:val="right"/>
              <w:spacing w:after="0"/>
              <w:rPr>
                <w:sz w:val="20"/>
                <w:szCs w:val="20"/>
                <w:color w:val="auto"/>
              </w:rPr>
            </w:pPr>
            <w:r>
              <w:rPr>
                <w:rFonts w:ascii="Arial" w:cs="Arial" w:eastAsia="Arial" w:hAnsi="Arial"/>
                <w:sz w:val="12"/>
                <w:szCs w:val="12"/>
                <w:b w:val="1"/>
                <w:bCs w:val="1"/>
                <w:color w:val="auto"/>
                <w:w w:val="91"/>
              </w:rPr>
              <w:t>Form 10-K for the Annual Period ended December 31, 2021</w:t>
            </w:r>
          </w:p>
        </w:tc>
        <w:tc>
          <w:tcPr>
            <w:tcW w:w="0" w:type="dxa"/>
            <w:vAlign w:val="bottom"/>
          </w:tcPr>
          <w:p>
            <w:pPr>
              <w:spacing w:after="0"/>
              <w:rPr>
                <w:sz w:val="1"/>
                <w:szCs w:val="1"/>
                <w:color w:val="auto"/>
              </w:rPr>
            </w:pPr>
          </w:p>
        </w:tc>
      </w:tr>
      <w:tr>
        <w:trPr>
          <w:trHeight w:val="329"/>
        </w:trPr>
        <w:tc>
          <w:tcPr>
            <w:tcW w:w="36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20574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CONSOLIDATED STATEMENTS OF STOCKHOLDERS' EQUITY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198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 except shares)</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2"/>
              </w:rPr>
              <w:t>Loss</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FF0FC"/>
          </w:tcPr>
          <w:p>
            <w:pPr>
              <w:spacing w:after="0"/>
              <w:rPr>
                <w:sz w:val="20"/>
                <w:szCs w:val="20"/>
                <w:color w:val="auto"/>
              </w:rPr>
            </w:pPr>
            <w:r>
              <w:rPr>
                <w:rFonts w:ascii="Arial" w:cs="Arial" w:eastAsia="Arial" w:hAnsi="Arial"/>
                <w:sz w:val="13"/>
                <w:szCs w:val="13"/>
                <w:color w:val="auto"/>
              </w:rPr>
              <w:t>Balances, December 31, 2018</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34,691,472</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823,784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(25,679)</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332,574</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15,261</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(3,218)</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318,974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13,365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13,365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9"/>
              </w:rPr>
              <w:t>Shares issued pursuant to stock awards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536,034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rPr>
              <w:t>Employee stock purchase plan activity</w:t>
            </w:r>
          </w:p>
        </w:tc>
        <w:tc>
          <w:tcPr>
            <w:tcW w:w="900" w:type="dxa"/>
            <w:vAlign w:val="bottom"/>
          </w:tcPr>
          <w:p>
            <w:pPr>
              <w:jc w:val="right"/>
              <w:spacing w:after="0"/>
              <w:rPr>
                <w:sz w:val="20"/>
                <w:szCs w:val="20"/>
                <w:color w:val="auto"/>
              </w:rPr>
            </w:pPr>
            <w:r>
              <w:rPr>
                <w:rFonts w:ascii="Arial" w:cs="Arial" w:eastAsia="Arial" w:hAnsi="Arial"/>
                <w:sz w:val="13"/>
                <w:szCs w:val="13"/>
                <w:color w:val="auto"/>
              </w:rPr>
              <w:t>58,851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Repurchases of common stock</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(417,564)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417,564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(20,618)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(20,618)</w:t>
            </w:r>
          </w:p>
        </w:tc>
        <w:tc>
          <w:tcPr>
            <w:tcW w:w="0" w:type="dxa"/>
            <w:vAlign w:val="bottom"/>
          </w:tcPr>
          <w:p>
            <w:pPr>
              <w:spacing w:after="0"/>
              <w:rPr>
                <w:sz w:val="1"/>
                <w:szCs w:val="1"/>
                <w:color w:val="auto"/>
              </w:rPr>
            </w:pPr>
          </w:p>
        </w:tc>
      </w:tr>
      <w:tr>
        <w:trPr>
          <w:trHeight w:val="151"/>
        </w:trPr>
        <w:tc>
          <w:tcPr>
            <w:tcW w:w="2460" w:type="dxa"/>
            <w:vAlign w:val="bottom"/>
          </w:tcPr>
          <w:p>
            <w:pPr>
              <w:ind w:left="140"/>
              <w:spacing w:after="0"/>
              <w:rPr>
                <w:sz w:val="20"/>
                <w:szCs w:val="20"/>
                <w:color w:val="auto"/>
              </w:rPr>
            </w:pPr>
            <w:r>
              <w:rPr>
                <w:rFonts w:ascii="Arial" w:cs="Arial" w:eastAsia="Arial" w:hAnsi="Arial"/>
                <w:sz w:val="13"/>
                <w:szCs w:val="13"/>
                <w:color w:val="auto"/>
              </w:rPr>
              <w:t>Settlement and subsequent return of</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140"/>
              <w:spacing w:after="0"/>
              <w:rPr>
                <w:sz w:val="20"/>
                <w:szCs w:val="20"/>
                <w:color w:val="auto"/>
              </w:rPr>
            </w:pPr>
            <w:r>
              <w:rPr>
                <w:rFonts w:ascii="Arial" w:cs="Arial" w:eastAsia="Arial" w:hAnsi="Arial"/>
                <w:sz w:val="13"/>
                <w:szCs w:val="13"/>
                <w:color w:val="auto"/>
              </w:rPr>
              <w:t>shares</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(5,522)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w w:val="97"/>
              </w:rPr>
              <w:t>Foreign currency translation adjustments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1,290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Unrealized gain on investments, net of</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tax</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60" w:type="dxa"/>
            <w:vAlign w:val="bottom"/>
          </w:tcPr>
          <w:p>
            <w:pPr>
              <w:ind w:left="140"/>
              <w:spacing w:after="0"/>
              <w:rPr>
                <w:sz w:val="20"/>
                <w:szCs w:val="20"/>
                <w:color w:val="auto"/>
              </w:rPr>
            </w:pPr>
            <w:r>
              <w:rPr>
                <w:rFonts w:ascii="Arial" w:cs="Arial" w:eastAsia="Arial" w:hAnsi="Arial"/>
                <w:sz w:val="13"/>
                <w:szCs w:val="13"/>
                <w:color w:val="auto"/>
              </w:rPr>
              <w:t>Reclassification of gain on investments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140"/>
              <w:spacing w:after="0"/>
              <w:rPr>
                <w:sz w:val="20"/>
                <w:szCs w:val="20"/>
                <w:color w:val="auto"/>
              </w:rPr>
            </w:pPr>
            <w:r>
              <w:rPr>
                <w:rFonts w:ascii="Arial" w:cs="Arial" w:eastAsia="Arial" w:hAnsi="Arial"/>
                <w:sz w:val="13"/>
                <w:szCs w:val="13"/>
                <w:color w:val="auto"/>
              </w:rPr>
              <w:t>into earnings, net of tax</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(398)</w:t>
            </w:r>
          </w:p>
        </w:tc>
        <w:tc>
          <w:tcPr>
            <w:tcW w:w="1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Adoption of ASU 2018-02</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20"/>
                <w:szCs w:val="20"/>
                <w:color w:val="auto"/>
              </w:rPr>
            </w:pPr>
            <w:r>
              <w:rPr>
                <w:rFonts w:ascii="Arial" w:cs="Arial" w:eastAsia="Arial" w:hAnsi="Arial"/>
                <w:sz w:val="13"/>
                <w:szCs w:val="13"/>
                <w:color w:val="auto"/>
              </w:rPr>
              <w:t>Balances, December 31, 2019</w:t>
            </w:r>
          </w:p>
        </w:tc>
        <w:tc>
          <w:tcPr>
            <w:tcW w:w="900" w:type="dxa"/>
            <w:vAlign w:val="bottom"/>
          </w:tcPr>
          <w:p>
            <w:pPr>
              <w:jc w:val="right"/>
              <w:spacing w:after="0"/>
              <w:rPr>
                <w:sz w:val="20"/>
                <w:szCs w:val="20"/>
                <w:color w:val="auto"/>
              </w:rPr>
            </w:pPr>
            <w:r>
              <w:rPr>
                <w:rFonts w:ascii="Arial" w:cs="Arial" w:eastAsia="Arial" w:hAnsi="Arial"/>
                <w:sz w:val="13"/>
                <w:szCs w:val="13"/>
                <w:color w:val="auto"/>
              </w:rPr>
              <w:t>34,863,271</w:t>
            </w:r>
          </w:p>
        </w:tc>
        <w:tc>
          <w:tcPr>
            <w:tcW w:w="1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1,241,348</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(46,297)</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354,115</w:t>
            </w:r>
          </w:p>
        </w:tc>
        <w:tc>
          <w:tcPr>
            <w:tcW w:w="12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48,973</w:t>
            </w:r>
          </w:p>
        </w:tc>
        <w:tc>
          <w:tcPr>
            <w:tcW w:w="1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(1,951)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354,876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w w:val="99"/>
              </w:rPr>
              <w:t>Shares issued pursuant to stock awards</w:t>
            </w:r>
          </w:p>
        </w:tc>
        <w:tc>
          <w:tcPr>
            <w:tcW w:w="900" w:type="dxa"/>
            <w:vAlign w:val="bottom"/>
          </w:tcPr>
          <w:p>
            <w:pPr>
              <w:jc w:val="right"/>
              <w:spacing w:after="0"/>
              <w:rPr>
                <w:sz w:val="20"/>
                <w:szCs w:val="20"/>
                <w:color w:val="auto"/>
              </w:rPr>
            </w:pPr>
            <w:r>
              <w:rPr>
                <w:rFonts w:ascii="Arial" w:cs="Arial" w:eastAsia="Arial" w:hAnsi="Arial"/>
                <w:sz w:val="13"/>
                <w:szCs w:val="13"/>
                <w:color w:val="auto"/>
              </w:rPr>
              <w:t>934,015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18,591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Employee stock purchase plan activity</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(371,902)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371,902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(18,950)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(18,950)</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w w:val="97"/>
              </w:rPr>
              <w:t>Foreign currency translation adjustments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Unrealized loss on investments, net of</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tax</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1"/>
        </w:trPr>
        <w:tc>
          <w:tcPr>
            <w:tcW w:w="2460" w:type="dxa"/>
            <w:vAlign w:val="bottom"/>
          </w:tcPr>
          <w:p>
            <w:pPr>
              <w:ind w:left="140"/>
              <w:spacing w:after="0"/>
              <w:rPr>
                <w:sz w:val="20"/>
                <w:szCs w:val="20"/>
                <w:color w:val="auto"/>
              </w:rPr>
            </w:pPr>
            <w:r>
              <w:rPr>
                <w:rFonts w:ascii="Arial" w:cs="Arial" w:eastAsia="Arial" w:hAnsi="Arial"/>
                <w:sz w:val="13"/>
                <w:szCs w:val="13"/>
                <w:color w:val="auto"/>
              </w:rPr>
              <w:t>Reclassification of gain on investments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140"/>
              <w:spacing w:after="0"/>
              <w:rPr>
                <w:sz w:val="20"/>
                <w:szCs w:val="20"/>
                <w:color w:val="auto"/>
              </w:rPr>
            </w:pPr>
            <w:r>
              <w:rPr>
                <w:rFonts w:ascii="Arial" w:cs="Arial" w:eastAsia="Arial" w:hAnsi="Arial"/>
                <w:sz w:val="13"/>
                <w:szCs w:val="13"/>
                <w:color w:val="auto"/>
              </w:rPr>
              <w:t>into earnings, net of tax</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(157)</w:t>
            </w:r>
          </w:p>
        </w:tc>
        <w:tc>
          <w:tcPr>
            <w:tcW w:w="1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Adoption of ASU 2016-13</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(1,069)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3"/>
                <w:szCs w:val="13"/>
                <w:color w:val="auto"/>
              </w:rPr>
              <w:t>Balances, December 31, 2020</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35,487,217</w:t>
            </w:r>
          </w:p>
        </w:tc>
        <w:tc>
          <w:tcPr>
            <w:tcW w:w="1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1,613,250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(65,247)</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393,462</w:t>
            </w:r>
          </w:p>
        </w:tc>
        <w:tc>
          <w:tcPr>
            <w:tcW w:w="12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93,490</w:t>
            </w:r>
          </w:p>
        </w:tc>
        <w:tc>
          <w:tcPr>
            <w:tcW w:w="1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(1,021)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420,721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w w:val="99"/>
              </w:rPr>
              <w:t>Shares issued pursuant to stock awards</w:t>
            </w:r>
          </w:p>
        </w:tc>
        <w:tc>
          <w:tcPr>
            <w:tcW w:w="900" w:type="dxa"/>
            <w:vAlign w:val="bottom"/>
          </w:tcPr>
          <w:p>
            <w:pPr>
              <w:jc w:val="right"/>
              <w:spacing w:after="0"/>
              <w:rPr>
                <w:sz w:val="20"/>
                <w:szCs w:val="20"/>
                <w:color w:val="auto"/>
              </w:rPr>
            </w:pPr>
            <w:r>
              <w:rPr>
                <w:rFonts w:ascii="Arial" w:cs="Arial" w:eastAsia="Arial" w:hAnsi="Arial"/>
                <w:sz w:val="13"/>
                <w:szCs w:val="13"/>
                <w:color w:val="auto"/>
              </w:rPr>
              <w:t>642,417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Employee stock purchase plan activity</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55,726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(176,103)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176,103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(20,430)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(20,430)</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44,597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3"/>
                <w:szCs w:val="13"/>
                <w:color w:val="auto"/>
                <w:w w:val="97"/>
              </w:rPr>
              <w:t>Foreign currency translation adjustments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(514)</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151"/>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Unrealized loss on investments, net of</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tax</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(102)</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1"/>
        </w:trPr>
        <w:tc>
          <w:tcPr>
            <w:tcW w:w="2460" w:type="dxa"/>
            <w:vAlign w:val="bottom"/>
          </w:tcPr>
          <w:p>
            <w:pPr>
              <w:ind w:left="140"/>
              <w:spacing w:after="0"/>
              <w:rPr>
                <w:sz w:val="20"/>
                <w:szCs w:val="20"/>
                <w:color w:val="auto"/>
              </w:rPr>
            </w:pPr>
            <w:r>
              <w:rPr>
                <w:rFonts w:ascii="Arial" w:cs="Arial" w:eastAsia="Arial" w:hAnsi="Arial"/>
                <w:sz w:val="13"/>
                <w:szCs w:val="13"/>
                <w:color w:val="auto"/>
              </w:rPr>
              <w:t>Reclassification of loss on investments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into earnings, net of tax</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rPr>
                <w:sz w:val="20"/>
                <w:szCs w:val="20"/>
                <w:color w:val="auto"/>
              </w:rPr>
            </w:pPr>
            <w:r>
              <w:rPr>
                <w:rFonts w:ascii="Arial" w:cs="Arial" w:eastAsia="Arial" w:hAnsi="Arial"/>
                <w:sz w:val="13"/>
                <w:szCs w:val="13"/>
                <w:color w:val="auto"/>
              </w:rPr>
              <w:t>Balances, December 31, 2021</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36,009,257</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1,789,353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(85,677)</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433,258</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138,087</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(1,447)</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484,259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0574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2"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6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44,597</w:t>
            </w:r>
          </w:p>
        </w:tc>
        <w:tc>
          <w:tcPr>
            <w:tcW w:w="1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45,586</w:t>
            </w:r>
          </w:p>
        </w:tc>
        <w:tc>
          <w:tcPr>
            <w:tcW w:w="240" w:type="dxa"/>
            <w:vAlign w:val="bottom"/>
          </w:tcPr>
          <w:p>
            <w:pPr>
              <w:spacing w:after="0"/>
              <w:rPr>
                <w:sz w:val="18"/>
                <w:szCs w:val="18"/>
                <w:color w:val="auto"/>
              </w:rPr>
            </w:pPr>
          </w:p>
        </w:tc>
        <w:tc>
          <w:tcPr>
            <w:tcW w:w="3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Reconciliation of net income to net cash provided by operating</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4,241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earn-out liability</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3"/>
        </w:trPr>
        <w:tc>
          <w:tcPr>
            <w:tcW w:w="49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 and equipment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13,127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effects of</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acquisition</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(4,959)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(5,922)</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(6,771)</w:t>
            </w: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costs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(9,299)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(3,414)</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(1,441)</w:t>
            </w:r>
          </w:p>
        </w:tc>
        <w:tc>
          <w:tcPr>
            <w:tcW w:w="0" w:type="dxa"/>
            <w:vAlign w:val="bottom"/>
          </w:tcPr>
          <w:p>
            <w:pPr>
              <w:spacing w:after="0"/>
              <w:rPr>
                <w:sz w:val="1"/>
                <w:szCs w:val="1"/>
                <w:color w:val="auto"/>
              </w:rPr>
            </w:pPr>
          </w:p>
        </w:tc>
      </w:tr>
      <w:tr>
        <w:trPr>
          <w:trHeight w:val="213"/>
        </w:trPr>
        <w:tc>
          <w:tcPr>
            <w:tcW w:w="4960" w:type="dxa"/>
            <w:vAlign w:val="bottom"/>
          </w:tcPr>
          <w:p>
            <w:pPr>
              <w:ind w:left="740"/>
              <w:spacing w:after="0"/>
              <w:rPr>
                <w:sz w:val="20"/>
                <w:szCs w:val="20"/>
                <w:color w:val="auto"/>
              </w:rPr>
            </w:pPr>
            <w:r>
              <w:rPr>
                <w:rFonts w:ascii="Arial" w:cs="Arial" w:eastAsia="Arial" w:hAnsi="Arial"/>
                <w:sz w:val="16"/>
                <w:szCs w:val="16"/>
                <w:color w:val="auto"/>
              </w:rPr>
              <w:t>Other current and non-current assets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(6,181)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3"/>
        </w:trPr>
        <w:tc>
          <w:tcPr>
            <w:tcW w:w="4960" w:type="dxa"/>
            <w:vAlign w:val="bottom"/>
          </w:tcPr>
          <w:p>
            <w:pPr>
              <w:ind w:left="740"/>
              <w:spacing w:after="0"/>
              <w:rPr>
                <w:sz w:val="20"/>
                <w:szCs w:val="20"/>
                <w:color w:val="auto"/>
              </w:rPr>
            </w:pPr>
            <w:r>
              <w:rPr>
                <w:rFonts w:ascii="Arial" w:cs="Arial" w:eastAsia="Arial" w:hAnsi="Arial"/>
                <w:sz w:val="16"/>
                <w:szCs w:val="16"/>
                <w:color w:val="auto"/>
              </w:rPr>
              <w:t>Accrued compensation</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(1,257)</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Operating leases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(1,234)</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44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112,893</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88,562</w:t>
            </w:r>
          </w:p>
        </w:tc>
        <w:tc>
          <w:tcPr>
            <w:tcW w:w="24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71,794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(19,588)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(16,467)</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(13,585)</w:t>
            </w: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(121,242)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(74,797)</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(73,700)</w:t>
            </w: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69,461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business and intangible assets, net</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(17,066)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(98,666)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(11,500)</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6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(46,703)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(120,469)</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(14,313)</w:t>
            </w:r>
          </w:p>
        </w:tc>
        <w:tc>
          <w:tcPr>
            <w:tcW w:w="0" w:type="dxa"/>
            <w:vAlign w:val="bottom"/>
          </w:tcPr>
          <w:p>
            <w:pPr>
              <w:spacing w:after="0"/>
              <w:rPr>
                <w:sz w:val="1"/>
                <w:szCs w:val="1"/>
                <w:color w:val="auto"/>
              </w:rPr>
            </w:pPr>
          </w:p>
        </w:tc>
      </w:tr>
      <w:tr>
        <w:trPr>
          <w:trHeight w:val="21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4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(20,430)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(18,950)</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(20,618)</w:t>
            </w: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exercise of options to purchase common stock</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18,592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Net proceeds from employee stock purchase plan activity</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for contingent consideration</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(2,042)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(688)</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6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(8,361)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(12,142)</w:t>
            </w:r>
          </w:p>
        </w:tc>
        <w:tc>
          <w:tcPr>
            <w:tcW w:w="0" w:type="dxa"/>
            <w:vAlign w:val="bottom"/>
          </w:tcPr>
          <w:p>
            <w:pPr>
              <w:spacing w:after="0"/>
              <w:rPr>
                <w:sz w:val="1"/>
                <w:szCs w:val="1"/>
                <w:color w:val="auto"/>
              </w:rPr>
            </w:pPr>
          </w:p>
        </w:tc>
      </w:tr>
      <w:tr>
        <w:trPr>
          <w:trHeight w:val="21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Effect of foreign currency exchange rate changes</w:t>
            </w:r>
          </w:p>
        </w:tc>
        <w:tc>
          <w:tcPr>
            <w:tcW w:w="14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(29,560)</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year</w:t>
            </w:r>
          </w:p>
        </w:tc>
        <w:tc>
          <w:tcPr>
            <w:tcW w:w="1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179,252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207,552</w:t>
            </w:r>
          </w:p>
        </w:tc>
        <w:tc>
          <w:tcPr>
            <w:tcW w:w="1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149,692</w:t>
            </w:r>
          </w:p>
        </w:tc>
        <w:tc>
          <w:tcPr>
            <w:tcW w:w="240" w:type="dxa"/>
            <w:vAlign w:val="bottom"/>
          </w:tcPr>
          <w:p>
            <w:pPr>
              <w:spacing w:after="0"/>
              <w:rPr>
                <w:sz w:val="21"/>
                <w:szCs w:val="21"/>
                <w:color w:val="auto"/>
              </w:rPr>
            </w:pPr>
          </w:p>
        </w:tc>
        <w:tc>
          <w:tcPr>
            <w:tcW w:w="3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179,252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14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Cash paid for income taxes, net</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9,979</w:t>
            </w:r>
          </w:p>
        </w:tc>
        <w:tc>
          <w:tcPr>
            <w:tcW w:w="1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1,656</w:t>
            </w:r>
          </w:p>
        </w:tc>
        <w:tc>
          <w:tcPr>
            <w:tcW w:w="240" w:type="dxa"/>
            <w:vAlign w:val="bottom"/>
          </w:tcPr>
          <w:p>
            <w:pPr>
              <w:spacing w:after="0"/>
              <w:rPr>
                <w:sz w:val="18"/>
                <w:szCs w:val="18"/>
                <w:color w:val="auto"/>
              </w:rPr>
            </w:pPr>
          </w:p>
        </w:tc>
        <w:tc>
          <w:tcPr>
            <w:tcW w:w="3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financing activities: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500"/>
              <w:spacing w:after="0"/>
              <w:rPr>
                <w:sz w:val="20"/>
                <w:szCs w:val="20"/>
                <w:color w:val="auto"/>
              </w:rPr>
            </w:pPr>
            <w:r>
              <w:rPr>
                <w:rFonts w:ascii="Arial" w:cs="Arial" w:eastAsia="Arial" w:hAnsi="Arial"/>
                <w:sz w:val="16"/>
                <w:szCs w:val="16"/>
                <w:color w:val="auto"/>
              </w:rPr>
              <w:t>Net purchases of property and equipment on account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(551)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920" w:type="dxa"/>
            <w:vAlign w:val="bottom"/>
            <w:gridSpan w:val="5"/>
          </w:tcPr>
          <w:p>
            <w:pPr>
              <w:ind w:left="3680"/>
              <w:spacing w:after="0"/>
              <w:rPr>
                <w:sz w:val="20"/>
                <w:szCs w:val="20"/>
                <w:color w:val="auto"/>
              </w:rPr>
            </w:pPr>
            <w:r>
              <w:rPr>
                <w:rFonts w:ascii="Arial" w:cs="Arial" w:eastAsia="Arial" w:hAnsi="Arial"/>
                <w:sz w:val="14"/>
                <w:szCs w:val="14"/>
                <w:color w:val="auto"/>
                <w:w w:val="99"/>
              </w:rPr>
              <w:t>See accompanying notes to these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96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1440" w:type="dxa"/>
            <w:vAlign w:val="bottom"/>
          </w:tcPr>
          <w:p>
            <w:pPr>
              <w:jc w:val="right"/>
              <w:ind w:right="741"/>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9"/>
              </w:rPr>
              <w:t>Form 10-K for the Annual Period ended December 31, 2021</w:t>
            </w:r>
          </w:p>
        </w:tc>
        <w:tc>
          <w:tcPr>
            <w:tcW w:w="0" w:type="dxa"/>
            <w:vAlign w:val="bottom"/>
          </w:tcPr>
          <w:p>
            <w:pPr>
              <w:spacing w:after="0"/>
              <w:rPr>
                <w:sz w:val="1"/>
                <w:szCs w:val="1"/>
                <w:color w:val="auto"/>
              </w:rPr>
            </w:pPr>
          </w:p>
        </w:tc>
      </w:tr>
      <w:tr>
        <w:trPr>
          <w:trHeight w:val="329"/>
        </w:trPr>
        <w:tc>
          <w:tcPr>
            <w:tcW w:w="49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SPS Commerce provides enable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20" w:firstLine="510"/>
        <w:spacing w:after="0" w:line="271"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July 25, 2019, we announced that our board of directors declared a two-for-one stock split of our common stock, effected in the form of</w:t>
      </w:r>
    </w:p>
    <w:p>
      <w:pPr>
        <w:spacing w:after="0" w:line="35"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a 100 percent stock dividend as of the record date on August 8, 2019. The stock split dividend was distributed on August 22, 2019. Earnings per share and weighted average shares outstanding are presented in this Annual Report on Form 10-K after the effect of the 100 percent stock dividend. The two-for-one stock split is reflected in the share amounts in all periods presented in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(expense), net in our consolidated statements of comprehensive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We recognize the fair value of the assets acquired and the liabilities assumed at the acquisition date, separately from goodwill. Goodwill as of the acquisition date is measured as the excess of consideration transferred over the amount of the assets acquired and the liabilities assumed.</w:t>
      </w:r>
    </w:p>
    <w:p>
      <w:pPr>
        <w:spacing w:after="0" w:line="38"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 the acquisition-date fair value of any contingent liabilities, such as earn-out provisions, as part of the consideration transferred, if present. The unsettled earn-out liability, if any, fair value is subsequently remeasured at each reporting date.</w:t>
      </w:r>
    </w:p>
    <w:p>
      <w:pPr>
        <w:spacing w:after="0" w:line="49"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or a 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right="480"/>
        <w:spacing w:after="0" w:line="277" w:lineRule="auto"/>
        <w:rPr>
          <w:sz w:val="20"/>
          <w:szCs w:val="20"/>
          <w:color w:val="auto"/>
        </w:rPr>
      </w:pPr>
      <w:r>
        <w:rPr>
          <w:rFonts w:ascii="Arial" w:cs="Arial" w:eastAsia="Arial" w:hAnsi="Arial"/>
          <w:sz w:val="18"/>
          <w:szCs w:val="18"/>
          <w:color w:val="auto"/>
        </w:rPr>
        <w:t>capital adjustment as applicable. Upon the conclusion of the measurement period or final determination of the fair values, whichever comes first, any subsequent adjustments would be recorded in our consolidated statements of comprehensive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Our Chief Executive Officer acts as the Company’s chief operating decision maker and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which is supply chain management products.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in financial institutions in excess of federally insured limits and accounts receivable. Cash and cash equivalents are held with financial institutions that we believe are subject to minimal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We invest in money market funds, certificates of deposit, highly liquid debt instruments of the United States (“U.S.”) government and U.S. corporate debt securities. Investments with remaining maturities of less than one year from the balance sheet date are classified as Short-term investments whereas those with remaining maturities of more than one year from the balance sheet date are classified as Investments, non-current.</w:t>
      </w:r>
    </w:p>
    <w:p>
      <w:pPr>
        <w:spacing w:after="0" w:line="41"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We determine the appropriate classification of certificates of deposit and marketable securities at the time of purchase and reevaluate such determination at each balance sheet date.</w:t>
      </w:r>
    </w:p>
    <w:p>
      <w:pPr>
        <w:spacing w:after="0" w:line="17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Securities classified as available for sale are carried at fair value and the unrealized gains and losses on these investments, net of taxes, are included in accumulated other comprehensive loss in the consolidated balance sheets. Realized gains or losses are included in other income (expense), net in the consolidated statements of comprehensive income. Certain securities accrue interest that is included in other income (expense), net.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consolidated statements of comprehensive income.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cash equivalents, accounts receivable, and accounts payable, approximates fair value due to their short-term nature.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Accounts receivable are initially recorded upon the sale and invoicing of products to customers. Credit is granted in the normal course of business without collateral. Accounts receivable are stated net of allowances for credit losses, which represent estimated losses resulting from customers not making required payments on accounts receivables. When determining the allowance, we pool our outstanding accounts receivable invoices based on the contractual due date of payment. We take several factors into consideration for estimated credit losses by pool, primarily our historical credit losses, with additional adjustments made for current and future macro-economic conditions and retail bankruptcy trends. We write-off accounts receivable when they are determined to be uncollectible. Changes in the allowance are recorded as bad debt expense and are included in general and administrative expense in our consolidated statements of comprehensive income.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 Depreciation and amortization expense is calculated using the straight-line method over the estimated useful lives when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20574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9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firstLine="510"/>
        <w:spacing w:after="0" w:line="311" w:lineRule="auto"/>
        <w:rPr>
          <w:sz w:val="20"/>
          <w:szCs w:val="20"/>
          <w:color w:val="auto"/>
        </w:rPr>
      </w:pPr>
      <w:r>
        <w:rPr>
          <w:rFonts w:ascii="Arial" w:cs="Arial" w:eastAsia="Arial" w:hAnsi="Arial"/>
          <w:sz w:val="16"/>
          <w:szCs w:val="16"/>
          <w:color w:val="auto"/>
        </w:rPr>
        <w:t>We capitalize and amortize eligible costs to acquire or develop internal-use software that are incurred during the application development stage. Costs incurred during the preliminary project stage and post-implementation stage are expensed as incurred. Amortization expense for internal-use software is calculated using the straight-line method over the estimated useful life, commencing on the date when the asset is ready for its intended use.</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property and equipment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684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57"/>
        </w:trPr>
        <w:tc>
          <w:tcPr>
            <w:tcW w:w="4400" w:type="dxa"/>
            <w:vAlign w:val="bottom"/>
            <w:tcBorders>
              <w:bottom w:val="single" w:sz="8" w:color="CFF0FC"/>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6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2-3 years</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684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Shorter of the useful life of the asset or the remaining term of the lease</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Internal-use software</w:t>
            </w:r>
          </w:p>
        </w:tc>
        <w:tc>
          <w:tcPr>
            <w:tcW w:w="6840" w:type="dxa"/>
            <w:vAlign w:val="bottom"/>
          </w:tcPr>
          <w:p>
            <w:pPr>
              <w:jc w:val="center"/>
              <w:spacing w:after="0"/>
              <w:rPr>
                <w:sz w:val="20"/>
                <w:szCs w:val="20"/>
                <w:color w:val="auto"/>
              </w:rPr>
            </w:pPr>
            <w:r>
              <w:rPr>
                <w:rFonts w:ascii="Arial" w:cs="Arial" w:eastAsia="Arial" w:hAnsi="Arial"/>
                <w:sz w:val="18"/>
                <w:szCs w:val="18"/>
                <w:color w:val="auto"/>
                <w:w w:val="84"/>
              </w:rPr>
              <w:t>3 years</w:t>
            </w:r>
          </w:p>
        </w:tc>
      </w:tr>
    </w:tbl>
    <w:p>
      <w:pPr>
        <w:spacing w:after="0" w:line="93" w:lineRule="exact"/>
        <w:rPr>
          <w:sz w:val="20"/>
          <w:szCs w:val="20"/>
          <w:color w:val="auto"/>
        </w:rPr>
      </w:pPr>
    </w:p>
    <w:p>
      <w:pPr>
        <w:ind w:right="20" w:firstLine="510"/>
        <w:spacing w:after="0" w:line="271"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The assets and related accumulated depreciation and amortization are adjusted for asset retirements and disposals with the resulting gain or loss included in our consolidated statements of comprehensive income.</w:t>
      </w:r>
    </w:p>
    <w:p>
      <w:pPr>
        <w:spacing w:after="0" w:line="68"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Maintenance and enhancements of internal-use software are expensed as incurred. The assets and related accumulated amortization are adjusted for abandoned internal-use software with the resulting gain or loss included in our consolidated statements of comprehensive income.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assets, current operating lease liabilities, and long-term operating lease liabilities in our consolidated balance sheets.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interest rate when readily determinable. We estimate the discount rate for a similar collateralized asset by estimating costs of borrowing. The operating lease ROU asset also includes any lease payments made and lease incentives that have been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products and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the reporting unit based on our market capitalization at the testing date. If the carrying amount exceeds the fair value of the reporting unit, we would recognize an impairment loss in the consolidated statements of comprehensive income, to the extent that the carrying amount exceeds fair value.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Assets acquired in business combinations may include identifiable intangible assets such as subscriber relationships and developed technology. We recognize the fair value of the identifiable intangible assets acquired separately from goodwill. We have determined the fair value and useful lives of our purchased intangible assets using certain estimates and assumptions that we believe are reasonable.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purchased intangible assets are being amortized on a straight-line basis over their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520"/>
        <w:spacing w:after="0"/>
        <w:rPr>
          <w:sz w:val="20"/>
          <w:szCs w:val="20"/>
          <w:color w:val="auto"/>
        </w:rPr>
      </w:pPr>
      <w:r>
        <w:rPr>
          <w:rFonts w:ascii="Arial" w:cs="Arial" w:eastAsia="Arial" w:hAnsi="Arial"/>
          <w:sz w:val="18"/>
          <w:szCs w:val="18"/>
          <w:color w:val="auto"/>
        </w:rPr>
        <w:t>The estimated useful lives for intangible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CFF0FC"/>
            </w:tcBorders>
          </w:tcPr>
          <w:p>
            <w:pPr>
              <w:spacing w:after="0"/>
              <w:rPr>
                <w:sz w:val="14"/>
                <w:szCs w:val="1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4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7-10 years</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Acquired technology</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3-10 years</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Implementation Assets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Third-party implementation costs are capitalized assets included in Other Assets and relate to implementation costs incurred for software hosting arrangements.</w:t>
      </w:r>
    </w:p>
    <w:p>
      <w:pPr>
        <w:spacing w:after="0" w:line="62" w:lineRule="exact"/>
        <w:rPr>
          <w:sz w:val="20"/>
          <w:szCs w:val="20"/>
          <w:color w:val="auto"/>
        </w:rPr>
      </w:pPr>
    </w:p>
    <w:p>
      <w:pPr>
        <w:jc w:val="both"/>
        <w:ind w:right="160" w:firstLine="510"/>
        <w:spacing w:after="0" w:line="342" w:lineRule="auto"/>
        <w:rPr>
          <w:sz w:val="20"/>
          <w:szCs w:val="20"/>
          <w:color w:val="auto"/>
        </w:rPr>
      </w:pPr>
      <w:r>
        <w:rPr>
          <w:rFonts w:ascii="Arial" w:cs="Arial" w:eastAsia="Arial" w:hAnsi="Arial"/>
          <w:sz w:val="16"/>
          <w:szCs w:val="16"/>
          <w:color w:val="auto"/>
        </w:rPr>
        <w:t>Capitalized implementation costs are recognized on a straight-line basis beginning when the application is ready for its intended use and ending on the expected termination date of the hosting arrangement, including consideration of the noncancelable contractual term and reasonably certain renewals.</w:t>
      </w:r>
    </w:p>
    <w:p>
      <w:pPr>
        <w:spacing w:after="0" w:line="16" w:lineRule="exact"/>
        <w:rPr>
          <w:sz w:val="20"/>
          <w:szCs w:val="20"/>
          <w:color w:val="auto"/>
        </w:rPr>
      </w:pPr>
    </w:p>
    <w:p>
      <w:pPr>
        <w:ind w:right="1040" w:firstLine="510"/>
        <w:spacing w:after="0" w:line="277" w:lineRule="auto"/>
        <w:rPr>
          <w:sz w:val="20"/>
          <w:szCs w:val="20"/>
          <w:color w:val="auto"/>
        </w:rPr>
      </w:pPr>
      <w:r>
        <w:rPr>
          <w:rFonts w:ascii="Arial" w:cs="Arial" w:eastAsia="Arial" w:hAnsi="Arial"/>
          <w:sz w:val="18"/>
          <w:szCs w:val="18"/>
          <w:color w:val="auto"/>
        </w:rPr>
        <w:t>The original terms are between four and six years for our current hosting arrangements. Recognized expense is reported in general and administrative expense, which is where the hosting arrangement subscriptions are reported.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and recorded as an expense in the consolidated statements of comprehensive income as the amount by which the carrying amount of a long-lived asset exceeds its fair value.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expect to collect, in exchange for those services.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C for further descriptions of our revenue recognition policy.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Deferred costs are those that are incurred to fulfill or obtain customer contracts and that are considered incremental and recoverable costs. These consist primarily of customer implementation costs, commissions paid to sales personnel and third-party partners for customer referrals, respectively. These costs are deferred and amortized over the expected period of benefit which we have determined to be two years.</w:t>
      </w:r>
    </w:p>
    <w:p>
      <w:pPr>
        <w:spacing w:after="0" w:line="71" w:lineRule="exact"/>
        <w:rPr>
          <w:sz w:val="20"/>
          <w:szCs w:val="20"/>
          <w:color w:val="auto"/>
        </w:rPr>
      </w:pPr>
    </w:p>
    <w:p>
      <w:pPr>
        <w:ind w:right="1080" w:firstLine="510"/>
        <w:spacing w:after="0" w:line="277" w:lineRule="auto"/>
        <w:rPr>
          <w:sz w:val="20"/>
          <w:szCs w:val="20"/>
          <w:color w:val="auto"/>
        </w:rPr>
      </w:pPr>
      <w:r>
        <w:rPr>
          <w:rFonts w:ascii="Arial" w:cs="Arial" w:eastAsia="Arial" w:hAnsi="Arial"/>
          <w:sz w:val="18"/>
          <w:szCs w:val="18"/>
          <w:color w:val="auto"/>
        </w:rPr>
        <w:t>Customer implementation costs are based on actual costs incurred. Related amortization expense is included in cost of revenues in the accompanying consolidated statements of comprehensive income.</w:t>
      </w:r>
    </w:p>
    <w:p>
      <w:pPr>
        <w:spacing w:after="0" w:line="62"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Sales commissions are calculated based on estimated annual recurring revenue to be generated over the customer’s initial contract period. Related amortization expense is included in sales and marketing expenses in the consolidated statements of comprehensive income.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recognize the cost of all share-based payments to employees, executive officers, and non-employee members of the Company’s Board of Directors, including grants of incentive and nonqualified stock options, performance share units (“PSUs”), restricted stock awards (“RSAs”), restricted stock units (“RSUs”), deferred stock units (“DSUs”), employee stock purchase plan (“ESPP”) activity, and 401(k) stock match in the consolidated financial statements based on the grant date fair value of those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40"/>
        <w:spacing w:after="0" w:line="263" w:lineRule="auto"/>
        <w:rPr>
          <w:sz w:val="20"/>
          <w:szCs w:val="20"/>
          <w:color w:val="auto"/>
        </w:rPr>
      </w:pPr>
      <w:r>
        <w:rPr>
          <w:rFonts w:ascii="Arial" w:cs="Arial" w:eastAsia="Arial" w:hAnsi="Arial"/>
          <w:sz w:val="18"/>
          <w:szCs w:val="18"/>
          <w:color w:val="auto"/>
        </w:rPr>
        <w:t>This cost is recognized over the period for which an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w:t>
      </w:r>
    </w:p>
    <w:p>
      <w:pPr>
        <w:spacing w:after="0" w:line="7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RSAs result in the issuance of new shares when granted. For other stock-based awards, new shares are issued when the award is exercised, vested, or released according to the terms of the agreement.</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fair value of stock options and ESPP activity is estimated using the Black-Scholes-Merton option valuation model. The fair value for RSAs, RSUs, and DSUs is the closing market value of the underlying stock on the date of grant less the purchase price (if any). The fair value of PSUs is estimated using a Monte Carlo simulation.</w:t>
      </w:r>
    </w:p>
    <w:p>
      <w:pPr>
        <w:spacing w:after="0" w:line="7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 valuing share-based awards, excluding PSUs, judgment is required in determining the expected volatility of common stock and the expected term individuals will hold their share-based awards prior to exercising. The expected volatility of the options is based on the historical volatility of our common stock. Beginning with awards granted in 2020, the expected term of the options is derived from historical data on option holder exercises and post-vesting employment termination behavior. For awards granted prior to 2020, the expected term of the options was based on the simplified method.</w:t>
      </w:r>
    </w:p>
    <w:p>
      <w:pPr>
        <w:spacing w:after="0" w:line="4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Additional valuation inputs include our expected non-issuance of future common stock dividends and the risk-free interest rate that is based on the U.S. Treasury rates at the date of grant with maturity dates approximately equaling the expected life at the grant date. For PSUs, the Monte Carlo simulation utilizes multiple input variables that determine the probability of satisfying the performance conditions stipulated in the award. For all awards, we recognize forfeitures as they occur.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account for income taxes using the asset and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judgment, it is more likely than not that some or all of the deferred tax asset will not be realized.</w:t>
      </w:r>
    </w:p>
    <w:p>
      <w:pPr>
        <w:spacing w:after="0" w:line="8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80"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our practice to recognize interest and penalties accrued on any unrecognized tax benefits as a component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including options, RSAs, RSUs, PSUs, DSUs and ESPP activity. Potential common shares that are anti-dilutive are excluded from the calculation of diluted net income per share.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12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Date of Issuance</w:t>
            </w:r>
          </w:p>
        </w:tc>
        <w:tc>
          <w:tcPr>
            <w:tcW w:w="3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Date of Required</w:t>
            </w:r>
          </w:p>
        </w:tc>
        <w:tc>
          <w:tcPr>
            <w:tcW w:w="33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36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Adoption</w:t>
            </w:r>
          </w:p>
        </w:tc>
        <w:tc>
          <w:tcPr>
            <w:tcW w:w="3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2021-08</w:t>
            </w:r>
            <w:r>
              <w:rPr>
                <w:rFonts w:ascii="Arial" w:cs="Arial" w:eastAsia="Arial" w:hAnsi="Arial"/>
                <w:sz w:val="18"/>
                <w:szCs w:val="18"/>
                <w:color w:val="auto"/>
              </w:rPr>
              <w:t>, Business</w:t>
            </w:r>
          </w:p>
        </w:tc>
        <w:tc>
          <w:tcPr>
            <w:tcW w:w="1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October 2021</w:t>
            </w: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6"/>
              </w:rPr>
              <w:t>This amendment requires that an acquirer</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2023</w:t>
            </w:r>
          </w:p>
        </w:tc>
        <w:tc>
          <w:tcPr>
            <w:tcW w:w="33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6"/>
              </w:rPr>
              <w:t>The adoption of this standard may have a</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w w:val="98"/>
              </w:rPr>
              <w:t>Combinations (Topic 805)</w:t>
            </w:r>
          </w:p>
        </w:tc>
        <w:tc>
          <w:tcPr>
            <w:tcW w:w="1240" w:type="dxa"/>
            <w:vAlign w:val="bottom"/>
            <w:shd w:val="clear" w:color="auto" w:fill="CFF0FC"/>
          </w:tcPr>
          <w:p>
            <w:pPr>
              <w:spacing w:after="0"/>
              <w:rPr>
                <w:sz w:val="18"/>
                <w:szCs w:val="18"/>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recognize and</w:t>
            </w:r>
          </w:p>
        </w:tc>
        <w:tc>
          <w:tcPr>
            <w:tcW w:w="1280" w:type="dxa"/>
            <w:vAlign w:val="bottom"/>
            <w:shd w:val="clear" w:color="auto" w:fill="CFF0FC"/>
          </w:tcPr>
          <w:p>
            <w:pPr>
              <w:spacing w:after="0"/>
              <w:rPr>
                <w:sz w:val="18"/>
                <w:szCs w:val="18"/>
                <w:color w:val="auto"/>
              </w:rPr>
            </w:pPr>
          </w:p>
        </w:tc>
        <w:tc>
          <w:tcPr>
            <w:tcW w:w="33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1"/>
              </w:rPr>
              <w:t>material impact on the purchase accounting</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 Accounting for Contract</w:t>
            </w:r>
          </w:p>
        </w:tc>
        <w:tc>
          <w:tcPr>
            <w:tcW w:w="1240" w:type="dxa"/>
            <w:vAlign w:val="bottom"/>
            <w:shd w:val="clear" w:color="auto" w:fill="CFF0FC"/>
          </w:tcPr>
          <w:p>
            <w:pPr>
              <w:spacing w:after="0"/>
              <w:rPr>
                <w:sz w:val="18"/>
                <w:szCs w:val="18"/>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measure contract assets and contract</w:t>
            </w:r>
          </w:p>
        </w:tc>
        <w:tc>
          <w:tcPr>
            <w:tcW w:w="1280" w:type="dxa"/>
            <w:vAlign w:val="bottom"/>
            <w:shd w:val="clear" w:color="auto" w:fill="CFF0FC"/>
          </w:tcPr>
          <w:p>
            <w:pPr>
              <w:spacing w:after="0"/>
              <w:rPr>
                <w:sz w:val="18"/>
                <w:szCs w:val="18"/>
                <w:color w:val="auto"/>
              </w:rPr>
            </w:pPr>
          </w:p>
        </w:tc>
        <w:tc>
          <w:tcPr>
            <w:tcW w:w="33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for business combinations depending on the</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Assets and Contract</w:t>
            </w:r>
          </w:p>
        </w:tc>
        <w:tc>
          <w:tcPr>
            <w:tcW w:w="1240" w:type="dxa"/>
            <w:vAlign w:val="bottom"/>
            <w:shd w:val="clear" w:color="auto" w:fill="CFF0FC"/>
          </w:tcPr>
          <w:p>
            <w:pPr>
              <w:spacing w:after="0"/>
              <w:rPr>
                <w:sz w:val="18"/>
                <w:szCs w:val="18"/>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liabilities acquired in a business</w:t>
            </w:r>
          </w:p>
        </w:tc>
        <w:tc>
          <w:tcPr>
            <w:tcW w:w="1280" w:type="dxa"/>
            <w:vAlign w:val="bottom"/>
            <w:shd w:val="clear" w:color="auto" w:fill="CFF0FC"/>
          </w:tcPr>
          <w:p>
            <w:pPr>
              <w:spacing w:after="0"/>
              <w:rPr>
                <w:sz w:val="18"/>
                <w:szCs w:val="18"/>
                <w:color w:val="auto"/>
              </w:rPr>
            </w:pPr>
          </w:p>
        </w:tc>
        <w:tc>
          <w:tcPr>
            <w:tcW w:w="33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specific amount of contract assets and</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Liabilities from Contracts</w:t>
            </w:r>
          </w:p>
        </w:tc>
        <w:tc>
          <w:tcPr>
            <w:tcW w:w="1240" w:type="dxa"/>
            <w:vAlign w:val="bottom"/>
            <w:shd w:val="clear" w:color="auto" w:fill="CFF0FC"/>
          </w:tcPr>
          <w:p>
            <w:pPr>
              <w:spacing w:after="0"/>
              <w:rPr>
                <w:sz w:val="18"/>
                <w:szCs w:val="18"/>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combination in accordance with Topic 606,</w:t>
            </w:r>
          </w:p>
        </w:tc>
        <w:tc>
          <w:tcPr>
            <w:tcW w:w="1280" w:type="dxa"/>
            <w:vAlign w:val="bottom"/>
            <w:shd w:val="clear" w:color="auto" w:fill="CFF0FC"/>
          </w:tcPr>
          <w:p>
            <w:pPr>
              <w:spacing w:after="0"/>
              <w:rPr>
                <w:sz w:val="18"/>
                <w:szCs w:val="18"/>
                <w:color w:val="auto"/>
              </w:rPr>
            </w:pPr>
          </w:p>
        </w:tc>
        <w:tc>
          <w:tcPr>
            <w:tcW w:w="33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liabilities being acquired.</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with Customers</w:t>
            </w:r>
          </w:p>
        </w:tc>
        <w:tc>
          <w:tcPr>
            <w:tcW w:w="1240" w:type="dxa"/>
            <w:vAlign w:val="bottom"/>
            <w:shd w:val="clear" w:color="auto" w:fill="CFF0FC"/>
          </w:tcPr>
          <w:p>
            <w:pPr>
              <w:spacing w:after="0"/>
              <w:rPr>
                <w:sz w:val="18"/>
                <w:szCs w:val="18"/>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effective for all business combinations in</w:t>
            </w:r>
          </w:p>
        </w:tc>
        <w:tc>
          <w:tcPr>
            <w:tcW w:w="12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the year of adoption and thereafter.</w:t>
            </w:r>
          </w:p>
        </w:tc>
        <w:tc>
          <w:tcPr>
            <w:tcW w:w="1280" w:type="dxa"/>
            <w:vAlign w:val="bottom"/>
            <w:shd w:val="clear" w:color="auto" w:fill="CFF0FC"/>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Business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Genius Central</w:t>
      </w:r>
    </w:p>
    <w:p>
      <w:pPr>
        <w:spacing w:after="0" w:line="121"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On November 3, 2021, we merged with and correspondingly acquired all of the outstanding equity ownership interests of Genius Central Systems Inc. (“Genius Central”), a leading provider of order processing services and other supply chain products in the natural product industry. Pursuant to the membership interest purchase agreement, given a target working capital level, the total transaction price was $17.4 million. $17.3 million was paid in cash at closing and $0.1 million is due to the sellers as part of the initial net working capital adjustment.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Estimated Fair Value</w:t>
            </w:r>
          </w:p>
        </w:tc>
      </w:tr>
      <w:tr>
        <w:trPr>
          <w:trHeight w:val="57"/>
        </w:trPr>
        <w:tc>
          <w:tcPr>
            <w:tcW w:w="9260" w:type="dxa"/>
            <w:vAlign w:val="bottom"/>
            <w:tcBorders>
              <w:bottom w:val="single" w:sz="8" w:color="CFF0FC"/>
            </w:tcBorders>
          </w:tcPr>
          <w:p>
            <w:pPr>
              <w:spacing w:after="0"/>
              <w:rPr>
                <w:sz w:val="4"/>
                <w:szCs w:val="4"/>
                <w:color w:val="auto"/>
              </w:rPr>
            </w:pPr>
          </w:p>
        </w:tc>
        <w:tc>
          <w:tcPr>
            <w:tcW w:w="20" w:type="dxa"/>
            <w:vAlign w:val="bottom"/>
            <w:tcBorders>
              <w:bottom w:val="single" w:sz="8" w:color="CFF0FC"/>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current and non-current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(2,167)</w:t>
            </w:r>
          </w:p>
        </w:tc>
      </w:tr>
      <w:tr>
        <w:trPr>
          <w:trHeight w:val="223"/>
        </w:trPr>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17,413</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81"/>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weighted average estimated useful life)</w:t>
            </w:r>
          </w:p>
        </w:tc>
        <w:tc>
          <w:tcPr>
            <w:tcW w:w="30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3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Acquired technology</w:t>
            </w:r>
          </w:p>
        </w:tc>
        <w:tc>
          <w:tcPr>
            <w:tcW w:w="30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w:t>
            </w:r>
          </w:p>
        </w:tc>
        <w:tc>
          <w:tcPr>
            <w:tcW w:w="2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3000" w:type="dxa"/>
            <w:vAlign w:val="bottom"/>
            <w:vMerge w:val="restart"/>
          </w:tcPr>
          <w:p>
            <w:pPr>
              <w:jc w:val="right"/>
              <w:ind w:right="1908"/>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560" w:type="dxa"/>
            <w:vAlign w:val="bottom"/>
            <w:vMerge w:val="continue"/>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3"/>
          </w:tcPr>
          <w:p>
            <w:pPr>
              <w:ind w:left="26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c>
          <w:tcPr>
            <w:tcW w:w="0" w:type="dxa"/>
            <w:vAlign w:val="bottom"/>
          </w:tcPr>
          <w:p>
            <w:pPr>
              <w:spacing w:after="0"/>
              <w:rPr>
                <w:sz w:val="1"/>
                <w:szCs w:val="1"/>
                <w:color w:val="auto"/>
              </w:rPr>
            </w:pPr>
          </w:p>
        </w:tc>
      </w:tr>
      <w:tr>
        <w:trPr>
          <w:trHeight w:val="329"/>
        </w:trPr>
        <w:tc>
          <w:tcPr>
            <w:tcW w:w="45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Data Masons</w:t>
      </w:r>
    </w:p>
    <w:p>
      <w:pPr>
        <w:spacing w:after="0" w:line="121" w:lineRule="exact"/>
        <w:rPr>
          <w:sz w:val="20"/>
          <w:szCs w:val="20"/>
          <w:color w:val="auto"/>
        </w:rPr>
      </w:pPr>
    </w:p>
    <w:p>
      <w:pPr>
        <w:jc w:val="both"/>
        <w:ind w:right="60" w:firstLine="468"/>
        <w:spacing w:after="0" w:line="286" w:lineRule="auto"/>
        <w:rPr>
          <w:sz w:val="20"/>
          <w:szCs w:val="20"/>
          <w:color w:val="auto"/>
        </w:rPr>
      </w:pPr>
      <w:r>
        <w:rPr>
          <w:rFonts w:ascii="Arial" w:cs="Arial" w:eastAsia="Arial" w:hAnsi="Arial"/>
          <w:sz w:val="17"/>
          <w:szCs w:val="17"/>
          <w:color w:val="auto"/>
        </w:rPr>
        <w:t>In December 2020, we acquired all of the outstanding equity ownership interests of D Masons Software, LLC (“Data Masons”). As of December 31, 2020, the purchase accounting for the acquisition was not finalized. During 2021, the only change in the purchase accounting was a $0.3 million reduction of amounts due from the seller as part of the initial net working capital adjustment and a corresponding increase to goodwill.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6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306,851</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251,272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219,297</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37,038</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262,006</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385,276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expect to collect, in exchange for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80"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recurring revenue contracts are for one year or less and recognized on a ratable basis over the contract term. We have applied the optional exemption to not disclose information about the remaining performance obligations for recurring revenue contracts since they have original durations of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47</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and miscellaneous fees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 up revenues</w:t>
      </w:r>
    </w:p>
    <w:p>
      <w:pPr>
        <w:spacing w:after="0" w:line="117"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Set-up fees are specific for each connection a customer has with a trading partner and many of our customers have connections with numerous trading partners. These nonrefundable fees are necessary for our customers to utilize our services and do not provide any standalone value.</w:t>
      </w:r>
    </w:p>
    <w:p>
      <w:pPr>
        <w:spacing w:after="0" w:line="16"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15,931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set-up fees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(12,590)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(10,810)</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Balance, end of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14,459</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entire balance of deferred set-up fees will be recognized within two years; those that will be recognized within the next year are classified as current whereas the remainder are classified as non-current.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Miscellaneous one-time fees consist of professional services and testing and certification.</w:t>
      </w:r>
    </w:p>
    <w:p>
      <w:pPr>
        <w:spacing w:after="0" w:line="117" w:lineRule="exact"/>
        <w:rPr>
          <w:sz w:val="20"/>
          <w:szCs w:val="20"/>
          <w:color w:val="auto"/>
        </w:rPr>
      </w:pPr>
    </w:p>
    <w:p>
      <w:pPr>
        <w:jc w:val="both"/>
        <w:ind w:right="480" w:firstLine="510"/>
        <w:spacing w:after="0" w:line="263" w:lineRule="auto"/>
        <w:rPr>
          <w:sz w:val="20"/>
          <w:szCs w:val="20"/>
          <w:color w:val="auto"/>
        </w:rPr>
      </w:pPr>
      <w:r>
        <w:rPr>
          <w:rFonts w:ascii="Arial" w:cs="Arial" w:eastAsia="Arial" w:hAnsi="Arial"/>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year ended December 31, 2021, we recognized revenue of $37.9 million from amounts included in deferred revenue at December 31,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Deferred Costs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deferred costs activity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400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40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4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(54,951)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(50,767)</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Balance, end of year</w:t>
            </w:r>
          </w:p>
        </w:tc>
        <w:tc>
          <w:tcPr>
            <w:tcW w:w="40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4000" w:type="dxa"/>
            <w:vAlign w:val="bottom"/>
            <w:vMerge w:val="restart"/>
          </w:tcPr>
          <w:p>
            <w:pPr>
              <w:jc w:val="right"/>
              <w:ind w:right="2108"/>
              <w:spacing w:after="0"/>
              <w:rPr>
                <w:sz w:val="20"/>
                <w:szCs w:val="20"/>
                <w:color w:val="auto"/>
              </w:rPr>
            </w:pPr>
            <w:r>
              <w:rPr>
                <w:rFonts w:ascii="Arial" w:cs="Arial" w:eastAsia="Arial" w:hAnsi="Arial"/>
                <w:sz w:val="14"/>
                <w:szCs w:val="14"/>
                <w:color w:val="auto"/>
              </w:rPr>
              <w:t>48</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3760" w:type="dxa"/>
            <w:vAlign w:val="bottom"/>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6"/>
          </w:tcPr>
          <w:p>
            <w:pPr>
              <w:jc w:val="right"/>
              <w:spacing w:after="0"/>
              <w:rPr>
                <w:sz w:val="20"/>
                <w:szCs w:val="20"/>
                <w:color w:val="auto"/>
              </w:rPr>
            </w:pPr>
            <w:r>
              <w:rPr>
                <w:rFonts w:ascii="Arial" w:cs="Arial" w:eastAsia="Arial" w:hAnsi="Arial"/>
                <w:sz w:val="12"/>
                <w:szCs w:val="12"/>
                <w:b w:val="1"/>
                <w:bCs w:val="1"/>
                <w:color w:val="auto"/>
                <w:w w:val="94"/>
              </w:rPr>
              <w:t>Form 10-K for the Annual Period ended December 31, 2021</w:t>
            </w:r>
          </w:p>
        </w:tc>
        <w:tc>
          <w:tcPr>
            <w:tcW w:w="0" w:type="dxa"/>
            <w:vAlign w:val="bottom"/>
          </w:tcPr>
          <w:p>
            <w:pPr>
              <w:spacing w:after="0"/>
              <w:rPr>
                <w:sz w:val="1"/>
                <w:szCs w:val="1"/>
                <w:color w:val="auto"/>
              </w:rPr>
            </w:pPr>
          </w:p>
        </w:tc>
      </w:tr>
      <w:tr>
        <w:trPr>
          <w:trHeight w:val="330"/>
        </w:trPr>
        <w:tc>
          <w:tcPr>
            <w:tcW w:w="37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AAE5"/>
        </w:rPr>
        <w:t>NOTE E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(Losses), net</w:t>
            </w:r>
          </w:p>
        </w:tc>
        <w:tc>
          <w:tcPr>
            <w:tcW w:w="16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Losses, net</w:t>
            </w: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138,205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138,205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112,907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 of deposit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corporate bonds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187,957</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187,963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153,304</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153,193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within one to two years</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187,963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right="120" w:firstLine="510"/>
        <w:spacing w:after="0" w:line="340"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are used to measure fair value are:</w:t>
      </w:r>
    </w:p>
    <w:p>
      <w:pPr>
        <w:spacing w:after="0" w:line="23"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right="240" w:hanging="493"/>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520" w:right="520" w:hanging="13"/>
        <w:spacing w:after="0" w:line="418" w:lineRule="auto"/>
        <w:tabs>
          <w:tab w:leader="none" w:pos="10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unobservable inputs to the valuation methodology that are significant to the measurement of fair value of assets or liabilities. We obtain the fair values of our Level 2 securities from a professional pricing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20574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3"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49</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color w:val="auto"/>
        </w:rPr>
        <w:t>The following table details the fair value hierarchy of our assets and liabilities measured at a fair value on a recurring basis: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92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U.S. 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5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U.S. 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contingent consideration liability, related to the Data Masons acquisition, we were required to pay the former owners of Data Masons</w:t>
      </w:r>
    </w:p>
    <w:p>
      <w:pPr>
        <w:spacing w:after="0" w:line="23"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$1.9 million in the event the Paycheck Protection Program Loan (“PPP Loan”) acquired in the acquisition was forgiven in full. In 2021, the Small Business Administration approved the full forgiveness of the PPP Loan and, accordingly, the payment of the $1.9 million contingent liability was made.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measure certain assets and liabilities at fair value on a nonrecurring basis, including long-lived assets, goodwill, and indefinite-lived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F – Allowance for Credit Losses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Provision for credit losses</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(4,319)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w w:val="96"/>
              </w:rPr>
              <w:t>Initial allowance for business combination acquired receivables</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ASU 2016-13</w:t>
            </w: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Balance, end of year</w:t>
            </w:r>
          </w:p>
        </w:tc>
        <w:tc>
          <w:tcPr>
            <w:tcW w:w="15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520" w:type="dxa"/>
            <w:vAlign w:val="bottom"/>
            <w:vMerge w:val="restart"/>
          </w:tcPr>
          <w:p>
            <w:pPr>
              <w:jc w:val="right"/>
              <w:ind w:right="1008"/>
              <w:spacing w:after="0"/>
              <w:rPr>
                <w:sz w:val="20"/>
                <w:szCs w:val="20"/>
                <w:color w:val="auto"/>
              </w:rPr>
            </w:pPr>
            <w:r>
              <w:rPr>
                <w:rFonts w:ascii="Arial" w:cs="Arial" w:eastAsia="Arial" w:hAnsi="Arial"/>
                <w:sz w:val="14"/>
                <w:szCs w:val="14"/>
                <w:color w:val="auto"/>
              </w:rPr>
              <w:t>50</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51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6"/>
          </w:tcPr>
          <w:p>
            <w:pPr>
              <w:jc w:val="right"/>
              <w:spacing w:after="0"/>
              <w:rPr>
                <w:sz w:val="20"/>
                <w:szCs w:val="20"/>
                <w:color w:val="auto"/>
              </w:rPr>
            </w:pPr>
            <w:r>
              <w:rPr>
                <w:rFonts w:ascii="Arial" w:cs="Arial" w:eastAsia="Arial" w:hAnsi="Arial"/>
                <w:sz w:val="12"/>
                <w:szCs w:val="12"/>
                <w:b w:val="1"/>
                <w:bCs w:val="1"/>
                <w:color w:val="auto"/>
                <w:w w:val="89"/>
              </w:rPr>
              <w:t>Form 10-K for the Annual Period ended December 31, 2021</w:t>
            </w:r>
          </w:p>
        </w:tc>
        <w:tc>
          <w:tcPr>
            <w:tcW w:w="0" w:type="dxa"/>
            <w:vAlign w:val="bottom"/>
          </w:tcPr>
          <w:p>
            <w:pPr>
              <w:spacing w:after="0"/>
              <w:rPr>
                <w:sz w:val="1"/>
                <w:szCs w:val="1"/>
                <w:color w:val="auto"/>
              </w:rPr>
            </w:pPr>
          </w:p>
        </w:tc>
      </w:tr>
      <w:tr>
        <w:trPr>
          <w:trHeight w:val="329"/>
        </w:trPr>
        <w:tc>
          <w:tcPr>
            <w:tcW w:w="5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AAE5"/>
        </w:rPr>
        <w:t>NOTE G –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center"/>
              <w:ind w:left="58"/>
              <w:spacing w:after="0" w:line="155"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44,981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29,329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16,685</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Property and equipment, cost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101,967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(70,066)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31,901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9"/>
            <w:vMerge w:val="restart"/>
          </w:tcPr>
          <w:p>
            <w:pPr>
              <w:ind w:left="520"/>
              <w:spacing w:after="0"/>
              <w:rPr>
                <w:sz w:val="20"/>
                <w:szCs w:val="20"/>
                <w:color w:val="auto"/>
              </w:rPr>
            </w:pPr>
            <w:r>
              <w:rPr>
                <w:rFonts w:ascii="Arial" w:cs="Arial" w:eastAsia="Arial" w:hAnsi="Arial"/>
                <w:sz w:val="18"/>
                <w:szCs w:val="18"/>
                <w:color w:val="auto"/>
                <w:w w:val="93"/>
              </w:rPr>
              <w:t>Depreciation and amortization expense of property and equipment was as follows:</w:t>
            </w: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66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12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center"/>
              <w:ind w:right="37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14,788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5120" w:type="dxa"/>
            <w:vAlign w:val="bottom"/>
          </w:tcPr>
          <w:p>
            <w:pPr>
              <w:spacing w:after="0"/>
              <w:rPr>
                <w:sz w:val="20"/>
                <w:szCs w:val="20"/>
                <w:color w:val="auto"/>
              </w:rPr>
            </w:pPr>
            <w:r>
              <w:rPr>
                <w:rFonts w:ascii="Arial" w:cs="Arial" w:eastAsia="Arial" w:hAnsi="Arial"/>
                <w:sz w:val="18"/>
                <w:szCs w:val="18"/>
                <w:b w:val="1"/>
                <w:bCs w:val="1"/>
                <w:color w:val="00AAE5"/>
              </w:rPr>
              <w:t>NOTE H – Goodwill and Intangible Assets,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ind w:left="560"/>
              <w:spacing w:after="0"/>
              <w:rPr>
                <w:sz w:val="20"/>
                <w:szCs w:val="20"/>
                <w:color w:val="auto"/>
              </w:rPr>
            </w:pPr>
            <w:r>
              <w:rPr>
                <w:rFonts w:ascii="Arial" w:cs="Arial" w:eastAsia="Arial" w:hAnsi="Arial"/>
                <w:sz w:val="18"/>
                <w:szCs w:val="18"/>
                <w:color w:val="auto"/>
              </w:rPr>
              <w:t>The activity in goodwill was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13"/>
          </w:tcPr>
          <w:p>
            <w:pPr>
              <w:jc w:val="center"/>
              <w:ind w:right="102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55"/>
        </w:trPr>
        <w:tc>
          <w:tcPr>
            <w:tcW w:w="512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3"/>
          </w:tcPr>
          <w:p>
            <w:pPr>
              <w:jc w:val="center"/>
              <w:ind w:left="58"/>
              <w:spacing w:after="0" w:line="155"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134,853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Additions from business acquisitions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Remeasurement from provisional purchase accounting amount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143,663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ind w:left="560"/>
              <w:spacing w:after="0"/>
              <w:rPr>
                <w:sz w:val="20"/>
                <w:szCs w:val="20"/>
                <w:color w:val="auto"/>
              </w:rPr>
            </w:pPr>
            <w:r>
              <w:rPr>
                <w:rFonts w:ascii="Arial" w:cs="Arial" w:eastAsia="Arial" w:hAnsi="Arial"/>
                <w:sz w:val="18"/>
                <w:szCs w:val="18"/>
                <w:color w:val="auto"/>
              </w:rPr>
              <w:t>Intangible assets, net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w w:val="95"/>
              </w:rPr>
              <w:t>December 31, 2021</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4"/>
            <w:vMerge w:val="restart"/>
          </w:tcPr>
          <w:p>
            <w:pPr>
              <w:jc w:val="center"/>
              <w:ind w:right="148"/>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weighted average amortization period)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16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61,270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(29,866)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3"/>
              </w:rPr>
              <w:t>30,009</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6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Acquired technology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35,316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28,578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96,586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3"/>
              </w:rPr>
              <w:t>58,587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4"/>
            <w:vMerge w:val="restart"/>
          </w:tcPr>
          <w:p>
            <w:pPr>
              <w:jc w:val="center"/>
              <w:ind w:right="148"/>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weighted average amortization period)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16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(24,792)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3"/>
              </w:rPr>
              <w:t>29,756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6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3"/>
              </w:rPr>
              <w:t>30,471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8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(28,207)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3"/>
              </w:rPr>
              <w:t>60,230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8"/>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519"/>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gridSpan w:val="15"/>
          </w:tcPr>
          <w:p>
            <w:pPr>
              <w:ind w:left="60"/>
              <w:spacing w:after="0"/>
              <w:rPr>
                <w:sz w:val="20"/>
                <w:szCs w:val="20"/>
                <w:color w:val="auto"/>
              </w:rPr>
            </w:pPr>
            <w:r>
              <w:rPr>
                <w:rFonts w:ascii="Arial" w:cs="Arial" w:eastAsia="Arial" w:hAnsi="Arial"/>
                <w:sz w:val="12"/>
                <w:szCs w:val="12"/>
                <w:b w:val="1"/>
                <w:bCs w:val="1"/>
                <w:color w:val="auto"/>
                <w:w w:val="89"/>
              </w:rPr>
              <w:t>Form 10-K for the Annual Period ended December 31, 2021</w:t>
            </w:r>
          </w:p>
        </w:tc>
        <w:tc>
          <w:tcPr>
            <w:tcW w:w="0" w:type="dxa"/>
            <w:vAlign w:val="bottom"/>
          </w:tcPr>
          <w:p>
            <w:pPr>
              <w:spacing w:after="0"/>
              <w:rPr>
                <w:sz w:val="1"/>
                <w:szCs w:val="1"/>
                <w:color w:val="auto"/>
              </w:rPr>
            </w:pPr>
          </w:p>
        </w:tc>
      </w:tr>
      <w:tr>
        <w:trPr>
          <w:trHeight w:val="329"/>
        </w:trPr>
        <w:tc>
          <w:tcPr>
            <w:tcW w:w="5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color w:val="auto"/>
        </w:rPr>
        <w:t>The estimated future annual amortization expense related to intangible assets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2023</w:t>
            </w:r>
          </w:p>
        </w:tc>
        <w:tc>
          <w:tcPr>
            <w:tcW w:w="2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2025</w:t>
            </w:r>
          </w:p>
        </w:tc>
        <w:tc>
          <w:tcPr>
            <w:tcW w:w="2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amortization</w:t>
            </w:r>
          </w:p>
        </w:tc>
        <w:tc>
          <w:tcPr>
            <w:tcW w:w="20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00AAE5"/>
              </w:rPr>
              <w:t>NOTE I – Other Assets</w:t>
            </w: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2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3"/>
          </w:tcPr>
          <w:p>
            <w:pPr>
              <w:ind w:left="520"/>
              <w:spacing w:after="0"/>
              <w:rPr>
                <w:sz w:val="20"/>
                <w:szCs w:val="20"/>
                <w:color w:val="auto"/>
              </w:rPr>
            </w:pPr>
            <w:r>
              <w:rPr>
                <w:rFonts w:ascii="Arial" w:cs="Arial" w:eastAsia="Arial" w:hAnsi="Arial"/>
                <w:sz w:val="18"/>
                <w:szCs w:val="18"/>
                <w:color w:val="auto"/>
                <w:w w:val="94"/>
              </w:rPr>
              <w:t>The activity in the capitalized implementation costs for software hosting arrangements was as follows: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6"/>
              </w:rPr>
              <w:t>Year Ended December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920" w:type="dxa"/>
            <w:vAlign w:val="bottom"/>
            <w:tcBorders>
              <w:bottom w:val="single" w:sz="8" w:color="CFF0FC"/>
            </w:tcBorders>
            <w:vMerge w:val="continue"/>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0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2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2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Balance, end of year</w:t>
            </w:r>
          </w:p>
        </w:tc>
        <w:tc>
          <w:tcPr>
            <w:tcW w:w="20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under non-cancellable operating leases, primarily for office space,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220" w:type="dxa"/>
            <w:vAlign w:val="bottom"/>
          </w:tcPr>
          <w:p>
            <w:pPr>
              <w:spacing w:after="0"/>
              <w:rPr>
                <w:sz w:val="14"/>
                <w:szCs w:val="14"/>
                <w:color w:val="auto"/>
              </w:rPr>
            </w:pPr>
          </w:p>
        </w:tc>
        <w:tc>
          <w:tcPr>
            <w:tcW w:w="4020" w:type="dxa"/>
            <w:vAlign w:val="bottom"/>
            <w:gridSpan w:val="4"/>
          </w:tcPr>
          <w:p>
            <w:pPr>
              <w:ind w:left="12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3320" w:type="dxa"/>
            <w:vAlign w:val="bottom"/>
            <w:gridSpan w:val="3"/>
          </w:tcPr>
          <w:p>
            <w:pPr>
              <w:ind w:left="10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354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w w:val="98"/>
              </w:rPr>
              <w:t>Right-of-Use Asset</w:t>
            </w:r>
          </w:p>
        </w:tc>
        <w:tc>
          <w:tcPr>
            <w:tcW w:w="280" w:type="dxa"/>
            <w:vAlign w:val="bottom"/>
            <w:tcBorders>
              <w:top w:val="single" w:sz="8" w:color="auto"/>
              <w:bottom w:val="single" w:sz="8" w:color="CFF0FC"/>
            </w:tcBorders>
          </w:tcPr>
          <w:p>
            <w:pPr>
              <w:spacing w:after="0"/>
              <w:rPr>
                <w:sz w:val="13"/>
                <w:szCs w:val="13"/>
                <w:color w:val="auto"/>
              </w:rPr>
            </w:pPr>
          </w:p>
        </w:tc>
        <w:tc>
          <w:tcPr>
            <w:tcW w:w="19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Remaining Term</w:t>
            </w:r>
          </w:p>
        </w:tc>
        <w:tc>
          <w:tcPr>
            <w:tcW w:w="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w w:val="93"/>
              </w:rPr>
              <w:t>Right-of-Use Asset</w:t>
            </w:r>
          </w:p>
        </w:tc>
        <w:tc>
          <w:tcPr>
            <w:tcW w:w="280" w:type="dxa"/>
            <w:vAlign w:val="bottom"/>
            <w:tcBorders>
              <w:top w:val="single" w:sz="8" w:color="auto"/>
              <w:bottom w:val="single" w:sz="8" w:color="CFF0FC"/>
            </w:tcBorders>
          </w:tcPr>
          <w:p>
            <w:pPr>
              <w:spacing w:after="0"/>
              <w:rPr>
                <w:sz w:val="13"/>
                <w:szCs w:val="13"/>
                <w:color w:val="auto"/>
              </w:rPr>
            </w:pPr>
          </w:p>
        </w:tc>
        <w:tc>
          <w:tcPr>
            <w:tcW w:w="16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6,837</w:t>
            </w:r>
          </w:p>
        </w:tc>
        <w:tc>
          <w:tcPr>
            <w:tcW w:w="280" w:type="dxa"/>
            <w:vAlign w:val="bottom"/>
            <w:shd w:val="clear" w:color="auto" w:fill="CFF0FC"/>
          </w:tcPr>
          <w:p>
            <w:pPr>
              <w:spacing w:after="0"/>
              <w:rPr>
                <w:sz w:val="19"/>
                <w:szCs w:val="19"/>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5 years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Kyiv, Ukraine lease</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1,530</w:t>
            </w:r>
          </w:p>
        </w:tc>
        <w:tc>
          <w:tcPr>
            <w:tcW w:w="280" w:type="dxa"/>
            <w:vAlign w:val="bottom"/>
          </w:tcPr>
          <w:p>
            <w:pPr>
              <w:spacing w:after="0"/>
              <w:rPr>
                <w:sz w:val="19"/>
                <w:szCs w:val="19"/>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 years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1,930</w:t>
            </w:r>
          </w:p>
        </w:tc>
        <w:tc>
          <w:tcPr>
            <w:tcW w:w="2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leases</w:t>
            </w: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2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&lt;1 - 5 years</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&lt;1 - 5 years</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8"/>
          <w:szCs w:val="18"/>
          <w:color w:val="auto"/>
        </w:rPr>
        <w:t>In 2020, we executed an amendment to our lease agreement for our current headquarters located in Minneapolis, Minnesota where we lease approximately 198,000 square feet under an agreement that now expires in 2027. The lease also has two options to extend the term for five years each at a market rate determined in accordance with the lease.</w:t>
      </w:r>
    </w:p>
    <w:p>
      <w:pPr>
        <w:spacing w:after="0" w:line="68" w:lineRule="exact"/>
        <w:rPr>
          <w:sz w:val="20"/>
          <w:szCs w:val="20"/>
          <w:color w:val="auto"/>
        </w:rPr>
      </w:pPr>
    </w:p>
    <w:p>
      <w:pPr>
        <w:ind w:right="20" w:firstLine="510"/>
        <w:spacing w:after="0" w:line="359" w:lineRule="auto"/>
        <w:rPr>
          <w:sz w:val="20"/>
          <w:szCs w:val="20"/>
          <w:color w:val="auto"/>
        </w:rPr>
      </w:pPr>
      <w:r>
        <w:rPr>
          <w:rFonts w:ascii="Arial" w:cs="Arial" w:eastAsia="Arial" w:hAnsi="Arial"/>
          <w:sz w:val="16"/>
          <w:szCs w:val="16"/>
          <w:color w:val="auto"/>
        </w:rPr>
        <w:t>In 2019, we executed a lease agreement for a new Kyiv, Ukraine location, where we lease approximately 17,000 square feet under an agreement that expires in 2025. The lease includes one option to extend the term for five years and six months at a market rate determined in accordance with the lease.</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3,089</w:t>
            </w:r>
          </w:p>
        </w:tc>
        <w:tc>
          <w:tcPr>
            <w:tcW w:w="88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4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3,660</w:t>
            </w:r>
          </w:p>
        </w:tc>
        <w:tc>
          <w:tcPr>
            <w:tcW w:w="4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6,749</w:t>
            </w:r>
          </w:p>
        </w:tc>
        <w:tc>
          <w:tcPr>
            <w:tcW w:w="4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40" w:type="dxa"/>
            <w:vAlign w:val="bottom"/>
            <w:gridSpan w:val="3"/>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5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3"/>
              </w:rPr>
              <w:t>Right-of-use assets obtained in exchange for operating lease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04"/>
        </w:trPr>
        <w:tc>
          <w:tcPr>
            <w:tcW w:w="524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440" w:type="dxa"/>
            <w:vAlign w:val="bottom"/>
          </w:tcPr>
          <w:p>
            <w:pPr>
              <w:jc w:val="right"/>
              <w:ind w:right="19"/>
              <w:spacing w:after="0"/>
              <w:rPr>
                <w:sz w:val="20"/>
                <w:szCs w:val="20"/>
                <w:color w:val="auto"/>
              </w:rPr>
            </w:pPr>
            <w:r>
              <w:rPr>
                <w:rFonts w:ascii="Arial" w:cs="Arial" w:eastAsia="Arial" w:hAnsi="Arial"/>
                <w:sz w:val="14"/>
                <w:szCs w:val="14"/>
                <w:color w:val="auto"/>
              </w:rPr>
              <w:t>52</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9"/>
          </w:tcPr>
          <w:p>
            <w:pPr>
              <w:ind w:left="12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c>
          <w:tcPr>
            <w:tcW w:w="0" w:type="dxa"/>
            <w:vAlign w:val="bottom"/>
          </w:tcPr>
          <w:p>
            <w:pPr>
              <w:spacing w:after="0"/>
              <w:rPr>
                <w:sz w:val="1"/>
                <w:szCs w:val="1"/>
                <w:color w:val="auto"/>
              </w:rPr>
            </w:pPr>
          </w:p>
        </w:tc>
      </w:tr>
      <w:tr>
        <w:trPr>
          <w:trHeight w:val="329"/>
        </w:trPr>
        <w:tc>
          <w:tcPr>
            <w:tcW w:w="5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5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2021</w:t>
            </w:r>
          </w:p>
        </w:tc>
        <w:tc>
          <w:tcPr>
            <w:tcW w:w="2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 years</w:t>
            </w:r>
          </w:p>
        </w:tc>
        <w:tc>
          <w:tcPr>
            <w:tcW w:w="3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years</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r>
      <w:tr>
        <w:trPr>
          <w:trHeight w:val="337"/>
        </w:trPr>
        <w:tc>
          <w:tcPr>
            <w:tcW w:w="9120" w:type="dxa"/>
            <w:vAlign w:val="bottom"/>
            <w:gridSpan w:val="4"/>
          </w:tcPr>
          <w:p>
            <w:pPr>
              <w:ind w:left="520"/>
              <w:spacing w:after="0"/>
              <w:rPr>
                <w:sz w:val="20"/>
                <w:szCs w:val="20"/>
                <w:color w:val="auto"/>
              </w:rPr>
            </w:pPr>
            <w:r>
              <w:rPr>
                <w:rFonts w:ascii="Arial" w:cs="Arial" w:eastAsia="Arial" w:hAnsi="Arial"/>
                <w:sz w:val="18"/>
                <w:szCs w:val="18"/>
                <w:color w:val="auto"/>
              </w:rPr>
              <w:t>At December 31, 2021, our future minimum payments under operating leases were as follows:</w:t>
            </w: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4,865</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2023</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4,257</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2025</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3,772</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Total future payments</w:t>
            </w:r>
          </w:p>
        </w:tc>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22,709</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(2,175)</w:t>
            </w: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2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We have entered into separate noncancelable agreements with computing infrastructure and customer relationship management vendors for services through 2023. At December 31, 2021, the total remaining purchase commitments were $9.9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We believe that the outcome of any such claim or legal action is not expected to have a material effect on our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Stockholders’ Equity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740" w:firstLine="510"/>
        <w:spacing w:after="0" w:line="293" w:lineRule="auto"/>
        <w:rPr>
          <w:sz w:val="20"/>
          <w:szCs w:val="20"/>
          <w:color w:val="auto"/>
        </w:rPr>
      </w:pPr>
      <w:r>
        <w:rPr>
          <w:rFonts w:ascii="Arial" w:cs="Arial" w:eastAsia="Arial" w:hAnsi="Arial"/>
          <w:sz w:val="18"/>
          <w:szCs w:val="18"/>
          <w:color w:val="auto"/>
        </w:rPr>
        <w:t>Our board of directors has authorized multiple non-concurrent programs to repurchase our common stock. Details of the plans and activity thereunder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 Value Authorized</w:t>
            </w:r>
          </w:p>
        </w:tc>
        <w:tc>
          <w:tcPr>
            <w:tcW w:w="28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Share Value</w:t>
            </w:r>
          </w:p>
        </w:tc>
        <w:tc>
          <w:tcPr>
            <w:tcW w:w="17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Unused &amp; Expired Share</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 Value Available</w:t>
            </w: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6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1"/>
        </w:trPr>
        <w:tc>
          <w:tcPr>
            <w:tcW w:w="13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for Repurchase</w:t>
            </w:r>
          </w:p>
        </w:tc>
        <w:tc>
          <w:tcPr>
            <w:tcW w:w="2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Repurchased</w:t>
            </w:r>
          </w:p>
        </w:tc>
        <w:tc>
          <w:tcPr>
            <w:tcW w:w="24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Repurchase Value</w:t>
            </w: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223"/>
        </w:trPr>
        <w:tc>
          <w:tcPr>
            <w:tcW w:w="1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 Program</w:t>
            </w: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Nov. 2017</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Nov. 2019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center"/>
              <w:ind w:right="57"/>
              <w:spacing w:after="0"/>
              <w:rPr>
                <w:sz w:val="20"/>
                <w:szCs w:val="20"/>
                <w:color w:val="auto"/>
              </w:rPr>
            </w:pPr>
            <w:r>
              <w:rPr>
                <w:rFonts w:ascii="Arial" w:cs="Arial" w:eastAsia="Arial" w:hAnsi="Arial"/>
                <w:sz w:val="18"/>
                <w:szCs w:val="18"/>
                <w:color w:val="auto"/>
                <w:w w:val="90"/>
              </w:rPr>
              <w:t>46,297</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ind w:right="455"/>
              <w:spacing w:after="0"/>
              <w:rPr>
                <w:sz w:val="20"/>
                <w:szCs w:val="20"/>
                <w:color w:val="auto"/>
              </w:rPr>
            </w:pPr>
            <w:r>
              <w:rPr>
                <w:rFonts w:ascii="Arial" w:cs="Arial" w:eastAsia="Arial" w:hAnsi="Arial"/>
                <w:sz w:val="18"/>
                <w:szCs w:val="18"/>
                <w:color w:val="auto"/>
              </w:rPr>
              <w:t>3,703</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ind w:right="137"/>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2019 Program</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Nov. 2019</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Nov. 2021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435"/>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center"/>
              <w:ind w:right="37"/>
              <w:spacing w:after="0"/>
              <w:rPr>
                <w:sz w:val="20"/>
                <w:szCs w:val="20"/>
                <w:color w:val="auto"/>
              </w:rPr>
            </w:pPr>
            <w:r>
              <w:rPr>
                <w:rFonts w:ascii="Arial" w:cs="Arial" w:eastAsia="Arial" w:hAnsi="Arial"/>
                <w:sz w:val="18"/>
                <w:szCs w:val="18"/>
                <w:color w:val="auto"/>
                <w:w w:val="87"/>
              </w:rPr>
              <w:t>29,611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95"/>
              <w:spacing w:after="0"/>
              <w:rPr>
                <w:sz w:val="20"/>
                <w:szCs w:val="20"/>
                <w:color w:val="auto"/>
              </w:rPr>
            </w:pPr>
            <w:r>
              <w:rPr>
                <w:rFonts w:ascii="Arial" w:cs="Arial" w:eastAsia="Arial" w:hAnsi="Arial"/>
                <w:sz w:val="18"/>
                <w:szCs w:val="18"/>
                <w:color w:val="auto"/>
              </w:rPr>
              <w:t>20,389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2021 Program</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Nov. 2021</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Nov. 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35"/>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88"/>
              </w:rPr>
              <w:t>9,769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40,231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repurchase activity by year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 data)</w:t>
            </w:r>
          </w:p>
        </w:tc>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20"/>
                <w:szCs w:val="20"/>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Shares repurchased cost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20,430</w:t>
            </w:r>
          </w:p>
        </w:tc>
        <w:tc>
          <w:tcPr>
            <w:tcW w:w="4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rPr>
              <w:t>18,950</w:t>
            </w: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20,618</w:t>
            </w:r>
          </w:p>
        </w:tc>
        <w:tc>
          <w:tcPr>
            <w:tcW w:w="60" w:type="dxa"/>
            <w:vAlign w:val="bottom"/>
            <w:shd w:val="clear" w:color="auto" w:fill="CFF0FC"/>
          </w:tcPr>
          <w:p>
            <w:pPr>
              <w:spacing w:after="0"/>
              <w:rPr>
                <w:sz w:val="19"/>
                <w:szCs w:val="19"/>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Shares repurchased</w:t>
            </w:r>
          </w:p>
        </w:tc>
        <w:tc>
          <w:tcPr>
            <w:tcW w:w="480" w:type="dxa"/>
            <w:vAlign w:val="bottom"/>
          </w:tcPr>
          <w:p>
            <w:pPr>
              <w:spacing w:after="0"/>
              <w:rPr>
                <w:sz w:val="21"/>
                <w:szCs w:val="21"/>
                <w:color w:val="auto"/>
              </w:rPr>
            </w:pPr>
          </w:p>
        </w:tc>
        <w:tc>
          <w:tcPr>
            <w:tcW w:w="1720" w:type="dxa"/>
            <w:vAlign w:val="bottom"/>
          </w:tcPr>
          <w:p>
            <w:pPr>
              <w:jc w:val="right"/>
              <w:ind w:right="676"/>
              <w:spacing w:after="0"/>
              <w:rPr>
                <w:sz w:val="20"/>
                <w:szCs w:val="20"/>
                <w:color w:val="auto"/>
              </w:rPr>
            </w:pPr>
            <w:r>
              <w:rPr>
                <w:rFonts w:ascii="Arial" w:cs="Arial" w:eastAsia="Arial" w:hAnsi="Arial"/>
                <w:sz w:val="18"/>
                <w:szCs w:val="18"/>
                <w:color w:val="auto"/>
              </w:rPr>
              <w:t>176,103</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636"/>
              <w:spacing w:after="0"/>
              <w:rPr>
                <w:sz w:val="20"/>
                <w:szCs w:val="20"/>
                <w:color w:val="auto"/>
              </w:rPr>
            </w:pPr>
            <w:r>
              <w:rPr>
                <w:rFonts w:ascii="Arial" w:cs="Arial" w:eastAsia="Arial" w:hAnsi="Arial"/>
                <w:sz w:val="18"/>
                <w:szCs w:val="18"/>
                <w:color w:val="auto"/>
              </w:rPr>
              <w:t>371,902</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96"/>
              <w:spacing w:after="0"/>
              <w:rPr>
                <w:sz w:val="20"/>
                <w:szCs w:val="20"/>
                <w:color w:val="auto"/>
              </w:rPr>
            </w:pPr>
            <w:r>
              <w:rPr>
                <w:rFonts w:ascii="Arial" w:cs="Arial" w:eastAsia="Arial" w:hAnsi="Arial"/>
                <w:sz w:val="18"/>
                <w:szCs w:val="18"/>
                <w:color w:val="auto"/>
              </w:rPr>
              <w:t>417,564</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Stock-Based Compensation</w:t>
      </w:r>
    </w:p>
    <w:p>
      <w:pPr>
        <w:spacing w:after="0" w:line="121" w:lineRule="exact"/>
        <w:rPr>
          <w:sz w:val="20"/>
          <w:szCs w:val="20"/>
          <w:color w:val="auto"/>
        </w:rPr>
      </w:pPr>
    </w:p>
    <w:p>
      <w:pPr>
        <w:jc w:val="both"/>
        <w:ind w:right="380" w:firstLine="510"/>
        <w:spacing w:after="0" w:line="271"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PSUs, RSAs, RSUs, and DSUs, to employees, non-employee directors and other consultants who provide services to us. We also provide an ESPP and 401(k) stock match.</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there were approximately 13.5 million shares available for grant under approved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ind w:left="560"/>
        <w:spacing w:after="0"/>
        <w:rPr>
          <w:sz w:val="20"/>
          <w:szCs w:val="20"/>
          <w:color w:val="auto"/>
        </w:rPr>
      </w:pPr>
      <w:r>
        <w:rPr>
          <w:rFonts w:ascii="Arial" w:cs="Arial" w:eastAsia="Arial" w:hAnsi="Arial"/>
          <w:sz w:val="18"/>
          <w:szCs w:val="18"/>
          <w:color w:val="auto"/>
        </w:rPr>
        <w:t>Stock-based compensation expense was allocated in the consolidated statements of comprehensive income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20" w:type="dxa"/>
            <w:vAlign w:val="bottom"/>
            <w:tcBorders>
              <w:bottom w:val="single" w:sz="8" w:color="CFF0FC"/>
            </w:tcBorders>
            <w:vMerge w:val="continue"/>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520"/>
              <w:spacing w:after="0"/>
              <w:rPr>
                <w:sz w:val="20"/>
                <w:szCs w:val="20"/>
                <w:color w:val="auto"/>
              </w:rPr>
            </w:pPr>
            <w:r>
              <w:rPr>
                <w:rFonts w:ascii="Arial" w:cs="Arial" w:eastAsia="Arial" w:hAnsi="Arial"/>
                <w:sz w:val="18"/>
                <w:szCs w:val="18"/>
                <w:color w:val="auto"/>
                <w:w w:val="97"/>
              </w:rPr>
              <w:t>Stock-based compensation expense by grant type or plan was as follows:</w:t>
            </w: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220" w:type="dxa"/>
            <w:vAlign w:val="bottom"/>
            <w:tcBorders>
              <w:bottom w:val="single" w:sz="8" w:color="CFF0FC"/>
            </w:tcBorders>
            <w:vMerge w:val="continue"/>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60"/>
              <w:spacing w:after="0"/>
              <w:rPr>
                <w:sz w:val="20"/>
                <w:szCs w:val="20"/>
                <w:color w:val="auto"/>
              </w:rPr>
            </w:pPr>
            <w:r>
              <w:rPr>
                <w:rFonts w:ascii="Arial" w:cs="Arial" w:eastAsia="Arial" w:hAnsi="Arial"/>
                <w:sz w:val="18"/>
                <w:szCs w:val="18"/>
                <w:color w:val="auto"/>
              </w:rPr>
              <w:t>PSUs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RSUs</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60"/>
              <w:spacing w:after="0"/>
              <w:rPr>
                <w:sz w:val="20"/>
                <w:szCs w:val="20"/>
                <w:color w:val="auto"/>
              </w:rPr>
            </w:pPr>
            <w:r>
              <w:rPr>
                <w:rFonts w:ascii="Arial" w:cs="Arial" w:eastAsia="Arial" w:hAnsi="Arial"/>
                <w:sz w:val="18"/>
                <w:szCs w:val="18"/>
                <w:color w:val="auto"/>
              </w:rPr>
              <w:t>RSAs &amp; DSUs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ESPP</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401(k) stock match</w:t>
            </w:r>
          </w:p>
        </w:tc>
        <w:tc>
          <w:tcPr>
            <w:tcW w:w="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As of December 31, 2021, there was $30.4 million of unrecognized stock-based compensation expense under our equity compensation plans, which is expected to be recognized on a straight-line basis over a weighted-average period of 2.3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years from the date of grant. Our stock option activity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Weighted 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r>
      <w:tr>
        <w:trPr>
          <w:trHeight w:val="171"/>
        </w:trPr>
        <w:tc>
          <w:tcPr>
            <w:tcW w:w="7720" w:type="dxa"/>
            <w:vAlign w:val="bottom"/>
          </w:tcPr>
          <w:p>
            <w:pPr>
              <w:spacing w:after="0"/>
              <w:rPr>
                <w:sz w:val="14"/>
                <w:szCs w:val="14"/>
                <w:color w:val="auto"/>
              </w:rPr>
            </w:pPr>
          </w:p>
        </w:tc>
        <w:tc>
          <w:tcPr>
            <w:tcW w:w="1540" w:type="dxa"/>
            <w:vAlign w:val="bottom"/>
          </w:tcPr>
          <w:p>
            <w:pPr>
              <w:jc w:val="right"/>
              <w:ind w:right="6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1,746,468</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184,434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(346,098)</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(40,892)</w:t>
            </w:r>
          </w:p>
        </w:tc>
        <w:tc>
          <w:tcPr>
            <w:tcW w:w="156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1,543,912</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127,974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59.02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(712,074)</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(14,926)</w:t>
            </w:r>
          </w:p>
        </w:tc>
        <w:tc>
          <w:tcPr>
            <w:tcW w:w="1560" w:type="dxa"/>
            <w:vAlign w:val="bottom"/>
          </w:tcPr>
          <w:p>
            <w:pPr>
              <w:jc w:val="right"/>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944,886</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53,223</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105.53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(311,378)</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(8,081)</w:t>
            </w:r>
          </w:p>
        </w:tc>
        <w:tc>
          <w:tcPr>
            <w:tcW w:w="1560" w:type="dxa"/>
            <w:vAlign w:val="bottom"/>
          </w:tcPr>
          <w:p>
            <w:pPr>
              <w:jc w:val="right"/>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60" w:firstLine="510"/>
        <w:spacing w:after="0" w:line="293" w:lineRule="auto"/>
        <w:rPr>
          <w:sz w:val="20"/>
          <w:szCs w:val="20"/>
          <w:color w:val="auto"/>
        </w:rPr>
      </w:pPr>
      <w:r>
        <w:rPr>
          <w:rFonts w:ascii="Arial" w:cs="Arial" w:eastAsia="Arial" w:hAnsi="Arial"/>
          <w:sz w:val="18"/>
          <w:szCs w:val="18"/>
          <w:color w:val="auto"/>
        </w:rPr>
        <w:t>Of the total outstanding options at December 31, 2021, 0.5 million were exercisable. The outstanding and exercisable options had a weighted average exercise price of $38.72 per share and a weighted average remaining contractual life of 3.3 years.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additional information related to our stock options: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Borders>
              <w:bottom w:val="single" w:sz="8" w:color="CFF0FC"/>
            </w:tcBorders>
            <w:vMerge w:val="continue"/>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options vested</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Intrinsic value of options outstanding</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Weighted-average fair value per share of options granted</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76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1900" w:type="dxa"/>
            <w:vAlign w:val="bottom"/>
          </w:tcPr>
          <w:p>
            <w:pPr>
              <w:jc w:val="right"/>
              <w:ind w:right="1008"/>
              <w:spacing w:after="0"/>
              <w:rPr>
                <w:sz w:val="20"/>
                <w:szCs w:val="20"/>
                <w:color w:val="auto"/>
              </w:rPr>
            </w:pPr>
            <w:r>
              <w:rPr>
                <w:rFonts w:ascii="Arial" w:cs="Arial" w:eastAsia="Arial" w:hAnsi="Arial"/>
                <w:sz w:val="14"/>
                <w:szCs w:val="14"/>
                <w:color w:val="auto"/>
              </w:rPr>
              <w:t>54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ind w:left="4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c>
          <w:tcPr>
            <w:tcW w:w="0" w:type="dxa"/>
            <w:vAlign w:val="bottom"/>
          </w:tcPr>
          <w:p>
            <w:pPr>
              <w:spacing w:after="0"/>
              <w:rPr>
                <w:sz w:val="1"/>
                <w:szCs w:val="1"/>
                <w:color w:val="auto"/>
              </w:rPr>
            </w:pPr>
          </w:p>
        </w:tc>
      </w:tr>
      <w:tr>
        <w:trPr>
          <w:trHeight w:val="330"/>
        </w:trPr>
        <w:tc>
          <w:tcPr>
            <w:tcW w:w="4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color w:val="auto"/>
        </w:rPr>
        <w:t>The fair values of the options granted were estimated on the date of grant using the following weighted-average assumptions:</w:t>
      </w:r>
    </w:p>
    <w:p>
      <w:pPr>
        <w:spacing w:after="0" w:line="95"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29"/>
        </w:trPr>
        <w:tc>
          <w:tcPr>
            <w:tcW w:w="7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0.99%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Restricted Stock Units and Awards, and Deferred Stock Units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2021, 2020, and 2019 we granted PSU awards with certain target performance levels.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Expense is recognized on a straight-line basis over the performance period, regardless of whether the market condition is satisfied as the likelihood of the market condition being met is included in the fair-value measurement of the award. In 2017, we granted PSU awards with vesting contingent on successful attainment of pre-determined revenue targets over the course of a three-year performance period (2017 – 2019). The awards were forfeited in 2020 as the targets were not met. In 2021, PSU awards granted in 2018 were earned and vested at the maximum performance level and as such 0.1 million shares of common stock were issued.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generally vest over four years and, upon vesting, the holder is entitled to receive shares of our common stock.</w:t>
      </w:r>
    </w:p>
    <w:p>
      <w:pPr>
        <w:spacing w:after="0" w:line="117" w:lineRule="exact"/>
        <w:rPr>
          <w:sz w:val="20"/>
          <w:szCs w:val="20"/>
          <w:color w:val="auto"/>
        </w:rPr>
      </w:pPr>
    </w:p>
    <w:p>
      <w:pPr>
        <w:ind w:right="120" w:firstLine="510"/>
        <w:spacing w:after="0" w:line="359" w:lineRule="auto"/>
        <w:rPr>
          <w:sz w:val="20"/>
          <w:szCs w:val="20"/>
          <w:color w:val="auto"/>
        </w:rPr>
      </w:pPr>
      <w:r>
        <w:rPr>
          <w:rFonts w:ascii="Arial" w:cs="Arial" w:eastAsia="Arial" w:hAnsi="Arial"/>
          <w:sz w:val="16"/>
          <w:szCs w:val="16"/>
          <w:color w:val="auto"/>
        </w:rPr>
        <w:t>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us.</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PSUs, RSUs, RSAs, and DSUs in aggregate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8600" w:type="dxa"/>
            <w:vAlign w:val="bottom"/>
            <w:gridSpan w:val="2"/>
          </w:tcPr>
          <w:p>
            <w:pPr>
              <w:ind w:left="8420"/>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8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758,334</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288,462</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19"/>
                <w:szCs w:val="19"/>
                <w:color w:val="auto"/>
              </w:rPr>
            </w:pPr>
          </w:p>
        </w:tc>
      </w:tr>
      <w:tr>
        <w:trPr>
          <w:trHeight w:val="229"/>
        </w:trPr>
        <w:tc>
          <w:tcPr>
            <w:tcW w:w="8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(217,424)</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(31,826)</w:t>
            </w:r>
          </w:p>
        </w:tc>
        <w:tc>
          <w:tcPr>
            <w:tcW w:w="156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8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797,546</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331,264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19"/>
                <w:szCs w:val="19"/>
                <w:color w:val="auto"/>
              </w:rPr>
            </w:pPr>
          </w:p>
        </w:tc>
      </w:tr>
      <w:tr>
        <w:trPr>
          <w:trHeight w:val="230"/>
        </w:trPr>
        <w:tc>
          <w:tcPr>
            <w:tcW w:w="8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(222,606)</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(167,782)</w:t>
            </w:r>
          </w:p>
        </w:tc>
        <w:tc>
          <w:tcPr>
            <w:tcW w:w="156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8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738,422</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314,290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101.85</w:t>
            </w:r>
          </w:p>
        </w:tc>
        <w:tc>
          <w:tcPr>
            <w:tcW w:w="120" w:type="dxa"/>
            <w:vAlign w:val="bottom"/>
          </w:tcPr>
          <w:p>
            <w:pPr>
              <w:spacing w:after="0"/>
              <w:rPr>
                <w:sz w:val="19"/>
                <w:szCs w:val="19"/>
                <w:color w:val="auto"/>
              </w:rPr>
            </w:pPr>
          </w:p>
        </w:tc>
      </w:tr>
      <w:tr>
        <w:trPr>
          <w:trHeight w:val="229"/>
        </w:trPr>
        <w:tc>
          <w:tcPr>
            <w:tcW w:w="8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(331,669)</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(18,883)</w:t>
            </w:r>
          </w:p>
        </w:tc>
        <w:tc>
          <w:tcPr>
            <w:tcW w:w="1560" w:type="dxa"/>
            <w:vAlign w:val="bottom"/>
          </w:tcPr>
          <w:p>
            <w:pPr>
              <w:jc w:val="right"/>
              <w:spacing w:after="0"/>
              <w:rPr>
                <w:sz w:val="20"/>
                <w:szCs w:val="20"/>
                <w:color w:val="auto"/>
              </w:rPr>
            </w:pPr>
            <w:r>
              <w:rPr>
                <w:rFonts w:ascii="Arial" w:cs="Arial" w:eastAsia="Arial" w:hAnsi="Arial"/>
                <w:sz w:val="18"/>
                <w:szCs w:val="18"/>
                <w:color w:val="auto"/>
              </w:rPr>
              <w:t>66.35</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702,160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number of PSUs, RSUs, RSAs, and DSUs outstanding at December 31, 2021 included 0.1 million units that have vested, but the shares of common stock have not yet been issued, pursuant to the terms of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61" w:lineRule="auto"/>
        <w:rPr>
          <w:sz w:val="20"/>
          <w:szCs w:val="20"/>
          <w:color w:val="auto"/>
        </w:rPr>
      </w:pPr>
      <w:r>
        <w:rPr>
          <w:rFonts w:ascii="Arial" w:cs="Arial" w:eastAsia="Arial" w:hAnsi="Arial"/>
          <w:sz w:val="18"/>
          <w:szCs w:val="18"/>
          <w:color w:val="auto"/>
        </w:rPr>
        <w:t>Our ESPP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our common stock at the beginning or end of each stock purchase period. The plan consists of two six-month offering periods, beginning on January 1 and July 1 of each calendar year. A total of 1.8 million shares of common stock are remaining for issuance under the plan at December 31, 2021.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ESPP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55</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Shares purchased</w:t>
            </w: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each offering period using the following assumptions: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Dividend yield</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0.50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0.07%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0.96%</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85"/>
        </w:trPr>
        <w:tc>
          <w:tcPr>
            <w:tcW w:w="6520" w:type="dxa"/>
            <w:vAlign w:val="bottom"/>
          </w:tcPr>
          <w:p>
            <w:pPr>
              <w:spacing w:after="0"/>
              <w:rPr>
                <w:sz w:val="20"/>
                <w:szCs w:val="20"/>
                <w:color w:val="auto"/>
              </w:rPr>
            </w:pPr>
            <w:r>
              <w:rPr>
                <w:rFonts w:ascii="Arial" w:cs="Arial" w:eastAsia="Arial" w:hAnsi="Arial"/>
                <w:sz w:val="18"/>
                <w:szCs w:val="18"/>
                <w:b w:val="1"/>
                <w:bCs w:val="1"/>
                <w:color w:val="00AAE5"/>
              </w:rPr>
              <w:t>Note M – Income Taxes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tcPr>
          <w:p>
            <w:pPr>
              <w:ind w:left="520"/>
              <w:spacing w:after="0"/>
              <w:rPr>
                <w:sz w:val="20"/>
                <w:szCs w:val="20"/>
                <w:color w:val="auto"/>
              </w:rPr>
            </w:pPr>
            <w:r>
              <w:rPr>
                <w:rFonts w:ascii="Arial" w:cs="Arial" w:eastAsia="Arial" w:hAnsi="Arial"/>
                <w:sz w:val="18"/>
                <w:szCs w:val="18"/>
                <w:color w:val="auto"/>
                <w:w w:val="99"/>
              </w:rPr>
              <w:t>Our provision for income taxes was comprised of the following components: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Federal</w:t>
            </w:r>
          </w:p>
        </w:tc>
        <w:tc>
          <w:tcPr>
            <w:tcW w:w="920" w:type="dxa"/>
            <w:vAlign w:val="bottom"/>
            <w:gridSpan w:val="2"/>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1,559</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4,462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22"/>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3"/>
          </w:tcPr>
          <w:p>
            <w:pPr>
              <w:jc w:val="right"/>
              <w:ind w:right="22"/>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8,944</w:t>
            </w: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Our income tax expense differed from the amounts computed by applying the U.S. federal income tax rate to pretax income as a result of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616"/>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statutory federal income tax rate</w:t>
            </w:r>
          </w:p>
        </w:tc>
        <w:tc>
          <w:tcPr>
            <w:tcW w:w="1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state income taxes, net of federal tax effect</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Tax impact of stock activity</w:t>
            </w:r>
          </w:p>
        </w:tc>
        <w:tc>
          <w:tcPr>
            <w:tcW w:w="1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Nondeductible compensation</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Research and development credit</w:t>
            </w:r>
          </w:p>
        </w:tc>
        <w:tc>
          <w:tcPr>
            <w:tcW w:w="1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derived intangible income</w:t>
            </w:r>
          </w:p>
        </w:tc>
        <w:tc>
          <w:tcPr>
            <w:tcW w:w="1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w:t>
            </w:r>
          </w:p>
        </w:tc>
        <w:tc>
          <w:tcPr>
            <w:tcW w:w="2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13.5%</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5400" w:type="dxa"/>
            <w:vAlign w:val="bottom"/>
            <w:vMerge w:val="continue"/>
          </w:tcPr>
          <w:p>
            <w:pPr>
              <w:spacing w:after="0"/>
              <w:rPr>
                <w:sz w:val="24"/>
                <w:szCs w:val="24"/>
                <w:color w:val="auto"/>
              </w:rPr>
            </w:pPr>
          </w:p>
        </w:tc>
        <w:tc>
          <w:tcPr>
            <w:tcW w:w="1100" w:type="dxa"/>
            <w:vAlign w:val="bottom"/>
          </w:tcPr>
          <w:p>
            <w:pPr>
              <w:jc w:val="right"/>
              <w:ind w:right="848"/>
              <w:spacing w:after="0"/>
              <w:rPr>
                <w:sz w:val="20"/>
                <w:szCs w:val="20"/>
                <w:color w:val="auto"/>
              </w:rPr>
            </w:pPr>
            <w:r>
              <w:rPr>
                <w:rFonts w:ascii="Arial" w:cs="Arial" w:eastAsia="Arial" w:hAnsi="Arial"/>
                <w:sz w:val="14"/>
                <w:szCs w:val="14"/>
                <w:color w:val="auto"/>
              </w:rPr>
              <w:t>56</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gridSpan w:val="4"/>
          </w:tcPr>
          <w:p>
            <w:pPr>
              <w:jc w:val="right"/>
              <w:spacing w:after="0"/>
              <w:rPr>
                <w:sz w:val="20"/>
                <w:szCs w:val="20"/>
                <w:color w:val="auto"/>
              </w:rPr>
            </w:pPr>
            <w:r>
              <w:rPr>
                <w:rFonts w:ascii="Arial" w:cs="Arial" w:eastAsia="Arial" w:hAnsi="Arial"/>
                <w:sz w:val="12"/>
                <w:szCs w:val="12"/>
                <w:b w:val="1"/>
                <w:bCs w:val="1"/>
                <w:color w:val="auto"/>
              </w:rPr>
              <w:t>Form 10-K for the Annual Period ended December 31, 2021</w:t>
            </w:r>
          </w:p>
        </w:tc>
        <w:tc>
          <w:tcPr>
            <w:tcW w:w="0" w:type="dxa"/>
            <w:vAlign w:val="bottom"/>
          </w:tcPr>
          <w:p>
            <w:pPr>
              <w:spacing w:after="0"/>
              <w:rPr>
                <w:sz w:val="1"/>
                <w:szCs w:val="1"/>
                <w:color w:val="auto"/>
              </w:rPr>
            </w:pPr>
          </w:p>
        </w:tc>
      </w:tr>
      <w:tr>
        <w:trPr>
          <w:trHeight w:val="329"/>
        </w:trPr>
        <w:tc>
          <w:tcPr>
            <w:tcW w:w="5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56" w:name="page57"/>
    <w:bookmarkEnd w:id="56"/>
    <w:p>
      <w:pPr>
        <w:ind w:left="520"/>
        <w:spacing w:after="0"/>
        <w:rPr>
          <w:sz w:val="20"/>
          <w:szCs w:val="20"/>
          <w:color w:val="auto"/>
        </w:rPr>
      </w:pPr>
      <w:r>
        <w:rPr>
          <w:rFonts w:ascii="Arial" w:cs="Arial" w:eastAsia="Arial" w:hAnsi="Arial"/>
          <w:sz w:val="18"/>
          <w:szCs w:val="18"/>
          <w:color w:val="auto"/>
        </w:rPr>
        <w:t>The significant components of our deferred tax assets and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Net operating loss and credit carryforwards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4,828</w:t>
            </w:r>
          </w:p>
        </w:tc>
        <w:tc>
          <w:tcPr>
            <w:tcW w:w="280" w:type="dxa"/>
            <w:vAlign w:val="bottom"/>
          </w:tcPr>
          <w:p>
            <w:pPr>
              <w:spacing w:after="0"/>
              <w:rPr>
                <w:sz w:val="19"/>
                <w:szCs w:val="19"/>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 allowances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(15,126)</w:t>
            </w: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(12,561)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(2,787)</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Foreign operations</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(8,820)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firstLine="510"/>
        <w:spacing w:after="0" w:line="276" w:lineRule="auto"/>
        <w:rPr>
          <w:sz w:val="20"/>
          <w:szCs w:val="20"/>
          <w:color w:val="auto"/>
        </w:rPr>
      </w:pPr>
      <w:r>
        <w:rPr>
          <w:rFonts w:ascii="Arial" w:cs="Arial" w:eastAsia="Arial" w:hAnsi="Arial"/>
          <w:sz w:val="17"/>
          <w:szCs w:val="17"/>
          <w:color w:val="auto"/>
        </w:rPr>
        <w:t>As of December 31, 2021, we had net operating loss carryforwards of $14.4 million for U.S. federal tax purposes and $4.0 million for state tax purposes. If not utilized, the loss carryforwards will expire between 2022 and 2036 for federal tax purposes and between 2029 and 2042 for state tax purposes. Section 382 of the U.S. Internal Revenue Code generally imposes an annual limitation on the amount of net operating loss carryforwards that might be used to offset taxable income when a corporation has undergone significant changes in stock ownership. As of December 31, 2021, all $14.4 million of our net operating loss carryforwards are subject to Section 382 limitations, of which we believe $8.5 million of federal losses will expire unused due to Section 382 limitations. Accordingly, our deferred tax assets are reported net of the Section 382 limitations.</w:t>
      </w:r>
    </w:p>
    <w:p>
      <w:pPr>
        <w:spacing w:after="0" w:line="6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As of December 31, 2021, we had federal research and development (“R&amp;D”) credit carryforwards, net of Section 383 limitations, of $1.3 million, which, if not utilized, will expire between 2034 and 2042. As of December 31, 2021, we had state R&amp;D credit carryforwards of $1.8 million which, if not utilized, will expire between 2025 and 2037.</w:t>
      </w:r>
    </w:p>
    <w:p>
      <w:pPr>
        <w:spacing w:after="0" w:line="7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are subject to income taxes for U.S. federal and various state and international jurisdictions. We are generally subject to U.S. federal and state tax examinations for most prior tax years due to our net operating loss and R&amp;D credit carryforwards and the utilization of the carryforwards in years still open under statute.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Other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included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80" w:type="dxa"/>
            <w:vAlign w:val="bottom"/>
            <w:tcBorders>
              <w:bottom w:val="single" w:sz="8" w:color="CFF0FC"/>
            </w:tcBorders>
            <w:vMerge w:val="continue"/>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(1,456)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Change in earn-out liability</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Effective January 1, 2021, all realized gains or losses and interest income on our investments are included in investment income. Previously, realized gains and losses were included in other income (expense), net and interest income was included in interest income, net. Additionally, realized gains or losses from foreign currency on cash and investments held were previously included in other income (expense), net. Amounts for the year ended December 31, 2020 and 2019 have been reclassified to be consistent with the classifications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57</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AAE5"/>
        </w:rPr>
        <w:t>NOTE O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and calculation of basic and diluted net income per share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44,597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45,586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number of the outstanding potential common shares that were excluded from the calculation of diluted net income per share as they were anti-dilutive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1420" w:type="dxa"/>
            <w:vAlign w:val="bottom"/>
          </w:tcPr>
          <w:p>
            <w:pPr>
              <w:jc w:val="right"/>
              <w:ind w:right="499"/>
              <w:spacing w:after="0" w:line="155" w:lineRule="exact"/>
              <w:rPr>
                <w:sz w:val="20"/>
                <w:szCs w:val="20"/>
                <w:color w:val="auto"/>
              </w:rPr>
            </w:pPr>
            <w:r>
              <w:rPr>
                <w:rFonts w:ascii="Arial" w:cs="Arial" w:eastAsia="Arial" w:hAnsi="Arial"/>
                <w:sz w:val="14"/>
                <w:szCs w:val="14"/>
                <w:b w:val="1"/>
                <w:bCs w:val="1"/>
                <w:color w:val="auto"/>
              </w:rPr>
              <w:t>2021</w:t>
            </w:r>
          </w:p>
        </w:tc>
        <w:tc>
          <w:tcPr>
            <w:tcW w:w="1580" w:type="dxa"/>
            <w:vAlign w:val="bottom"/>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440" w:type="dxa"/>
            <w:vAlign w:val="bottom"/>
          </w:tcPr>
          <w:p>
            <w:pPr>
              <w:jc w:val="right"/>
              <w:ind w:right="499"/>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P – Retirement Savings Plan</w:t>
      </w:r>
    </w:p>
    <w:p>
      <w:pPr>
        <w:spacing w:after="0" w:line="121" w:lineRule="exact"/>
        <w:rPr>
          <w:sz w:val="20"/>
          <w:szCs w:val="20"/>
          <w:color w:val="auto"/>
        </w:rPr>
      </w:pPr>
    </w:p>
    <w:p>
      <w:pPr>
        <w:ind w:right="300" w:firstLine="510"/>
        <w:spacing w:after="0" w:line="287" w:lineRule="auto"/>
        <w:rPr>
          <w:sz w:val="20"/>
          <w:szCs w:val="20"/>
          <w:color w:val="auto"/>
        </w:rPr>
      </w:pPr>
      <w:r>
        <w:rPr>
          <w:rFonts w:ascii="Arial" w:cs="Arial" w:eastAsia="Arial" w:hAnsi="Arial"/>
          <w:sz w:val="16"/>
          <w:szCs w:val="16"/>
          <w:color w:val="auto"/>
        </w:rPr>
        <w:t>We sponsor a 401(k) retirement savings plan for our employees. Employees can contribute up to 80% of their compensation, subject to the limits established by law, and we match 50% of the employee’s contribution up to the first 6% of pre-tax annual compensation. A portion of our match is in Company stock, which is purchased from the open market by our plan provider and immediately deposited into the employee’s 401(k)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 Additionally, we make statutory contributions to retirement plans as required by local foreign government regulations.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contributions to the plan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3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Retirement contributions</w:t>
            </w:r>
          </w:p>
        </w:tc>
        <w:tc>
          <w:tcPr>
            <w:tcW w:w="20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3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Q –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percentage of domestic revenue, which we define as the percentage of consolidated revenue that was attributable to customers based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was as follows:</w:t>
      </w:r>
    </w:p>
    <w:p>
      <w:pPr>
        <w:spacing w:after="0" w:line="94"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6350</wp:posOffset>
            </wp:positionV>
            <wp:extent cx="30518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Domestic revenue</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84%</w:t>
            </w: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85%</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single jurisdiction outside of the U.S. had revenues in excess of 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percentage of property and equipment, net located at subsidiary and office locations outside of the United States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060" w:type="dxa"/>
            <w:vAlign w:val="bottom"/>
            <w:tcBorders>
              <w:bottom w:val="single" w:sz="8" w:color="CFF0FC"/>
            </w:tcBorders>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67"/>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International property and equipment</w:t>
            </w:r>
          </w:p>
        </w:tc>
        <w:tc>
          <w:tcPr>
            <w:tcW w:w="33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595"/>
        </w:trPr>
        <w:tc>
          <w:tcPr>
            <w:tcW w:w="406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3380" w:type="dxa"/>
            <w:vAlign w:val="bottom"/>
          </w:tcPr>
          <w:p>
            <w:pPr>
              <w:jc w:val="right"/>
              <w:ind w:right="1788"/>
              <w:spacing w:after="0"/>
              <w:rPr>
                <w:sz w:val="20"/>
                <w:szCs w:val="20"/>
                <w:color w:val="auto"/>
              </w:rPr>
            </w:pPr>
            <w:r>
              <w:rPr>
                <w:rFonts w:ascii="Arial" w:cs="Arial" w:eastAsia="Arial" w:hAnsi="Arial"/>
                <w:sz w:val="14"/>
                <w:szCs w:val="14"/>
                <w:color w:val="auto"/>
              </w:rPr>
              <w:t>58</w:t>
            </w:r>
          </w:p>
        </w:tc>
        <w:tc>
          <w:tcPr>
            <w:tcW w:w="3800" w:type="dxa"/>
            <w:vAlign w:val="bottom"/>
            <w:gridSpan w:val="5"/>
          </w:tcPr>
          <w:p>
            <w:pPr>
              <w:ind w:left="82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r>
      <w:tr>
        <w:trPr>
          <w:trHeight w:val="329"/>
        </w:trPr>
        <w:tc>
          <w:tcPr>
            <w:tcW w:w="40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00AAE5"/>
        </w:rPr>
        <w:t>NOTE R– Related Party Transactions</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corporate officers. These directors receive no compensation from the Foundation or us for the management services performed for the Foundation. The Foundation is not a subsidiary of ours and the financial results of the Foundation are not consolidated with our financial statements. We have no current legal obligations for future commitments to the Foundation. Our contributions to the Foundation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Foundation contributions</w:t>
            </w:r>
          </w:p>
        </w:tc>
        <w:tc>
          <w:tcPr>
            <w:tcW w:w="20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3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20574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59</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spacing w:after="0"/>
        <w:tabs>
          <w:tab w:leader="none" w:pos="1000" w:val="left"/>
        </w:tabs>
        <w:rPr>
          <w:sz w:val="20"/>
          <w:szCs w:val="20"/>
          <w:color w:val="auto"/>
        </w:rPr>
      </w:pPr>
      <w:r>
        <w:rPr>
          <w:rFonts w:ascii="Arial" w:cs="Arial" w:eastAsia="Arial" w:hAnsi="Arial"/>
          <w:sz w:val="18"/>
          <w:szCs w:val="18"/>
          <w:b w:val="1"/>
          <w:bCs w:val="1"/>
          <w:color w:val="00AAE5"/>
        </w:rPr>
        <w:t>Item 9.</w:t>
      </w:r>
      <w:r>
        <w:rPr>
          <w:sz w:val="20"/>
          <w:szCs w:val="20"/>
          <w:color w:val="auto"/>
        </w:rPr>
        <w:tab/>
      </w:r>
      <w:r>
        <w:rPr>
          <w:rFonts w:ascii="Arial" w:cs="Arial" w:eastAsia="Arial" w:hAnsi="Arial"/>
          <w:sz w:val="16"/>
          <w:szCs w:val="16"/>
          <w:b w:val="1"/>
          <w:bCs w:val="1"/>
          <w:color w:val="00AAE5"/>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9A.</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2021,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2021, our disclosure controls and procedures were effective.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53" w:lineRule="exact"/>
        <w:rPr>
          <w:rFonts w:ascii="Arial" w:cs="Arial" w:eastAsia="Arial" w:hAnsi="Arial"/>
          <w:sz w:val="16"/>
          <w:szCs w:val="16"/>
          <w:color w:val="auto"/>
        </w:rPr>
      </w:pPr>
    </w:p>
    <w:p>
      <w:pPr>
        <w:ind w:left="1000" w:right="18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00" w:right="1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2021,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5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2021 based on the specified criteria.</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Pursuant to the SEC’s general guidance that an assessment of a recently acquired business may be omitted from scope for a period not to exceed one year from the date of acquisition, as of December 31, 2021, management’s assessment of our internal control over financial reporting excluded the internal control over financial reporting of the Genius Central business, which was acquired on November 3, 2021. Our assessment of the effectiveness of internal control over financial reporting as of December 31, 2022 will include Genius Central. As of and for the three and twelve months ended December 31, 2021, excluding net intangible assets and goodwill, Genius Central represented less than 1% of our total consolidated assets and less than 1% of our consolidated revenues.</w:t>
      </w:r>
    </w:p>
    <w:p>
      <w:pPr>
        <w:spacing w:after="0" w:line="84" w:lineRule="exact"/>
        <w:rPr>
          <w:sz w:val="20"/>
          <w:szCs w:val="20"/>
          <w:color w:val="auto"/>
        </w:rPr>
      </w:pPr>
    </w:p>
    <w:p>
      <w:pPr>
        <w:ind w:right="600" w:firstLine="510"/>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2021 has been audited by KPMG LLP, our independent registered public accounting firm, as stated in their report, which is included under Item 8 of this Annual Report on Form 10-K.</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60</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0" w:name="page61"/>
    <w:bookmarkEnd w:id="60"/>
    <w:p>
      <w:pPr>
        <w:spacing w:after="0"/>
        <w:tabs>
          <w:tab w:leader="none" w:pos="1000" w:val="left"/>
        </w:tabs>
        <w:rPr>
          <w:sz w:val="20"/>
          <w:szCs w:val="20"/>
          <w:color w:val="auto"/>
        </w:rPr>
      </w:pPr>
      <w:r>
        <w:rPr>
          <w:rFonts w:ascii="Arial" w:cs="Arial" w:eastAsia="Arial" w:hAnsi="Arial"/>
          <w:sz w:val="18"/>
          <w:szCs w:val="18"/>
          <w:b w:val="1"/>
          <w:bCs w:val="1"/>
          <w:color w:val="00AAE5"/>
        </w:rPr>
        <w:t>Item 9B.</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9C.</w:t>
      </w:r>
      <w:r>
        <w:rPr>
          <w:sz w:val="20"/>
          <w:szCs w:val="20"/>
          <w:color w:val="auto"/>
        </w:rPr>
        <w:tab/>
      </w:r>
      <w:r>
        <w:rPr>
          <w:rFonts w:ascii="Arial" w:cs="Arial" w:eastAsia="Arial" w:hAnsi="Arial"/>
          <w:sz w:val="16"/>
          <w:szCs w:val="16"/>
          <w:b w:val="1"/>
          <w:bCs w:val="1"/>
          <w:color w:val="00AAE5"/>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20574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61</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left="5260"/>
        <w:spacing w:after="0"/>
        <w:rPr>
          <w:sz w:val="20"/>
          <w:szCs w:val="20"/>
          <w:color w:val="auto"/>
        </w:rPr>
      </w:pPr>
      <w:r>
        <w:rPr>
          <w:rFonts w:ascii="Arial" w:cs="Arial" w:eastAsia="Arial" w:hAnsi="Arial"/>
          <w:sz w:val="18"/>
          <w:szCs w:val="18"/>
          <w:b w:val="1"/>
          <w:bCs w:val="1"/>
          <w:color w:val="00AAE5"/>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10.</w:t>
      </w:r>
      <w:r>
        <w:rPr>
          <w:sz w:val="20"/>
          <w:szCs w:val="20"/>
          <w:color w:val="auto"/>
        </w:rPr>
        <w:tab/>
      </w:r>
      <w:r>
        <w:rPr>
          <w:rFonts w:ascii="Arial" w:cs="Arial" w:eastAsia="Arial" w:hAnsi="Arial"/>
          <w:sz w:val="16"/>
          <w:szCs w:val="16"/>
          <w:b w:val="1"/>
          <w:bCs w:val="1"/>
          <w:color w:val="00AAE5"/>
        </w:rPr>
        <w:t>Directors, Executive Officers and Corporate Governance</w:t>
      </w:r>
    </w:p>
    <w:p>
      <w:pPr>
        <w:spacing w:after="0" w:line="121"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Except as set forth below, the information required by this item will be included in the 2022 Proxy Statement under the captions “Election of Directors,” “Information Regarding the Board of Directors and Corporate Governance” and “Executive Compensation” and is incorporated herein by reference.</w:t>
      </w:r>
    </w:p>
    <w:p>
      <w:pPr>
        <w:spacing w:after="0" w:line="76"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under the Investor Relations section. We plan to post on our website at the address described above any future amendments or waivers of our Code of Conduct.</w:t>
      </w:r>
    </w:p>
    <w:p>
      <w:pPr>
        <w:spacing w:after="0" w:line="2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11.</w:t>
      </w:r>
      <w:r>
        <w:rPr>
          <w:sz w:val="20"/>
          <w:szCs w:val="20"/>
          <w:color w:val="auto"/>
        </w:rPr>
        <w:tab/>
      </w:r>
      <w:r>
        <w:rPr>
          <w:rFonts w:ascii="Arial" w:cs="Arial" w:eastAsia="Arial" w:hAnsi="Arial"/>
          <w:sz w:val="15"/>
          <w:szCs w:val="15"/>
          <w:b w:val="1"/>
          <w:bCs w:val="1"/>
          <w:color w:val="00AAE5"/>
        </w:rPr>
        <w:t>Executive Compensation</w:t>
      </w:r>
    </w:p>
    <w:p>
      <w:pPr>
        <w:spacing w:after="0" w:line="12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information required by this item will be included in the 2022 Proxy Statement under the captions “Executive Compensation,” “Information Regarding the Board of Directors and Corporate Governance” and “Certain Relationships and Related Transactions” and is incorporated herein by reference.</w:t>
      </w: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12.</w:t>
      </w:r>
      <w:r>
        <w:rPr>
          <w:sz w:val="20"/>
          <w:szCs w:val="20"/>
          <w:color w:val="auto"/>
        </w:rPr>
        <w:tab/>
      </w:r>
      <w:r>
        <w:rPr>
          <w:rFonts w:ascii="Arial" w:cs="Arial" w:eastAsia="Arial" w:hAnsi="Arial"/>
          <w:sz w:val="16"/>
          <w:szCs w:val="16"/>
          <w:b w:val="1"/>
          <w:bCs w:val="1"/>
          <w:color w:val="00AAE5"/>
        </w:rPr>
        <w:t>Security Ownership of Certain Beneficial Owners and Management and Related Stockholder Matters</w:t>
      </w:r>
    </w:p>
    <w:p>
      <w:pPr>
        <w:spacing w:after="0" w:line="121"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Except as set forth below, the information required by this item will be included in the 2022 Proxy Statement under the caption “Security Ownership”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The following table summarizes the number of shares of our common stock to be issued upon exercise of outstanding stock options and settlement of RSU, DSU and PSU awards granted under our equity plans as of December 31, 2021. The table also includes the weighted-average exercise price of outstanding stock options and the number of shares of our common stock remaining available for future issuance under the plans for all awards.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Number of shares</w:t>
            </w:r>
          </w:p>
        </w:tc>
        <w:tc>
          <w:tcPr>
            <w:tcW w:w="2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(excluding shares</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and rights</w:t>
            </w: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and rights</w:t>
            </w: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 first column)</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18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approved by stockholders(1)</w:t>
            </w: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1,542,378  (2)</w:t>
            </w: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44.76  (3)</w:t>
            </w: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15,336,955  (4)</w:t>
            </w:r>
          </w:p>
        </w:tc>
        <w:tc>
          <w:tcPr>
            <w:tcW w:w="0" w:type="dxa"/>
            <w:vAlign w:val="bottom"/>
          </w:tcPr>
          <w:p>
            <w:pPr>
              <w:spacing w:after="0"/>
              <w:rPr>
                <w:sz w:val="1"/>
                <w:szCs w:val="1"/>
                <w:color w:val="auto"/>
              </w:rPr>
            </w:pPr>
          </w:p>
        </w:tc>
      </w:tr>
      <w:tr>
        <w:trPr>
          <w:trHeight w:val="215"/>
        </w:trPr>
        <w:tc>
          <w:tcPr>
            <w:tcW w:w="450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40"/>
              <w:spacing w:after="0"/>
              <w:rPr>
                <w:sz w:val="20"/>
                <w:szCs w:val="20"/>
                <w:color w:val="auto"/>
              </w:rPr>
            </w:pPr>
            <w:r>
              <w:rPr>
                <w:rFonts w:ascii="Arial" w:cs="Arial" w:eastAsia="Arial" w:hAnsi="Arial"/>
                <w:sz w:val="18"/>
                <w:szCs w:val="18"/>
                <w:color w:val="auto"/>
              </w:rPr>
              <w:t>approved by stockholders</w:t>
            </w:r>
          </w:p>
        </w:tc>
        <w:tc>
          <w:tcPr>
            <w:tcW w:w="2240" w:type="dxa"/>
            <w:vAlign w:val="bottom"/>
            <w:gridSpan w:val="2"/>
          </w:tcPr>
          <w:p>
            <w:pPr>
              <w:jc w:val="center"/>
              <w:ind w:left="964"/>
              <w:spacing w:after="0"/>
              <w:rPr>
                <w:sz w:val="20"/>
                <w:szCs w:val="20"/>
                <w:color w:val="auto"/>
              </w:rPr>
            </w:pPr>
            <w:r>
              <w:rPr>
                <w:rFonts w:ascii="Arial" w:cs="Arial" w:eastAsia="Arial" w:hAnsi="Arial"/>
                <w:sz w:val="18"/>
                <w:szCs w:val="18"/>
                <w:color w:val="auto"/>
                <w:w w:val="92"/>
              </w:rPr>
              <w:t>None</w:t>
            </w:r>
          </w:p>
        </w:tc>
        <w:tc>
          <w:tcPr>
            <w:tcW w:w="22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26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2010 Equity Incentive Plan and the Employee Stock Purchase Plan.</w:t>
      </w:r>
    </w:p>
    <w:p>
      <w:pPr>
        <w:spacing w:after="0" w:line="117" w:lineRule="exact"/>
        <w:rPr>
          <w:rFonts w:ascii="Arial" w:cs="Arial" w:eastAsia="Arial" w:hAnsi="Arial"/>
          <w:sz w:val="18"/>
          <w:szCs w:val="18"/>
          <w:color w:val="auto"/>
        </w:rPr>
      </w:pPr>
    </w:p>
    <w:p>
      <w:pPr>
        <w:ind w:left="380" w:right="52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678,650 shares subject to outstanding and unexercised stock options and 863,728 shares issuable in settlement of RSU, DSU, and PSU awards.</w:t>
      </w:r>
    </w:p>
    <w:p>
      <w:pPr>
        <w:spacing w:after="0" w:line="62"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1,797,022 shares remaining available for future issuance under the Employee Stock Purchase Plan.</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13.</w:t>
      </w:r>
      <w:r>
        <w:rPr>
          <w:sz w:val="20"/>
          <w:szCs w:val="20"/>
          <w:color w:val="auto"/>
        </w:rPr>
        <w:tab/>
      </w:r>
      <w:r>
        <w:rPr>
          <w:rFonts w:ascii="Arial" w:cs="Arial" w:eastAsia="Arial" w:hAnsi="Arial"/>
          <w:sz w:val="16"/>
          <w:szCs w:val="16"/>
          <w:b w:val="1"/>
          <w:bCs w:val="1"/>
          <w:color w:val="00AAE5"/>
        </w:rPr>
        <w:t>Certain Relationships and Related Transactions, and Director Independence</w:t>
      </w:r>
    </w:p>
    <w:p>
      <w:pPr>
        <w:spacing w:after="0" w:line="121" w:lineRule="exact"/>
        <w:rPr>
          <w:sz w:val="20"/>
          <w:szCs w:val="20"/>
          <w:color w:val="auto"/>
        </w:rPr>
      </w:pPr>
    </w:p>
    <w:p>
      <w:pPr>
        <w:ind w:right="760" w:firstLine="510"/>
        <w:spacing w:after="0" w:line="342" w:lineRule="auto"/>
        <w:rPr>
          <w:sz w:val="20"/>
          <w:szCs w:val="20"/>
          <w:color w:val="auto"/>
        </w:rPr>
      </w:pPr>
      <w:r>
        <w:rPr>
          <w:rFonts w:ascii="Arial" w:cs="Arial" w:eastAsia="Arial" w:hAnsi="Arial"/>
          <w:sz w:val="16"/>
          <w:szCs w:val="16"/>
          <w:color w:val="auto"/>
        </w:rPr>
        <w:t>The information required by this item will be included in the 2022 Proxy Statement under the captions “Certain Relationships and Related Transactions,” and “Information Regarding the Board of Directors and Corporate Governance” and is incorporated herein by the reference.</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14.</w:t>
      </w:r>
      <w:r>
        <w:rPr>
          <w:sz w:val="20"/>
          <w:szCs w:val="20"/>
          <w:color w:val="auto"/>
        </w:rPr>
        <w:tab/>
      </w:r>
      <w:r>
        <w:rPr>
          <w:rFonts w:ascii="Arial" w:cs="Arial" w:eastAsia="Arial" w:hAnsi="Arial"/>
          <w:sz w:val="15"/>
          <w:szCs w:val="15"/>
          <w:b w:val="1"/>
          <w:bCs w:val="1"/>
          <w:color w:val="00AAE5"/>
        </w:rPr>
        <w:t>Principal Accounting Fees and Services</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information required by this item will be included in the 2022 Proxy Statement under the caption “Audit Committee Report and Payment of Fees to Our Independent Auditor”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62</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00AAE5"/>
        </w:rPr>
        <w:t>PART IV</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15.</w:t>
      </w:r>
      <w:r>
        <w:rPr>
          <w:sz w:val="20"/>
          <w:szCs w:val="20"/>
          <w:color w:val="auto"/>
        </w:rPr>
        <w:tab/>
      </w:r>
      <w:r>
        <w:rPr>
          <w:rFonts w:ascii="Arial" w:cs="Arial" w:eastAsia="Arial" w:hAnsi="Arial"/>
          <w:sz w:val="16"/>
          <w:szCs w:val="16"/>
          <w:b w:val="1"/>
          <w:bCs w:val="1"/>
          <w:color w:val="00AAE5"/>
        </w:rPr>
        <w:t>Exhibits,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16.</w:t>
      </w:r>
      <w:r>
        <w:rPr>
          <w:sz w:val="20"/>
          <w:szCs w:val="20"/>
          <w:color w:val="auto"/>
        </w:rPr>
        <w:tab/>
      </w:r>
      <w:r>
        <w:rPr>
          <w:rFonts w:ascii="Arial" w:cs="Arial" w:eastAsia="Arial" w:hAnsi="Arial"/>
          <w:sz w:val="16"/>
          <w:szCs w:val="16"/>
          <w:b w:val="1"/>
          <w:bCs w:val="1"/>
          <w:color w:val="00AAE5"/>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0574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63</w:t>
      </w:r>
      <w:r>
        <w:rPr>
          <w:sz w:val="20"/>
          <w:szCs w:val="20"/>
          <w:color w:val="auto"/>
        </w:rPr>
        <w:tab/>
      </w:r>
      <w:r>
        <w:rPr>
          <w:rFonts w:ascii="Arial" w:cs="Arial" w:eastAsia="Arial" w:hAnsi="Arial"/>
          <w:sz w:val="9"/>
          <w:szCs w:val="9"/>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i w:val="1"/>
                <w:iCs w:val="1"/>
                <w:color w:val="auto"/>
              </w:rPr>
              <w:t>Incorporated By Reference</w:t>
            </w:r>
          </w:p>
        </w:tc>
        <w:tc>
          <w:tcPr>
            <w:tcW w:w="6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r>
      <w:tr>
        <w:trPr>
          <w:trHeight w:val="123"/>
        </w:trPr>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188"/>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48"/>
        </w:trPr>
        <w:tc>
          <w:tcPr>
            <w:tcW w:w="1280" w:type="dxa"/>
            <w:vAlign w:val="bottom"/>
          </w:tcPr>
          <w:p>
            <w:pPr>
              <w:ind w:left="42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i w:val="1"/>
                <w:iCs w:val="1"/>
                <w:color w:val="auto"/>
                <w:w w:val="92"/>
              </w:rPr>
              <w:t>First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60" w:type="dxa"/>
            <w:vAlign w:val="bottom"/>
          </w:tcPr>
          <w:p>
            <w:pPr>
              <w:spacing w:after="0"/>
              <w:rPr>
                <w:sz w:val="12"/>
                <w:szCs w:val="12"/>
                <w:color w:val="auto"/>
              </w:rPr>
            </w:pPr>
          </w:p>
        </w:tc>
        <w:tc>
          <w:tcPr>
            <w:tcW w:w="1420" w:type="dxa"/>
            <w:vAlign w:val="bottom"/>
          </w:tcPr>
          <w:p>
            <w:pPr>
              <w:jc w:val="center"/>
              <w:ind w:left="95"/>
              <w:spacing w:after="0" w:line="149" w:lineRule="exact"/>
              <w:rPr>
                <w:sz w:val="20"/>
                <w:szCs w:val="20"/>
                <w:color w:val="auto"/>
              </w:rPr>
            </w:pPr>
            <w:r>
              <w:rPr>
                <w:rFonts w:ascii="Arial" w:cs="Arial" w:eastAsia="Arial" w:hAnsi="Arial"/>
                <w:sz w:val="14"/>
                <w:szCs w:val="14"/>
                <w:b w:val="1"/>
                <w:bCs w:val="1"/>
                <w:i w:val="1"/>
                <w:iCs w:val="1"/>
                <w:color w:val="auto"/>
                <w:w w:val="97"/>
              </w:rPr>
              <w:t>Filed</w:t>
            </w:r>
          </w:p>
        </w:tc>
      </w:tr>
      <w:tr>
        <w:trPr>
          <w:trHeight w:val="167"/>
        </w:trPr>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4"/>
          </w:tcPr>
          <w:p>
            <w:pPr>
              <w:ind w:left="40"/>
              <w:spacing w:after="0"/>
              <w:rPr>
                <w:sz w:val="20"/>
                <w:szCs w:val="20"/>
                <w:color w:val="auto"/>
              </w:rPr>
            </w:pPr>
            <w:r>
              <w:rPr>
                <w:rFonts w:ascii="Arial" w:cs="Arial" w:eastAsia="Arial" w:hAnsi="Arial"/>
                <w:sz w:val="14"/>
                <w:szCs w:val="14"/>
                <w:b w:val="1"/>
                <w:bCs w:val="1"/>
                <w:i w:val="1"/>
                <w:iCs w:val="1"/>
                <w:color w:val="auto"/>
              </w:rPr>
              <w:t>Exhibit Description</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i w:val="1"/>
                <w:iCs w:val="1"/>
                <w:color w:val="auto"/>
                <w:w w:val="96"/>
              </w:rPr>
              <w:t>Filing</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Number</w:t>
            </w:r>
          </w:p>
        </w:tc>
        <w:tc>
          <w:tcPr>
            <w:tcW w:w="60" w:type="dxa"/>
            <w:vAlign w:val="bottom"/>
          </w:tcPr>
          <w:p>
            <w:pPr>
              <w:spacing w:after="0"/>
              <w:rPr>
                <w:sz w:val="14"/>
                <w:szCs w:val="14"/>
                <w:color w:val="auto"/>
              </w:rPr>
            </w:pPr>
          </w:p>
        </w:tc>
        <w:tc>
          <w:tcPr>
            <w:tcW w:w="1420" w:type="dxa"/>
            <w:vAlign w:val="bottom"/>
          </w:tcPr>
          <w:p>
            <w:pPr>
              <w:jc w:val="center"/>
              <w:ind w:left="95"/>
              <w:spacing w:after="0"/>
              <w:rPr>
                <w:sz w:val="20"/>
                <w:szCs w:val="20"/>
                <w:color w:val="auto"/>
              </w:rPr>
            </w:pPr>
            <w:r>
              <w:rPr>
                <w:rFonts w:ascii="Arial" w:cs="Arial" w:eastAsia="Arial" w:hAnsi="Arial"/>
                <w:sz w:val="14"/>
                <w:szCs w:val="14"/>
                <w:b w:val="1"/>
                <w:bCs w:val="1"/>
                <w:i w:val="1"/>
                <w:iCs w:val="1"/>
                <w:color w:val="auto"/>
                <w:w w:val="94"/>
              </w:rPr>
              <w:t>Herewith</w:t>
            </w: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00" w:type="dxa"/>
            <w:vAlign w:val="bottom"/>
            <w:gridSpan w:val="29"/>
          </w:tcPr>
          <w:p>
            <w:pPr>
              <w:spacing w:after="0"/>
              <w:rPr>
                <w:rFonts w:ascii="Arial" w:cs="Arial" w:eastAsia="Arial" w:hAnsi="Arial"/>
                <w:sz w:val="18"/>
                <w:szCs w:val="18"/>
                <w:color w:val="0000EE"/>
              </w:rPr>
            </w:pPr>
            <w:hyperlink r:id="rId150">
              <w:r>
                <w:rPr>
                  <w:rFonts w:ascii="Arial" w:cs="Arial" w:eastAsia="Arial" w:hAnsi="Arial"/>
                  <w:sz w:val="18"/>
                  <w:szCs w:val="18"/>
                  <w:color w:val="0000EE"/>
                </w:rPr>
                <w:t>Ninth Amended and Restated Certificate of</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05/21/2020</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Incorporation</w:t>
              </w:r>
            </w:hyperlink>
          </w:p>
        </w:tc>
        <w:tc>
          <w:tcPr>
            <w:tcW w:w="2140" w:type="dxa"/>
            <w:vAlign w:val="bottom"/>
            <w:tcBorders>
              <w:top w:val="single" w:sz="8" w:color="0000EE"/>
            </w:tcBorders>
            <w:gridSpan w:val="12"/>
          </w:tcPr>
          <w:p>
            <w:pPr>
              <w:spacing w:after="0"/>
              <w:rPr>
                <w:sz w:val="17"/>
                <w:szCs w:val="17"/>
                <w:color w:val="auto"/>
              </w:rPr>
            </w:pPr>
          </w:p>
        </w:tc>
        <w:tc>
          <w:tcPr>
            <w:tcW w:w="88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260" w:type="dxa"/>
            <w:vAlign w:val="bottom"/>
            <w:tcBorders>
              <w:bottom w:val="single" w:sz="8" w:color="0000EE"/>
            </w:tcBorders>
            <w:gridSpan w:val="13"/>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Amended and Restated Bylaws</w:t>
              </w:r>
            </w:hyperlink>
          </w:p>
        </w:tc>
        <w:tc>
          <w:tcPr>
            <w:tcW w:w="1740" w:type="dxa"/>
            <w:vAlign w:val="bottom"/>
            <w:gridSpan w:val="16"/>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10/17/2017</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Description of Capital Stock</w:t>
              </w:r>
            </w:hyperlink>
          </w:p>
        </w:tc>
        <w:tc>
          <w:tcPr>
            <w:tcW w:w="1940" w:type="dxa"/>
            <w:vAlign w:val="bottom"/>
            <w:gridSpan w:val="19"/>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2/23/2021</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7"/>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00" w:type="dxa"/>
            <w:vAlign w:val="bottom"/>
            <w:gridSpan w:val="29"/>
          </w:tcPr>
          <w:p>
            <w:pPr>
              <w:spacing w:after="0"/>
              <w:rPr>
                <w:rFonts w:ascii="Arial" w:cs="Arial" w:eastAsia="Arial" w:hAnsi="Arial"/>
                <w:sz w:val="18"/>
                <w:szCs w:val="18"/>
                <w:color w:val="0000EE"/>
              </w:rPr>
            </w:pPr>
            <w:hyperlink r:id="rId153">
              <w:r>
                <w:rPr>
                  <w:rFonts w:ascii="Arial" w:cs="Arial" w:eastAsia="Arial" w:hAnsi="Arial"/>
                  <w:sz w:val="18"/>
                  <w:szCs w:val="18"/>
                  <w:color w:val="0000EE"/>
                </w:rPr>
                <w:t>2010 Equity Incentive Plan, as amended effective</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02/20/2015</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10.6</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October 29, 2014**</w:t>
              </w:r>
            </w:hyperlink>
          </w:p>
        </w:tc>
        <w:tc>
          <w:tcPr>
            <w:tcW w:w="2120" w:type="dxa"/>
            <w:vAlign w:val="bottom"/>
            <w:tcBorders>
              <w:top w:val="single" w:sz="8" w:color="0000EE"/>
            </w:tcBorders>
            <w:gridSpan w:val="15"/>
          </w:tcPr>
          <w:p>
            <w:pPr>
              <w:spacing w:after="0"/>
              <w:rPr>
                <w:sz w:val="17"/>
                <w:szCs w:val="17"/>
                <w:color w:val="auto"/>
              </w:rPr>
            </w:pPr>
          </w:p>
        </w:tc>
        <w:tc>
          <w:tcPr>
            <w:tcW w:w="44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00" w:type="dxa"/>
            <w:vAlign w:val="bottom"/>
            <w:tcBorders>
              <w:bottom w:val="single" w:sz="8" w:color="0000EE"/>
            </w:tcBorders>
            <w:gridSpan w:val="29"/>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Form of Incentive Stock Option Agreement under 2010</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02/17/2012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Equity Incentive Plan**</w:t>
              </w:r>
            </w:hyperlink>
          </w:p>
        </w:tc>
        <w:tc>
          <w:tcPr>
            <w:tcW w:w="224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Form of Non-Statutory Stock Option Agreement</w:t>
              </w:r>
            </w:hyperlink>
          </w:p>
        </w:tc>
        <w:tc>
          <w:tcPr>
            <w:tcW w:w="48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02/17/2012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(Employee) under 2010 Equity Incentive Plan**</w:t>
              </w:r>
            </w:hyperlink>
          </w:p>
        </w:tc>
        <w:tc>
          <w:tcPr>
            <w:tcW w:w="50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Form of Non-Statutory Stock Option Agreement</w:t>
              </w:r>
            </w:hyperlink>
          </w:p>
        </w:tc>
        <w:tc>
          <w:tcPr>
            <w:tcW w:w="48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02/17/2012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29"/>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(Director) under 2010 Equity Incentive Plan**</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000" w:type="dxa"/>
            <w:vAlign w:val="bottom"/>
            <w:tcBorders>
              <w:bottom w:val="single" w:sz="8" w:color="0000EE"/>
            </w:tcBorders>
            <w:gridSpan w:val="29"/>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Form of Restricted Stock Unit Award Agreement under</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02/15/2017</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99.2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29"/>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2010 Equity Incentive Plan**</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260" w:type="dxa"/>
            <w:vAlign w:val="bottom"/>
            <w:gridSpan w:val="34"/>
          </w:tcPr>
          <w:p>
            <w:pPr>
              <w:spacing w:after="0"/>
              <w:rPr>
                <w:rFonts w:ascii="Arial" w:cs="Arial" w:eastAsia="Arial" w:hAnsi="Arial"/>
                <w:sz w:val="18"/>
                <w:szCs w:val="18"/>
                <w:color w:val="0000EE"/>
                <w:w w:val="95"/>
              </w:rPr>
            </w:pPr>
            <w:hyperlink r:id="rId158">
              <w:r>
                <w:rPr>
                  <w:rFonts w:ascii="Arial" w:cs="Arial" w:eastAsia="Arial" w:hAnsi="Arial"/>
                  <w:sz w:val="18"/>
                  <w:szCs w:val="18"/>
                  <w:color w:val="0000EE"/>
                  <w:w w:val="95"/>
                </w:rPr>
                <w:t>Form of Restricted Stock Award Agreement under 2010</w:t>
              </w:r>
            </w:hyperlink>
          </w:p>
        </w:tc>
        <w:tc>
          <w:tcPr>
            <w:tcW w:w="1280" w:type="dxa"/>
            <w:vAlign w:val="bottom"/>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05/08/2012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10.6</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Equity Incentive Plan**</w:t>
              </w:r>
            </w:hyperlink>
          </w:p>
        </w:tc>
        <w:tc>
          <w:tcPr>
            <w:tcW w:w="2240" w:type="dxa"/>
            <w:vAlign w:val="bottom"/>
            <w:tcBorders>
              <w:top w:val="single" w:sz="8" w:color="0000EE"/>
            </w:tcBorders>
            <w:gridSpan w:val="20"/>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260" w:type="dxa"/>
            <w:vAlign w:val="bottom"/>
            <w:gridSpan w:val="34"/>
          </w:tcPr>
          <w:p>
            <w:pPr>
              <w:spacing w:after="0"/>
              <w:rPr>
                <w:rFonts w:ascii="Arial" w:cs="Arial" w:eastAsia="Arial" w:hAnsi="Arial"/>
                <w:sz w:val="18"/>
                <w:szCs w:val="18"/>
                <w:color w:val="0000EE"/>
                <w:w w:val="95"/>
              </w:rPr>
            </w:pPr>
            <w:hyperlink r:id="rId159">
              <w:r>
                <w:rPr>
                  <w:rFonts w:ascii="Arial" w:cs="Arial" w:eastAsia="Arial" w:hAnsi="Arial"/>
                  <w:sz w:val="18"/>
                  <w:szCs w:val="18"/>
                  <w:color w:val="0000EE"/>
                  <w:w w:val="95"/>
                </w:rPr>
                <w:t>Form of Performance Stock Unit Agreement under 2010</w:t>
              </w:r>
            </w:hyperlink>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02/18/2018</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Equity Incentive Plan**</w:t>
              </w:r>
            </w:hyperlink>
          </w:p>
        </w:tc>
        <w:tc>
          <w:tcPr>
            <w:tcW w:w="2260" w:type="dxa"/>
            <w:vAlign w:val="bottom"/>
            <w:tcBorders>
              <w:top w:val="single" w:sz="8" w:color="0000EE"/>
            </w:tcBorders>
            <w:gridSpan w:val="21"/>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800" w:type="dxa"/>
            <w:vAlign w:val="bottom"/>
            <w:tcBorders>
              <w:bottom w:val="single" w:sz="8" w:color="0000EE"/>
            </w:tcBorders>
            <w:gridSpan w:val="23"/>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Deferred Stock Unit Agreement under 2010</w:t>
              </w:r>
            </w:hyperlink>
          </w:p>
        </w:tc>
        <w:tc>
          <w:tcPr>
            <w:tcW w:w="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04/26/2019</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Equity Incentive Plan</w:t>
              </w:r>
            </w:hyperlink>
          </w:p>
        </w:tc>
        <w:tc>
          <w:tcPr>
            <w:tcW w:w="2440" w:type="dxa"/>
            <w:vAlign w:val="bottom"/>
            <w:gridSpan w:val="2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3820" w:type="dxa"/>
            <w:vAlign w:val="bottom"/>
            <w:tcBorders>
              <w:bottom w:val="single" w:sz="8" w:color="0000EE"/>
            </w:tcBorders>
            <w:gridSpan w:val="24"/>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Form of Indemnification Agreement for Independent</w:t>
              </w:r>
            </w:hyperlink>
          </w:p>
        </w:tc>
        <w:tc>
          <w:tcPr>
            <w:tcW w:w="1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10.18</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9"/>
          </w:tcPr>
          <w:p>
            <w:pPr>
              <w:spacing w:after="0" w:line="210" w:lineRule="exact"/>
              <w:rPr>
                <w:rFonts w:ascii="Arial" w:cs="Arial" w:eastAsia="Arial" w:hAnsi="Arial"/>
                <w:sz w:val="18"/>
                <w:szCs w:val="18"/>
                <w:color w:val="0000EE"/>
              </w:rPr>
            </w:pPr>
            <w:hyperlink r:id="rId161">
              <w:r>
                <w:rPr>
                  <w:rFonts w:ascii="Arial" w:cs="Arial" w:eastAsia="Arial" w:hAnsi="Arial"/>
                  <w:sz w:val="18"/>
                  <w:szCs w:val="18"/>
                  <w:color w:val="0000EE"/>
                </w:rPr>
                <w:t>Directors</w:t>
              </w:r>
              <w:r>
                <w:rPr>
                  <w:rFonts w:ascii="Arial" w:cs="Arial" w:eastAsia="Arial" w:hAnsi="Arial"/>
                  <w:sz w:val="18"/>
                  <w:szCs w:val="18"/>
                  <w:color w:val="000000"/>
                </w:rPr>
                <w:t>*</w:t>
              </w:r>
              <w:r>
                <w:rPr>
                  <w:rFonts w:ascii="Arial" w:cs="Arial" w:eastAsia="Arial" w:hAnsi="Arial"/>
                  <w:sz w:val="19"/>
                  <w:szCs w:val="19"/>
                  <w:color w:val="000000"/>
                </w:rPr>
                <w:t>*</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00" w:type="dxa"/>
            <w:vAlign w:val="bottom"/>
            <w:gridSpan w:val="29"/>
          </w:tcPr>
          <w:p>
            <w:pPr>
              <w:spacing w:after="0"/>
              <w:rPr>
                <w:rFonts w:ascii="Arial" w:cs="Arial" w:eastAsia="Arial" w:hAnsi="Arial"/>
                <w:sz w:val="18"/>
                <w:szCs w:val="18"/>
                <w:color w:val="0000EE"/>
              </w:rPr>
            </w:pPr>
            <w:hyperlink r:id="rId162">
              <w:r>
                <w:rPr>
                  <w:rFonts w:ascii="Arial" w:cs="Arial" w:eastAsia="Arial" w:hAnsi="Arial"/>
                  <w:sz w:val="18"/>
                  <w:szCs w:val="18"/>
                  <w:color w:val="0000EE"/>
                </w:rPr>
                <w:t>Form of Indemnification Agreement for Archie C.</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10.19</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Black**</w:t>
              </w:r>
            </w:hyperlink>
          </w:p>
        </w:tc>
        <w:tc>
          <w:tcPr>
            <w:tcW w:w="2960" w:type="dxa"/>
            <w:vAlign w:val="bottom"/>
            <w:tcBorders>
              <w:top w:val="single" w:sz="8" w:color="0000EE"/>
            </w:tcBorders>
            <w:gridSpan w:val="21"/>
          </w:tcPr>
          <w:p>
            <w:pPr>
              <w:spacing w:after="0"/>
              <w:rPr>
                <w:sz w:val="17"/>
                <w:szCs w:val="17"/>
                <w:color w:val="auto"/>
              </w:rPr>
            </w:pPr>
          </w:p>
        </w:tc>
        <w:tc>
          <w:tcPr>
            <w:tcW w:w="3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200" w:type="dxa"/>
            <w:vAlign w:val="bottom"/>
            <w:tcBorders>
              <w:bottom w:val="single" w:sz="8" w:color="0000EE"/>
            </w:tcBorders>
            <w:gridSpan w:val="12"/>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Management Incentive Plan**</w:t>
              </w:r>
            </w:hyperlink>
          </w:p>
        </w:tc>
        <w:tc>
          <w:tcPr>
            <w:tcW w:w="1800" w:type="dxa"/>
            <w:vAlign w:val="bottom"/>
            <w:gridSpan w:val="17"/>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02/03/2016</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120" w:type="dxa"/>
            <w:vAlign w:val="bottom"/>
            <w:tcBorders>
              <w:bottom w:val="single" w:sz="8" w:color="0000EE"/>
            </w:tcBorders>
            <w:gridSpan w:val="32"/>
          </w:tcPr>
          <w:p>
            <w:pPr>
              <w:spacing w:after="0"/>
              <w:rPr>
                <w:rFonts w:ascii="Arial" w:cs="Arial" w:eastAsia="Arial" w:hAnsi="Arial"/>
                <w:sz w:val="18"/>
                <w:szCs w:val="18"/>
                <w:color w:val="0000EE"/>
                <w:w w:val="87"/>
              </w:rPr>
            </w:pPr>
            <w:hyperlink r:id="rId164">
              <w:r>
                <w:rPr>
                  <w:rFonts w:ascii="Arial" w:cs="Arial" w:eastAsia="Arial" w:hAnsi="Arial"/>
                  <w:sz w:val="18"/>
                  <w:szCs w:val="18"/>
                  <w:color w:val="0000EE"/>
                  <w:w w:val="87"/>
                </w:rPr>
                <w:t>Amended and Restated Executive Severance and Change</w:t>
              </w:r>
            </w:hyperlink>
          </w:p>
        </w:tc>
        <w:tc>
          <w:tcPr>
            <w:tcW w:w="140" w:type="dxa"/>
            <w:vAlign w:val="bottom"/>
            <w:gridSpan w:val="2"/>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02/18/2020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34"/>
          </w:tcPr>
          <w:p>
            <w:pPr>
              <w:spacing w:after="0" w:line="196" w:lineRule="exact"/>
              <w:rPr>
                <w:rFonts w:ascii="Arial" w:cs="Arial" w:eastAsia="Arial" w:hAnsi="Arial"/>
                <w:sz w:val="18"/>
                <w:szCs w:val="18"/>
                <w:color w:val="0000EE"/>
                <w:w w:val="95"/>
              </w:rPr>
            </w:pPr>
            <w:hyperlink r:id="rId164">
              <w:r>
                <w:rPr>
                  <w:rFonts w:ascii="Arial" w:cs="Arial" w:eastAsia="Arial" w:hAnsi="Arial"/>
                  <w:sz w:val="18"/>
                  <w:szCs w:val="18"/>
                  <w:color w:val="0000EE"/>
                  <w:w w:val="95"/>
                </w:rPr>
                <w:t>in Control Agreement between the Company and Archie</w:t>
              </w:r>
            </w:hyperlink>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C. Black**</w:t>
              </w:r>
            </w:hyperlink>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000" w:type="dxa"/>
            <w:vAlign w:val="bottom"/>
            <w:gridSpan w:val="29"/>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Form of Amended and Restated Executive Severance</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02/18/2020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and Change in Control Agreement**</w:t>
              </w:r>
            </w:hyperlink>
          </w:p>
        </w:tc>
        <w:tc>
          <w:tcPr>
            <w:tcW w:w="1180" w:type="dxa"/>
            <w:vAlign w:val="bottom"/>
            <w:tcBorders>
              <w:top w:val="single" w:sz="8" w:color="0000EE"/>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000" w:type="dxa"/>
            <w:vAlign w:val="bottom"/>
            <w:gridSpan w:val="29"/>
          </w:tcPr>
          <w:p>
            <w:pPr>
              <w:spacing w:after="0"/>
              <w:rPr>
                <w:rFonts w:ascii="Arial" w:cs="Arial" w:eastAsia="Arial" w:hAnsi="Arial"/>
                <w:sz w:val="18"/>
                <w:szCs w:val="18"/>
                <w:color w:val="0000EE"/>
                <w:w w:val="98"/>
              </w:rPr>
            </w:pPr>
            <w:hyperlink r:id="rId166">
              <w:r>
                <w:rPr>
                  <w:rFonts w:ascii="Arial" w:cs="Arial" w:eastAsia="Arial" w:hAnsi="Arial"/>
                  <w:sz w:val="18"/>
                  <w:szCs w:val="18"/>
                  <w:color w:val="0000EE"/>
                  <w:w w:val="98"/>
                </w:rPr>
                <w:t>Non-Employee Director Compensation Summary</w:t>
              </w:r>
            </w:hyperlink>
            <w:r>
              <w:rPr>
                <w:rFonts w:ascii="Arial" w:cs="Arial" w:eastAsia="Arial" w:hAnsi="Arial"/>
                <w:sz w:val="18"/>
                <w:szCs w:val="18"/>
                <w:color w:val="000000"/>
                <w:w w:val="98"/>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04/30/2020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3580" w:type="dxa"/>
            <w:vAlign w:val="bottom"/>
            <w:tcBorders>
              <w:top w:val="single" w:sz="8" w:color="0000EE"/>
            </w:tcBorders>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Subsidiaries of the registrant</w:t>
              </w:r>
            </w:hyperlink>
          </w:p>
        </w:tc>
        <w:tc>
          <w:tcPr>
            <w:tcW w:w="42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ind w:left="95"/>
              <w:spacing w:after="0"/>
              <w:rPr>
                <w:sz w:val="20"/>
                <w:szCs w:val="20"/>
                <w:color w:val="auto"/>
              </w:rPr>
            </w:pPr>
            <w:r>
              <w:rPr>
                <w:rFonts w:ascii="Arial" w:cs="Arial" w:eastAsia="Arial" w:hAnsi="Arial"/>
                <w:sz w:val="18"/>
                <w:szCs w:val="18"/>
                <w:color w:val="auto"/>
                <w:w w:val="99"/>
              </w:rPr>
              <w:t>X</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Consent of KPMG LLP</w:t>
              </w:r>
            </w:hyperlink>
          </w:p>
        </w:tc>
        <w:tc>
          <w:tcPr>
            <w:tcW w:w="340" w:type="dxa"/>
            <w:vAlign w:val="bottom"/>
            <w:tcBorders>
              <w:top w:val="single" w:sz="8" w:color="0000EE"/>
            </w:tcBorders>
            <w:gridSpan w:val="3"/>
          </w:tcPr>
          <w:p>
            <w:pPr>
              <w:spacing w:after="0"/>
              <w:rPr>
                <w:sz w:val="24"/>
                <w:szCs w:val="24"/>
                <w:color w:val="auto"/>
              </w:rPr>
            </w:pPr>
          </w:p>
        </w:tc>
        <w:tc>
          <w:tcPr>
            <w:tcW w:w="1940" w:type="dxa"/>
            <w:vAlign w:val="bottom"/>
            <w:gridSpan w:val="19"/>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ind w:left="95"/>
              <w:spacing w:after="0"/>
              <w:rPr>
                <w:sz w:val="20"/>
                <w:szCs w:val="20"/>
                <w:color w:val="auto"/>
              </w:rPr>
            </w:pPr>
            <w:r>
              <w:rPr>
                <w:rFonts w:ascii="Arial" w:cs="Arial" w:eastAsia="Arial" w:hAnsi="Arial"/>
                <w:sz w:val="18"/>
                <w:szCs w:val="18"/>
                <w:color w:val="auto"/>
                <w:w w:val="99"/>
              </w:rPr>
              <w:t>X</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3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Power of Attorney (included on signature page)</w:t>
              </w:r>
            </w:hyperlink>
          </w:p>
        </w:tc>
        <w:tc>
          <w:tcPr>
            <w:tcW w:w="56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ind w:left="95"/>
              <w:spacing w:after="0"/>
              <w:rPr>
                <w:sz w:val="20"/>
                <w:szCs w:val="20"/>
                <w:color w:val="auto"/>
              </w:rPr>
            </w:pPr>
            <w:r>
              <w:rPr>
                <w:rFonts w:ascii="Arial" w:cs="Arial" w:eastAsia="Arial" w:hAnsi="Arial"/>
                <w:sz w:val="18"/>
                <w:szCs w:val="18"/>
                <w:color w:val="auto"/>
                <w:w w:val="99"/>
              </w:rPr>
              <w:t>X</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980" w:type="dxa"/>
            <w:vAlign w:val="bottom"/>
            <w:tcBorders>
              <w:bottom w:val="single" w:sz="8" w:color="0000EE"/>
            </w:tcBorders>
            <w:gridSpan w:val="28"/>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Principal Executive Officer pursuant to</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ind w:left="95"/>
              <w:spacing w:after="0"/>
              <w:rPr>
                <w:sz w:val="20"/>
                <w:szCs w:val="20"/>
                <w:color w:val="auto"/>
              </w:rPr>
            </w:pPr>
            <w:r>
              <w:rPr>
                <w:rFonts w:ascii="Arial" w:cs="Arial" w:eastAsia="Arial" w:hAnsi="Arial"/>
                <w:sz w:val="18"/>
                <w:szCs w:val="18"/>
                <w:color w:val="auto"/>
                <w:w w:val="99"/>
              </w:rPr>
              <w:t>X</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29"/>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Rules 13a-14(a) under the Securities Exchange Act of</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69">
              <w:r>
                <w:rPr>
                  <w:rFonts w:ascii="Arial" w:cs="Arial" w:eastAsia="Arial" w:hAnsi="Arial"/>
                  <w:sz w:val="18"/>
                  <w:szCs w:val="18"/>
                  <w:color w:val="0000EE"/>
                  <w:w w:val="85"/>
                </w:rPr>
                <w:t>1934, as amended</w:t>
              </w:r>
            </w:hyperlink>
          </w:p>
        </w:tc>
        <w:tc>
          <w:tcPr>
            <w:tcW w:w="2580" w:type="dxa"/>
            <w:vAlign w:val="bottom"/>
            <w:tcBorders>
              <w:top w:val="single" w:sz="8" w:color="0000EE"/>
            </w:tcBorders>
            <w:gridSpan w:val="22"/>
          </w:tcPr>
          <w:p>
            <w:pPr>
              <w:spacing w:after="0"/>
              <w:rPr>
                <w:sz w:val="17"/>
                <w:szCs w:val="17"/>
                <w:color w:val="auto"/>
              </w:rPr>
            </w:pPr>
          </w:p>
        </w:tc>
        <w:tc>
          <w:tcPr>
            <w:tcW w:w="1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00" w:type="dxa"/>
            <w:vAlign w:val="bottom"/>
            <w:gridSpan w:val="29"/>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Certification of Principal Financial Officer pursuant to</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ind w:left="95"/>
              <w:spacing w:after="0"/>
              <w:rPr>
                <w:sz w:val="20"/>
                <w:szCs w:val="20"/>
                <w:color w:val="auto"/>
              </w:rPr>
            </w:pPr>
            <w:r>
              <w:rPr>
                <w:rFonts w:ascii="Arial" w:cs="Arial" w:eastAsia="Arial" w:hAnsi="Arial"/>
                <w:sz w:val="18"/>
                <w:szCs w:val="18"/>
                <w:color w:val="auto"/>
                <w:w w:val="99"/>
              </w:rPr>
              <w:t>X</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top w:val="single" w:sz="8" w:color="0000EE"/>
            </w:tcBorders>
            <w:gridSpan w:val="27"/>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Rules 13a-14(a) under the Securities Exchange Act of</w:t>
              </w:r>
            </w:hyperlink>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70">
              <w:r>
                <w:rPr>
                  <w:rFonts w:ascii="Arial" w:cs="Arial" w:eastAsia="Arial" w:hAnsi="Arial"/>
                  <w:sz w:val="18"/>
                  <w:szCs w:val="18"/>
                  <w:color w:val="0000EE"/>
                  <w:w w:val="85"/>
                </w:rPr>
                <w:t>1934, as amended</w:t>
              </w:r>
            </w:hyperlink>
          </w:p>
        </w:tc>
        <w:tc>
          <w:tcPr>
            <w:tcW w:w="2580" w:type="dxa"/>
            <w:vAlign w:val="bottom"/>
            <w:tcBorders>
              <w:top w:val="single" w:sz="8" w:color="0000EE"/>
            </w:tcBorders>
            <w:gridSpan w:val="22"/>
          </w:tcPr>
          <w:p>
            <w:pPr>
              <w:spacing w:after="0"/>
              <w:rPr>
                <w:sz w:val="17"/>
                <w:szCs w:val="17"/>
                <w:color w:val="auto"/>
              </w:rPr>
            </w:pPr>
          </w:p>
        </w:tc>
        <w:tc>
          <w:tcPr>
            <w:tcW w:w="1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3"/>
        </w:trPr>
        <w:tc>
          <w:tcPr>
            <w:tcW w:w="5400" w:type="dxa"/>
            <w:vAlign w:val="bottom"/>
            <w:gridSpan w:val="31"/>
          </w:tcPr>
          <w:p>
            <w:pPr>
              <w:ind w:left="480"/>
              <w:spacing w:after="0"/>
              <w:rPr>
                <w:sz w:val="20"/>
                <w:szCs w:val="20"/>
                <w:color w:val="auto"/>
              </w:rPr>
            </w:pPr>
            <w:r>
              <w:rPr>
                <w:rFonts w:ascii="Arial" w:cs="Arial" w:eastAsia="Arial" w:hAnsi="Arial"/>
                <w:sz w:val="14"/>
                <w:szCs w:val="14"/>
                <w:b w:val="1"/>
                <w:bCs w:val="1"/>
                <w:color w:val="auto"/>
              </w:rPr>
              <w:t>SPS COMMERCE, INC.</w:t>
            </w:r>
          </w:p>
        </w:tc>
        <w:tc>
          <w:tcPr>
            <w:tcW w:w="260" w:type="dxa"/>
            <w:vAlign w:val="bottom"/>
            <w:gridSpan w:val="5"/>
          </w:tcPr>
          <w:p>
            <w:pPr>
              <w:jc w:val="right"/>
              <w:ind w:right="80"/>
              <w:spacing w:after="0"/>
              <w:rPr>
                <w:sz w:val="20"/>
                <w:szCs w:val="20"/>
                <w:color w:val="auto"/>
              </w:rPr>
            </w:pPr>
            <w:r>
              <w:rPr>
                <w:rFonts w:ascii="Arial" w:cs="Arial" w:eastAsia="Arial" w:hAnsi="Arial"/>
                <w:sz w:val="14"/>
                <w:szCs w:val="14"/>
                <w:color w:val="auto"/>
              </w:rPr>
              <w:t>64</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gridSpan w:val="5"/>
          </w:tcPr>
          <w:p>
            <w:pPr>
              <w:ind w:left="18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r>
      <w:tr>
        <w:trPr>
          <w:trHeight w:val="329"/>
        </w:trPr>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4" w:name="page65"/>
    <w:bookmarkEnd w:id="64"/>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Exhibit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Number</w:t>
            </w: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i w:val="1"/>
                <w:iCs w:val="1"/>
                <w:color w:val="auto"/>
              </w:rPr>
              <w:t>Exhibit Description</w:t>
            </w:r>
          </w:p>
        </w:tc>
      </w:tr>
      <w:tr>
        <w:trPr>
          <w:trHeight w:val="291"/>
        </w:trPr>
        <w:tc>
          <w:tcPr>
            <w:tcW w:w="1280" w:type="dxa"/>
            <w:vAlign w:val="bottom"/>
          </w:tcPr>
          <w:p>
            <w:pPr>
              <w:jc w:val="right"/>
              <w:ind w:right="882"/>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412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Certification of Chief Executive Officer and Chief</w:t>
              </w:r>
            </w:hyperlink>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5"/>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Financial Officer pursuant to 18 U.S.C. Sec. 1350, as</w:t>
              </w:r>
            </w:hyperlink>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adopted pursuant to Section 906 of the Sarbanes-Oxley</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Act of 2002</w:t>
              </w:r>
            </w:hyperlink>
          </w:p>
        </w:tc>
        <w:tc>
          <w:tcPr>
            <w:tcW w:w="3260" w:type="dxa"/>
            <w:vAlign w:val="bottom"/>
            <w:gridSpan w:val="4"/>
          </w:tcPr>
          <w:p>
            <w:pPr>
              <w:spacing w:after="0"/>
              <w:rPr>
                <w:sz w:val="17"/>
                <w:szCs w:val="17"/>
                <w:color w:val="auto"/>
              </w:rPr>
            </w:pPr>
          </w:p>
        </w:tc>
      </w:tr>
    </w:tbl>
    <w:p>
      <w:pPr>
        <w:spacing w:after="0" w:line="134" w:lineRule="exact"/>
        <w:rPr>
          <w:sz w:val="20"/>
          <w:szCs w:val="20"/>
          <w:color w:val="auto"/>
        </w:rPr>
      </w:pPr>
    </w:p>
    <w:p>
      <w:pPr>
        <w:ind w:left="1400" w:right="880" w:hanging="1392"/>
        <w:spacing w:after="0" w:line="277"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w:t>
      </w:r>
    </w:p>
    <w:p>
      <w:pPr>
        <w:spacing w:after="0" w:line="76" w:lineRule="exact"/>
        <w:rPr>
          <w:sz w:val="20"/>
          <w:szCs w:val="20"/>
          <w:color w:val="auto"/>
        </w:rPr>
      </w:pPr>
    </w:p>
    <w:p>
      <w:pPr>
        <w:ind w:left="1400" w:right="220" w:hanging="1392"/>
        <w:spacing w:after="0" w:line="263"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cover page from the Annual Report on Form 10-K for the year ended December 31, 2021, formatted in Inline XBRL</w:t>
      </w:r>
    </w:p>
    <w:p>
      <w:pPr>
        <w:spacing w:after="0" w:line="8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20574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3240" w:type="dxa"/>
            <w:vAlign w:val="bottom"/>
          </w:tcPr>
          <w:p>
            <w:pPr>
              <w:spacing w:after="0"/>
              <w:rPr>
                <w:sz w:val="20"/>
                <w:szCs w:val="20"/>
                <w:color w:val="auto"/>
              </w:rPr>
            </w:pPr>
            <w:r>
              <w:rPr>
                <w:rFonts w:ascii="Arial" w:cs="Arial" w:eastAsia="Arial" w:hAnsi="Arial"/>
                <w:sz w:val="14"/>
                <w:szCs w:val="14"/>
                <w:b w:val="1"/>
                <w:bCs w:val="1"/>
                <w:color w:val="auto"/>
              </w:rPr>
              <w:t>SPS COMMERCE, INC.</w:t>
            </w:r>
          </w:p>
        </w:tc>
        <w:tc>
          <w:tcPr>
            <w:tcW w:w="1860" w:type="dxa"/>
            <w:vAlign w:val="bottom"/>
          </w:tcPr>
          <w:p>
            <w:pPr>
              <w:jc w:val="right"/>
              <w:spacing w:after="0"/>
              <w:rPr>
                <w:sz w:val="20"/>
                <w:szCs w:val="20"/>
                <w:color w:val="auto"/>
              </w:rPr>
            </w:pPr>
            <w:r>
              <w:rPr>
                <w:rFonts w:ascii="Arial" w:cs="Arial" w:eastAsia="Arial" w:hAnsi="Arial"/>
                <w:sz w:val="14"/>
                <w:szCs w:val="14"/>
                <w:color w:val="auto"/>
              </w:rPr>
              <w:t>65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97"/>
              </w:rPr>
              <w:t>Incorporated By Reference</w:t>
            </w: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r>
      <w:tr>
        <w:trPr>
          <w:trHeight w:val="123"/>
        </w:trPr>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right="36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92"/>
              </w:rPr>
              <w:t>First</w:t>
            </w: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60" w:type="dxa"/>
            <w:vAlign w:val="bottom"/>
          </w:tcPr>
          <w:p>
            <w:pPr>
              <w:spacing w:after="0"/>
              <w:rPr>
                <w:sz w:val="12"/>
                <w:szCs w:val="12"/>
                <w:color w:val="auto"/>
              </w:rPr>
            </w:pPr>
          </w:p>
        </w:tc>
        <w:tc>
          <w:tcPr>
            <w:tcW w:w="1080" w:type="dxa"/>
            <w:vAlign w:val="bottom"/>
          </w:tcPr>
          <w:p>
            <w:pPr>
              <w:jc w:val="center"/>
              <w:ind w:left="442"/>
              <w:spacing w:after="0" w:line="149" w:lineRule="exact"/>
              <w:rPr>
                <w:sz w:val="20"/>
                <w:szCs w:val="20"/>
                <w:color w:val="auto"/>
              </w:rPr>
            </w:pPr>
            <w:r>
              <w:rPr>
                <w:rFonts w:ascii="Arial" w:cs="Arial" w:eastAsia="Arial" w:hAnsi="Arial"/>
                <w:sz w:val="14"/>
                <w:szCs w:val="14"/>
                <w:b w:val="1"/>
                <w:bCs w:val="1"/>
                <w:i w:val="1"/>
                <w:iCs w:val="1"/>
                <w:color w:val="auto"/>
                <w:w w:val="97"/>
              </w:rPr>
              <w:t>Filed</w:t>
            </w:r>
          </w:p>
        </w:tc>
      </w:tr>
      <w:tr>
        <w:trPr>
          <w:trHeight w:val="167"/>
        </w:trPr>
        <w:tc>
          <w:tcPr>
            <w:tcW w:w="128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4"/>
                <w:szCs w:val="14"/>
                <w:b w:val="1"/>
                <w:bCs w:val="1"/>
                <w:i w:val="1"/>
                <w:iCs w:val="1"/>
                <w:color w:val="auto"/>
                <w:w w:val="96"/>
              </w:rPr>
              <w:t>Filing</w:t>
            </w: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i w:val="1"/>
                <w:iCs w:val="1"/>
                <w:color w:val="auto"/>
                <w:w w:val="94"/>
              </w:rPr>
              <w:t>Number</w:t>
            </w:r>
          </w:p>
        </w:tc>
        <w:tc>
          <w:tcPr>
            <w:tcW w:w="60" w:type="dxa"/>
            <w:vAlign w:val="bottom"/>
          </w:tcPr>
          <w:p>
            <w:pPr>
              <w:spacing w:after="0"/>
              <w:rPr>
                <w:sz w:val="14"/>
                <w:szCs w:val="14"/>
                <w:color w:val="auto"/>
              </w:rPr>
            </w:pPr>
          </w:p>
        </w:tc>
        <w:tc>
          <w:tcPr>
            <w:tcW w:w="1080" w:type="dxa"/>
            <w:vAlign w:val="bottom"/>
          </w:tcPr>
          <w:p>
            <w:pPr>
              <w:jc w:val="center"/>
              <w:ind w:left="442"/>
              <w:spacing w:after="0"/>
              <w:rPr>
                <w:sz w:val="20"/>
                <w:szCs w:val="20"/>
                <w:color w:val="auto"/>
              </w:rPr>
            </w:pPr>
            <w:r>
              <w:rPr>
                <w:rFonts w:ascii="Arial" w:cs="Arial" w:eastAsia="Arial" w:hAnsi="Arial"/>
                <w:sz w:val="14"/>
                <w:szCs w:val="14"/>
                <w:b w:val="1"/>
                <w:bCs w:val="1"/>
                <w:i w:val="1"/>
                <w:iCs w:val="1"/>
                <w:color w:val="auto"/>
                <w:w w:val="94"/>
              </w:rPr>
              <w:t>Herewith</w:t>
            </w:r>
          </w:p>
        </w:tc>
      </w:tr>
      <w:tr>
        <w:trPr>
          <w:trHeight w:val="331"/>
        </w:trPr>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jc w:val="center"/>
              <w:ind w:left="442"/>
              <w:spacing w:after="0"/>
              <w:rPr>
                <w:sz w:val="20"/>
                <w:szCs w:val="20"/>
                <w:color w:val="auto"/>
              </w:rPr>
            </w:pPr>
            <w:r>
              <w:rPr>
                <w:rFonts w:ascii="Arial" w:cs="Arial" w:eastAsia="Arial" w:hAnsi="Arial"/>
                <w:sz w:val="18"/>
                <w:szCs w:val="18"/>
                <w:color w:val="auto"/>
                <w:w w:val="99"/>
              </w:rPr>
              <w:t>X</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Form 10-K for the Annual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205105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580" w:space="80"/>
            <w:col w:w="558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00AAE5"/>
        </w:rPr>
        <w:t>SIGNATURES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Dated: February 22, 2022</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64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6574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Archie C. Black</w:t>
      </w:r>
    </w:p>
    <w:p>
      <w:pPr>
        <w:spacing w:after="0" w:line="4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Chief Executive Officer</w:t>
      </w:r>
    </w:p>
    <w:p>
      <w:pPr>
        <w:spacing w:after="0" w:line="26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22,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3"/>
          </w:tcPr>
          <w:p>
            <w:pPr>
              <w:ind w:left="80"/>
              <w:spacing w:after="0"/>
              <w:rPr>
                <w:sz w:val="20"/>
                <w:szCs w:val="20"/>
                <w:color w:val="auto"/>
              </w:rPr>
            </w:pPr>
            <w:r>
              <w:rPr>
                <w:rFonts w:ascii="Arial" w:cs="Arial" w:eastAsia="Arial" w:hAnsi="Arial"/>
                <w:sz w:val="14"/>
                <w:szCs w:val="14"/>
                <w:b w:val="1"/>
                <w:bCs w:val="1"/>
                <w:color w:val="auto"/>
              </w:rPr>
              <w:t>Title</w:t>
            </w:r>
          </w:p>
        </w:tc>
      </w:tr>
      <w:tr>
        <w:trPr>
          <w:trHeight w:val="20"/>
        </w:trPr>
        <w:tc>
          <w:tcPr>
            <w:tcW w:w="12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331"/>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ARCHIE C. BLACK</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(principal executive officer)</w:t>
            </w: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KIMBERLY K. NELSON</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B. RAMSEY</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MARTY M. RÉAUME</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Marty M. Réaume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TAMI L. RELLER</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E. SORAN</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ANNE SEMPOWSKI WARD</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Anne Sempowski Ward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SVEN A. WEHRWEIN</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784"/>
        </w:trPr>
        <w:tc>
          <w:tcPr>
            <w:tcW w:w="3920" w:type="dxa"/>
            <w:vAlign w:val="bottom"/>
            <w:gridSpan w:val="2"/>
          </w:tcPr>
          <w:p>
            <w:pPr>
              <w:ind w:left="480"/>
              <w:spacing w:after="0"/>
              <w:rPr>
                <w:sz w:val="20"/>
                <w:szCs w:val="20"/>
                <w:color w:val="auto"/>
              </w:rPr>
            </w:pPr>
            <w:r>
              <w:rPr>
                <w:rFonts w:ascii="Arial" w:cs="Arial" w:eastAsia="Arial" w:hAnsi="Arial"/>
                <w:sz w:val="14"/>
                <w:szCs w:val="14"/>
                <w:b w:val="1"/>
                <w:bCs w:val="1"/>
                <w:color w:val="auto"/>
              </w:rPr>
              <w:t>SPS COMMERCE, INC.</w:t>
            </w: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tcPr>
          <w:p>
            <w:pPr>
              <w:ind w:left="2220"/>
              <w:spacing w:after="0"/>
              <w:rPr>
                <w:sz w:val="20"/>
                <w:szCs w:val="20"/>
                <w:color w:val="auto"/>
              </w:rPr>
            </w:pPr>
            <w:r>
              <w:rPr>
                <w:rFonts w:ascii="Arial" w:cs="Arial" w:eastAsia="Arial" w:hAnsi="Arial"/>
                <w:sz w:val="12"/>
                <w:szCs w:val="12"/>
                <w:b w:val="1"/>
                <w:bCs w:val="1"/>
                <w:color w:val="auto"/>
                <w:w w:val="88"/>
              </w:rPr>
              <w:t>Form 10-K for the Annual Period ended 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0574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List of SPS Commerce, Inc. Subsidiaries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Incorporation/Organization</w:t>
      </w:r>
    </w:p>
    <w:p>
      <w:pPr>
        <w:spacing w:after="0" w:line="200" w:lineRule="exact"/>
        <w:rPr>
          <w:sz w:val="20"/>
          <w:szCs w:val="20"/>
          <w:color w:val="auto"/>
        </w:rPr>
      </w:pPr>
    </w:p>
    <w:p>
      <w:pPr>
        <w:sectPr>
          <w:pgSz w:w="11900" w:h="16838" w:orient="portrait"/>
          <w:cols w:equalWidth="0" w:num="2">
            <w:col w:w="4900" w:space="720"/>
            <w:col w:w="5620"/>
          </w:cols>
          <w:pgMar w:left="320" w:top="364"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SPS Commerce Australia Pty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SPS Commerce Canada,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SPS Commerce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SPS Commerce Netherlands B.V.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SPS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Masons Software,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Genius Central Systems, Inc.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20"/>
          </w:cols>
          <w:pgMar w:left="320" w:top="364"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S-3 (Nos. 333-192392, 333-182097 and 333-174026) and on Form S-8 (Nos. 333-236671, 333-229838, 333-222438, 333-222435, 333-216288, 333-209721, 333-201673, 333-193544, 333-185972, 333-182007, 333-179236, 333-172073, 333-167315 and 333-167314) of our reports dated February 22, 2022, with respect to the consolidated financial statements of SPS Commerce, Inc. and subsidiaries and the effectiveness of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38" w:lineRule="exact"/>
        <w:rPr>
          <w:rFonts w:ascii="Arial" w:cs="Arial" w:eastAsia="Arial" w:hAnsi="Arial"/>
          <w:sz w:val="18"/>
          <w:szCs w:val="18"/>
          <w:color w:val="auto"/>
        </w:rPr>
      </w:pPr>
    </w:p>
    <w:p>
      <w:pPr>
        <w:jc w:val="both"/>
        <w:ind w:left="880" w:right="160" w:hanging="440"/>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4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880" w:right="40" w:hanging="440"/>
        <w:spacing w:after="0" w:line="291"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740" w:right="60" w:hanging="436"/>
        <w:spacing w:after="0" w:line="286" w:lineRule="auto"/>
        <w:tabs>
          <w:tab w:leader="none" w:pos="17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40" w:right="440" w:hanging="436"/>
        <w:spacing w:after="0" w:line="286" w:lineRule="auto"/>
        <w:tabs>
          <w:tab w:leader="none" w:pos="17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740" w:hanging="436"/>
        <w:spacing w:after="0" w:line="263"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740" w:right="60" w:hanging="436"/>
        <w:spacing w:after="0" w:line="286" w:lineRule="auto"/>
        <w:tabs>
          <w:tab w:leader="none" w:pos="17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8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40" w:hanging="436"/>
        <w:spacing w:after="0" w:line="277"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38" w:lineRule="exact"/>
        <w:rPr>
          <w:rFonts w:ascii="Arial" w:cs="Arial" w:eastAsia="Arial" w:hAnsi="Arial"/>
          <w:sz w:val="18"/>
          <w:szCs w:val="18"/>
          <w:color w:val="auto"/>
        </w:rPr>
      </w:pPr>
    </w:p>
    <w:p>
      <w:pPr>
        <w:jc w:val="both"/>
        <w:ind w:left="880" w:right="160" w:hanging="440"/>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40" w:hanging="440"/>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880" w:right="40" w:hanging="440"/>
        <w:spacing w:after="0" w:line="29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740" w:right="60" w:hanging="436"/>
        <w:spacing w:after="0" w:line="286" w:lineRule="auto"/>
        <w:tabs>
          <w:tab w:leader="none" w:pos="17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40" w:right="440" w:hanging="436"/>
        <w:spacing w:after="0" w:line="286" w:lineRule="auto"/>
        <w:tabs>
          <w:tab w:leader="none" w:pos="17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740" w:hanging="436"/>
        <w:spacing w:after="0" w:line="263"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740" w:right="60" w:hanging="436"/>
        <w:spacing w:after="0" w:line="286" w:lineRule="auto"/>
        <w:tabs>
          <w:tab w:leader="none" w:pos="17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80" w:hanging="440"/>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40" w:hanging="436"/>
        <w:spacing w:after="0" w:line="277"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22, 2022</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864"/>
        <w:spacing w:after="0" w:line="259" w:lineRule="auto"/>
        <w:rPr>
          <w:sz w:val="20"/>
          <w:szCs w:val="20"/>
          <w:color w:val="auto"/>
        </w:rPr>
      </w:pPr>
      <w:r>
        <w:rPr>
          <w:rFonts w:ascii="Arial" w:cs="Arial" w:eastAsia="Arial" w:hAnsi="Arial"/>
          <w:sz w:val="18"/>
          <w:szCs w:val="18"/>
          <w:color w:val="auto"/>
        </w:rPr>
        <w:t>In connection with the Annual Report on Form 10-K of SPS Commerce, Inc. (the “Company”) for the period ended December 31, 2021,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87" w:lineRule="exact"/>
        <w:rPr>
          <w:sz w:val="20"/>
          <w:szCs w:val="20"/>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280" w:hanging="44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61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jpeg"/><Relationship Id="rId170" Type="http://schemas.openxmlformats.org/officeDocument/2006/relationships/image" Target="media/image146.jpe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jpeg"/><Relationship Id="rId150" Type="http://schemas.openxmlformats.org/officeDocument/2006/relationships/hyperlink" Target="http://www.sec.gov/Archives/edgar/data/1092699/000119312520148645/d833455dex32.htm" TargetMode="External"/><Relationship Id="rId151" Type="http://schemas.openxmlformats.org/officeDocument/2006/relationships/hyperlink" Target="http://www.sec.gov/Archives/edgar/data/1092699/000119312517311896/d430310dex31.htm" TargetMode="External"/><Relationship Id="rId152" Type="http://schemas.openxmlformats.org/officeDocument/2006/relationships/hyperlink" Target="http://www.sec.gov/Archives/edgar/data/1092699/000156459021007614/spsc-ex41_8.htm" TargetMode="External"/><Relationship Id="rId153" Type="http://schemas.openxmlformats.org/officeDocument/2006/relationships/hyperlink" Target="http://www.sec.gov/Archives/edgar/data/1092699/000119312515056499/d845442dex106.htm" TargetMode="External"/><Relationship Id="rId154" Type="http://schemas.openxmlformats.org/officeDocument/2006/relationships/hyperlink" Target="http://www.sec.gov/Archives/edgar/data/1092699/000119312512067639/d303784dex102.htm" TargetMode="External"/><Relationship Id="rId155" Type="http://schemas.openxmlformats.org/officeDocument/2006/relationships/hyperlink" Target="http://www.sec.gov/Archives/edgar/data/1092699/000119312512067639/d303784dex103.htm" TargetMode="External"/><Relationship Id="rId156" Type="http://schemas.openxmlformats.org/officeDocument/2006/relationships/hyperlink" Target="http://www.sec.gov/Archives/edgar/data/1092699/000119312512067639/d303784dex104.htm" TargetMode="External"/><Relationship Id="rId157" Type="http://schemas.openxmlformats.org/officeDocument/2006/relationships/hyperlink" Target="http://www.sec.gov/Archives/edgar/data/1092699/000119312517045225/d348307dex992.htm" TargetMode="External"/><Relationship Id="rId158" Type="http://schemas.openxmlformats.org/officeDocument/2006/relationships/hyperlink" Target="http://www.sec.gov/Archives/edgar/data/1092699/000119312512218022/d343890dex106.htm" TargetMode="External"/><Relationship Id="rId159" Type="http://schemas.openxmlformats.org/officeDocument/2006/relationships/hyperlink" Target="http://www.sec.gov/Archives/edgar/data/1092699/000119312518034816/d525819dex101.htm" TargetMode="External"/><Relationship Id="rId160" Type="http://schemas.openxmlformats.org/officeDocument/2006/relationships/hyperlink" Target="http://www.sec.gov/Archives/edgar/data/1092699/000156459019013342/spsc-ex102_266.htm" TargetMode="External"/><Relationship Id="rId161" Type="http://schemas.openxmlformats.org/officeDocument/2006/relationships/hyperlink" Target="http://www.sec.gov/Archives/edgar/data/1092699/000095012310001751/c54716a1exv10w18.htm" TargetMode="External"/><Relationship Id="rId162" Type="http://schemas.openxmlformats.org/officeDocument/2006/relationships/hyperlink" Target="http://www.sec.gov/Archives/edgar/data/1092699/000095012310001751/c54716a1exv10w19.htm" TargetMode="External"/><Relationship Id="rId163" Type="http://schemas.openxmlformats.org/officeDocument/2006/relationships/hyperlink" Target="http://www.sec.gov/Archives/edgar/data/1092699/000119312516449360/d113029dex102.htm" TargetMode="External"/><Relationship Id="rId164" Type="http://schemas.openxmlformats.org/officeDocument/2006/relationships/hyperlink" Target="http://www.sec.gov/Archives/edgar/data/0001092699/000119312520040291/d890301dex101.htm" TargetMode="External"/><Relationship Id="rId165" Type="http://schemas.openxmlformats.org/officeDocument/2006/relationships/hyperlink" Target="http://www.sec.gov/Archives/edgar/data/0001092699/000119312520040291/d890301dex102.htm" TargetMode="External"/><Relationship Id="rId166" Type="http://schemas.openxmlformats.org/officeDocument/2006/relationships/hyperlink" Target="http://www.sec.gov/Archives/edgar/data/0001092699/000156459020020182/spsc-ex103_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2022-02-22T16:05:01Z</dcterms:created>
  <dcterms:modified xsi:type="dcterms:W3CDTF">2022-02-22T16:05:01Z</dcterms:modified>
</cp:coreProperties>
</file>