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8" w:lineRule="exact"/>
        <w:rPr>
          <w:sz w:val="24"/>
          <w:szCs w:val="24"/>
          <w:color w:val="auto"/>
        </w:rPr>
      </w:pPr>
    </w:p>
    <w:p>
      <w:pPr>
        <w:ind w:left="520" w:right="240" w:hanging="494"/>
        <w:spacing w:after="0" w:line="256" w:lineRule="auto"/>
        <w:tabs>
          <w:tab w:leader="none" w:pos="5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08" w:lineRule="exact"/>
        <w:rPr>
          <w:sz w:val="24"/>
          <w:szCs w:val="24"/>
          <w:color w:val="auto"/>
        </w:rPr>
      </w:pPr>
    </w:p>
    <w:p>
      <w:pPr>
        <w:ind w:left="480" w:right="240" w:hanging="454"/>
        <w:spacing w:after="0" w:line="256" w:lineRule="auto"/>
        <w:tabs>
          <w:tab w:leader="none" w:pos="4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7"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001-34702</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3168015</wp:posOffset>
            </wp:positionH>
            <wp:positionV relativeFrom="paragraph">
              <wp:posOffset>39370</wp:posOffset>
            </wp:positionV>
            <wp:extent cx="81407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407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jc w:val="center"/>
              <w:ind w:left="2723"/>
              <w:spacing w:after="0"/>
              <w:rPr>
                <w:sz w:val="20"/>
                <w:szCs w:val="20"/>
                <w:color w:val="auto"/>
              </w:rPr>
            </w:pPr>
            <w:r>
              <w:rPr>
                <w:rFonts w:ascii="Arial" w:cs="Arial" w:eastAsia="Arial" w:hAnsi="Arial"/>
                <w:sz w:val="18"/>
                <w:szCs w:val="18"/>
                <w:b w:val="1"/>
                <w:bCs w:val="1"/>
                <w:color w:val="auto"/>
                <w:w w:val="91"/>
              </w:rPr>
              <w:t>Delaware</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960" w:type="dxa"/>
            <w:vAlign w:val="bottom"/>
          </w:tcPr>
          <w:p>
            <w:pPr>
              <w:jc w:val="center"/>
              <w:ind w:right="2024"/>
              <w:spacing w:after="0"/>
              <w:rPr>
                <w:sz w:val="20"/>
                <w:szCs w:val="20"/>
                <w:color w:val="auto"/>
              </w:rPr>
            </w:pPr>
            <w:r>
              <w:rPr>
                <w:rFonts w:ascii="Arial" w:cs="Arial" w:eastAsia="Arial" w:hAnsi="Arial"/>
                <w:sz w:val="18"/>
                <w:szCs w:val="18"/>
                <w:b w:val="1"/>
                <w:bCs w:val="1"/>
                <w:color w:val="auto"/>
                <w:w w:val="89"/>
              </w:rPr>
              <w:t>41-2015127</w:t>
            </w:r>
          </w:p>
        </w:tc>
      </w:tr>
      <w:tr>
        <w:trPr>
          <w:trHeight w:val="211"/>
        </w:trPr>
        <w:tc>
          <w:tcPr>
            <w:tcW w:w="7280" w:type="dxa"/>
            <w:vAlign w:val="bottom"/>
            <w:gridSpan w:val="6"/>
          </w:tcPr>
          <w:p>
            <w:pPr>
              <w:jc w:val="center"/>
              <w:ind w:right="720"/>
              <w:spacing w:after="0"/>
              <w:rPr>
                <w:sz w:val="20"/>
                <w:szCs w:val="20"/>
                <w:color w:val="auto"/>
              </w:rPr>
            </w:pPr>
            <w:r>
              <w:rPr>
                <w:rFonts w:ascii="Arial" w:cs="Arial" w:eastAsia="Arial" w:hAnsi="Arial"/>
                <w:sz w:val="14"/>
                <w:szCs w:val="14"/>
                <w:b w:val="1"/>
                <w:bCs w:val="1"/>
                <w:i w:val="1"/>
                <w:iCs w:val="1"/>
                <w:color w:val="auto"/>
                <w:w w:val="89"/>
              </w:rPr>
              <w:t>(State or other jurisdiction of</w:t>
            </w:r>
          </w:p>
        </w:tc>
        <w:tc>
          <w:tcPr>
            <w:tcW w:w="3960" w:type="dxa"/>
            <w:vAlign w:val="bottom"/>
          </w:tcPr>
          <w:p>
            <w:pPr>
              <w:jc w:val="center"/>
              <w:ind w:right="2044"/>
              <w:spacing w:after="0"/>
              <w:rPr>
                <w:sz w:val="20"/>
                <w:szCs w:val="20"/>
                <w:color w:val="auto"/>
              </w:rPr>
            </w:pPr>
            <w:r>
              <w:rPr>
                <w:rFonts w:ascii="Arial" w:cs="Arial" w:eastAsia="Arial" w:hAnsi="Arial"/>
                <w:sz w:val="14"/>
                <w:szCs w:val="14"/>
                <w:b w:val="1"/>
                <w:bCs w:val="1"/>
                <w:i w:val="1"/>
                <w:iCs w:val="1"/>
                <w:color w:val="auto"/>
                <w:w w:val="93"/>
              </w:rPr>
              <w:t>(I.R.S. Employer</w:t>
            </w:r>
          </w:p>
        </w:tc>
      </w:tr>
      <w:tr>
        <w:trPr>
          <w:trHeight w:val="182"/>
        </w:trPr>
        <w:tc>
          <w:tcPr>
            <w:tcW w:w="7280" w:type="dxa"/>
            <w:vAlign w:val="bottom"/>
            <w:gridSpan w:val="6"/>
          </w:tcPr>
          <w:p>
            <w:pPr>
              <w:jc w:val="center"/>
              <w:ind w:right="740"/>
              <w:spacing w:after="0"/>
              <w:rPr>
                <w:sz w:val="20"/>
                <w:szCs w:val="20"/>
                <w:color w:val="auto"/>
              </w:rPr>
            </w:pPr>
            <w:r>
              <w:rPr>
                <w:rFonts w:ascii="Arial" w:cs="Arial" w:eastAsia="Arial" w:hAnsi="Arial"/>
                <w:sz w:val="14"/>
                <w:szCs w:val="14"/>
                <w:b w:val="1"/>
                <w:bCs w:val="1"/>
                <w:i w:val="1"/>
                <w:iCs w:val="1"/>
                <w:color w:val="auto"/>
                <w:w w:val="91"/>
              </w:rPr>
              <w:t>incorporation or organization)</w:t>
            </w:r>
          </w:p>
        </w:tc>
        <w:tc>
          <w:tcPr>
            <w:tcW w:w="3960" w:type="dxa"/>
            <w:vAlign w:val="bottom"/>
          </w:tcPr>
          <w:p>
            <w:pPr>
              <w:jc w:val="center"/>
              <w:ind w:right="2024"/>
              <w:spacing w:after="0"/>
              <w:rPr>
                <w:sz w:val="20"/>
                <w:szCs w:val="20"/>
                <w:color w:val="auto"/>
              </w:rPr>
            </w:pPr>
            <w:r>
              <w:rPr>
                <w:rFonts w:ascii="Arial" w:cs="Arial" w:eastAsia="Arial" w:hAnsi="Arial"/>
                <w:sz w:val="14"/>
                <w:szCs w:val="14"/>
                <w:b w:val="1"/>
                <w:bCs w:val="1"/>
                <w:i w:val="1"/>
                <w:iCs w:val="1"/>
                <w:color w:val="auto"/>
                <w:w w:val="92"/>
              </w:rPr>
              <w:t>Identification No.)</w:t>
            </w:r>
          </w:p>
        </w:tc>
      </w:tr>
      <w:tr>
        <w:trPr>
          <w:trHeight w:val="371"/>
        </w:trPr>
        <w:tc>
          <w:tcPr>
            <w:tcW w:w="1124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333 South Seventh Street, Suite 1000, Minneapolis, MN 55402</w:t>
            </w:r>
          </w:p>
        </w:tc>
      </w:tr>
      <w:tr>
        <w:trPr>
          <w:trHeight w:val="182"/>
        </w:trPr>
        <w:tc>
          <w:tcPr>
            <w:tcW w:w="3760" w:type="dxa"/>
            <w:vAlign w:val="bottom"/>
          </w:tcPr>
          <w:p>
            <w:pPr>
              <w:spacing w:after="0"/>
              <w:rPr>
                <w:sz w:val="15"/>
                <w:szCs w:val="15"/>
                <w:color w:val="auto"/>
              </w:rPr>
            </w:pPr>
          </w:p>
        </w:tc>
        <w:tc>
          <w:tcPr>
            <w:tcW w:w="7480" w:type="dxa"/>
            <w:vAlign w:val="bottom"/>
            <w:gridSpan w:val="6"/>
          </w:tcPr>
          <w:p>
            <w:pPr>
              <w:jc w:val="center"/>
              <w:ind w:right="3684"/>
              <w:spacing w:after="0"/>
              <w:rPr>
                <w:sz w:val="20"/>
                <w:szCs w:val="20"/>
                <w:color w:val="auto"/>
              </w:rPr>
            </w:pPr>
            <w:r>
              <w:rPr>
                <w:rFonts w:ascii="Arial" w:cs="Arial" w:eastAsia="Arial" w:hAnsi="Arial"/>
                <w:sz w:val="14"/>
                <w:szCs w:val="14"/>
                <w:b w:val="1"/>
                <w:bCs w:val="1"/>
                <w:i w:val="1"/>
                <w:iCs w:val="1"/>
                <w:color w:val="auto"/>
                <w:w w:val="89"/>
              </w:rPr>
              <w:t>(Address of principal executive offices, including Zip Code)</w:t>
            </w:r>
          </w:p>
        </w:tc>
      </w:tr>
      <w:tr>
        <w:trPr>
          <w:trHeight w:val="358"/>
        </w:trPr>
        <w:tc>
          <w:tcPr>
            <w:tcW w:w="3760" w:type="dxa"/>
            <w:vAlign w:val="bottom"/>
          </w:tcPr>
          <w:p>
            <w:pPr>
              <w:spacing w:after="0"/>
              <w:rPr>
                <w:sz w:val="24"/>
                <w:szCs w:val="24"/>
                <w:color w:val="auto"/>
              </w:rPr>
            </w:pPr>
          </w:p>
        </w:tc>
        <w:tc>
          <w:tcPr>
            <w:tcW w:w="2880" w:type="dxa"/>
            <w:vAlign w:val="bottom"/>
            <w:gridSpan w:val="3"/>
          </w:tcPr>
          <w:p>
            <w:pPr>
              <w:jc w:val="center"/>
              <w:ind w:left="762"/>
              <w:spacing w:after="0"/>
              <w:rPr>
                <w:sz w:val="20"/>
                <w:szCs w:val="20"/>
                <w:color w:val="auto"/>
              </w:rPr>
            </w:pPr>
            <w:r>
              <w:rPr>
                <w:rFonts w:ascii="Arial" w:cs="Arial" w:eastAsia="Arial" w:hAnsi="Arial"/>
                <w:sz w:val="18"/>
                <w:szCs w:val="18"/>
                <w:b w:val="1"/>
                <w:bCs w:val="1"/>
                <w:color w:val="auto"/>
                <w:w w:val="90"/>
              </w:rPr>
              <w:t>(612) 435-9400</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82"/>
        </w:trPr>
        <w:tc>
          <w:tcPr>
            <w:tcW w:w="3760" w:type="dxa"/>
            <w:vAlign w:val="bottom"/>
          </w:tcPr>
          <w:p>
            <w:pPr>
              <w:spacing w:after="0"/>
              <w:rPr>
                <w:sz w:val="15"/>
                <w:szCs w:val="15"/>
                <w:color w:val="auto"/>
              </w:rPr>
            </w:pPr>
          </w:p>
        </w:tc>
        <w:tc>
          <w:tcPr>
            <w:tcW w:w="3520" w:type="dxa"/>
            <w:vAlign w:val="bottom"/>
            <w:gridSpan w:val="5"/>
          </w:tcPr>
          <w:p>
            <w:pPr>
              <w:jc w:val="center"/>
              <w:ind w:left="122"/>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3960" w:type="dxa"/>
            <w:vAlign w:val="bottom"/>
          </w:tcPr>
          <w:p>
            <w:pPr>
              <w:spacing w:after="0"/>
              <w:rPr>
                <w:sz w:val="15"/>
                <w:szCs w:val="15"/>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83"/>
        </w:trPr>
        <w:tc>
          <w:tcPr>
            <w:tcW w:w="3760" w:type="dxa"/>
            <w:vAlign w:val="bottom"/>
          </w:tcPr>
          <w:p>
            <w:pPr>
              <w:jc w:val="center"/>
              <w:ind w:left="683"/>
              <w:spacing w:after="0"/>
              <w:rPr>
                <w:sz w:val="20"/>
                <w:szCs w:val="20"/>
                <w:color w:val="auto"/>
              </w:rPr>
            </w:pPr>
            <w:r>
              <w:rPr>
                <w:rFonts w:ascii="Arial" w:cs="Arial" w:eastAsia="Arial" w:hAnsi="Arial"/>
                <w:sz w:val="14"/>
                <w:szCs w:val="14"/>
                <w:b w:val="1"/>
                <w:bCs w:val="1"/>
                <w:color w:val="auto"/>
                <w:w w:val="89"/>
              </w:rPr>
              <w:t>Title of each class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Trading Symbol</w:t>
            </w:r>
          </w:p>
        </w:tc>
        <w:tc>
          <w:tcPr>
            <w:tcW w:w="3960" w:type="dxa"/>
            <w:vAlign w:val="bottom"/>
          </w:tcPr>
          <w:p>
            <w:pPr>
              <w:jc w:val="center"/>
              <w:ind w:right="484"/>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39"/>
        </w:trPr>
        <w:tc>
          <w:tcPr>
            <w:tcW w:w="37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r>
      <w:tr>
        <w:trPr>
          <w:trHeight w:val="184"/>
        </w:trPr>
        <w:tc>
          <w:tcPr>
            <w:tcW w:w="3760" w:type="dxa"/>
            <w:vAlign w:val="bottom"/>
          </w:tcPr>
          <w:p>
            <w:pPr>
              <w:jc w:val="center"/>
              <w:ind w:left="663"/>
              <w:spacing w:after="0"/>
              <w:rPr>
                <w:sz w:val="20"/>
                <w:szCs w:val="20"/>
                <w:color w:val="auto"/>
              </w:rPr>
            </w:pPr>
            <w:r>
              <w:rPr>
                <w:rFonts w:ascii="Arial" w:cs="Arial" w:eastAsia="Arial" w:hAnsi="Arial"/>
                <w:sz w:val="14"/>
                <w:szCs w:val="14"/>
                <w:color w:val="auto"/>
                <w:w w:val="92"/>
              </w:rPr>
              <w:t>Common Stock, par value $0.001 per share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center"/>
              <w:ind w:right="660"/>
              <w:spacing w:after="0"/>
              <w:rPr>
                <w:sz w:val="20"/>
                <w:szCs w:val="20"/>
                <w:color w:val="auto"/>
              </w:rPr>
            </w:pPr>
            <w:r>
              <w:rPr>
                <w:rFonts w:ascii="Arial" w:cs="Arial" w:eastAsia="Arial" w:hAnsi="Arial"/>
                <w:sz w:val="14"/>
                <w:szCs w:val="14"/>
                <w:color w:val="auto"/>
                <w:w w:val="89"/>
              </w:rPr>
              <w:t>SPSC</w:t>
            </w:r>
          </w:p>
        </w:tc>
        <w:tc>
          <w:tcPr>
            <w:tcW w:w="3960" w:type="dxa"/>
            <w:vAlign w:val="bottom"/>
          </w:tcPr>
          <w:p>
            <w:pPr>
              <w:jc w:val="center"/>
              <w:ind w:right="464"/>
              <w:spacing w:after="0"/>
              <w:rPr>
                <w:sz w:val="20"/>
                <w:szCs w:val="20"/>
                <w:color w:val="auto"/>
              </w:rPr>
            </w:pPr>
            <w:r>
              <w:rPr>
                <w:rFonts w:ascii="Arial" w:cs="Arial" w:eastAsia="Arial" w:hAnsi="Arial"/>
                <w:sz w:val="14"/>
                <w:szCs w:val="14"/>
                <w:color w:val="auto"/>
                <w:w w:val="94"/>
              </w:rPr>
              <w:t>The Nasdaq Stock Market LLC (Nasdaq Global Market)</w:t>
            </w:r>
          </w:p>
        </w:tc>
      </w:tr>
    </w:tbl>
    <w:p>
      <w:pPr>
        <w:spacing w:after="0" w:line="178" w:lineRule="exact"/>
        <w:rPr>
          <w:sz w:val="24"/>
          <w:szCs w:val="24"/>
          <w:color w:val="auto"/>
        </w:rPr>
      </w:pPr>
    </w:p>
    <w:p>
      <w:pPr>
        <w:jc w:val="both"/>
        <w:spacing w:after="0" w:line="269"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0" w:lineRule="exact"/>
        <w:rPr>
          <w:sz w:val="24"/>
          <w:szCs w:val="24"/>
          <w:color w:val="auto"/>
        </w:rPr>
      </w:pPr>
    </w:p>
    <w:p>
      <w:pPr>
        <w:ind w:right="400"/>
        <w:spacing w:after="0" w:line="31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4" w:lineRule="exact"/>
        <w:rPr>
          <w:sz w:val="24"/>
          <w:szCs w:val="24"/>
          <w:color w:val="auto"/>
        </w:rPr>
      </w:pPr>
    </w:p>
    <w:p>
      <w:pPr>
        <w:ind w:right="12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20" w:type="dxa"/>
            <w:vAlign w:val="bottom"/>
          </w:tcPr>
          <w:p>
            <w:pPr>
              <w:ind w:left="1500"/>
              <w:spacing w:after="0"/>
              <w:rPr>
                <w:sz w:val="20"/>
                <w:szCs w:val="20"/>
                <w:color w:val="auto"/>
              </w:rPr>
            </w:pPr>
            <w:r>
              <w:rPr>
                <w:rFonts w:ascii="Arial" w:cs="Arial" w:eastAsia="Arial" w:hAnsi="Arial"/>
                <w:sz w:val="16"/>
                <w:szCs w:val="16"/>
                <w:color w:val="auto"/>
              </w:rPr>
              <w:t>x</w:t>
            </w:r>
          </w:p>
        </w:tc>
        <w:tc>
          <w:tcPr>
            <w:tcW w:w="4160" w:type="dxa"/>
            <w:vAlign w:val="bottom"/>
          </w:tcPr>
          <w:p>
            <w:pPr>
              <w:ind w:left="520"/>
              <w:spacing w:after="0"/>
              <w:rPr>
                <w:sz w:val="20"/>
                <w:szCs w:val="20"/>
                <w:color w:val="auto"/>
              </w:rPr>
            </w:pPr>
            <w:r>
              <w:rPr>
                <w:rFonts w:ascii="Arial" w:cs="Arial" w:eastAsia="Arial" w:hAnsi="Arial"/>
                <w:sz w:val="16"/>
                <w:szCs w:val="16"/>
                <w:color w:val="auto"/>
              </w:rPr>
              <w:t>Accelerated filer</w:t>
            </w:r>
          </w:p>
        </w:tc>
        <w:tc>
          <w:tcPr>
            <w:tcW w:w="1960" w:type="dxa"/>
            <w:vAlign w:val="bottom"/>
          </w:tcPr>
          <w:p>
            <w:pPr>
              <w:ind w:left="1880"/>
              <w:spacing w:after="0"/>
              <w:rPr>
                <w:sz w:val="20"/>
                <w:szCs w:val="20"/>
                <w:color w:val="auto"/>
              </w:rPr>
            </w:pPr>
            <w:r>
              <w:rPr>
                <w:rFonts w:ascii="Arial" w:cs="Arial" w:eastAsia="Arial" w:hAnsi="Arial"/>
                <w:sz w:val="15"/>
                <w:szCs w:val="15"/>
                <w:color w:val="auto"/>
                <w:w w:val="71"/>
              </w:rPr>
              <w:t>o</w:t>
            </w:r>
          </w:p>
        </w:tc>
      </w:tr>
      <w:tr>
        <w:trPr>
          <w:trHeight w:val="270"/>
        </w:trPr>
        <w:tc>
          <w:tcPr>
            <w:tcW w:w="2960" w:type="dxa"/>
            <w:vAlign w:val="bottom"/>
          </w:tcPr>
          <w:p>
            <w:pPr>
              <w:spacing w:after="0"/>
              <w:rPr>
                <w:sz w:val="20"/>
                <w:szCs w:val="20"/>
                <w:color w:val="auto"/>
              </w:rPr>
            </w:pPr>
            <w:r>
              <w:rPr>
                <w:rFonts w:ascii="Arial" w:cs="Arial" w:eastAsia="Arial" w:hAnsi="Arial"/>
                <w:sz w:val="16"/>
                <w:szCs w:val="16"/>
                <w:color w:val="auto"/>
              </w:rPr>
              <w:t>Non-accelerated filer</w:t>
            </w:r>
          </w:p>
        </w:tc>
        <w:tc>
          <w:tcPr>
            <w:tcW w:w="2120" w:type="dxa"/>
            <w:vAlign w:val="bottom"/>
          </w:tcPr>
          <w:p>
            <w:pPr>
              <w:ind w:left="1500"/>
              <w:spacing w:after="0"/>
              <w:rPr>
                <w:sz w:val="20"/>
                <w:szCs w:val="20"/>
                <w:color w:val="auto"/>
              </w:rPr>
            </w:pPr>
            <w:r>
              <w:rPr>
                <w:rFonts w:ascii="Arial" w:cs="Arial" w:eastAsia="Arial" w:hAnsi="Arial"/>
                <w:sz w:val="16"/>
                <w:szCs w:val="16"/>
                <w:color w:val="auto"/>
              </w:rPr>
              <w:t>o</w:t>
            </w:r>
          </w:p>
        </w:tc>
        <w:tc>
          <w:tcPr>
            <w:tcW w:w="4160" w:type="dxa"/>
            <w:vAlign w:val="bottom"/>
          </w:tcPr>
          <w:p>
            <w:pPr>
              <w:ind w:left="520"/>
              <w:spacing w:after="0"/>
              <w:rPr>
                <w:sz w:val="20"/>
                <w:szCs w:val="20"/>
                <w:color w:val="auto"/>
              </w:rPr>
            </w:pPr>
            <w:r>
              <w:rPr>
                <w:rFonts w:ascii="Arial" w:cs="Arial" w:eastAsia="Arial" w:hAnsi="Arial"/>
                <w:sz w:val="16"/>
                <w:szCs w:val="16"/>
                <w:color w:val="auto"/>
              </w:rPr>
              <w:t>Smaller reporting company</w:t>
            </w:r>
          </w:p>
        </w:tc>
        <w:tc>
          <w:tcPr>
            <w:tcW w:w="1960" w:type="dxa"/>
            <w:vAlign w:val="bottom"/>
          </w:tcPr>
          <w:p>
            <w:pPr>
              <w:ind w:left="1880"/>
              <w:spacing w:after="0"/>
              <w:rPr>
                <w:sz w:val="20"/>
                <w:szCs w:val="20"/>
                <w:color w:val="auto"/>
              </w:rPr>
            </w:pPr>
            <w:r>
              <w:rPr>
                <w:rFonts w:ascii="Arial" w:cs="Arial" w:eastAsia="Arial" w:hAnsi="Arial"/>
                <w:sz w:val="15"/>
                <w:szCs w:val="15"/>
                <w:color w:val="auto"/>
                <w:w w:val="71"/>
              </w:rPr>
              <w:t>o</w:t>
            </w:r>
          </w:p>
        </w:tc>
      </w:tr>
      <w:tr>
        <w:trPr>
          <w:trHeight w:val="270"/>
        </w:trPr>
        <w:tc>
          <w:tcPr>
            <w:tcW w:w="29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4160" w:type="dxa"/>
            <w:vAlign w:val="bottom"/>
          </w:tcPr>
          <w:p>
            <w:pPr>
              <w:ind w:left="520"/>
              <w:spacing w:after="0"/>
              <w:rPr>
                <w:sz w:val="20"/>
                <w:szCs w:val="20"/>
                <w:color w:val="auto"/>
              </w:rPr>
            </w:pPr>
            <w:r>
              <w:rPr>
                <w:rFonts w:ascii="Arial" w:cs="Arial" w:eastAsia="Arial" w:hAnsi="Arial"/>
                <w:sz w:val="16"/>
                <w:szCs w:val="16"/>
                <w:color w:val="auto"/>
              </w:rPr>
              <w:t>Emerging growth company</w:t>
            </w:r>
          </w:p>
        </w:tc>
        <w:tc>
          <w:tcPr>
            <w:tcW w:w="1960" w:type="dxa"/>
            <w:vAlign w:val="bottom"/>
          </w:tcPr>
          <w:p>
            <w:pPr>
              <w:ind w:left="1880"/>
              <w:spacing w:after="0"/>
              <w:rPr>
                <w:sz w:val="20"/>
                <w:szCs w:val="20"/>
                <w:color w:val="auto"/>
              </w:rPr>
            </w:pPr>
            <w:r>
              <w:rPr>
                <w:rFonts w:ascii="Arial" w:cs="Arial" w:eastAsia="Arial" w:hAnsi="Arial"/>
                <w:sz w:val="15"/>
                <w:szCs w:val="15"/>
                <w:color w:val="auto"/>
                <w:w w:val="71"/>
              </w:rPr>
              <w:t>o</w:t>
            </w:r>
          </w:p>
        </w:tc>
      </w:tr>
    </w:tbl>
    <w:p>
      <w:pPr>
        <w:spacing w:after="0" w:line="91"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par value $0.001 per share, outstanding at October 20, 2022 was 36,041,714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425450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 w:name="page2"/>
    <w:bookmarkEnd w:id="1"/>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TABLE OF CONTENTS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gridSpan w:val="9"/>
            <w:vMerge w:val="restart"/>
          </w:tcPr>
          <w:p>
            <w:pPr>
              <w:spacing w:after="0"/>
              <w:rPr>
                <w:sz w:val="20"/>
                <w:szCs w:val="20"/>
                <w:color w:val="auto"/>
              </w:rPr>
            </w:pPr>
            <w:r>
              <w:rPr>
                <w:rFonts w:ascii="Arial" w:cs="Arial" w:eastAsia="Arial" w:hAnsi="Arial"/>
                <w:sz w:val="18"/>
                <w:szCs w:val="18"/>
                <w:b w:val="1"/>
                <w:bCs w:val="1"/>
                <w:color w:val="0000FF"/>
              </w:rPr>
              <w:t>PART I. FINANCIAL INFORMATION</w:t>
            </w:r>
          </w:p>
        </w:tc>
        <w:tc>
          <w:tcPr>
            <w:tcW w:w="4620" w:type="dxa"/>
            <w:vAlign w:val="bottom"/>
            <w:gridSpan w:val="10"/>
            <w:vMerge w:val="restart"/>
          </w:tcPr>
          <w:p>
            <w:pPr>
              <w:spacing w:after="0"/>
              <w:rPr>
                <w:sz w:val="20"/>
                <w:szCs w:val="20"/>
                <w:color w:val="auto"/>
              </w:rPr>
            </w:pPr>
          </w:p>
        </w:tc>
        <w:tc>
          <w:tcPr>
            <w:tcW w:w="35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4"/>
        </w:trPr>
        <w:tc>
          <w:tcPr>
            <w:tcW w:w="3080" w:type="dxa"/>
            <w:vAlign w:val="bottom"/>
            <w:tcBorders>
              <w:bottom w:val="single" w:sz="8" w:color="0000FF"/>
            </w:tcBorders>
            <w:gridSpan w:val="9"/>
            <w:vMerge w:val="continue"/>
          </w:tcPr>
          <w:p>
            <w:pPr>
              <w:spacing w:after="0"/>
              <w:rPr>
                <w:sz w:val="16"/>
                <w:szCs w:val="16"/>
                <w:color w:val="auto"/>
              </w:rPr>
            </w:pPr>
          </w:p>
        </w:tc>
        <w:tc>
          <w:tcPr>
            <w:tcW w:w="4620" w:type="dxa"/>
            <w:vAlign w:val="bottom"/>
            <w:gridSpan w:val="10"/>
            <w:vMerge w:val="continue"/>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9"/>
              </w:rPr>
              <w:t>Financial Statements (unaudited)</w:t>
            </w:r>
          </w:p>
        </w:tc>
        <w:tc>
          <w:tcPr>
            <w:tcW w:w="4080" w:type="dxa"/>
            <w:vAlign w:val="bottom"/>
            <w:gridSpan w:val="8"/>
          </w:tcPr>
          <w:p>
            <w:pPr>
              <w:spacing w:after="0"/>
              <w:rPr>
                <w:sz w:val="22"/>
                <w:szCs w:val="22"/>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60" w:type="dxa"/>
            <w:vAlign w:val="bottom"/>
            <w:gridSpan w:val="17"/>
          </w:tcPr>
          <w:p>
            <w:pPr>
              <w:spacing w:after="0"/>
              <w:rPr>
                <w:sz w:val="20"/>
                <w:szCs w:val="20"/>
                <w:color w:val="auto"/>
              </w:rPr>
            </w:pPr>
            <w:r>
              <w:rPr>
                <w:rFonts w:ascii="Arial" w:cs="Arial" w:eastAsia="Arial" w:hAnsi="Arial"/>
                <w:sz w:val="18"/>
                <w:szCs w:val="18"/>
                <w:color w:val="0000FF"/>
              </w:rPr>
              <w:t>Condensed Consolidated Balance Sheets</w:t>
            </w:r>
          </w:p>
        </w:tc>
        <w:tc>
          <w:tcPr>
            <w:tcW w:w="3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5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8"/>
              </w:rPr>
              <w:t>Condensed Consolidated Statements of Comprehensive Income</w:t>
            </w:r>
          </w:p>
        </w:tc>
        <w:tc>
          <w:tcPr>
            <w:tcW w:w="1880" w:type="dxa"/>
            <w:vAlign w:val="bottom"/>
          </w:tcPr>
          <w:p>
            <w:pPr>
              <w:spacing w:after="0"/>
              <w:rPr>
                <w:sz w:val="22"/>
                <w:szCs w:val="22"/>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6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3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38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Condensed Consolidated Statements of Cash Flows</w:t>
            </w:r>
          </w:p>
        </w:tc>
        <w:tc>
          <w:tcPr>
            <w:tcW w:w="2080" w:type="dxa"/>
            <w:vAlign w:val="bottom"/>
            <w:gridSpan w:val="2"/>
          </w:tcPr>
          <w:p>
            <w:pPr>
              <w:spacing w:after="0"/>
              <w:rPr>
                <w:sz w:val="22"/>
                <w:szCs w:val="22"/>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60" w:type="dxa"/>
            <w:vAlign w:val="bottom"/>
            <w:gridSpan w:val="17"/>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35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5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100" w:type="dxa"/>
            <w:vAlign w:val="bottom"/>
            <w:gridSpan w:val="3"/>
          </w:tcPr>
          <w:p>
            <w:pPr>
              <w:spacing w:after="0"/>
              <w:rPr>
                <w:sz w:val="22"/>
                <w:szCs w:val="22"/>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6460" w:type="dxa"/>
            <w:vAlign w:val="bottom"/>
            <w:gridSpan w:val="17"/>
          </w:tcPr>
          <w:p>
            <w:pPr>
              <w:spacing w:after="0"/>
              <w:rPr>
                <w:sz w:val="20"/>
                <w:szCs w:val="20"/>
                <w:color w:val="auto"/>
              </w:rPr>
            </w:pPr>
            <w:r>
              <w:rPr>
                <w:rFonts w:ascii="Arial" w:cs="Arial" w:eastAsia="Arial" w:hAnsi="Arial"/>
                <w:sz w:val="18"/>
                <w:szCs w:val="18"/>
                <w:color w:val="0000FF"/>
              </w:rPr>
              <w:t>Controls and Procedures</w:t>
            </w:r>
          </w:p>
        </w:tc>
        <w:tc>
          <w:tcPr>
            <w:tcW w:w="35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7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rPr>
              <w:t>PART II. OTHER INFORMATION</w:t>
            </w:r>
          </w:p>
        </w:tc>
        <w:tc>
          <w:tcPr>
            <w:tcW w:w="4920" w:type="dxa"/>
            <w:vAlign w:val="bottom"/>
            <w:gridSpan w:val="12"/>
          </w:tcPr>
          <w:p>
            <w:pPr>
              <w:spacing w:after="0"/>
              <w:rPr>
                <w:sz w:val="22"/>
                <w:szCs w:val="22"/>
                <w:color w:val="auto"/>
              </w:rPr>
            </w:pPr>
          </w:p>
        </w:tc>
        <w:tc>
          <w:tcPr>
            <w:tcW w:w="3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6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3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7"/>
              </w:rPr>
              <w:t>Risk Factors</w:t>
            </w:r>
          </w:p>
        </w:tc>
        <w:tc>
          <w:tcPr>
            <w:tcW w:w="420" w:type="dxa"/>
            <w:vAlign w:val="bottom"/>
            <w:tcBorders>
              <w:top w:val="single" w:sz="8" w:color="0000FF"/>
            </w:tcBorders>
            <w:gridSpan w:val="2"/>
          </w:tcPr>
          <w:p>
            <w:pPr>
              <w:spacing w:after="0"/>
              <w:rPr>
                <w:sz w:val="22"/>
                <w:szCs w:val="22"/>
                <w:color w:val="auto"/>
              </w:rPr>
            </w:pPr>
          </w:p>
        </w:tc>
        <w:tc>
          <w:tcPr>
            <w:tcW w:w="5140" w:type="dxa"/>
            <w:vAlign w:val="bottom"/>
            <w:gridSpan w:val="13"/>
          </w:tcPr>
          <w:p>
            <w:pPr>
              <w:spacing w:after="0"/>
              <w:rPr>
                <w:sz w:val="22"/>
                <w:szCs w:val="22"/>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3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0"/>
              </w:rPr>
              <w:t>Defaults Upon Senior Securities</w:t>
            </w:r>
          </w:p>
        </w:tc>
        <w:tc>
          <w:tcPr>
            <w:tcW w:w="2020" w:type="dxa"/>
            <w:vAlign w:val="bottom"/>
            <w:tcBorders>
              <w:top w:val="single" w:sz="8" w:color="0000FF"/>
            </w:tcBorders>
            <w:gridSpan w:val="5"/>
          </w:tcPr>
          <w:p>
            <w:pPr>
              <w:spacing w:after="0"/>
              <w:rPr>
                <w:sz w:val="22"/>
                <w:szCs w:val="22"/>
                <w:color w:val="auto"/>
              </w:rPr>
            </w:pPr>
          </w:p>
        </w:tc>
        <w:tc>
          <w:tcPr>
            <w:tcW w:w="2120" w:type="dxa"/>
            <w:vAlign w:val="bottom"/>
            <w:gridSpan w:val="4"/>
          </w:tcPr>
          <w:p>
            <w:pPr>
              <w:spacing w:after="0"/>
              <w:rPr>
                <w:sz w:val="22"/>
                <w:szCs w:val="22"/>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646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3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Other Information</w:t>
            </w:r>
          </w:p>
        </w:tc>
        <w:tc>
          <w:tcPr>
            <w:tcW w:w="4700" w:type="dxa"/>
            <w:vAlign w:val="bottom"/>
            <w:gridSpan w:val="11"/>
          </w:tcPr>
          <w:p>
            <w:pPr>
              <w:spacing w:after="0"/>
              <w:rPr>
                <w:sz w:val="22"/>
                <w:szCs w:val="22"/>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Exhibits</w:t>
            </w:r>
          </w:p>
        </w:tc>
        <w:tc>
          <w:tcPr>
            <w:tcW w:w="5160" w:type="dxa"/>
            <w:vAlign w:val="bottom"/>
            <w:gridSpan w:val="14"/>
          </w:tcPr>
          <w:p>
            <w:pPr>
              <w:spacing w:after="0"/>
              <w:rPr>
                <w:sz w:val="22"/>
                <w:szCs w:val="22"/>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b w:val="1"/>
                <w:bCs w:val="1"/>
                <w:color w:val="0000FF"/>
              </w:rPr>
              <w:t>SIGNATURES</w:t>
            </w:r>
          </w:p>
        </w:tc>
        <w:tc>
          <w:tcPr>
            <w:tcW w:w="60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Quarterly Report on Form 10-Q, the words “we,” “us,” “our,” the “Company,” “SPS,” and “SPS Commerce” refer to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262890</wp:posOffset>
            </wp:positionV>
            <wp:extent cx="325755" cy="300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40"/>
        <w:spacing w:after="0"/>
        <w:tabs>
          <w:tab w:leader="none" w:pos="5460" w:val="left"/>
          <w:tab w:leader="none" w:pos="83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CONDENSED CONSOLIDATED BALANCE SHEETS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shares)</w:t>
            </w:r>
          </w:p>
        </w:tc>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4720" w:type="dxa"/>
            <w:vAlign w:val="bottom"/>
            <w:tcBorders>
              <w:bottom w:val="single" w:sz="8" w:color="CCEEFF"/>
            </w:tcBorders>
            <w:vMerge w:val="continue"/>
          </w:tcPr>
          <w:p>
            <w:pPr>
              <w:spacing w:after="0"/>
              <w:rPr>
                <w:sz w:val="16"/>
                <w:szCs w:val="16"/>
                <w:color w:val="auto"/>
              </w:rPr>
            </w:pPr>
          </w:p>
        </w:tc>
        <w:tc>
          <w:tcPr>
            <w:tcW w:w="28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0" w:type="dxa"/>
            <w:vAlign w:val="bottom"/>
          </w:tcPr>
          <w:p>
            <w:pPr>
              <w:spacing w:after="0"/>
              <w:rPr>
                <w:sz w:val="15"/>
                <w:szCs w:val="15"/>
                <w:color w:val="auto"/>
              </w:rPr>
            </w:pPr>
          </w:p>
        </w:tc>
        <w:tc>
          <w:tcPr>
            <w:tcW w:w="4720" w:type="dxa"/>
            <w:vAlign w:val="bottom"/>
            <w:tcBorders>
              <w:bottom w:val="single" w:sz="8" w:color="CCEEFF"/>
            </w:tcBorders>
            <w:shd w:val="clear" w:color="auto" w:fill="CCEEFF"/>
          </w:tcPr>
          <w:p>
            <w:pPr>
              <w:ind w:left="3500"/>
              <w:spacing w:after="0"/>
              <w:rPr>
                <w:sz w:val="20"/>
                <w:szCs w:val="20"/>
                <w:color w:val="auto"/>
              </w:rPr>
            </w:pPr>
            <w:r>
              <w:rPr>
                <w:rFonts w:ascii="Arial" w:cs="Arial" w:eastAsia="Arial" w:hAnsi="Arial"/>
                <w:sz w:val="14"/>
                <w:szCs w:val="14"/>
                <w:b w:val="1"/>
                <w:bCs w:val="1"/>
                <w:color w:val="auto"/>
              </w:rPr>
              <w:t>ASSETS</w:t>
            </w:r>
          </w:p>
        </w:tc>
        <w:tc>
          <w:tcPr>
            <w:tcW w:w="28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center"/>
              <w:ind w:right="64"/>
              <w:spacing w:after="0"/>
              <w:rPr>
                <w:sz w:val="20"/>
                <w:szCs w:val="20"/>
                <w:color w:val="auto"/>
              </w:rPr>
            </w:pPr>
            <w:r>
              <w:rPr>
                <w:rFonts w:ascii="Arial" w:cs="Arial" w:eastAsia="Arial" w:hAnsi="Arial"/>
                <w:sz w:val="14"/>
                <w:szCs w:val="14"/>
                <w:color w:val="auto"/>
                <w:w w:val="95"/>
              </w:rPr>
              <w:t>(unaudited)</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5"/>
                <w:szCs w:val="15"/>
                <w:color w:val="auto"/>
              </w:rPr>
              <w:t>Current assets</w:t>
            </w:r>
          </w:p>
        </w:tc>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and cash equivalents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186,230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207,552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ind w:left="180"/>
              <w:spacing w:after="0"/>
              <w:rPr>
                <w:sz w:val="20"/>
                <w:szCs w:val="20"/>
                <w:color w:val="auto"/>
              </w:rPr>
            </w:pPr>
            <w:r>
              <w:rPr>
                <w:rFonts w:ascii="Arial" w:cs="Arial" w:eastAsia="Arial" w:hAnsi="Arial"/>
                <w:sz w:val="15"/>
                <w:szCs w:val="15"/>
                <w:color w:val="auto"/>
              </w:rPr>
              <w:t>Short-term investments</w:t>
            </w:r>
          </w:p>
        </w:tc>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50,928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49,758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Accounts receivable</w:t>
            </w:r>
          </w:p>
        </w:tc>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40,445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38,811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Allowance for credit losses</w:t>
            </w:r>
          </w:p>
        </w:tc>
        <w:tc>
          <w:tcPr>
            <w:tcW w:w="28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(3,658)</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47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Accounts receivable, net</w:t>
            </w:r>
          </w:p>
        </w:tc>
        <w:tc>
          <w:tcPr>
            <w:tcW w:w="2820" w:type="dxa"/>
            <w:vAlign w:val="bottom"/>
            <w:shd w:val="clear" w:color="auto" w:fill="CCEE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36,787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34,562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ind w:left="180"/>
              <w:spacing w:after="0"/>
              <w:rPr>
                <w:sz w:val="20"/>
                <w:szCs w:val="20"/>
                <w:color w:val="auto"/>
              </w:rPr>
            </w:pPr>
            <w:r>
              <w:rPr>
                <w:rFonts w:ascii="Arial" w:cs="Arial" w:eastAsia="Arial" w:hAnsi="Arial"/>
                <w:sz w:val="15"/>
                <w:szCs w:val="15"/>
                <w:color w:val="auto"/>
              </w:rPr>
              <w:t>Deferred costs</w:t>
            </w:r>
          </w:p>
        </w:tc>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50,082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44,529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assets</w:t>
            </w:r>
          </w:p>
        </w:tc>
        <w:tc>
          <w:tcPr>
            <w:tcW w:w="28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15,246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16,042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4720" w:type="dxa"/>
            <w:vAlign w:val="bottom"/>
          </w:tcPr>
          <w:p>
            <w:pPr>
              <w:ind w:left="500"/>
              <w:spacing w:after="0"/>
              <w:rPr>
                <w:sz w:val="20"/>
                <w:szCs w:val="20"/>
                <w:color w:val="auto"/>
              </w:rPr>
            </w:pPr>
            <w:r>
              <w:rPr>
                <w:rFonts w:ascii="Arial" w:cs="Arial" w:eastAsia="Arial" w:hAnsi="Arial"/>
                <w:sz w:val="15"/>
                <w:szCs w:val="15"/>
                <w:color w:val="auto"/>
              </w:rPr>
              <w:t>Total current assets</w:t>
            </w:r>
          </w:p>
        </w:tc>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339,273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352,443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31,901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5"/>
                <w:szCs w:val="15"/>
                <w:color w:val="auto"/>
              </w:rPr>
              <w:t>Operating lease right-of-use assets</w:t>
            </w:r>
          </w:p>
        </w:tc>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9,760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10,851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Goodwill</w:t>
            </w:r>
          </w:p>
        </w:tc>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165,908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143,663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5"/>
                <w:szCs w:val="15"/>
                <w:color w:val="auto"/>
              </w:rPr>
              <w:t>Intangible assets, net</w:t>
            </w:r>
          </w:p>
        </w:tc>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70,742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58,587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Other assets</w:t>
            </w:r>
          </w:p>
        </w:tc>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ind w:left="180"/>
              <w:spacing w:after="0"/>
              <w:rPr>
                <w:sz w:val="20"/>
                <w:szCs w:val="20"/>
                <w:color w:val="auto"/>
              </w:rPr>
            </w:pPr>
            <w:r>
              <w:rPr>
                <w:rFonts w:ascii="Arial" w:cs="Arial" w:eastAsia="Arial" w:hAnsi="Arial"/>
                <w:sz w:val="15"/>
                <w:szCs w:val="15"/>
                <w:color w:val="auto"/>
              </w:rPr>
              <w:t>Deferred costs, non-current</w:t>
            </w:r>
          </w:p>
        </w:tc>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16,474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15,191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Deferred income tax assets</w:t>
            </w:r>
          </w:p>
        </w:tc>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 assets, non-current</w:t>
            </w:r>
          </w:p>
        </w:tc>
        <w:tc>
          <w:tcPr>
            <w:tcW w:w="28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4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Total assets</w:t>
            </w:r>
          </w:p>
        </w:tc>
        <w:tc>
          <w:tcPr>
            <w:tcW w:w="28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637,090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615,846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8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20" w:type="dxa"/>
            <w:vAlign w:val="bottom"/>
          </w:tcPr>
          <w:p>
            <w:pPr>
              <w:spacing w:after="0"/>
              <w:rPr>
                <w:sz w:val="15"/>
                <w:szCs w:val="15"/>
                <w:color w:val="auto"/>
              </w:rPr>
            </w:pPr>
          </w:p>
        </w:tc>
        <w:tc>
          <w:tcPr>
            <w:tcW w:w="7540" w:type="dxa"/>
            <w:vAlign w:val="bottom"/>
            <w:gridSpan w:val="2"/>
          </w:tcPr>
          <w:p>
            <w:pPr>
              <w:ind w:left="2100"/>
              <w:spacing w:after="0"/>
              <w:rPr>
                <w:sz w:val="20"/>
                <w:szCs w:val="20"/>
                <w:color w:val="auto"/>
              </w:rPr>
            </w:pPr>
            <w:r>
              <w:rPr>
                <w:rFonts w:ascii="Arial" w:cs="Arial" w:eastAsia="Arial" w:hAnsi="Arial"/>
                <w:sz w:val="15"/>
                <w:szCs w:val="15"/>
                <w:b w:val="1"/>
                <w:bCs w:val="1"/>
                <w:color w:val="auto"/>
              </w:rPr>
              <w:t>LIABILITIES AND STOCKHOLDERS’ EQUITY</w:t>
            </w:r>
          </w:p>
        </w:tc>
        <w:tc>
          <w:tcPr>
            <w:tcW w:w="1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ind w:left="180"/>
              <w:spacing w:after="0"/>
              <w:rPr>
                <w:sz w:val="20"/>
                <w:szCs w:val="20"/>
                <w:color w:val="auto"/>
              </w:rPr>
            </w:pPr>
            <w:r>
              <w:rPr>
                <w:rFonts w:ascii="Arial" w:cs="Arial" w:eastAsia="Arial" w:hAnsi="Arial"/>
                <w:sz w:val="15"/>
                <w:szCs w:val="15"/>
                <w:color w:val="auto"/>
              </w:rPr>
              <w:t>Accounts payable</w:t>
            </w:r>
          </w:p>
        </w:tc>
        <w:tc>
          <w:tcPr>
            <w:tcW w:w="29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8,200</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8,330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Accrued compensation</w:t>
            </w:r>
          </w:p>
        </w:tc>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31,661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0" w:type="dxa"/>
            <w:vAlign w:val="bottom"/>
          </w:tcPr>
          <w:p>
            <w:pPr>
              <w:spacing w:after="0"/>
              <w:rPr>
                <w:sz w:val="17"/>
                <w:szCs w:val="17"/>
                <w:color w:val="auto"/>
              </w:rPr>
            </w:pPr>
          </w:p>
        </w:tc>
        <w:tc>
          <w:tcPr>
            <w:tcW w:w="4720" w:type="dxa"/>
            <w:vAlign w:val="bottom"/>
          </w:tcPr>
          <w:p>
            <w:pPr>
              <w:ind w:left="180"/>
              <w:spacing w:after="0"/>
              <w:rPr>
                <w:sz w:val="20"/>
                <w:szCs w:val="20"/>
                <w:color w:val="auto"/>
              </w:rPr>
            </w:pPr>
            <w:r>
              <w:rPr>
                <w:rFonts w:ascii="Arial" w:cs="Arial" w:eastAsia="Arial" w:hAnsi="Arial"/>
                <w:sz w:val="15"/>
                <w:szCs w:val="15"/>
                <w:color w:val="auto"/>
              </w:rPr>
              <w:t>Accrued expenses</w:t>
            </w:r>
          </w:p>
        </w:tc>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5,202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8,345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Deferred revenue</w:t>
            </w:r>
          </w:p>
        </w:tc>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58,949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50,428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0" w:type="dxa"/>
            <w:vAlign w:val="bottom"/>
          </w:tcPr>
          <w:p>
            <w:pPr>
              <w:spacing w:after="0"/>
              <w:rPr>
                <w:sz w:val="17"/>
                <w:szCs w:val="17"/>
                <w:color w:val="auto"/>
              </w:rPr>
            </w:pPr>
          </w:p>
        </w:tc>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Operating lease liabilities</w:t>
            </w:r>
          </w:p>
        </w:tc>
        <w:tc>
          <w:tcPr>
            <w:tcW w:w="28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4,336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4,108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47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current liabilities</w:t>
            </w:r>
          </w:p>
        </w:tc>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105,466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102,872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5"/>
                <w:szCs w:val="15"/>
                <w:color w:val="auto"/>
              </w:rPr>
              <w:t>Other liabilities</w:t>
            </w:r>
          </w:p>
        </w:tc>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Deferred revenue, non-current</w:t>
            </w:r>
          </w:p>
        </w:tc>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ind w:left="180"/>
              <w:spacing w:after="0"/>
              <w:rPr>
                <w:sz w:val="20"/>
                <w:szCs w:val="20"/>
                <w:color w:val="auto"/>
              </w:rPr>
            </w:pPr>
            <w:r>
              <w:rPr>
                <w:rFonts w:ascii="Arial" w:cs="Arial" w:eastAsia="Arial" w:hAnsi="Arial"/>
                <w:sz w:val="15"/>
                <w:szCs w:val="15"/>
                <w:color w:val="auto"/>
              </w:rPr>
              <w:t>Operating lease liabilities, non-current</w:t>
            </w:r>
          </w:p>
        </w:tc>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13,974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16,426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Deferred income tax liabilities</w:t>
            </w:r>
          </w:p>
        </w:tc>
        <w:tc>
          <w:tcPr>
            <w:tcW w:w="28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4,841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7,145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4720" w:type="dxa"/>
            <w:vAlign w:val="bottom"/>
            <w:tcBorders>
              <w:bottom w:val="single" w:sz="8" w:color="CCEEFF"/>
            </w:tcBorders>
          </w:tcPr>
          <w:p>
            <w:pPr>
              <w:ind w:left="500"/>
              <w:spacing w:after="0"/>
              <w:rPr>
                <w:sz w:val="20"/>
                <w:szCs w:val="20"/>
                <w:color w:val="auto"/>
              </w:rPr>
            </w:pPr>
            <w:r>
              <w:rPr>
                <w:rFonts w:ascii="Arial" w:cs="Arial" w:eastAsia="Arial" w:hAnsi="Arial"/>
                <w:sz w:val="15"/>
                <w:szCs w:val="15"/>
                <w:color w:val="auto"/>
              </w:rPr>
              <w:t>Total liabilities</w:t>
            </w:r>
          </w:p>
        </w:tc>
        <w:tc>
          <w:tcPr>
            <w:tcW w:w="28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129,427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131,587</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Commitments and contingencies</w:t>
            </w:r>
          </w:p>
        </w:tc>
        <w:tc>
          <w:tcPr>
            <w:tcW w:w="2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5"/>
                <w:szCs w:val="15"/>
                <w:color w:val="auto"/>
              </w:rPr>
              <w:t>Stockholders' equity</w:t>
            </w:r>
          </w:p>
        </w:tc>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768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Preferred stock, $0.001 par value; 5,000,000 shares authorized; 0 shares issued and outstanding</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7680" w:type="dxa"/>
            <w:vAlign w:val="bottom"/>
            <w:gridSpan w:val="3"/>
          </w:tcPr>
          <w:p>
            <w:pPr>
              <w:ind w:left="180"/>
              <w:spacing w:after="0" w:line="149" w:lineRule="exact"/>
              <w:rPr>
                <w:sz w:val="20"/>
                <w:szCs w:val="20"/>
                <w:color w:val="auto"/>
              </w:rPr>
            </w:pPr>
            <w:r>
              <w:rPr>
                <w:rFonts w:ascii="Arial" w:cs="Arial" w:eastAsia="Arial" w:hAnsi="Arial"/>
                <w:sz w:val="15"/>
                <w:szCs w:val="15"/>
                <w:color w:val="auto"/>
                <w:w w:val="98"/>
              </w:rPr>
              <w:t>Common stock, $0.001 par value; 110,000,000 shares authorized; 38,184,747 and 37,798,610 shares issued; and</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5"/>
                <w:szCs w:val="15"/>
                <w:color w:val="auto"/>
              </w:rPr>
              <w:t>36,037,964 and 36,009,257 shares outstanding, respectively</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7"/>
              </w:rPr>
              <w:t>Treasury Stock, at cost; 2,146,783 and 1,789,353 shares, respectively</w:t>
            </w:r>
          </w:p>
        </w:tc>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(128,377)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(85,677)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Pr>
          <w:p>
            <w:pPr>
              <w:ind w:left="180"/>
              <w:spacing w:after="0"/>
              <w:rPr>
                <w:sz w:val="20"/>
                <w:szCs w:val="20"/>
                <w:color w:val="auto"/>
              </w:rPr>
            </w:pPr>
            <w:r>
              <w:rPr>
                <w:rFonts w:ascii="Arial" w:cs="Arial" w:eastAsia="Arial" w:hAnsi="Arial"/>
                <w:sz w:val="15"/>
                <w:szCs w:val="15"/>
                <w:color w:val="auto"/>
              </w:rPr>
              <w:t>Additional paid-in capital</w:t>
            </w:r>
          </w:p>
        </w:tc>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463,356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433,258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Retained earnings</w:t>
            </w:r>
          </w:p>
        </w:tc>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177,306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138,087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Accumulated other comprehensive loss</w:t>
            </w:r>
          </w:p>
        </w:tc>
        <w:tc>
          <w:tcPr>
            <w:tcW w:w="28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(4,660)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7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stockholders’ equity</w:t>
            </w:r>
          </w:p>
        </w:tc>
        <w:tc>
          <w:tcPr>
            <w:tcW w:w="28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507,663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484,259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4720" w:type="dxa"/>
            <w:vAlign w:val="bottom"/>
          </w:tcPr>
          <w:p>
            <w:pPr>
              <w:ind w:left="660"/>
              <w:spacing w:after="0"/>
              <w:rPr>
                <w:sz w:val="20"/>
                <w:szCs w:val="20"/>
                <w:color w:val="auto"/>
              </w:rPr>
            </w:pPr>
            <w:r>
              <w:rPr>
                <w:rFonts w:ascii="Arial" w:cs="Arial" w:eastAsia="Arial" w:hAnsi="Arial"/>
                <w:sz w:val="15"/>
                <w:szCs w:val="15"/>
                <w:color w:val="auto"/>
              </w:rPr>
              <w:t>Total liabilities and stockholders’ equity</w:t>
            </w:r>
          </w:p>
        </w:tc>
        <w:tc>
          <w:tcPr>
            <w:tcW w:w="28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637,090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615,846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7"/>
        </w:trPr>
        <w:tc>
          <w:tcPr>
            <w:tcW w:w="220" w:type="dxa"/>
            <w:vAlign w:val="bottom"/>
          </w:tcPr>
          <w:p>
            <w:pPr>
              <w:spacing w:after="0"/>
              <w:rPr>
                <w:sz w:val="24"/>
                <w:szCs w:val="24"/>
                <w:color w:val="auto"/>
              </w:rPr>
            </w:pPr>
          </w:p>
        </w:tc>
        <w:tc>
          <w:tcPr>
            <w:tcW w:w="7680" w:type="dxa"/>
            <w:vAlign w:val="bottom"/>
            <w:gridSpan w:val="3"/>
          </w:tcPr>
          <w:p>
            <w:pPr>
              <w:ind w:left="3140"/>
              <w:spacing w:after="0"/>
              <w:rPr>
                <w:sz w:val="20"/>
                <w:szCs w:val="20"/>
                <w:color w:val="auto"/>
              </w:rPr>
            </w:pPr>
            <w:r>
              <w:rPr>
                <w:rFonts w:ascii="Arial" w:cs="Arial" w:eastAsia="Arial" w:hAnsi="Arial"/>
                <w:sz w:val="14"/>
                <w:szCs w:val="14"/>
                <w:color w:val="auto"/>
                <w:w w:val="90"/>
              </w:rPr>
              <w:t>See accompanying notes to these condensed consolidated financial statements.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4720" w:type="dxa"/>
            <w:vAlign w:val="bottom"/>
          </w:tcPr>
          <w:p>
            <w:pPr>
              <w:ind w:left="320"/>
              <w:spacing w:after="0"/>
              <w:rPr>
                <w:sz w:val="20"/>
                <w:szCs w:val="20"/>
                <w:color w:val="auto"/>
              </w:rPr>
            </w:pPr>
            <w:r>
              <w:rPr>
                <w:rFonts w:ascii="Arial" w:cs="Arial" w:eastAsia="Arial" w:hAnsi="Arial"/>
                <w:sz w:val="14"/>
                <w:szCs w:val="14"/>
                <w:b w:val="1"/>
                <w:bCs w:val="1"/>
                <w:color w:val="auto"/>
              </w:rPr>
              <w:t>SPS COMMERCE, INC.</w:t>
            </w:r>
          </w:p>
        </w:tc>
        <w:tc>
          <w:tcPr>
            <w:tcW w:w="2820" w:type="dxa"/>
            <w:vAlign w:val="bottom"/>
          </w:tcPr>
          <w:p>
            <w:pPr>
              <w:jc w:val="right"/>
              <w:ind w:right="2345"/>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6"/>
                <w:szCs w:val="16"/>
                <w:color w:val="auto"/>
              </w:rPr>
            </w:pPr>
          </w:p>
        </w:tc>
        <w:tc>
          <w:tcPr>
            <w:tcW w:w="3340" w:type="dxa"/>
            <w:vAlign w:val="bottom"/>
            <w:gridSpan w:val="5"/>
          </w:tcPr>
          <w:p>
            <w:pPr>
              <w:ind w:left="20"/>
              <w:spacing w:after="0"/>
              <w:rPr>
                <w:sz w:val="20"/>
                <w:szCs w:val="20"/>
                <w:color w:val="auto"/>
              </w:rPr>
            </w:pPr>
            <w:r>
              <w:rPr>
                <w:rFonts w:ascii="Arial" w:cs="Arial" w:eastAsia="Arial" w:hAnsi="Arial"/>
                <w:sz w:val="11"/>
                <w:szCs w:val="11"/>
                <w:b w:val="1"/>
                <w:bCs w:val="1"/>
                <w:color w:val="auto"/>
              </w:rPr>
              <w:t>Form 10-Q for the Quarterly Period ended September 30, 2022</w:t>
            </w:r>
          </w:p>
        </w:tc>
        <w:tc>
          <w:tcPr>
            <w:tcW w:w="0" w:type="dxa"/>
            <w:vAlign w:val="bottom"/>
          </w:tcPr>
          <w:p>
            <w:pPr>
              <w:spacing w:after="0"/>
              <w:rPr>
                <w:sz w:val="1"/>
                <w:szCs w:val="1"/>
                <w:color w:val="auto"/>
              </w:rPr>
            </w:pPr>
          </w:p>
        </w:tc>
      </w:tr>
      <w:tr>
        <w:trPr>
          <w:trHeight w:val="212"/>
        </w:trPr>
        <w:tc>
          <w:tcPr>
            <w:tcW w:w="220" w:type="dxa"/>
            <w:vAlign w:val="bottom"/>
            <w:tcBorders>
              <w:bottom w:val="single" w:sz="8" w:color="9A9A9A"/>
            </w:tcBorders>
          </w:tcPr>
          <w:p>
            <w:pPr>
              <w:spacing w:after="0"/>
              <w:rPr>
                <w:sz w:val="18"/>
                <w:szCs w:val="18"/>
                <w:color w:val="auto"/>
              </w:rPr>
            </w:pPr>
          </w:p>
        </w:tc>
        <w:tc>
          <w:tcPr>
            <w:tcW w:w="4720" w:type="dxa"/>
            <w:vAlign w:val="bottom"/>
            <w:tcBorders>
              <w:bottom w:val="single" w:sz="8" w:color="9A9A9A"/>
            </w:tcBorders>
          </w:tcPr>
          <w:p>
            <w:pPr>
              <w:spacing w:after="0"/>
              <w:rPr>
                <w:sz w:val="18"/>
                <w:szCs w:val="18"/>
                <w:color w:val="auto"/>
              </w:rPr>
            </w:pPr>
          </w:p>
        </w:tc>
        <w:tc>
          <w:tcPr>
            <w:tcW w:w="28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-513715</wp:posOffset>
            </wp:positionV>
            <wp:extent cx="32575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AAE5"/>
        </w:rPr>
        <w:t>CONDENSED CONSOLIDATED STATEMENTS OF COMPREHENSIVE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r>
      <w:tr>
        <w:trPr>
          <w:trHeight w:val="192"/>
        </w:trPr>
        <w:tc>
          <w:tcPr>
            <w:tcW w:w="5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6"/>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amounts) (unaudited)</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3"/>
              </w:rPr>
              <w:t>2021</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328,857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282,520</w:t>
            </w: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111,524</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96,043</w:t>
            </w:r>
          </w:p>
        </w:tc>
      </w:tr>
      <w:tr>
        <w:trPr>
          <w:trHeight w:val="223"/>
        </w:trPr>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217,333</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186,477</w:t>
            </w:r>
          </w:p>
        </w:tc>
      </w:tr>
      <w:tr>
        <w:trPr>
          <w:trHeight w:val="210"/>
        </w:trPr>
        <w:tc>
          <w:tcPr>
            <w:tcW w:w="5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65,386</w:t>
            </w:r>
          </w:p>
        </w:tc>
      </w:tr>
      <w:tr>
        <w:trPr>
          <w:trHeight w:val="229"/>
        </w:trPr>
        <w:tc>
          <w:tcPr>
            <w:tcW w:w="52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33,268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28,459</w:t>
            </w:r>
          </w:p>
        </w:tc>
      </w:tr>
      <w:tr>
        <w:trPr>
          <w:trHeight w:val="230"/>
        </w:trPr>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45,186</w:t>
            </w:r>
          </w:p>
        </w:tc>
      </w:tr>
      <w:tr>
        <w:trPr>
          <w:trHeight w:val="229"/>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7,936</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7,734</w:t>
            </w:r>
          </w:p>
        </w:tc>
      </w:tr>
      <w:tr>
        <w:trPr>
          <w:trHeight w:val="223"/>
        </w:trPr>
        <w:tc>
          <w:tcPr>
            <w:tcW w:w="5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165,165</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146,765</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52,168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39,712</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50,558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38,288</w:t>
            </w:r>
          </w:p>
        </w:tc>
      </w:tr>
      <w:tr>
        <w:trPr>
          <w:trHeight w:val="230"/>
        </w:trPr>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11,339</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39,219</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31,832</w:t>
            </w:r>
          </w:p>
        </w:tc>
      </w:tr>
      <w:tr>
        <w:trPr>
          <w:trHeight w:val="21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(expense)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528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176"/>
        </w:trPr>
        <w:tc>
          <w:tcPr>
            <w:tcW w:w="52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5"/>
              </w:rPr>
              <w:t>Unrealized gain (loss) on investments, net of tax of $53, ($9), $49</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and ($36), respectively</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176"/>
        </w:trPr>
        <w:tc>
          <w:tcPr>
            <w:tcW w:w="5280" w:type="dxa"/>
            <w:vAlign w:val="bottom"/>
          </w:tcPr>
          <w:p>
            <w:pPr>
              <w:ind w:left="280"/>
              <w:spacing w:after="0" w:line="176" w:lineRule="exact"/>
              <w:rPr>
                <w:sz w:val="20"/>
                <w:szCs w:val="20"/>
                <w:color w:val="auto"/>
              </w:rPr>
            </w:pPr>
            <w:r>
              <w:rPr>
                <w:rFonts w:ascii="Arial" w:cs="Arial" w:eastAsia="Arial" w:hAnsi="Arial"/>
                <w:sz w:val="18"/>
                <w:szCs w:val="18"/>
                <w:color w:val="auto"/>
                <w:w w:val="95"/>
              </w:rPr>
              <w:t>Reclassification of (gain) loss on investments into earnings, net of</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tax of ($13), $16, ($17) and $46, respectively</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comprehensive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36,006</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31,259</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5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0.86</w:t>
            </w:r>
          </w:p>
        </w:tc>
      </w:tr>
      <w:tr>
        <w:trPr>
          <w:trHeight w:val="270"/>
        </w:trPr>
        <w:tc>
          <w:tcPr>
            <w:tcW w:w="5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w w:val="88"/>
              </w:rPr>
              <w:t>Weighted average common shares used to compute net income per share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35,873</w:t>
            </w: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36,915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36,942</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36,898</w:t>
            </w:r>
          </w:p>
        </w:tc>
      </w:tr>
    </w:tbl>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0" w:lineRule="exact"/>
        <w:rPr>
          <w:sz w:val="20"/>
          <w:szCs w:val="20"/>
          <w:color w:val="auto"/>
        </w:rPr>
      </w:pPr>
    </w:p>
    <w:p>
      <w:pPr>
        <w:spacing w:after="0" w:line="279" w:lineRule="exact"/>
        <w:rPr>
          <w:sz w:val="20"/>
          <w:szCs w:val="20"/>
          <w:color w:val="auto"/>
        </w:rPr>
      </w:pPr>
    </w:p>
    <w:p>
      <w:pPr>
        <w:spacing w:after="0"/>
        <w:tabs>
          <w:tab w:leader="none" w:pos="5440" w:val="left"/>
          <w:tab w:leader="none" w:pos="8280" w:val="left"/>
        </w:tabs>
        <w:rPr>
          <w:sz w:val="20"/>
          <w:szCs w:val="20"/>
          <w:color w:val="auto"/>
        </w:rPr>
      </w:pPr>
      <w:r>
        <w:rPr>
          <w:sz w:val="1"/>
          <w:szCs w:val="1"/>
          <w:color w:val="auto"/>
        </w:rPr>
        <w:drawing>
          <wp:inline distT="0" distB="0" distL="0" distR="0">
            <wp:extent cx="325755" cy="3003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755" cy="300355"/>
                    </a:xfrm>
                    <a:prstGeom prst="rect">
                      <a:avLst/>
                    </a:prstGeom>
                    <a:noFill/>
                    <a:ln>
                      <a:noFill/>
                    </a:ln>
                  </pic:spPr>
                </pic:pic>
              </a:graphicData>
            </a:graphic>
          </wp:inline>
        </w:drawing>
      </w:r>
      <w:r>
        <w:rPr>
          <w:rFonts w:ascii="Arial" w:cs="Arial" w:eastAsia="Arial" w:hAnsi="Arial"/>
          <w:sz w:val="29"/>
          <w:szCs w:val="29"/>
          <w:b w:val="1"/>
          <w:bCs w:val="1"/>
          <w:color w:val="auto"/>
          <w:vertAlign w:val="superscript"/>
        </w:rPr>
        <w:t>SPS COMMERCE, INC.</w:t>
      </w:r>
      <w:r>
        <w:rPr>
          <w:sz w:val="20"/>
          <w:szCs w:val="20"/>
          <w:color w:val="auto"/>
        </w:rPr>
        <w:tab/>
      </w:r>
      <w:r>
        <w:rPr>
          <w:rFonts w:ascii="Arial" w:cs="Arial" w:eastAsia="Arial" w:hAnsi="Arial"/>
          <w:sz w:val="14"/>
          <w:szCs w:val="14"/>
          <w:color w:val="auto"/>
        </w:rPr>
        <w:t>4</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145415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CONDENSED CONSOLIDATED STATEMENTS OF STOCKHOLDERS’ EQUITY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60" w:type="dxa"/>
            <w:vAlign w:val="bottom"/>
          </w:tcPr>
          <w:p>
            <w:pPr>
              <w:spacing w:after="0"/>
              <w:rPr>
                <w:sz w:val="14"/>
                <w:szCs w:val="14"/>
                <w:color w:val="auto"/>
              </w:rPr>
            </w:pPr>
          </w:p>
        </w:tc>
        <w:tc>
          <w:tcPr>
            <w:tcW w:w="1800" w:type="dxa"/>
            <w:vAlign w:val="bottom"/>
            <w:gridSpan w:val="3"/>
          </w:tcPr>
          <w:p>
            <w:pPr>
              <w:jc w:val="right"/>
              <w:ind w:right="29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ind w:left="600"/>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58"/>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1"/>
        </w:trPr>
        <w:tc>
          <w:tcPr>
            <w:tcW w:w="26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tcPr>
          <w:p>
            <w:pPr>
              <w:jc w:val="center"/>
              <w:ind w:right="240"/>
              <w:spacing w:after="0" w:line="61" w:lineRule="exact"/>
              <w:rPr>
                <w:sz w:val="20"/>
                <w:szCs w:val="20"/>
                <w:color w:val="auto"/>
              </w:rPr>
            </w:pPr>
            <w:r>
              <w:rPr>
                <w:rFonts w:ascii="Arial" w:cs="Arial" w:eastAsia="Arial" w:hAnsi="Arial"/>
                <w:sz w:val="7"/>
                <w:szCs w:val="7"/>
                <w:b w:val="1"/>
                <w:bCs w:val="1"/>
                <w:color w:val="auto"/>
              </w:rPr>
              <w:t>Paid-in</w:t>
            </w:r>
          </w:p>
        </w:tc>
        <w:tc>
          <w:tcPr>
            <w:tcW w:w="160" w:type="dxa"/>
            <w:vAlign w:val="bottom"/>
          </w:tcPr>
          <w:p>
            <w:pPr>
              <w:spacing w:after="0"/>
              <w:rPr>
                <w:sz w:val="5"/>
                <w:szCs w:val="5"/>
                <w:color w:val="auto"/>
              </w:rPr>
            </w:pPr>
          </w:p>
        </w:tc>
        <w:tc>
          <w:tcPr>
            <w:tcW w:w="880" w:type="dxa"/>
            <w:vAlign w:val="bottom"/>
            <w:gridSpan w:val="2"/>
          </w:tcPr>
          <w:p>
            <w:pPr>
              <w:ind w:left="80"/>
              <w:spacing w:after="0" w:line="61" w:lineRule="exact"/>
              <w:rPr>
                <w:sz w:val="20"/>
                <w:szCs w:val="20"/>
                <w:color w:val="auto"/>
              </w:rPr>
            </w:pPr>
            <w:r>
              <w:rPr>
                <w:rFonts w:ascii="Arial" w:cs="Arial" w:eastAsia="Arial" w:hAnsi="Arial"/>
                <w:sz w:val="7"/>
                <w:szCs w:val="7"/>
                <w:b w:val="1"/>
                <w:bCs w:val="1"/>
                <w:color w:val="auto"/>
              </w:rPr>
              <w:t>Retained</w:t>
            </w:r>
          </w:p>
        </w:tc>
        <w:tc>
          <w:tcPr>
            <w:tcW w:w="1280" w:type="dxa"/>
            <w:vAlign w:val="bottom"/>
            <w:gridSpan w:val="3"/>
          </w:tcPr>
          <w:p>
            <w:pPr>
              <w:jc w:val="center"/>
              <w:ind w:right="80"/>
              <w:spacing w:after="0" w:line="61" w:lineRule="exact"/>
              <w:rPr>
                <w:sz w:val="20"/>
                <w:szCs w:val="20"/>
                <w:color w:val="auto"/>
              </w:rPr>
            </w:pPr>
            <w:r>
              <w:rPr>
                <w:rFonts w:ascii="Arial" w:cs="Arial" w:eastAsia="Arial" w:hAnsi="Arial"/>
                <w:sz w:val="7"/>
                <w:szCs w:val="7"/>
                <w:b w:val="1"/>
                <w:bCs w:val="1"/>
                <w:color w:val="auto"/>
              </w:rPr>
              <w:t>Accumulated Other</w:t>
            </w:r>
          </w:p>
        </w:tc>
        <w:tc>
          <w:tcPr>
            <w:tcW w:w="100" w:type="dxa"/>
            <w:vAlign w:val="bottom"/>
          </w:tcPr>
          <w:p>
            <w:pPr>
              <w:spacing w:after="0"/>
              <w:rPr>
                <w:sz w:val="5"/>
                <w:szCs w:val="5"/>
                <w:color w:val="auto"/>
              </w:rPr>
            </w:pPr>
          </w:p>
        </w:tc>
        <w:tc>
          <w:tcPr>
            <w:tcW w:w="880" w:type="dxa"/>
            <w:vAlign w:val="bottom"/>
          </w:tcPr>
          <w:p>
            <w:pPr>
              <w:jc w:val="center"/>
              <w:ind w:right="38"/>
              <w:spacing w:after="0" w:line="61"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2660" w:type="dxa"/>
            <w:vAlign w:val="bottom"/>
          </w:tcPr>
          <w:p>
            <w:pPr>
              <w:ind w:left="20"/>
              <w:spacing w:after="0"/>
              <w:rPr>
                <w:sz w:val="20"/>
                <w:szCs w:val="20"/>
                <w:color w:val="auto"/>
              </w:rPr>
            </w:pPr>
            <w:r>
              <w:rPr>
                <w:rFonts w:ascii="Arial" w:cs="Arial" w:eastAsia="Arial" w:hAnsi="Arial"/>
                <w:sz w:val="13"/>
                <w:szCs w:val="13"/>
                <w:b w:val="1"/>
                <w:bCs w:val="1"/>
                <w:color w:val="auto"/>
              </w:rPr>
              <w:t>(in thousands, except shares) (unaudited)</w:t>
            </w:r>
          </w:p>
        </w:tc>
        <w:tc>
          <w:tcPr>
            <w:tcW w:w="106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2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Comprehensive Loss</w:t>
            </w:r>
          </w:p>
        </w:tc>
        <w:tc>
          <w:tcPr>
            <w:tcW w:w="100" w:type="dxa"/>
            <w:vAlign w:val="bottom"/>
          </w:tcPr>
          <w:p>
            <w:pPr>
              <w:spacing w:after="0"/>
              <w:rPr>
                <w:sz w:val="15"/>
                <w:szCs w:val="15"/>
                <w:color w:val="auto"/>
              </w:rPr>
            </w:pPr>
          </w:p>
        </w:tc>
        <w:tc>
          <w:tcPr>
            <w:tcW w:w="880" w:type="dxa"/>
            <w:vAlign w:val="bottom"/>
          </w:tcPr>
          <w:p>
            <w:pPr>
              <w:jc w:val="center"/>
              <w:ind w:right="58"/>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1"/>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June 30,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35,859,353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1,676,765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(71,697)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413,182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113,873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301"/>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454,749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vMerge w:val="restart"/>
          </w:tcPr>
          <w:p>
            <w:pPr>
              <w:ind w:left="240"/>
              <w:spacing w:after="0"/>
              <w:rPr>
                <w:sz w:val="20"/>
                <w:szCs w:val="20"/>
                <w:color w:val="auto"/>
              </w:rPr>
            </w:pPr>
            <w:r>
              <w:rPr>
                <w:rFonts w:ascii="Arial" w:cs="Arial" w:eastAsia="Arial" w:hAnsi="Arial"/>
                <w:sz w:val="13"/>
                <w:szCs w:val="13"/>
                <w:color w:val="auto"/>
              </w:rPr>
              <w:t>Stock-based compensation</w:t>
            </w:r>
          </w:p>
        </w:tc>
        <w:tc>
          <w:tcPr>
            <w:tcW w:w="10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top w:val="single" w:sz="8" w:color="CCEEFF"/>
            </w:tcBorders>
            <w:vMerge w:val="continue"/>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6,361</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6,361</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Shares issued pursuant to stock awards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145,658</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2,997</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rPr>
              <w:t>Employee stock purchase plan activity</w:t>
            </w:r>
          </w:p>
        </w:tc>
        <w:tc>
          <w:tcPr>
            <w:tcW w:w="980" w:type="dxa"/>
            <w:vAlign w:val="bottom"/>
          </w:tcPr>
          <w:p>
            <w:pPr>
              <w:jc w:val="right"/>
              <w:spacing w:after="0"/>
              <w:rPr>
                <w:sz w:val="20"/>
                <w:szCs w:val="20"/>
                <w:color w:val="auto"/>
              </w:rPr>
            </w:pPr>
            <w:r>
              <w:rPr>
                <w:rFonts w:ascii="Arial" w:cs="Arial" w:eastAsia="Arial" w:hAnsi="Arial"/>
                <w:sz w:val="13"/>
                <w:szCs w:val="13"/>
                <w:color w:val="auto"/>
              </w:rPr>
              <w:t>1,526</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Repurchases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(42,299)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42,299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(4,211)</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11,449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11,449</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Foreign currency translation adjustments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w w:val="99"/>
              </w:rPr>
              <w:t>Unrealized loss on investments, net of tax</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29"/>
        </w:trPr>
        <w:tc>
          <w:tcPr>
            <w:tcW w:w="266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w w:val="97"/>
              </w:rPr>
              <w:t>Reclassification of loss on investments into</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earnings, net of tax</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rPr>
                <w:sz w:val="20"/>
                <w:szCs w:val="20"/>
                <w:color w:val="auto"/>
              </w:rPr>
            </w:pPr>
            <w:r>
              <w:rPr>
                <w:rFonts w:ascii="Arial" w:cs="Arial" w:eastAsia="Arial" w:hAnsi="Arial"/>
                <w:sz w:val="13"/>
                <w:szCs w:val="13"/>
                <w:color w:val="auto"/>
              </w:rPr>
              <w:t>Balances, September 30,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35,964,238</w:t>
            </w:r>
          </w:p>
        </w:tc>
        <w:tc>
          <w:tcPr>
            <w:tcW w:w="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1,719,064</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(75,908)</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422,670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125,322</w:t>
            </w:r>
          </w:p>
        </w:tc>
        <w:tc>
          <w:tcPr>
            <w:tcW w:w="8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(1,594)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470,528</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June 30, 2022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36,029,477</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97"/>
              <w:spacing w:after="0"/>
              <w:rPr>
                <w:sz w:val="20"/>
                <w:szCs w:val="20"/>
                <w:color w:val="auto"/>
              </w:rPr>
            </w:pPr>
            <w:r>
              <w:rPr>
                <w:rFonts w:ascii="Arial" w:cs="Arial" w:eastAsia="Arial" w:hAnsi="Arial"/>
                <w:sz w:val="13"/>
                <w:szCs w:val="13"/>
                <w:color w:val="auto"/>
                <w:w w:val="82"/>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2,044,549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(115,900)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453,922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161,443</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497,020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vMerge w:val="restart"/>
          </w:tcPr>
          <w:p>
            <w:pPr>
              <w:ind w:left="240"/>
              <w:spacing w:after="0"/>
              <w:rPr>
                <w:sz w:val="20"/>
                <w:szCs w:val="20"/>
                <w:color w:val="auto"/>
              </w:rPr>
            </w:pPr>
            <w:r>
              <w:rPr>
                <w:rFonts w:ascii="Arial" w:cs="Arial" w:eastAsia="Arial" w:hAnsi="Arial"/>
                <w:sz w:val="13"/>
                <w:szCs w:val="13"/>
                <w:color w:val="auto"/>
              </w:rPr>
              <w:t>Stock-based compensation</w:t>
            </w:r>
          </w:p>
        </w:tc>
        <w:tc>
          <w:tcPr>
            <w:tcW w:w="10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top w:val="single" w:sz="8" w:color="CCEEFF"/>
            </w:tcBorders>
            <w:vMerge w:val="continue"/>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7,429</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7,429</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Shares issued pursuant to stock awards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108,240</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1,767</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rPr>
              <w:t>Employee stock purchase plan activity</w:t>
            </w:r>
          </w:p>
        </w:tc>
        <w:tc>
          <w:tcPr>
            <w:tcW w:w="980" w:type="dxa"/>
            <w:vAlign w:val="bottom"/>
          </w:tcPr>
          <w:p>
            <w:pPr>
              <w:jc w:val="right"/>
              <w:spacing w:after="0"/>
              <w:rPr>
                <w:sz w:val="20"/>
                <w:szCs w:val="20"/>
                <w:color w:val="auto"/>
              </w:rPr>
            </w:pPr>
            <w:r>
              <w:rPr>
                <w:rFonts w:ascii="Arial" w:cs="Arial" w:eastAsia="Arial" w:hAnsi="Arial"/>
                <w:sz w:val="13"/>
                <w:szCs w:val="13"/>
                <w:color w:val="auto"/>
              </w:rPr>
              <w:t>2,481</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Repurchases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(102,234)</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102,234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(12,477)</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15,863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15,863</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Foreign currency translation adjustments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(2,296)</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w w:val="99"/>
              </w:rPr>
              <w:t>Unrealized gain on investments, net of tax</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29"/>
        </w:trPr>
        <w:tc>
          <w:tcPr>
            <w:tcW w:w="266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w w:val="96"/>
              </w:rPr>
              <w:t>Reclassification of gain on investments into</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earnings, net of tax</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rPr>
                <w:sz w:val="20"/>
                <w:szCs w:val="20"/>
                <w:color w:val="auto"/>
              </w:rPr>
            </w:pPr>
            <w:r>
              <w:rPr>
                <w:rFonts w:ascii="Arial" w:cs="Arial" w:eastAsia="Arial" w:hAnsi="Arial"/>
                <w:sz w:val="13"/>
                <w:szCs w:val="13"/>
                <w:color w:val="auto"/>
              </w:rPr>
              <w:t>Balances, September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36,037,964</w:t>
            </w:r>
          </w:p>
        </w:tc>
        <w:tc>
          <w:tcPr>
            <w:tcW w:w="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2,146,783</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(128,377)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463,356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177,306</w:t>
            </w:r>
          </w:p>
        </w:tc>
        <w:tc>
          <w:tcPr>
            <w:tcW w:w="8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(4,660)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507,663</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60" w:type="dxa"/>
            <w:vAlign w:val="bottom"/>
          </w:tcPr>
          <w:p>
            <w:pPr>
              <w:spacing w:after="0"/>
              <w:rPr>
                <w:sz w:val="14"/>
                <w:szCs w:val="14"/>
                <w:color w:val="auto"/>
              </w:rPr>
            </w:pPr>
          </w:p>
        </w:tc>
        <w:tc>
          <w:tcPr>
            <w:tcW w:w="1800" w:type="dxa"/>
            <w:vAlign w:val="bottom"/>
            <w:gridSpan w:val="3"/>
          </w:tcPr>
          <w:p>
            <w:pPr>
              <w:jc w:val="right"/>
              <w:ind w:right="29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ind w:left="600"/>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58"/>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1"/>
        </w:trPr>
        <w:tc>
          <w:tcPr>
            <w:tcW w:w="26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tcPr>
          <w:p>
            <w:pPr>
              <w:jc w:val="center"/>
              <w:ind w:right="240"/>
              <w:spacing w:after="0" w:line="61" w:lineRule="exact"/>
              <w:rPr>
                <w:sz w:val="20"/>
                <w:szCs w:val="20"/>
                <w:color w:val="auto"/>
              </w:rPr>
            </w:pPr>
            <w:r>
              <w:rPr>
                <w:rFonts w:ascii="Arial" w:cs="Arial" w:eastAsia="Arial" w:hAnsi="Arial"/>
                <w:sz w:val="7"/>
                <w:szCs w:val="7"/>
                <w:b w:val="1"/>
                <w:bCs w:val="1"/>
                <w:color w:val="auto"/>
              </w:rPr>
              <w:t>Paid-in</w:t>
            </w:r>
          </w:p>
        </w:tc>
        <w:tc>
          <w:tcPr>
            <w:tcW w:w="160" w:type="dxa"/>
            <w:vAlign w:val="bottom"/>
          </w:tcPr>
          <w:p>
            <w:pPr>
              <w:spacing w:after="0"/>
              <w:rPr>
                <w:sz w:val="5"/>
                <w:szCs w:val="5"/>
                <w:color w:val="auto"/>
              </w:rPr>
            </w:pPr>
          </w:p>
        </w:tc>
        <w:tc>
          <w:tcPr>
            <w:tcW w:w="880" w:type="dxa"/>
            <w:vAlign w:val="bottom"/>
            <w:gridSpan w:val="2"/>
          </w:tcPr>
          <w:p>
            <w:pPr>
              <w:ind w:left="80"/>
              <w:spacing w:after="0" w:line="61" w:lineRule="exact"/>
              <w:rPr>
                <w:sz w:val="20"/>
                <w:szCs w:val="20"/>
                <w:color w:val="auto"/>
              </w:rPr>
            </w:pPr>
            <w:r>
              <w:rPr>
                <w:rFonts w:ascii="Arial" w:cs="Arial" w:eastAsia="Arial" w:hAnsi="Arial"/>
                <w:sz w:val="7"/>
                <w:szCs w:val="7"/>
                <w:b w:val="1"/>
                <w:bCs w:val="1"/>
                <w:color w:val="auto"/>
              </w:rPr>
              <w:t>Retained</w:t>
            </w:r>
          </w:p>
        </w:tc>
        <w:tc>
          <w:tcPr>
            <w:tcW w:w="1280" w:type="dxa"/>
            <w:vAlign w:val="bottom"/>
            <w:gridSpan w:val="3"/>
          </w:tcPr>
          <w:p>
            <w:pPr>
              <w:jc w:val="center"/>
              <w:ind w:right="80"/>
              <w:spacing w:after="0" w:line="61" w:lineRule="exact"/>
              <w:rPr>
                <w:sz w:val="20"/>
                <w:szCs w:val="20"/>
                <w:color w:val="auto"/>
              </w:rPr>
            </w:pPr>
            <w:r>
              <w:rPr>
                <w:rFonts w:ascii="Arial" w:cs="Arial" w:eastAsia="Arial" w:hAnsi="Arial"/>
                <w:sz w:val="7"/>
                <w:szCs w:val="7"/>
                <w:b w:val="1"/>
                <w:bCs w:val="1"/>
                <w:color w:val="auto"/>
              </w:rPr>
              <w:t>Accumulated Other</w:t>
            </w:r>
          </w:p>
        </w:tc>
        <w:tc>
          <w:tcPr>
            <w:tcW w:w="100" w:type="dxa"/>
            <w:vAlign w:val="bottom"/>
          </w:tcPr>
          <w:p>
            <w:pPr>
              <w:spacing w:after="0"/>
              <w:rPr>
                <w:sz w:val="5"/>
                <w:szCs w:val="5"/>
                <w:color w:val="auto"/>
              </w:rPr>
            </w:pPr>
          </w:p>
        </w:tc>
        <w:tc>
          <w:tcPr>
            <w:tcW w:w="880" w:type="dxa"/>
            <w:vAlign w:val="bottom"/>
          </w:tcPr>
          <w:p>
            <w:pPr>
              <w:jc w:val="center"/>
              <w:ind w:right="38"/>
              <w:spacing w:after="0" w:line="61"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106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2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Comprehensive Loss</w:t>
            </w:r>
          </w:p>
        </w:tc>
        <w:tc>
          <w:tcPr>
            <w:tcW w:w="100" w:type="dxa"/>
            <w:vAlign w:val="bottom"/>
          </w:tcPr>
          <w:p>
            <w:pPr>
              <w:spacing w:after="0"/>
              <w:rPr>
                <w:sz w:val="15"/>
                <w:szCs w:val="15"/>
                <w:color w:val="auto"/>
              </w:rPr>
            </w:pPr>
          </w:p>
        </w:tc>
        <w:tc>
          <w:tcPr>
            <w:tcW w:w="880" w:type="dxa"/>
            <w:vAlign w:val="bottom"/>
          </w:tcPr>
          <w:p>
            <w:pPr>
              <w:jc w:val="center"/>
              <w:ind w:right="58"/>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01"/>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December 31,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35,487,217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1,613,250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(65,247)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393,462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93,490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301"/>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420,721</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vMerge w:val="restart"/>
          </w:tcPr>
          <w:p>
            <w:pPr>
              <w:ind w:left="240"/>
              <w:spacing w:after="0"/>
              <w:rPr>
                <w:sz w:val="20"/>
                <w:szCs w:val="20"/>
                <w:color w:val="auto"/>
              </w:rPr>
            </w:pPr>
            <w:r>
              <w:rPr>
                <w:rFonts w:ascii="Arial" w:cs="Arial" w:eastAsia="Arial" w:hAnsi="Arial"/>
                <w:sz w:val="13"/>
                <w:szCs w:val="13"/>
                <w:color w:val="auto"/>
              </w:rPr>
              <w:t>Stock-based compensation</w:t>
            </w:r>
          </w:p>
        </w:tc>
        <w:tc>
          <w:tcPr>
            <w:tcW w:w="10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top w:val="single" w:sz="8" w:color="CCEEFF"/>
            </w:tcBorders>
            <w:vMerge w:val="continue"/>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19,866</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19,866</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Shares issued pursuant to stock awards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555,160</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7,026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7,027</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rPr>
              <w:t>Employee stock purchase plan activity</w:t>
            </w:r>
          </w:p>
        </w:tc>
        <w:tc>
          <w:tcPr>
            <w:tcW w:w="980" w:type="dxa"/>
            <w:vAlign w:val="bottom"/>
          </w:tcPr>
          <w:p>
            <w:pPr>
              <w:jc w:val="right"/>
              <w:spacing w:after="0"/>
              <w:rPr>
                <w:sz w:val="20"/>
                <w:szCs w:val="20"/>
                <w:color w:val="auto"/>
              </w:rPr>
            </w:pPr>
            <w:r>
              <w:rPr>
                <w:rFonts w:ascii="Arial" w:cs="Arial" w:eastAsia="Arial" w:hAnsi="Arial"/>
                <w:sz w:val="13"/>
                <w:szCs w:val="13"/>
                <w:color w:val="auto"/>
              </w:rPr>
              <w:t>27,675</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2,316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2,316</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Repurchases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(105,814)</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105,814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(10,661)</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31,832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31,832</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Foreign currency translation adjustments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w w:val="99"/>
              </w:rPr>
              <w:t>Unrealized loss on investments, net of tax</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29"/>
        </w:trPr>
        <w:tc>
          <w:tcPr>
            <w:tcW w:w="266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w w:val="97"/>
              </w:rPr>
              <w:t>Reclassification of loss on investments into</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earnings, net of tax</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rPr>
                <w:sz w:val="20"/>
                <w:szCs w:val="20"/>
                <w:color w:val="auto"/>
              </w:rPr>
            </w:pPr>
            <w:r>
              <w:rPr>
                <w:rFonts w:ascii="Arial" w:cs="Arial" w:eastAsia="Arial" w:hAnsi="Arial"/>
                <w:sz w:val="13"/>
                <w:szCs w:val="13"/>
                <w:color w:val="auto"/>
              </w:rPr>
              <w:t>Balances, September 30,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35,964,238</w:t>
            </w:r>
          </w:p>
        </w:tc>
        <w:tc>
          <w:tcPr>
            <w:tcW w:w="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1,719,064</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(75,908)</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422,670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125,322</w:t>
            </w:r>
          </w:p>
        </w:tc>
        <w:tc>
          <w:tcPr>
            <w:tcW w:w="8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(1,594)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470,528</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6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December 31, 2021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36,009,257</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97"/>
              <w:spacing w:after="0"/>
              <w:rPr>
                <w:sz w:val="20"/>
                <w:szCs w:val="20"/>
                <w:color w:val="auto"/>
              </w:rPr>
            </w:pPr>
            <w:r>
              <w:rPr>
                <w:rFonts w:ascii="Arial" w:cs="Arial" w:eastAsia="Arial" w:hAnsi="Arial"/>
                <w:sz w:val="13"/>
                <w:szCs w:val="13"/>
                <w:color w:val="auto"/>
                <w:w w:val="82"/>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1,789,353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(85,677)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433,258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138,087</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484,259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vMerge w:val="restart"/>
          </w:tcPr>
          <w:p>
            <w:pPr>
              <w:ind w:left="240"/>
              <w:spacing w:after="0"/>
              <w:rPr>
                <w:sz w:val="20"/>
                <w:szCs w:val="20"/>
                <w:color w:val="auto"/>
              </w:rPr>
            </w:pPr>
            <w:r>
              <w:rPr>
                <w:rFonts w:ascii="Arial" w:cs="Arial" w:eastAsia="Arial" w:hAnsi="Arial"/>
                <w:sz w:val="13"/>
                <w:szCs w:val="13"/>
                <w:color w:val="auto"/>
              </w:rPr>
              <w:t>Stock-based compensation</w:t>
            </w:r>
          </w:p>
        </w:tc>
        <w:tc>
          <w:tcPr>
            <w:tcW w:w="10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tcBorders>
              <w:top w:val="single" w:sz="8" w:color="CCEEFF"/>
            </w:tcBorders>
            <w:vMerge w:val="continue"/>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24,053</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24,053</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Shares issued pursuant to stock awards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348,621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2,457</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rPr>
              <w:t>Employee stock purchase plan activity</w:t>
            </w:r>
          </w:p>
        </w:tc>
        <w:tc>
          <w:tcPr>
            <w:tcW w:w="980" w:type="dxa"/>
            <w:vAlign w:val="bottom"/>
          </w:tcPr>
          <w:p>
            <w:pPr>
              <w:jc w:val="right"/>
              <w:spacing w:after="0"/>
              <w:rPr>
                <w:sz w:val="20"/>
                <w:szCs w:val="20"/>
                <w:color w:val="auto"/>
              </w:rPr>
            </w:pPr>
            <w:r>
              <w:rPr>
                <w:rFonts w:ascii="Arial" w:cs="Arial" w:eastAsia="Arial" w:hAnsi="Arial"/>
                <w:sz w:val="13"/>
                <w:szCs w:val="13"/>
                <w:color w:val="auto"/>
              </w:rPr>
              <w:t>37,516</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3,588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3,588</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Repurchases of common stock</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(357,430)</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357,430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(42,700)</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39,219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39,219</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Foreign currency translation adjustments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(3,309)</w:t>
            </w:r>
          </w:p>
        </w:tc>
        <w:tc>
          <w:tcPr>
            <w:tcW w:w="0" w:type="dxa"/>
            <w:vAlign w:val="bottom"/>
          </w:tcPr>
          <w:p>
            <w:pPr>
              <w:spacing w:after="0"/>
              <w:rPr>
                <w:sz w:val="1"/>
                <w:szCs w:val="1"/>
                <w:color w:val="auto"/>
              </w:rPr>
            </w:pPr>
          </w:p>
        </w:tc>
      </w:tr>
      <w:tr>
        <w:trPr>
          <w:trHeight w:val="168"/>
        </w:trPr>
        <w:tc>
          <w:tcPr>
            <w:tcW w:w="2660" w:type="dxa"/>
            <w:vAlign w:val="bottom"/>
          </w:tcPr>
          <w:p>
            <w:pPr>
              <w:ind w:left="240"/>
              <w:spacing w:after="0"/>
              <w:rPr>
                <w:sz w:val="20"/>
                <w:szCs w:val="20"/>
                <w:color w:val="auto"/>
              </w:rPr>
            </w:pPr>
            <w:r>
              <w:rPr>
                <w:rFonts w:ascii="Arial" w:cs="Arial" w:eastAsia="Arial" w:hAnsi="Arial"/>
                <w:sz w:val="13"/>
                <w:szCs w:val="13"/>
                <w:color w:val="auto"/>
                <w:w w:val="99"/>
              </w:rPr>
              <w:t>Unrealized gain on investments, net of tax</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29"/>
        </w:trPr>
        <w:tc>
          <w:tcPr>
            <w:tcW w:w="266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w w:val="96"/>
              </w:rPr>
              <w:t>Reclassification of gain on investments into</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earnings, net of tax</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rPr>
                <w:sz w:val="20"/>
                <w:szCs w:val="20"/>
                <w:color w:val="auto"/>
              </w:rPr>
            </w:pPr>
            <w:r>
              <w:rPr>
                <w:rFonts w:ascii="Arial" w:cs="Arial" w:eastAsia="Arial" w:hAnsi="Arial"/>
                <w:sz w:val="13"/>
                <w:szCs w:val="13"/>
                <w:color w:val="auto"/>
              </w:rPr>
              <w:t>Balances, September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36,037,964</w:t>
            </w:r>
          </w:p>
        </w:tc>
        <w:tc>
          <w:tcPr>
            <w:tcW w:w="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2,146,783</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(128,377)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463,356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177,306</w:t>
            </w:r>
          </w:p>
        </w:tc>
        <w:tc>
          <w:tcPr>
            <w:tcW w:w="8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(4,660)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507,663</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201295</wp:posOffset>
            </wp:positionV>
            <wp:extent cx="325755"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40"/>
        <w:spacing w:after="0"/>
        <w:tabs>
          <w:tab w:leader="none" w:pos="5460" w:val="left"/>
          <w:tab w:leader="none" w:pos="83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5</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CONDENSED CONSOLIDATED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4"/>
                <w:szCs w:val="14"/>
                <w:color w:val="auto"/>
              </w:rPr>
            </w:pPr>
          </w:p>
        </w:tc>
      </w:tr>
      <w:tr>
        <w:trPr>
          <w:trHeight w:val="192"/>
        </w:trPr>
        <w:tc>
          <w:tcPr>
            <w:tcW w:w="7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196"/>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(unaudited)</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6"/>
              </w:rPr>
              <w:t>2021</w:t>
            </w: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79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39,219</w:t>
            </w:r>
          </w:p>
        </w:tc>
        <w:tc>
          <w:tcPr>
            <w:tcW w:w="8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31,832</w:t>
            </w:r>
          </w:p>
        </w:tc>
      </w:tr>
      <w:tr>
        <w:trPr>
          <w:trHeight w:val="230"/>
        </w:trPr>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96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(2,092)</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of property and equipment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11,983</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10,989</w:t>
            </w:r>
          </w:p>
        </w:tc>
      </w:tr>
      <w:tr>
        <w:trPr>
          <w:trHeight w:val="230"/>
        </w:trPr>
        <w:tc>
          <w:tcPr>
            <w:tcW w:w="796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7,936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7,734</w:t>
            </w: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r>
      <w:tr>
        <w:trPr>
          <w:trHeight w:val="229"/>
        </w:trPr>
        <w:tc>
          <w:tcPr>
            <w:tcW w:w="79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25,636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21,273</w:t>
            </w:r>
          </w:p>
        </w:tc>
      </w:tr>
      <w:tr>
        <w:trPr>
          <w:trHeight w:val="230"/>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9"/>
        </w:trPr>
        <w:tc>
          <w:tcPr>
            <w:tcW w:w="7960" w:type="dxa"/>
            <w:vAlign w:val="bottom"/>
          </w:tcPr>
          <w:p>
            <w:pPr>
              <w:ind w:left="360"/>
              <w:spacing w:after="0"/>
              <w:rPr>
                <w:sz w:val="20"/>
                <w:szCs w:val="20"/>
                <w:color w:val="auto"/>
              </w:rPr>
            </w:pPr>
            <w:r>
              <w:rPr>
                <w:rFonts w:ascii="Arial" w:cs="Arial" w:eastAsia="Arial" w:hAnsi="Arial"/>
                <w:sz w:val="18"/>
                <w:szCs w:val="18"/>
                <w:color w:val="auto"/>
              </w:rPr>
              <w:t>Changes in assets and liabilities, net of effects of acquisition</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w:t>
            </w:r>
          </w:p>
        </w:tc>
      </w:tr>
      <w:tr>
        <w:trPr>
          <w:trHeight w:val="229"/>
        </w:trPr>
        <w:tc>
          <w:tcPr>
            <w:tcW w:w="7960" w:type="dxa"/>
            <w:vAlign w:val="bottom"/>
          </w:tcPr>
          <w:p>
            <w:pPr>
              <w:ind w:left="520"/>
              <w:spacing w:after="0"/>
              <w:rPr>
                <w:sz w:val="20"/>
                <w:szCs w:val="20"/>
                <w:color w:val="auto"/>
              </w:rPr>
            </w:pPr>
            <w:r>
              <w:rPr>
                <w:rFonts w:ascii="Arial" w:cs="Arial" w:eastAsia="Arial" w:hAnsi="Arial"/>
                <w:sz w:val="18"/>
                <w:szCs w:val="18"/>
                <w:color w:val="auto"/>
              </w:rPr>
              <w:t>Deferred costs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(7,174)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(5,686)</w:t>
            </w:r>
          </w:p>
        </w:tc>
      </w:tr>
      <w:tr>
        <w:trPr>
          <w:trHeight w:val="229"/>
        </w:trPr>
        <w:tc>
          <w:tcPr>
            <w:tcW w:w="7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current and non-current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w:t>
            </w:r>
          </w:p>
        </w:tc>
      </w:tr>
      <w:tr>
        <w:trPr>
          <w:trHeight w:val="230"/>
        </w:trPr>
        <w:tc>
          <w:tcPr>
            <w:tcW w:w="796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(1,518)</w:t>
            </w:r>
          </w:p>
        </w:tc>
      </w:tr>
      <w:tr>
        <w:trPr>
          <w:trHeight w:val="229"/>
        </w:trPr>
        <w:tc>
          <w:tcPr>
            <w:tcW w:w="7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compensation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w:t>
            </w:r>
          </w:p>
        </w:tc>
      </w:tr>
      <w:tr>
        <w:trPr>
          <w:trHeight w:val="229"/>
        </w:trPr>
        <w:tc>
          <w:tcPr>
            <w:tcW w:w="7960" w:type="dxa"/>
            <w:vAlign w:val="bottom"/>
          </w:tcPr>
          <w:p>
            <w:pPr>
              <w:ind w:left="52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7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13,401</w:t>
            </w:r>
          </w:p>
        </w:tc>
      </w:tr>
      <w:tr>
        <w:trPr>
          <w:trHeight w:val="229"/>
        </w:trPr>
        <w:tc>
          <w:tcPr>
            <w:tcW w:w="79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Operating leases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r>
      <w:tr>
        <w:trPr>
          <w:trHeight w:val="223"/>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76,483</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81,568</w:t>
            </w:r>
          </w:p>
        </w:tc>
      </w:tr>
      <w:tr>
        <w:trPr>
          <w:trHeight w:val="209"/>
        </w:trPr>
        <w:tc>
          <w:tcPr>
            <w:tcW w:w="79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(13,894)</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(15,567)</w:t>
            </w:r>
          </w:p>
        </w:tc>
      </w:tr>
      <w:tr>
        <w:trPr>
          <w:trHeight w:val="230"/>
        </w:trPr>
        <w:tc>
          <w:tcPr>
            <w:tcW w:w="796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(134,276)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(84,020)</w:t>
            </w:r>
          </w:p>
        </w:tc>
      </w:tr>
      <w:tr>
        <w:trPr>
          <w:trHeight w:val="230"/>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Maturities of investments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w:t>
            </w:r>
          </w:p>
        </w:tc>
      </w:tr>
      <w:tr>
        <w:trPr>
          <w:trHeight w:val="229"/>
        </w:trPr>
        <w:tc>
          <w:tcPr>
            <w:tcW w:w="7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Acquisition of business, net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(44,923)</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(60,593)</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(32,087)</w:t>
            </w:r>
          </w:p>
        </w:tc>
      </w:tr>
      <w:tr>
        <w:trPr>
          <w:trHeight w:val="209"/>
        </w:trPr>
        <w:tc>
          <w:tcPr>
            <w:tcW w:w="79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(10,661)</w:t>
            </w:r>
          </w:p>
        </w:tc>
      </w:tr>
      <w:tr>
        <w:trPr>
          <w:trHeight w:val="230"/>
        </w:trPr>
        <w:tc>
          <w:tcPr>
            <w:tcW w:w="7960" w:type="dxa"/>
            <w:vAlign w:val="bottom"/>
          </w:tcPr>
          <w:p>
            <w:pPr>
              <w:ind w:left="180"/>
              <w:spacing w:after="0"/>
              <w:rPr>
                <w:sz w:val="20"/>
                <w:szCs w:val="20"/>
                <w:color w:val="auto"/>
              </w:rPr>
            </w:pPr>
            <w:r>
              <w:rPr>
                <w:rFonts w:ascii="Arial" w:cs="Arial" w:eastAsia="Arial" w:hAnsi="Arial"/>
                <w:sz w:val="18"/>
                <w:szCs w:val="18"/>
                <w:color w:val="auto"/>
              </w:rPr>
              <w:t>Net proceeds from exercise of options to purchase common stock</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7,027</w:t>
            </w:r>
          </w:p>
        </w:tc>
      </w:tr>
      <w:tr>
        <w:trPr>
          <w:trHeight w:val="230"/>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employee stock purchase plan activity</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r>
      <w:tr>
        <w:trPr>
          <w:trHeight w:val="229"/>
        </w:trPr>
        <w:tc>
          <w:tcPr>
            <w:tcW w:w="7960" w:type="dxa"/>
            <w:vAlign w:val="bottom"/>
          </w:tcPr>
          <w:p>
            <w:pPr>
              <w:ind w:left="180"/>
              <w:spacing w:after="0"/>
              <w:rPr>
                <w:sz w:val="20"/>
                <w:szCs w:val="20"/>
                <w:color w:val="auto"/>
              </w:rPr>
            </w:pPr>
            <w:r>
              <w:rPr>
                <w:rFonts w:ascii="Arial" w:cs="Arial" w:eastAsia="Arial" w:hAnsi="Arial"/>
                <w:sz w:val="18"/>
                <w:szCs w:val="18"/>
                <w:color w:val="auto"/>
              </w:rPr>
              <w:t>Payments for contingent consideration</w:t>
            </w:r>
          </w:p>
        </w:tc>
        <w:tc>
          <w:tcPr>
            <w:tcW w:w="3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(2,042)</w:t>
            </w:r>
          </w:p>
        </w:tc>
      </w:tr>
      <w:tr>
        <w:trPr>
          <w:trHeight w:val="223"/>
        </w:trPr>
        <w:tc>
          <w:tcPr>
            <w:tcW w:w="79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(36,655)</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 exchange rate changes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(21,322)</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46,111</w:t>
            </w:r>
          </w:p>
        </w:tc>
      </w:tr>
      <w:tr>
        <w:trPr>
          <w:trHeight w:val="23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207,552</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149,692</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186,230</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195,803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5460" w:val="left"/>
          <w:tab w:leader="none" w:pos="8300" w:val="left"/>
        </w:tabs>
        <w:rPr>
          <w:sz w:val="20"/>
          <w:szCs w:val="20"/>
          <w:color w:val="auto"/>
        </w:rPr>
      </w:pPr>
      <w:r>
        <w:rPr>
          <w:sz w:val="1"/>
          <w:szCs w:val="1"/>
          <w:color w:val="auto"/>
        </w:rPr>
        <w:drawing>
          <wp:inline distT="0" distB="0" distL="0" distR="0">
            <wp:extent cx="325755" cy="3003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755" cy="300355"/>
                    </a:xfrm>
                    <a:prstGeom prst="rect">
                      <a:avLst/>
                    </a:prstGeom>
                    <a:noFill/>
                    <a:ln>
                      <a:noFill/>
                    </a:ln>
                  </pic:spPr>
                </pic:pic>
              </a:graphicData>
            </a:graphic>
          </wp:inline>
        </w:drawing>
      </w:r>
      <w:r>
        <w:rPr>
          <w:rFonts w:ascii="Arial" w:cs="Arial" w:eastAsia="Arial" w:hAnsi="Arial"/>
          <w:sz w:val="29"/>
          <w:szCs w:val="29"/>
          <w:b w:val="1"/>
          <w:bCs w:val="1"/>
          <w:color w:val="auto"/>
          <w:vertAlign w:val="superscript"/>
        </w:rPr>
        <w:t>SPS COMMERCE, INC.</w:t>
      </w:r>
      <w:r>
        <w:rPr>
          <w:sz w:val="20"/>
          <w:szCs w:val="20"/>
          <w:color w:val="auto"/>
        </w:rPr>
        <w:tab/>
      </w:r>
      <w:r>
        <w:rPr>
          <w:rFonts w:ascii="Arial" w:cs="Arial" w:eastAsia="Arial" w:hAnsi="Arial"/>
          <w:sz w:val="14"/>
          <w:szCs w:val="14"/>
          <w:color w:val="auto"/>
        </w:rPr>
        <w:t>6</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00AAE5"/>
        </w:rPr>
        <w:t>SPS COMMERCE, INC. AND SUBSIDIARIES NOTES TO CONDENSED CONSOLIDATED FINANCIAL STATEMENTS (UNAUDITED)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A – 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Business Description</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SPS Commerce is a leading provider of cloud-based supply chain management services across our global retail network. Our products make it easier for retailers, suppliers, grocers, distributors, and logistics firms to orchestrate the management of item data, order fulfillment, inventory control, and sales analytics across omnichannel retail channels. SPS Commerce delivers our products using a full-service model whereby our internal experts monitor, update, and boost network performance on our customers’ behalf.</w:t>
      </w:r>
    </w:p>
    <w:p>
      <w:pPr>
        <w:spacing w:after="0" w:line="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services offered by SPS Commerce eliminate the need for on-premise software and support staff by taking on that capability on the customer’s behalf. The services we provide enable our customers to increase their supply cycle agility, optimize their inventory levels and sell-through, reduce operational costs and gain increased visibility into customer orders, to help ensure that suppliers, grocers, distributors, and logistics firms can satisfy exacting retailer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Basis of Presentation</w:t>
      </w:r>
    </w:p>
    <w:p>
      <w:pPr>
        <w:spacing w:after="0" w:line="117"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condensed consolidated financial statements.</w:t>
      </w:r>
    </w:p>
    <w:p>
      <w:pPr>
        <w:spacing w:after="0" w:line="76"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This interim financial information has been prepared under the instructions to Form 10-Q and Rule 10-01 of Regulation S-X. Accordingly, these condensed consolidated financial statements do not include all of the information and notes required by GAAP. Therefore, these condensed consolidated financial statements should be read in conjunction with the consolidated financial statements and notes included in our Annual Report on Form 10-K for the year ended December 31, 2021, as filed with the Securities and Exchange Commission (“SEC”). We have included all normal recurring adjustments considered necessary to provide a fair presentation of our financial position, results of operations, stockholders’ equity, and cash flows for the interim periods presented. Operating results for these interim periods are not necessarily indicative of the results to be expected for the full year.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Use of Estimates</w:t>
      </w:r>
    </w:p>
    <w:p>
      <w:pPr>
        <w:spacing w:after="0" w:line="11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Preparing financial statements in conformity with GAAP requires management to make estimates, judgments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Significant Accounting Policies</w:t>
      </w:r>
    </w:p>
    <w:p>
      <w:pPr>
        <w:spacing w:after="0" w:line="11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There were no material changes in our significant accounting policies during the nine months ended September 30, 2022. See Note A to the consolidated financial statements included in our Annual Report on Form 10-K for the year ended December 31, 2021, as filed with the SEC, for additional information regarding our significant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Accounting Pronouncements Not Yet Adopted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Standard</w:t>
            </w:r>
          </w:p>
        </w:tc>
        <w:tc>
          <w:tcPr>
            <w:tcW w:w="12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Date of Issuance</w:t>
            </w:r>
          </w:p>
        </w:tc>
        <w:tc>
          <w:tcPr>
            <w:tcW w:w="3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Date of Required</w:t>
            </w:r>
          </w:p>
        </w:tc>
        <w:tc>
          <w:tcPr>
            <w:tcW w:w="2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Effect on the Financial Statements</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58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Adoption</w:t>
            </w:r>
          </w:p>
        </w:tc>
        <w:tc>
          <w:tcPr>
            <w:tcW w:w="2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b w:val="1"/>
                <w:bCs w:val="1"/>
                <w:color w:val="auto"/>
                <w:w w:val="90"/>
              </w:rPr>
              <w:t xml:space="preserve">ASU 2021-08, </w:t>
            </w:r>
            <w:r>
              <w:rPr>
                <w:rFonts w:ascii="Arial" w:cs="Arial" w:eastAsia="Arial" w:hAnsi="Arial"/>
                <w:sz w:val="18"/>
                <w:szCs w:val="18"/>
                <w:color w:val="auto"/>
                <w:w w:val="90"/>
              </w:rPr>
              <w:t>Business</w:t>
            </w:r>
          </w:p>
        </w:tc>
        <w:tc>
          <w:tcPr>
            <w:tcW w:w="12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October 2021</w:t>
            </w:r>
          </w:p>
        </w:tc>
        <w:tc>
          <w:tcPr>
            <w:tcW w:w="35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This amendment requires that an acquirer</w:t>
            </w:r>
          </w:p>
        </w:tc>
        <w:tc>
          <w:tcPr>
            <w:tcW w:w="14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January 2023</w:t>
            </w:r>
          </w:p>
        </w:tc>
        <w:tc>
          <w:tcPr>
            <w:tcW w:w="24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The adoption of this standard</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Combinations (Topic 805) -</w:t>
            </w:r>
          </w:p>
        </w:tc>
        <w:tc>
          <w:tcPr>
            <w:tcW w:w="1280" w:type="dxa"/>
            <w:vAlign w:val="bottom"/>
            <w:shd w:val="clear" w:color="auto" w:fill="CCEEFF"/>
          </w:tcPr>
          <w:p>
            <w:pPr>
              <w:spacing w:after="0"/>
              <w:rPr>
                <w:sz w:val="17"/>
                <w:szCs w:val="17"/>
                <w:color w:val="auto"/>
              </w:rPr>
            </w:pPr>
          </w:p>
        </w:tc>
        <w:tc>
          <w:tcPr>
            <w:tcW w:w="35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recognize and measure contract assets and</w:t>
            </w:r>
          </w:p>
        </w:tc>
        <w:tc>
          <w:tcPr>
            <w:tcW w:w="1400" w:type="dxa"/>
            <w:vAlign w:val="bottom"/>
            <w:shd w:val="clear" w:color="auto" w:fill="CCEEFF"/>
          </w:tcPr>
          <w:p>
            <w:pPr>
              <w:spacing w:after="0"/>
              <w:rPr>
                <w:sz w:val="17"/>
                <w:szCs w:val="17"/>
                <w:color w:val="auto"/>
              </w:rPr>
            </w:pPr>
          </w:p>
        </w:tc>
        <w:tc>
          <w:tcPr>
            <w:tcW w:w="24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may have a material impact on</w:t>
            </w:r>
          </w:p>
        </w:tc>
        <w:tc>
          <w:tcPr>
            <w:tcW w:w="0" w:type="dxa"/>
            <w:vAlign w:val="bottom"/>
          </w:tcPr>
          <w:p>
            <w:pPr>
              <w:spacing w:after="0"/>
              <w:rPr>
                <w:sz w:val="1"/>
                <w:szCs w:val="1"/>
                <w:color w:val="auto"/>
              </w:rPr>
            </w:pPr>
          </w:p>
        </w:tc>
      </w:tr>
      <w:tr>
        <w:trPr>
          <w:trHeight w:val="149"/>
        </w:trPr>
        <w:tc>
          <w:tcPr>
            <w:tcW w:w="2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Accounting for Contract Assets</w:t>
            </w:r>
          </w:p>
        </w:tc>
        <w:tc>
          <w:tcPr>
            <w:tcW w:w="1280" w:type="dxa"/>
            <w:vAlign w:val="bottom"/>
            <w:shd w:val="clear" w:color="auto" w:fill="CCEEFF"/>
          </w:tcPr>
          <w:p>
            <w:pPr>
              <w:spacing w:after="0"/>
              <w:rPr>
                <w:sz w:val="12"/>
                <w:szCs w:val="12"/>
                <w:color w:val="auto"/>
              </w:rPr>
            </w:pPr>
          </w:p>
        </w:tc>
        <w:tc>
          <w:tcPr>
            <w:tcW w:w="358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6"/>
              </w:rPr>
              <w:t>contract liabilities acquired in a business</w:t>
            </w:r>
          </w:p>
        </w:tc>
        <w:tc>
          <w:tcPr>
            <w:tcW w:w="1400" w:type="dxa"/>
            <w:vAlign w:val="bottom"/>
            <w:shd w:val="clear" w:color="auto" w:fill="CCEEFF"/>
          </w:tcPr>
          <w:p>
            <w:pPr>
              <w:spacing w:after="0"/>
              <w:rPr>
                <w:sz w:val="12"/>
                <w:szCs w:val="12"/>
                <w:color w:val="auto"/>
              </w:rPr>
            </w:pPr>
          </w:p>
        </w:tc>
        <w:tc>
          <w:tcPr>
            <w:tcW w:w="248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4"/>
              </w:rPr>
              <w:t>the purchase accounting for</w:t>
            </w:r>
          </w:p>
        </w:tc>
        <w:tc>
          <w:tcPr>
            <w:tcW w:w="0" w:type="dxa"/>
            <w:vAlign w:val="bottom"/>
          </w:tcPr>
          <w:p>
            <w:pPr>
              <w:spacing w:after="0"/>
              <w:rPr>
                <w:sz w:val="1"/>
                <w:szCs w:val="1"/>
                <w:color w:val="auto"/>
              </w:rPr>
            </w:pPr>
          </w:p>
        </w:tc>
      </w:tr>
      <w:tr>
        <w:trPr>
          <w:trHeight w:val="94"/>
        </w:trPr>
        <w:tc>
          <w:tcPr>
            <w:tcW w:w="2500" w:type="dxa"/>
            <w:vAlign w:val="bottom"/>
            <w:vMerge w:val="continue"/>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3580" w:type="dxa"/>
            <w:vAlign w:val="bottom"/>
            <w:vMerge w:val="restart"/>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combination in accordance with Topic 606,</w:t>
            </w:r>
          </w:p>
        </w:tc>
        <w:tc>
          <w:tcPr>
            <w:tcW w:w="1400" w:type="dxa"/>
            <w:vAlign w:val="bottom"/>
            <w:shd w:val="clear" w:color="auto" w:fill="CCEEFF"/>
          </w:tcPr>
          <w:p>
            <w:pPr>
              <w:spacing w:after="0"/>
              <w:rPr>
                <w:sz w:val="8"/>
                <w:szCs w:val="8"/>
                <w:color w:val="auto"/>
              </w:rPr>
            </w:pPr>
          </w:p>
        </w:tc>
        <w:tc>
          <w:tcPr>
            <w:tcW w:w="2480" w:type="dxa"/>
            <w:vAlign w:val="bottom"/>
            <w:vMerge w:val="restart"/>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business combinations</w:t>
            </w:r>
          </w:p>
        </w:tc>
        <w:tc>
          <w:tcPr>
            <w:tcW w:w="0" w:type="dxa"/>
            <w:vAlign w:val="bottom"/>
          </w:tcPr>
          <w:p>
            <w:pPr>
              <w:spacing w:after="0"/>
              <w:rPr>
                <w:sz w:val="1"/>
                <w:szCs w:val="1"/>
                <w:color w:val="auto"/>
              </w:rPr>
            </w:pPr>
          </w:p>
        </w:tc>
      </w:tr>
      <w:tr>
        <w:trPr>
          <w:trHeight w:val="82"/>
        </w:trPr>
        <w:tc>
          <w:tcPr>
            <w:tcW w:w="2500" w:type="dxa"/>
            <w:vAlign w:val="bottom"/>
            <w:vMerge w:val="restart"/>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and Contract Liabilities from</w:t>
            </w:r>
          </w:p>
        </w:tc>
        <w:tc>
          <w:tcPr>
            <w:tcW w:w="1280" w:type="dxa"/>
            <w:vAlign w:val="bottom"/>
            <w:shd w:val="clear" w:color="auto" w:fill="CCEEFF"/>
          </w:tcPr>
          <w:p>
            <w:pPr>
              <w:spacing w:after="0"/>
              <w:rPr>
                <w:sz w:val="7"/>
                <w:szCs w:val="7"/>
                <w:color w:val="auto"/>
              </w:rPr>
            </w:pPr>
          </w:p>
        </w:tc>
        <w:tc>
          <w:tcPr>
            <w:tcW w:w="3580" w:type="dxa"/>
            <w:vAlign w:val="bottom"/>
            <w:vMerge w:val="continue"/>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24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500" w:type="dxa"/>
            <w:vAlign w:val="bottom"/>
            <w:vMerge w:val="continue"/>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3580" w:type="dxa"/>
            <w:vAlign w:val="bottom"/>
            <w:vMerge w:val="restart"/>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effective for all business combinations in the</w:t>
            </w:r>
          </w:p>
        </w:tc>
        <w:tc>
          <w:tcPr>
            <w:tcW w:w="1400" w:type="dxa"/>
            <w:vAlign w:val="bottom"/>
            <w:shd w:val="clear" w:color="auto" w:fill="CCEEFF"/>
          </w:tcPr>
          <w:p>
            <w:pPr>
              <w:spacing w:after="0"/>
              <w:rPr>
                <w:sz w:val="10"/>
                <w:szCs w:val="10"/>
                <w:color w:val="auto"/>
              </w:rPr>
            </w:pPr>
          </w:p>
        </w:tc>
        <w:tc>
          <w:tcPr>
            <w:tcW w:w="2480" w:type="dxa"/>
            <w:vAlign w:val="bottom"/>
            <w:vMerge w:val="restart"/>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depending on the specific</w:t>
            </w:r>
          </w:p>
        </w:tc>
        <w:tc>
          <w:tcPr>
            <w:tcW w:w="0" w:type="dxa"/>
            <w:vAlign w:val="bottom"/>
          </w:tcPr>
          <w:p>
            <w:pPr>
              <w:spacing w:after="0"/>
              <w:rPr>
                <w:sz w:val="1"/>
                <w:szCs w:val="1"/>
                <w:color w:val="auto"/>
              </w:rPr>
            </w:pPr>
          </w:p>
        </w:tc>
      </w:tr>
      <w:tr>
        <w:trPr>
          <w:trHeight w:val="67"/>
        </w:trPr>
        <w:tc>
          <w:tcPr>
            <w:tcW w:w="2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Contracts with Customers</w:t>
            </w:r>
          </w:p>
        </w:tc>
        <w:tc>
          <w:tcPr>
            <w:tcW w:w="1280" w:type="dxa"/>
            <w:vAlign w:val="bottom"/>
            <w:shd w:val="clear" w:color="auto" w:fill="CCEEFF"/>
          </w:tcPr>
          <w:p>
            <w:pPr>
              <w:spacing w:after="0"/>
              <w:rPr>
                <w:sz w:val="5"/>
                <w:szCs w:val="5"/>
                <w:color w:val="auto"/>
              </w:rPr>
            </w:pPr>
          </w:p>
        </w:tc>
        <w:tc>
          <w:tcPr>
            <w:tcW w:w="3580" w:type="dxa"/>
            <w:vAlign w:val="bottom"/>
            <w:vMerge w:val="continue"/>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24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500" w:type="dxa"/>
            <w:vAlign w:val="bottom"/>
            <w:vMerge w:val="continue"/>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year of adoption and thereafter.</w:t>
            </w:r>
          </w:p>
        </w:tc>
        <w:tc>
          <w:tcPr>
            <w:tcW w:w="1400" w:type="dxa"/>
            <w:vAlign w:val="bottom"/>
            <w:shd w:val="clear" w:color="auto" w:fill="CCEEFF"/>
          </w:tcPr>
          <w:p>
            <w:pPr>
              <w:spacing w:after="0"/>
              <w:rPr>
                <w:sz w:val="15"/>
                <w:szCs w:val="15"/>
                <w:color w:val="auto"/>
              </w:rPr>
            </w:pPr>
          </w:p>
        </w:tc>
        <w:tc>
          <w:tcPr>
            <w:tcW w:w="24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amount of contract assets and</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liabilities being acquired.</w:t>
            </w:r>
          </w:p>
        </w:tc>
        <w:tc>
          <w:tcPr>
            <w:tcW w:w="0" w:type="dxa"/>
            <w:vAlign w:val="bottom"/>
          </w:tcPr>
          <w:p>
            <w:pPr>
              <w:spacing w:after="0"/>
              <w:rPr>
                <w:sz w:val="1"/>
                <w:szCs w:val="1"/>
                <w:color w:val="auto"/>
              </w:rPr>
            </w:pPr>
          </w:p>
        </w:tc>
      </w:tr>
      <w:tr>
        <w:trPr>
          <w:trHeight w:val="788"/>
        </w:trPr>
        <w:tc>
          <w:tcPr>
            <w:tcW w:w="2500" w:type="dxa"/>
            <w:vAlign w:val="bottom"/>
          </w:tcPr>
          <w:p>
            <w:pPr>
              <w:ind w:left="540"/>
              <w:spacing w:after="0"/>
              <w:rPr>
                <w:sz w:val="20"/>
                <w:szCs w:val="20"/>
                <w:color w:val="auto"/>
              </w:rPr>
            </w:pPr>
            <w:r>
              <w:rPr>
                <w:rFonts w:ascii="Arial" w:cs="Arial" w:eastAsia="Arial" w:hAnsi="Arial"/>
                <w:sz w:val="14"/>
                <w:szCs w:val="14"/>
                <w:b w:val="1"/>
                <w:bCs w:val="1"/>
                <w:color w:val="auto"/>
              </w:rPr>
              <w:t>SPS COMMERCE, INC.</w:t>
            </w:r>
          </w:p>
        </w:tc>
        <w:tc>
          <w:tcPr>
            <w:tcW w:w="1280" w:type="dxa"/>
            <w:vAlign w:val="bottom"/>
          </w:tcPr>
          <w:p>
            <w:pPr>
              <w:spacing w:after="0"/>
              <w:rPr>
                <w:sz w:val="24"/>
                <w:szCs w:val="24"/>
                <w:color w:val="auto"/>
              </w:rPr>
            </w:pPr>
          </w:p>
        </w:tc>
        <w:tc>
          <w:tcPr>
            <w:tcW w:w="3580" w:type="dxa"/>
            <w:vAlign w:val="bottom"/>
          </w:tcPr>
          <w:p>
            <w:pPr>
              <w:jc w:val="right"/>
              <w:ind w:right="1735"/>
              <w:spacing w:after="0"/>
              <w:rPr>
                <w:sz w:val="20"/>
                <w:szCs w:val="20"/>
                <w:color w:val="auto"/>
              </w:rPr>
            </w:pPr>
            <w:r>
              <w:rPr>
                <w:rFonts w:ascii="Arial" w:cs="Arial" w:eastAsia="Arial" w:hAnsi="Arial"/>
                <w:sz w:val="14"/>
                <w:szCs w:val="14"/>
                <w:color w:val="auto"/>
              </w:rPr>
              <w:t>7</w:t>
            </w:r>
          </w:p>
        </w:tc>
        <w:tc>
          <w:tcPr>
            <w:tcW w:w="3880" w:type="dxa"/>
            <w:vAlign w:val="bottom"/>
            <w:gridSpan w:val="2"/>
          </w:tcPr>
          <w:p>
            <w:pPr>
              <w:ind w:left="960"/>
              <w:spacing w:after="0"/>
              <w:rPr>
                <w:sz w:val="20"/>
                <w:szCs w:val="20"/>
                <w:color w:val="auto"/>
              </w:rPr>
            </w:pPr>
            <w:r>
              <w:rPr>
                <w:rFonts w:ascii="Arial" w:cs="Arial" w:eastAsia="Arial" w:hAnsi="Arial"/>
                <w:sz w:val="11"/>
                <w:szCs w:val="11"/>
                <w:b w:val="1"/>
                <w:bCs w:val="1"/>
                <w:color w:val="auto"/>
                <w:w w:val="89"/>
              </w:rPr>
              <w:t>Form 10-Q for the Quarterly Period ended September 30, 2022</w:t>
            </w:r>
          </w:p>
        </w:tc>
        <w:tc>
          <w:tcPr>
            <w:tcW w:w="0" w:type="dxa"/>
            <w:vAlign w:val="bottom"/>
          </w:tcPr>
          <w:p>
            <w:pPr>
              <w:spacing w:after="0"/>
              <w:rPr>
                <w:sz w:val="1"/>
                <w:szCs w:val="1"/>
                <w:color w:val="auto"/>
              </w:rPr>
            </w:pPr>
          </w:p>
        </w:tc>
      </w:tr>
      <w:tr>
        <w:trPr>
          <w:trHeight w:val="231"/>
        </w:trPr>
        <w:tc>
          <w:tcPr>
            <w:tcW w:w="250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3580" w:type="dxa"/>
            <w:vAlign w:val="bottom"/>
            <w:tcBorders>
              <w:bottom w:val="single" w:sz="8" w:color="9A9A9A"/>
            </w:tcBorders>
          </w:tcPr>
          <w:p>
            <w:pPr>
              <w:spacing w:after="0"/>
              <w:rPr>
                <w:sz w:val="20"/>
                <w:szCs w:val="20"/>
                <w:color w:val="auto"/>
              </w:rPr>
            </w:pPr>
          </w:p>
        </w:tc>
        <w:tc>
          <w:tcPr>
            <w:tcW w:w="1400" w:type="dxa"/>
            <w:vAlign w:val="bottom"/>
            <w:tcBorders>
              <w:bottom w:val="single" w:sz="8" w:color="9A9A9A"/>
            </w:tcBorders>
          </w:tcPr>
          <w:p>
            <w:pPr>
              <w:spacing w:after="0"/>
              <w:rPr>
                <w:sz w:val="20"/>
                <w:szCs w:val="20"/>
                <w:color w:val="auto"/>
              </w:rPr>
            </w:pPr>
          </w:p>
        </w:tc>
        <w:tc>
          <w:tcPr>
            <w:tcW w:w="24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-522605</wp:posOffset>
            </wp:positionV>
            <wp:extent cx="325755"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B – Business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GCommerce</w:t>
      </w:r>
    </w:p>
    <w:p>
      <w:pPr>
        <w:spacing w:after="0" w:line="12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Effective July 19, 2022, we acquired all of the outstanding equity ownership interests of GCommerce, Inc. ("GCommerce"), a leading EDI provider within the automotive aftermarket industry. Pursuant to the definitive agreement, the purchase price of $45 million was paid in cash at closing, and is subject to customary post-closing adjustments. The purchase accounting for the acquisition has not been finalized as of September 30, 2022. Provisional amounts are primarily related to intangible assets, net working capital, and tax positions. We expect to finalize the allocation of the purchase price within the one-year measurement period following the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117"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We accounted for the acquisition as a business combination. We allocated the purchase price to the tangible and identifiable intangible assets acquired and liabilities assumed based on their estimated fair values as of the acquisition date.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which are not included in the fair values of identifiable assets.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at the acquisition date: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6"/>
        </w:trPr>
        <w:tc>
          <w:tcPr>
            <w:tcW w:w="9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24,556</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20,250</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liabilities</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(5,144)</w:t>
            </w:r>
          </w:p>
        </w:tc>
      </w:tr>
      <w:tr>
        <w:trPr>
          <w:trHeight w:val="275"/>
        </w:trPr>
        <w:tc>
          <w:tcPr>
            <w:tcW w:w="9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45,089</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Purchased Intangible Assets</w:t>
      </w:r>
    </w:p>
    <w:p>
      <w:pPr>
        <w:spacing w:after="0" w:line="117" w:lineRule="exact"/>
        <w:rPr>
          <w:sz w:val="20"/>
          <w:szCs w:val="20"/>
          <w:color w:val="auto"/>
        </w:rPr>
      </w:pPr>
    </w:p>
    <w:p>
      <w:pPr>
        <w:ind w:right="420" w:firstLine="648"/>
        <w:spacing w:after="0" w:line="276" w:lineRule="auto"/>
        <w:rPr>
          <w:sz w:val="20"/>
          <w:szCs w:val="20"/>
          <w:color w:val="auto"/>
        </w:rPr>
      </w:pPr>
      <w:r>
        <w:rPr>
          <w:rFonts w:ascii="Arial" w:cs="Arial" w:eastAsia="Arial" w:hAnsi="Arial"/>
          <w:sz w:val="18"/>
          <w:szCs w:val="18"/>
          <w:color w:val="auto"/>
        </w:rPr>
        <w:t>The following table summarizes the estimated fair value of the purchased intangible assets and their estimated useful lives, each of which are subject to finalization: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57"/>
              <w:spacing w:after="0"/>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r>
      <w:tr>
        <w:trPr>
          <w:trHeight w:val="186"/>
        </w:trPr>
        <w:tc>
          <w:tcPr>
            <w:tcW w:w="81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6"/>
                <w:szCs w:val="16"/>
                <w:color w:val="auto"/>
              </w:rPr>
            </w:pPr>
          </w:p>
        </w:tc>
        <w:tc>
          <w:tcPr>
            <w:tcW w:w="1220" w:type="dxa"/>
            <w:vAlign w:val="bottom"/>
          </w:tcPr>
          <w:p>
            <w:pPr>
              <w:jc w:val="right"/>
              <w:ind w:right="33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25"/>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Subscriber relationships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8.0 years</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Acquired technology</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6"/>
              </w:rPr>
              <w:t>5.0 years</w:t>
            </w:r>
          </w:p>
        </w:tc>
      </w:tr>
      <w:tr>
        <w:trPr>
          <w:trHeight w:val="275"/>
        </w:trPr>
        <w:tc>
          <w:tcPr>
            <w:tcW w:w="81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InterTrade</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Effective October 4, 2022, we acquired all of the outstanding equity ownership interests of Canadian based InterTrade Systems Inc. ("InterTrade"), a leading EDI provider within the apparel and general merchandising markets. Pursuant to the definitive agreement, the purchase price of $49 million was paid in cash at closing, and is subject to customary post-closing adjustments.</w:t>
      </w:r>
    </w:p>
    <w:p>
      <w:pPr>
        <w:spacing w:after="0" w:line="117" w:lineRule="exact"/>
        <w:rPr>
          <w:sz w:val="20"/>
          <w:szCs w:val="20"/>
          <w:color w:val="auto"/>
        </w:rPr>
      </w:pPr>
    </w:p>
    <w:p>
      <w:pPr>
        <w:ind w:left="20"/>
        <w:spacing w:after="0"/>
        <w:tabs>
          <w:tab w:leader="none" w:pos="5460" w:val="left"/>
          <w:tab w:leader="none" w:pos="8300" w:val="left"/>
        </w:tabs>
        <w:rPr>
          <w:sz w:val="20"/>
          <w:szCs w:val="20"/>
          <w:color w:val="auto"/>
        </w:rPr>
      </w:pPr>
      <w:r>
        <w:rPr>
          <w:sz w:val="1"/>
          <w:szCs w:val="1"/>
          <w:color w:val="auto"/>
        </w:rPr>
        <w:drawing>
          <wp:inline distT="0" distB="0" distL="0" distR="0">
            <wp:extent cx="325755" cy="3003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755" cy="300355"/>
                    </a:xfrm>
                    <a:prstGeom prst="rect">
                      <a:avLst/>
                    </a:prstGeom>
                    <a:noFill/>
                    <a:ln>
                      <a:noFill/>
                    </a:ln>
                  </pic:spPr>
                </pic:pic>
              </a:graphicData>
            </a:graphic>
          </wp:inline>
        </w:drawing>
      </w:r>
      <w:r>
        <w:rPr>
          <w:rFonts w:ascii="Arial" w:cs="Arial" w:eastAsia="Arial" w:hAnsi="Arial"/>
          <w:sz w:val="29"/>
          <w:szCs w:val="29"/>
          <w:b w:val="1"/>
          <w:bCs w:val="1"/>
          <w:color w:val="auto"/>
          <w:vertAlign w:val="superscript"/>
        </w:rPr>
        <w:t>SPS COMMERCE, INC.</w:t>
      </w:r>
      <w:r>
        <w:rPr>
          <w:sz w:val="20"/>
          <w:szCs w:val="20"/>
          <w:color w:val="auto"/>
        </w:rPr>
        <w:tab/>
      </w:r>
      <w:r>
        <w:rPr>
          <w:rFonts w:ascii="Arial" w:cs="Arial" w:eastAsia="Arial" w:hAnsi="Arial"/>
          <w:sz w:val="14"/>
          <w:szCs w:val="14"/>
          <w:color w:val="auto"/>
        </w:rPr>
        <w:t>8</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C – Revenue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derive our revenues from the following revenue streams: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2021</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revenues: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Fulfillment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92,952</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78,106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265,570</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224,738</w:t>
            </w:r>
          </w:p>
        </w:tc>
      </w:tr>
      <w:tr>
        <w:trPr>
          <w:trHeight w:val="229"/>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Analytics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31,383</w:t>
            </w:r>
          </w:p>
        </w:tc>
      </w:tr>
      <w:tr>
        <w:trPr>
          <w:trHeight w:val="230"/>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Recurring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106,553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260,140</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One-time revenues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22,380</w:t>
            </w:r>
          </w:p>
        </w:tc>
      </w:tr>
      <w:tr>
        <w:trPr>
          <w:trHeight w:val="248"/>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114,486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282,520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Revenues are the amount that reflects the consideration we are contractually and legally entitled to, as well as the amount we expect to collect, in exchange for those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Recurring Revenues</w:t>
      </w:r>
    </w:p>
    <w:p>
      <w:pPr>
        <w:spacing w:after="0" w:line="11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Recurring revenues consist of recurring subscriptions from customers that utilize our Fulfillment, Analytics, and Other supply chain management products. Revenue for these products is generally recognized on a ratable basis over the contract term beginning on the date that our service is made available to the customer. Our contracts with our recurring revenue customers are recurring in nature, generally ranging from monthly to annual, and generally allow the customer to cancel the contract for any reason with 30 to 90 days’ notice. Timing of billings varies by customer and by contract type and generally are either in advance or within 30 days of the service being performed.</w:t>
      </w:r>
    </w:p>
    <w:p>
      <w:pPr>
        <w:spacing w:after="0" w:line="8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Given that the recurring revenue contracts are for one year or less, we have applied the optional exemption to not disclose information about the remaining performance obligations for recurring revenue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One-time Revenues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One-time revenues consist of set-up fees and miscellaneous fees from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1F282C"/>
        </w:rPr>
        <w:t>Set-up revenues</w:t>
      </w:r>
    </w:p>
    <w:p>
      <w:pPr>
        <w:spacing w:after="0" w:line="117"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Set-up fees are specific for each connection a customer has with a trading partner. These nonrefundable fees are necessary for our customers to utilize our services and do not provide any standalone value. Many of our customers have connections with numerous trading partners.</w:t>
      </w:r>
    </w:p>
    <w:p>
      <w:pPr>
        <w:spacing w:after="0" w:line="16"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Set-up fees constitute a material renewal option right that provide customers a significant future incentive that would not be otherwise available to that customer unless they entered into the contract, as the set-up fees will not be incurred again upon contract renewal. As such, set-up fees and related costs are deferred and recognized ratably over two years which is the estimated period for which a material right is present for our customers.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activity of the portion of the deferred revenue liability relating to set-up fees: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6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ind w:left="580"/>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4"/>
                <w:szCs w:val="14"/>
                <w:color w:val="auto"/>
              </w:rPr>
            </w:pPr>
          </w:p>
        </w:tc>
      </w:tr>
      <w:tr>
        <w:trPr>
          <w:trHeight w:val="196"/>
        </w:trPr>
        <w:tc>
          <w:tcPr>
            <w:tcW w:w="50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19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2021</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15,309</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8"/>
              </w:rPr>
              <w:t>14,459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11,118</w:t>
            </w: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Invoiced set-up fees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3,715</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ind w:left="580"/>
              <w:spacing w:after="0"/>
              <w:rPr>
                <w:sz w:val="20"/>
                <w:szCs w:val="20"/>
                <w:color w:val="auto"/>
              </w:rPr>
            </w:pPr>
            <w:r>
              <w:rPr>
                <w:rFonts w:ascii="Arial" w:cs="Arial" w:eastAsia="Arial" w:hAnsi="Arial"/>
                <w:sz w:val="18"/>
                <w:szCs w:val="18"/>
                <w:color w:val="auto"/>
                <w:w w:val="98"/>
              </w:rPr>
              <w:t>11,776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11,832</w:t>
            </w:r>
          </w:p>
        </w:tc>
      </w:tr>
      <w:tr>
        <w:trPr>
          <w:trHeight w:val="229"/>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Recognized set-up fees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(3,805)</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2"/>
              </w:rPr>
              <w:t>(11,016)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(9,229)</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15,219</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13,721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8"/>
              </w:rPr>
              <w:t>15,219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13,721</w:t>
            </w:r>
          </w:p>
        </w:tc>
      </w:tr>
      <w:tr>
        <w:trPr>
          <w:trHeight w:val="21"/>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entire balance of deferred set-up fees will be recognized within two years. Those that will be recognized within the next year are classified as current, whereas the remainder are classified as non-current.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5460" w:val="left"/>
          <w:tab w:leader="none" w:pos="8300" w:val="left"/>
        </w:tabs>
        <w:rPr>
          <w:sz w:val="20"/>
          <w:szCs w:val="20"/>
          <w:color w:val="auto"/>
        </w:rPr>
      </w:pPr>
      <w:r>
        <w:rPr>
          <w:sz w:val="1"/>
          <w:szCs w:val="1"/>
          <w:color w:val="auto"/>
        </w:rPr>
        <w:drawing>
          <wp:inline distT="0" distB="0" distL="0" distR="0">
            <wp:extent cx="325755" cy="2997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755" cy="299720"/>
                    </a:xfrm>
                    <a:prstGeom prst="rect">
                      <a:avLst/>
                    </a:prstGeom>
                    <a:noFill/>
                    <a:ln>
                      <a:noFill/>
                    </a:ln>
                  </pic:spPr>
                </pic:pic>
              </a:graphicData>
            </a:graphic>
          </wp:inline>
        </w:drawing>
      </w:r>
      <w:r>
        <w:rPr>
          <w:rFonts w:ascii="Arial" w:cs="Arial" w:eastAsia="Arial" w:hAnsi="Arial"/>
          <w:sz w:val="29"/>
          <w:szCs w:val="29"/>
          <w:b w:val="1"/>
          <w:bCs w:val="1"/>
          <w:color w:val="auto"/>
          <w:vertAlign w:val="superscript"/>
        </w:rPr>
        <w:t>SPS COMMERCE, INC.</w:t>
      </w:r>
      <w:r>
        <w:rPr>
          <w:sz w:val="20"/>
          <w:szCs w:val="20"/>
          <w:color w:val="auto"/>
        </w:rPr>
        <w:tab/>
      </w:r>
      <w:r>
        <w:rPr>
          <w:rFonts w:ascii="Arial" w:cs="Arial" w:eastAsia="Arial" w:hAnsi="Arial"/>
          <w:sz w:val="14"/>
          <w:szCs w:val="14"/>
          <w:color w:val="auto"/>
        </w:rPr>
        <w:t>9</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one-time revenues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Miscellaneous one-time fees consist of professional services and testing and certification.</w:t>
      </w:r>
    </w:p>
    <w:p>
      <w:pPr>
        <w:spacing w:after="0" w:line="117"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The contract period for these one-time fees is for one year or less and recognized at the time service is provided. We have applied the optional exemption to not disclose information about the remaining performance obligations for miscellaneous one-time fee contracts since they have original durations of one year or less.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D – Deferred Costs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deferred costs activity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20" w:type="dxa"/>
            <w:vAlign w:val="bottom"/>
            <w:gridSpan w:val="3"/>
          </w:tcPr>
          <w:p>
            <w:pPr>
              <w:ind w:left="580"/>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2021</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378"/>
              <w:spacing w:after="0"/>
              <w:rPr>
                <w:sz w:val="20"/>
                <w:szCs w:val="20"/>
                <w:color w:val="auto"/>
              </w:rPr>
            </w:pPr>
            <w:r>
              <w:rPr>
                <w:rFonts w:ascii="Arial" w:cs="Arial" w:eastAsia="Arial" w:hAnsi="Arial"/>
                <w:sz w:val="18"/>
                <w:szCs w:val="18"/>
                <w:color w:val="auto"/>
                <w:w w:val="90"/>
              </w:rPr>
              <w:t>64,665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left="254"/>
              <w:spacing w:after="0"/>
              <w:rPr>
                <w:sz w:val="20"/>
                <w:szCs w:val="20"/>
                <w:color w:val="auto"/>
              </w:rPr>
            </w:pPr>
            <w:r>
              <w:rPr>
                <w:rFonts w:ascii="Arial" w:cs="Arial" w:eastAsia="Arial" w:hAnsi="Arial"/>
                <w:sz w:val="18"/>
                <w:szCs w:val="18"/>
                <w:color w:val="auto"/>
                <w:w w:val="87"/>
              </w:rPr>
              <w:t>53,841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8"/>
              </w:rPr>
              <w:t>59,720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174"/>
              <w:spacing w:after="0"/>
              <w:rPr>
                <w:sz w:val="20"/>
                <w:szCs w:val="20"/>
                <w:color w:val="auto"/>
              </w:rPr>
            </w:pPr>
            <w:r>
              <w:rPr>
                <w:rFonts w:ascii="Arial" w:cs="Arial" w:eastAsia="Arial" w:hAnsi="Arial"/>
                <w:sz w:val="18"/>
                <w:szCs w:val="18"/>
                <w:color w:val="auto"/>
                <w:w w:val="87"/>
              </w:rPr>
              <w:t>50,595</w:t>
            </w: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Incurred deferred costs</w:t>
            </w:r>
          </w:p>
        </w:tc>
        <w:tc>
          <w:tcPr>
            <w:tcW w:w="360" w:type="dxa"/>
            <w:vAlign w:val="bottom"/>
          </w:tcPr>
          <w:p>
            <w:pPr>
              <w:spacing w:after="0"/>
              <w:rPr>
                <w:sz w:val="19"/>
                <w:szCs w:val="19"/>
                <w:color w:val="auto"/>
              </w:rPr>
            </w:pPr>
          </w:p>
        </w:tc>
        <w:tc>
          <w:tcPr>
            <w:tcW w:w="1120" w:type="dxa"/>
            <w:vAlign w:val="bottom"/>
          </w:tcPr>
          <w:p>
            <w:pPr>
              <w:jc w:val="center"/>
              <w:ind w:left="378"/>
              <w:spacing w:after="0"/>
              <w:rPr>
                <w:sz w:val="20"/>
                <w:szCs w:val="20"/>
                <w:color w:val="auto"/>
              </w:rPr>
            </w:pPr>
            <w:r>
              <w:rPr>
                <w:rFonts w:ascii="Arial" w:cs="Arial" w:eastAsia="Arial" w:hAnsi="Arial"/>
                <w:sz w:val="18"/>
                <w:szCs w:val="18"/>
                <w:color w:val="auto"/>
                <w:w w:val="90"/>
              </w:rPr>
              <w:t>17,442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center"/>
              <w:ind w:left="254"/>
              <w:spacing w:after="0"/>
              <w:rPr>
                <w:sz w:val="20"/>
                <w:szCs w:val="20"/>
                <w:color w:val="auto"/>
              </w:rPr>
            </w:pPr>
            <w:r>
              <w:rPr>
                <w:rFonts w:ascii="Arial" w:cs="Arial" w:eastAsia="Arial" w:hAnsi="Arial"/>
                <w:sz w:val="18"/>
                <w:szCs w:val="18"/>
                <w:color w:val="auto"/>
                <w:w w:val="87"/>
              </w:rPr>
              <w:t>16,459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ind w:left="580"/>
              <w:spacing w:after="0"/>
              <w:rPr>
                <w:sz w:val="20"/>
                <w:szCs w:val="20"/>
                <w:color w:val="auto"/>
              </w:rPr>
            </w:pPr>
            <w:r>
              <w:rPr>
                <w:rFonts w:ascii="Arial" w:cs="Arial" w:eastAsia="Arial" w:hAnsi="Arial"/>
                <w:sz w:val="18"/>
                <w:szCs w:val="18"/>
                <w:color w:val="auto"/>
                <w:w w:val="98"/>
              </w:rPr>
              <w:t>52,860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center"/>
              <w:ind w:left="174"/>
              <w:spacing w:after="0"/>
              <w:rPr>
                <w:sz w:val="20"/>
                <w:szCs w:val="20"/>
                <w:color w:val="auto"/>
              </w:rPr>
            </w:pPr>
            <w:r>
              <w:rPr>
                <w:rFonts w:ascii="Arial" w:cs="Arial" w:eastAsia="Arial" w:hAnsi="Arial"/>
                <w:sz w:val="18"/>
                <w:szCs w:val="18"/>
                <w:color w:val="auto"/>
                <w:w w:val="87"/>
              </w:rPr>
              <w:t>45,922</w:t>
            </w:r>
          </w:p>
        </w:tc>
      </w:tr>
      <w:tr>
        <w:trPr>
          <w:trHeight w:val="229"/>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Amortized deferred costs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58"/>
              <w:spacing w:after="0"/>
              <w:rPr>
                <w:sz w:val="20"/>
                <w:szCs w:val="20"/>
                <w:color w:val="auto"/>
              </w:rPr>
            </w:pPr>
            <w:r>
              <w:rPr>
                <w:rFonts w:ascii="Arial" w:cs="Arial" w:eastAsia="Arial" w:hAnsi="Arial"/>
                <w:sz w:val="18"/>
                <w:szCs w:val="18"/>
                <w:color w:val="auto"/>
                <w:w w:val="89"/>
              </w:rPr>
              <w:t>(15,551)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234"/>
              <w:spacing w:after="0"/>
              <w:rPr>
                <w:sz w:val="20"/>
                <w:szCs w:val="20"/>
                <w:color w:val="auto"/>
              </w:rPr>
            </w:pPr>
            <w:r>
              <w:rPr>
                <w:rFonts w:ascii="Arial" w:cs="Arial" w:eastAsia="Arial" w:hAnsi="Arial"/>
                <w:sz w:val="18"/>
                <w:szCs w:val="18"/>
                <w:color w:val="auto"/>
                <w:w w:val="92"/>
              </w:rPr>
              <w:t>(14,207)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2"/>
              </w:rPr>
              <w:t>(46,024)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154"/>
              <w:spacing w:after="0"/>
              <w:rPr>
                <w:sz w:val="20"/>
                <w:szCs w:val="20"/>
                <w:color w:val="auto"/>
              </w:rPr>
            </w:pPr>
            <w:r>
              <w:rPr>
                <w:rFonts w:ascii="Arial" w:cs="Arial" w:eastAsia="Arial" w:hAnsi="Arial"/>
                <w:sz w:val="18"/>
                <w:szCs w:val="18"/>
                <w:color w:val="auto"/>
                <w:w w:val="92"/>
              </w:rPr>
              <w:t>(40,424)</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378"/>
              <w:spacing w:after="0"/>
              <w:rPr>
                <w:sz w:val="20"/>
                <w:szCs w:val="20"/>
                <w:color w:val="auto"/>
              </w:rPr>
            </w:pPr>
            <w:r>
              <w:rPr>
                <w:rFonts w:ascii="Arial" w:cs="Arial" w:eastAsia="Arial" w:hAnsi="Arial"/>
                <w:sz w:val="18"/>
                <w:szCs w:val="18"/>
                <w:color w:val="auto"/>
                <w:w w:val="90"/>
              </w:rPr>
              <w:t>66,556</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center"/>
              <w:ind w:left="254"/>
              <w:spacing w:after="0"/>
              <w:rPr>
                <w:sz w:val="20"/>
                <w:szCs w:val="20"/>
                <w:color w:val="auto"/>
              </w:rPr>
            </w:pPr>
            <w:r>
              <w:rPr>
                <w:rFonts w:ascii="Arial" w:cs="Arial" w:eastAsia="Arial" w:hAnsi="Arial"/>
                <w:sz w:val="18"/>
                <w:szCs w:val="18"/>
                <w:color w:val="auto"/>
                <w:w w:val="87"/>
              </w:rPr>
              <w:t>56,093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8"/>
              </w:rPr>
              <w:t>66,556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center"/>
              <w:ind w:left="174"/>
              <w:spacing w:after="0"/>
              <w:rPr>
                <w:sz w:val="20"/>
                <w:szCs w:val="20"/>
                <w:color w:val="auto"/>
              </w:rPr>
            </w:pPr>
            <w:r>
              <w:rPr>
                <w:rFonts w:ascii="Arial" w:cs="Arial" w:eastAsia="Arial" w:hAnsi="Arial"/>
                <w:sz w:val="18"/>
                <w:szCs w:val="18"/>
                <w:color w:val="auto"/>
                <w:w w:val="87"/>
              </w:rPr>
              <w:t>56,093</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E –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Cash Equivalents and Investments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equivalents and investments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September 30, 2022</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December 31, 2021</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3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3"/>
              </w:rPr>
              <w:t>Unrealized Gains,</w:t>
            </w:r>
          </w:p>
        </w:tc>
        <w:tc>
          <w:tcPr>
            <w:tcW w:w="20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34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3"/>
              </w:rPr>
              <w:t>Unrealized Gains</w:t>
            </w:r>
          </w:p>
        </w:tc>
        <w:tc>
          <w:tcPr>
            <w:tcW w:w="200" w:type="dxa"/>
            <w:vAlign w:val="bottom"/>
          </w:tcPr>
          <w:p>
            <w:pPr>
              <w:spacing w:after="0"/>
              <w:rPr>
                <w:sz w:val="11"/>
                <w:szCs w:val="11"/>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(Losses), net</w:t>
            </w:r>
          </w:p>
        </w:tc>
        <w:tc>
          <w:tcPr>
            <w:tcW w:w="2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111,498</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111,498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138,205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138,205</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Certificates of deposit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Marketable securities: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34,991</w:t>
            </w:r>
          </w:p>
        </w:tc>
        <w:tc>
          <w:tcPr>
            <w:tcW w:w="0" w:type="dxa"/>
            <w:vAlign w:val="bottom"/>
          </w:tcPr>
          <w:p>
            <w:pPr>
              <w:spacing w:after="0"/>
              <w:rPr>
                <w:sz w:val="1"/>
                <w:szCs w:val="1"/>
                <w:color w:val="auto"/>
              </w:rPr>
            </w:pPr>
          </w:p>
        </w:tc>
      </w:tr>
      <w:tr>
        <w:trPr>
          <w:trHeight w:val="230"/>
        </w:trPr>
        <w:tc>
          <w:tcPr>
            <w:tcW w:w="336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187,963</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20" w:val="left"/>
          <w:tab w:leader="none" w:pos="8300" w:val="left"/>
        </w:tabs>
        <w:rPr>
          <w:sz w:val="20"/>
          <w:szCs w:val="20"/>
          <w:color w:val="auto"/>
        </w:rPr>
      </w:pPr>
      <w:r>
        <w:rPr>
          <w:sz w:val="1"/>
          <w:szCs w:val="1"/>
          <w:color w:val="auto"/>
        </w:rPr>
        <w:drawing>
          <wp:inline distT="0" distB="0" distL="0" distR="0">
            <wp:extent cx="325755" cy="30035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755" cy="300355"/>
                    </a:xfrm>
                    <a:prstGeom prst="rect">
                      <a:avLst/>
                    </a:prstGeom>
                    <a:noFill/>
                    <a:ln>
                      <a:noFill/>
                    </a:ln>
                  </pic:spPr>
                </pic:pic>
              </a:graphicData>
            </a:graphic>
          </wp:inline>
        </w:drawing>
      </w: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10</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Recurring Fair Value Measurements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fair value hierarchy of our assets and liabilities measured at a fair value on a recurring basis: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0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138,205</w:t>
            </w:r>
          </w:p>
        </w:tc>
        <w:tc>
          <w:tcPr>
            <w:tcW w:w="0" w:type="dxa"/>
            <w:vAlign w:val="bottom"/>
          </w:tcPr>
          <w:p>
            <w:pPr>
              <w:spacing w:after="0"/>
              <w:rPr>
                <w:sz w:val="1"/>
                <w:szCs w:val="1"/>
                <w:color w:val="auto"/>
              </w:rPr>
            </w:pPr>
          </w:p>
        </w:tc>
      </w:tr>
      <w:tr>
        <w:trPr>
          <w:trHeight w:val="230"/>
        </w:trPr>
        <w:tc>
          <w:tcPr>
            <w:tcW w:w="250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7,268</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44,491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44,491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34,991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34,991</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117,935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44,491</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162,426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145,473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42,490</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187,963</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i w:val="1"/>
          <w:iCs w:val="1"/>
          <w:color w:val="auto"/>
        </w:rPr>
        <w:t>See Note E to the consolidated financial statements included in our Annual Report on Form 10-K for the year ended December 31, 2021, as filed with the SEC, for additional information regarding the three levels of inputs that may be used to measure fair value.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F – Allowance for Credit Losses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allowance for credit losses activity, included in accounts receivable, net, was as follows:</w:t>
      </w:r>
    </w:p>
    <w:p>
      <w:pPr>
        <w:spacing w:after="0" w:line="247"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Nine Months Ended</w:t>
      </w:r>
    </w:p>
    <w:p>
      <w:pPr>
        <w:jc w:val="center"/>
        <w:ind w:left="8160"/>
        <w:spacing w:after="0"/>
        <w:rPr>
          <w:sz w:val="20"/>
          <w:szCs w:val="20"/>
          <w:color w:val="auto"/>
        </w:rPr>
      </w:pPr>
      <w:r>
        <w:rPr>
          <w:rFonts w:ascii="Arial" w:cs="Arial" w:eastAsia="Arial" w:hAnsi="Arial"/>
          <w:sz w:val="14"/>
          <w:szCs w:val="14"/>
          <w:b w:val="1"/>
          <w:bCs w:val="1"/>
          <w:color w:val="auto"/>
        </w:rPr>
        <w:t>September 30,</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1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54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beginning of period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Provision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Write-offs, net of recoveries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end of period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G – Property and Equipment, Net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Property and equipment, net consisted of the following:</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center"/>
              <w:ind w:left="310"/>
              <w:spacing w:after="0"/>
              <w:rPr>
                <w:sz w:val="20"/>
                <w:szCs w:val="20"/>
                <w:color w:val="auto"/>
              </w:rPr>
            </w:pPr>
            <w:r>
              <w:rPr>
                <w:rFonts w:ascii="Arial" w:cs="Arial" w:eastAsia="Arial" w:hAnsi="Arial"/>
                <w:sz w:val="18"/>
                <w:szCs w:val="18"/>
                <w:color w:val="auto"/>
                <w:w w:val="88"/>
              </w:rPr>
              <w:t>4,249</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center"/>
              <w:ind w:left="310"/>
              <w:spacing w:after="0"/>
              <w:rPr>
                <w:sz w:val="20"/>
                <w:szCs w:val="20"/>
                <w:color w:val="auto"/>
              </w:rPr>
            </w:pPr>
            <w:r>
              <w:rPr>
                <w:rFonts w:ascii="Arial" w:cs="Arial" w:eastAsia="Arial" w:hAnsi="Arial"/>
                <w:sz w:val="18"/>
                <w:szCs w:val="18"/>
                <w:color w:val="auto"/>
                <w:w w:val="88"/>
              </w:rPr>
              <w:t>4,233</w:t>
            </w:r>
          </w:p>
        </w:tc>
      </w:tr>
      <w:tr>
        <w:trPr>
          <w:trHeight w:val="229"/>
        </w:trPr>
        <w:tc>
          <w:tcPr>
            <w:tcW w:w="520" w:type="dxa"/>
            <w:vAlign w:val="bottom"/>
          </w:tcPr>
          <w:p>
            <w:pPr>
              <w:spacing w:after="0"/>
              <w:rPr>
                <w:sz w:val="19"/>
                <w:szCs w:val="19"/>
                <w:color w:val="auto"/>
              </w:rPr>
            </w:pPr>
          </w:p>
        </w:tc>
        <w:tc>
          <w:tcPr>
            <w:tcW w:w="960" w:type="dxa"/>
            <w:vAlign w:val="bottom"/>
          </w:tcPr>
          <w:p>
            <w:pPr>
              <w:jc w:val="center"/>
              <w:ind w:left="310"/>
              <w:spacing w:after="0"/>
              <w:rPr>
                <w:sz w:val="20"/>
                <w:szCs w:val="20"/>
                <w:color w:val="auto"/>
              </w:rPr>
            </w:pPr>
            <w:r>
              <w:rPr>
                <w:rFonts w:ascii="Arial" w:cs="Arial" w:eastAsia="Arial" w:hAnsi="Arial"/>
                <w:sz w:val="18"/>
                <w:szCs w:val="18"/>
                <w:color w:val="auto"/>
                <w:w w:val="88"/>
              </w:rPr>
              <w:t>2,889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center"/>
              <w:ind w:left="310"/>
              <w:spacing w:after="0"/>
              <w:rPr>
                <w:sz w:val="20"/>
                <w:szCs w:val="20"/>
                <w:color w:val="auto"/>
              </w:rPr>
            </w:pPr>
            <w:r>
              <w:rPr>
                <w:rFonts w:ascii="Arial" w:cs="Arial" w:eastAsia="Arial" w:hAnsi="Arial"/>
                <w:sz w:val="18"/>
                <w:szCs w:val="18"/>
                <w:color w:val="auto"/>
                <w:w w:val="88"/>
              </w:rPr>
              <w:t>4,037</w:t>
            </w:r>
          </w:p>
        </w:tc>
      </w:tr>
      <w:tr>
        <w:trPr>
          <w:trHeight w:val="230"/>
        </w:trPr>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4"/>
              </w:rPr>
              <w:t>(3,480)</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4"/>
              </w:rPr>
              <w:t>(3,666)</w:t>
            </w:r>
          </w:p>
        </w:tc>
      </w:tr>
      <w:tr>
        <w:trPr>
          <w:trHeight w:val="223"/>
        </w:trPr>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88"/>
              </w:rPr>
              <w:t>3,658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88"/>
              </w:rPr>
              <w:t>4,604</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1"/>
              </w:rPr>
              <w:t>September 30,</w:t>
            </w:r>
          </w:p>
        </w:tc>
        <w:tc>
          <w:tcPr>
            <w:tcW w:w="142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0"/>
              </w:rPr>
              <w:t>December 31, 2021</w:t>
            </w:r>
          </w:p>
        </w:tc>
        <w:tc>
          <w:tcPr>
            <w:tcW w:w="0" w:type="dxa"/>
            <w:vAlign w:val="bottom"/>
          </w:tcPr>
          <w:p>
            <w:pPr>
              <w:spacing w:after="0"/>
              <w:rPr>
                <w:sz w:val="1"/>
                <w:szCs w:val="1"/>
                <w:color w:val="auto"/>
              </w:rPr>
            </w:pPr>
          </w:p>
        </w:tc>
      </w:tr>
      <w:tr>
        <w:trPr>
          <w:trHeight w:val="186"/>
        </w:trPr>
        <w:tc>
          <w:tcPr>
            <w:tcW w:w="1120" w:type="dxa"/>
            <w:vAlign w:val="bottom"/>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460" w:space="720"/>
            <w:col w:w="306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50,311</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44,981</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29,329</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16,685</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Office equipment and furniture</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10,972</w:t>
            </w:r>
          </w:p>
        </w:tc>
      </w:tr>
      <w:tr>
        <w:trPr>
          <w:trHeight w:val="223"/>
        </w:trPr>
        <w:tc>
          <w:tcPr>
            <w:tcW w:w="8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and equipment, cost</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101,967</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(77,936)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(70,066)</w:t>
            </w:r>
          </w:p>
        </w:tc>
      </w:tr>
      <w:tr>
        <w:trPr>
          <w:trHeight w:val="248"/>
        </w:trPr>
        <w:tc>
          <w:tcPr>
            <w:tcW w:w="8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property and equipment,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31,901</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342900</wp:posOffset>
            </wp:positionV>
            <wp:extent cx="325755" cy="299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75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spacing w:after="0"/>
        <w:tabs>
          <w:tab w:leader="none" w:pos="5420" w:val="left"/>
          <w:tab w:leader="none" w:pos="83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11</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H – Goodwill and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Goodwill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activity in goodwill was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4"/>
          </w:tcPr>
          <w:p>
            <w:pPr>
              <w:jc w:val="right"/>
              <w:ind w:right="83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134,853</w:t>
            </w:r>
          </w:p>
        </w:tc>
        <w:tc>
          <w:tcPr>
            <w:tcW w:w="0" w:type="dxa"/>
            <w:vAlign w:val="bottom"/>
          </w:tcPr>
          <w:p>
            <w:pPr>
              <w:spacing w:after="0"/>
              <w:rPr>
                <w:sz w:val="1"/>
                <w:szCs w:val="1"/>
                <w:color w:val="auto"/>
              </w:rPr>
            </w:pPr>
          </w:p>
        </w:tc>
      </w:tr>
      <w:tr>
        <w:trPr>
          <w:trHeight w:val="229"/>
        </w:trPr>
        <w:tc>
          <w:tcPr>
            <w:tcW w:w="3500" w:type="dxa"/>
            <w:vAlign w:val="bottom"/>
          </w:tcPr>
          <w:p>
            <w:pPr>
              <w:ind w:left="180"/>
              <w:spacing w:after="0"/>
              <w:rPr>
                <w:sz w:val="20"/>
                <w:szCs w:val="20"/>
                <w:color w:val="auto"/>
              </w:rPr>
            </w:pPr>
            <w:r>
              <w:rPr>
                <w:rFonts w:ascii="Arial" w:cs="Arial" w:eastAsia="Arial" w:hAnsi="Arial"/>
                <w:sz w:val="18"/>
                <w:szCs w:val="18"/>
                <w:color w:val="auto"/>
              </w:rPr>
              <w:t>Addition from business acquisition</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0"/>
        </w:trPr>
        <w:tc>
          <w:tcPr>
            <w:tcW w:w="5060" w:type="dxa"/>
            <w:vAlign w:val="bottom"/>
            <w:gridSpan w:val="4"/>
          </w:tcPr>
          <w:p>
            <w:pPr>
              <w:ind w:left="180"/>
              <w:spacing w:after="0"/>
              <w:rPr>
                <w:sz w:val="20"/>
                <w:szCs w:val="20"/>
                <w:color w:val="auto"/>
              </w:rPr>
            </w:pPr>
            <w:r>
              <w:rPr>
                <w:rFonts w:ascii="Arial" w:cs="Arial" w:eastAsia="Arial" w:hAnsi="Arial"/>
                <w:sz w:val="18"/>
                <w:szCs w:val="18"/>
                <w:color w:val="auto"/>
                <w:w w:val="96"/>
              </w:rPr>
              <w:t>Remeasurement from provisional purchase accounting amount</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134,680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1F282C"/>
              </w:rPr>
              <w:t>Intangible Assets</w:t>
            </w: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60" w:type="dxa"/>
            <w:vAlign w:val="bottom"/>
            <w:gridSpan w:val="4"/>
          </w:tcPr>
          <w:p>
            <w:pPr>
              <w:ind w:left="660"/>
              <w:spacing w:after="0"/>
              <w:rPr>
                <w:sz w:val="20"/>
                <w:szCs w:val="20"/>
                <w:color w:val="auto"/>
              </w:rPr>
            </w:pPr>
            <w:r>
              <w:rPr>
                <w:rFonts w:ascii="Arial" w:cs="Arial" w:eastAsia="Arial" w:hAnsi="Arial"/>
                <w:sz w:val="18"/>
                <w:szCs w:val="18"/>
                <w:color w:val="auto"/>
              </w:rPr>
              <w:t>Intangible assets, net consisted of the following:</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ind w:right="15"/>
              <w:spacing w:after="0" w:line="12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2"/>
                <w:szCs w:val="12"/>
                <w:color w:val="auto"/>
              </w:rPr>
            </w:pPr>
          </w:p>
        </w:tc>
        <w:tc>
          <w:tcPr>
            <w:tcW w:w="13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96"/>
        </w:trPr>
        <w:tc>
          <w:tcPr>
            <w:tcW w:w="35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2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Subscriber relationships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43,383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ind w:right="15"/>
              <w:spacing w:after="0"/>
              <w:rPr>
                <w:sz w:val="20"/>
                <w:szCs w:val="20"/>
                <w:color w:val="auto"/>
              </w:rPr>
            </w:pPr>
            <w:r>
              <w:rPr>
                <w:rFonts w:ascii="Arial" w:cs="Arial" w:eastAsia="Arial" w:hAnsi="Arial"/>
                <w:sz w:val="18"/>
                <w:szCs w:val="18"/>
                <w:color w:val="auto"/>
                <w:w w:val="86"/>
              </w:rPr>
              <w:t>6.6 years</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Acquired technology</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37,351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ind w:right="15"/>
              <w:spacing w:after="0"/>
              <w:rPr>
                <w:sz w:val="20"/>
                <w:szCs w:val="20"/>
                <w:color w:val="auto"/>
              </w:rPr>
            </w:pPr>
            <w:r>
              <w:rPr>
                <w:rFonts w:ascii="Arial" w:cs="Arial" w:eastAsia="Arial" w:hAnsi="Arial"/>
                <w:sz w:val="18"/>
                <w:szCs w:val="18"/>
                <w:color w:val="auto"/>
                <w:w w:val="86"/>
              </w:rPr>
              <w:t>6.0 years</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center"/>
              <w:ind w:right="15"/>
              <w:spacing w:after="0"/>
              <w:rPr>
                <w:sz w:val="20"/>
                <w:szCs w:val="20"/>
                <w:color w:val="auto"/>
              </w:rPr>
            </w:pPr>
            <w:r>
              <w:rPr>
                <w:rFonts w:ascii="Arial" w:cs="Arial" w:eastAsia="Arial" w:hAnsi="Arial"/>
                <w:sz w:val="18"/>
                <w:szCs w:val="18"/>
                <w:color w:val="auto"/>
                <w:w w:val="86"/>
              </w:rPr>
              <w:t>6.4 years</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3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2021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44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ind w:right="15"/>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2"/>
                <w:szCs w:val="12"/>
                <w:color w:val="auto"/>
              </w:rPr>
            </w:pPr>
          </w:p>
        </w:tc>
        <w:tc>
          <w:tcPr>
            <w:tcW w:w="13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92"/>
        </w:trPr>
        <w:tc>
          <w:tcPr>
            <w:tcW w:w="35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2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Subscriber relationships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ind w:right="15"/>
              <w:spacing w:after="0"/>
              <w:rPr>
                <w:sz w:val="20"/>
                <w:szCs w:val="20"/>
                <w:color w:val="auto"/>
              </w:rPr>
            </w:pPr>
            <w:r>
              <w:rPr>
                <w:rFonts w:ascii="Arial" w:cs="Arial" w:eastAsia="Arial" w:hAnsi="Arial"/>
                <w:sz w:val="18"/>
                <w:szCs w:val="18"/>
                <w:color w:val="auto"/>
                <w:w w:val="86"/>
              </w:rPr>
              <w:t>6.4 years</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Acquired technology</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ind w:right="15"/>
              <w:spacing w:after="0"/>
              <w:rPr>
                <w:sz w:val="20"/>
                <w:szCs w:val="20"/>
                <w:color w:val="auto"/>
              </w:rPr>
            </w:pPr>
            <w:r>
              <w:rPr>
                <w:rFonts w:ascii="Arial" w:cs="Arial" w:eastAsia="Arial" w:hAnsi="Arial"/>
                <w:sz w:val="18"/>
                <w:szCs w:val="18"/>
                <w:color w:val="auto"/>
                <w:w w:val="86"/>
              </w:rPr>
              <w:t>6.8 years</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center"/>
              <w:ind w:right="15"/>
              <w:spacing w:after="0"/>
              <w:rPr>
                <w:sz w:val="20"/>
                <w:szCs w:val="20"/>
                <w:color w:val="auto"/>
              </w:rPr>
            </w:pPr>
            <w:r>
              <w:rPr>
                <w:rFonts w:ascii="Arial" w:cs="Arial" w:eastAsia="Arial" w:hAnsi="Arial"/>
                <w:sz w:val="18"/>
                <w:szCs w:val="18"/>
                <w:color w:val="auto"/>
                <w:w w:val="86"/>
              </w:rPr>
              <w:t>6.6 years</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180" w:type="dxa"/>
            <w:vAlign w:val="bottom"/>
            <w:gridSpan w:val="10"/>
          </w:tcPr>
          <w:p>
            <w:pPr>
              <w:ind w:left="660"/>
              <w:spacing w:after="0"/>
              <w:rPr>
                <w:sz w:val="20"/>
                <w:szCs w:val="20"/>
                <w:color w:val="auto"/>
              </w:rPr>
            </w:pPr>
            <w:r>
              <w:rPr>
                <w:rFonts w:ascii="Arial" w:cs="Arial" w:eastAsia="Arial" w:hAnsi="Arial"/>
                <w:sz w:val="18"/>
                <w:szCs w:val="18"/>
                <w:color w:val="auto"/>
              </w:rPr>
              <w:t>The estimated future annual amortization expense related to intangible assets is as follows: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12,379</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11,217</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11,079</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22,880</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70,742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342900</wp:posOffset>
            </wp:positionV>
            <wp:extent cx="325755"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spacing w:after="0"/>
        <w:tabs>
          <w:tab w:leader="none" w:pos="5420" w:val="left"/>
          <w:tab w:leader="none" w:pos="83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12</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I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Leases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14"/>
                <w:szCs w:val="14"/>
                <w:color w:val="auto"/>
              </w:rPr>
            </w:pPr>
          </w:p>
        </w:tc>
      </w:tr>
      <w:tr>
        <w:trPr>
          <w:trHeight w:val="192"/>
        </w:trPr>
        <w:tc>
          <w:tcPr>
            <w:tcW w:w="5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6"/>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89"/>
              </w:rPr>
              <w:t>2021</w:t>
            </w: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r>
      <w:tr>
        <w:trPr>
          <w:trHeight w:val="229"/>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w:t>
            </w:r>
          </w:p>
        </w:tc>
      </w:tr>
      <w:tr>
        <w:trPr>
          <w:trHeight w:val="248"/>
        </w:trPr>
        <w:tc>
          <w:tcPr>
            <w:tcW w:w="5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1,849</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tcPr>
          <w:p>
            <w:pPr>
              <w:jc w:val="center"/>
              <w:ind w:right="828"/>
              <w:spacing w:after="0"/>
              <w:rPr>
                <w:sz w:val="20"/>
                <w:szCs w:val="20"/>
                <w:color w:val="auto"/>
              </w:rPr>
            </w:pPr>
            <w:r>
              <w:rPr>
                <w:rFonts w:ascii="Arial" w:cs="Arial" w:eastAsia="Arial" w:hAnsi="Arial"/>
                <w:sz w:val="14"/>
                <w:szCs w:val="14"/>
                <w:b w:val="1"/>
                <w:bCs w:val="1"/>
                <w:color w:val="auto"/>
                <w:w w:val="93"/>
              </w:rPr>
              <w:t>Nine Months Ended</w:t>
            </w:r>
          </w:p>
        </w:tc>
      </w:tr>
      <w:tr>
        <w:trPr>
          <w:trHeight w:val="196"/>
        </w:trPr>
        <w:tc>
          <w:tcPr>
            <w:tcW w:w="8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center"/>
              <w:ind w:right="848"/>
              <w:spacing w:after="0"/>
              <w:rPr>
                <w:sz w:val="20"/>
                <w:szCs w:val="20"/>
                <w:color w:val="auto"/>
              </w:rPr>
            </w:pPr>
            <w:r>
              <w:rPr>
                <w:rFonts w:ascii="Arial" w:cs="Arial" w:eastAsia="Arial" w:hAnsi="Arial"/>
                <w:sz w:val="14"/>
                <w:szCs w:val="14"/>
                <w:b w:val="1"/>
                <w:bCs w:val="1"/>
                <w:color w:val="auto"/>
                <w:w w:val="91"/>
              </w:rPr>
              <w:t>September 30,</w:t>
            </w:r>
          </w:p>
        </w:tc>
      </w:tr>
      <w:tr>
        <w:trPr>
          <w:trHeight w:val="186"/>
        </w:trPr>
        <w:tc>
          <w:tcPr>
            <w:tcW w:w="81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216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3,399</w:t>
            </w:r>
          </w:p>
        </w:tc>
        <w:tc>
          <w:tcPr>
            <w:tcW w:w="580" w:type="dxa"/>
            <w:vAlign w:val="bottom"/>
            <w:gridSpan w:val="2"/>
          </w:tcPr>
          <w:p>
            <w:pPr>
              <w:jc w:val="right"/>
              <w:ind w:right="276"/>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7940" w:type="dxa"/>
            <w:vAlign w:val="bottom"/>
          </w:tcPr>
          <w:p>
            <w:pPr>
              <w:ind w:left="660"/>
              <w:spacing w:after="0"/>
              <w:rPr>
                <w:sz w:val="20"/>
                <w:szCs w:val="20"/>
                <w:color w:val="auto"/>
              </w:rPr>
            </w:pPr>
            <w:r>
              <w:rPr>
                <w:rFonts w:ascii="Arial" w:cs="Arial" w:eastAsia="Arial" w:hAnsi="Arial"/>
                <w:sz w:val="18"/>
                <w:szCs w:val="18"/>
                <w:color w:val="auto"/>
              </w:rPr>
              <w:t>Supplemental balance sheet information related to operating leases was as follows:</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7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24"/>
                <w:szCs w:val="24"/>
                <w:color w:val="auto"/>
              </w:rPr>
            </w:pPr>
          </w:p>
        </w:tc>
        <w:tc>
          <w:tcPr>
            <w:tcW w:w="148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192"/>
        </w:trPr>
        <w:tc>
          <w:tcPr>
            <w:tcW w:w="79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years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years</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418"/>
        </w:trPr>
        <w:tc>
          <w:tcPr>
            <w:tcW w:w="7940" w:type="dxa"/>
            <w:vAlign w:val="bottom"/>
          </w:tcPr>
          <w:p>
            <w:pPr>
              <w:ind w:left="660"/>
              <w:spacing w:after="0"/>
              <w:rPr>
                <w:sz w:val="20"/>
                <w:szCs w:val="20"/>
                <w:color w:val="auto"/>
              </w:rPr>
            </w:pPr>
            <w:r>
              <w:rPr>
                <w:rFonts w:ascii="Arial" w:cs="Arial" w:eastAsia="Arial" w:hAnsi="Arial"/>
                <w:sz w:val="18"/>
                <w:szCs w:val="18"/>
                <w:color w:val="auto"/>
                <w:w w:val="96"/>
              </w:rPr>
              <w:t>At September 30, 2022, our future minimum payments under operating leases were as follows:</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gross payments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19,974</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Purchase Commitments</w:t>
      </w:r>
    </w:p>
    <w:p>
      <w:pPr>
        <w:spacing w:after="0" w:line="104" w:lineRule="exact"/>
        <w:rPr>
          <w:sz w:val="20"/>
          <w:szCs w:val="20"/>
          <w:color w:val="auto"/>
        </w:rPr>
      </w:pPr>
    </w:p>
    <w:p>
      <w:pPr>
        <w:ind w:right="80" w:firstLine="648"/>
        <w:spacing w:after="0" w:line="324" w:lineRule="auto"/>
        <w:rPr>
          <w:sz w:val="20"/>
          <w:szCs w:val="20"/>
          <w:color w:val="auto"/>
        </w:rPr>
      </w:pPr>
      <w:r>
        <w:rPr>
          <w:rFonts w:ascii="Arial" w:cs="Arial" w:eastAsia="Arial" w:hAnsi="Arial"/>
          <w:sz w:val="16"/>
          <w:szCs w:val="16"/>
          <w:color w:val="auto"/>
        </w:rPr>
        <w:t>We have entered into separate noncancelable agreements with computing infrastructure, customer relationship management, and performance and security data analytics vendors for services through 2025. At September 30, 2022, the total remaining purchase commitments were $7.4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5420" w:val="left"/>
          <w:tab w:leader="none" w:pos="8300" w:val="left"/>
        </w:tabs>
        <w:rPr>
          <w:sz w:val="20"/>
          <w:szCs w:val="20"/>
          <w:color w:val="auto"/>
        </w:rPr>
      </w:pPr>
      <w:r>
        <w:rPr>
          <w:sz w:val="1"/>
          <w:szCs w:val="1"/>
          <w:color w:val="auto"/>
        </w:rPr>
        <w:drawing>
          <wp:inline distT="0" distB="0" distL="0" distR="0">
            <wp:extent cx="325755" cy="30035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755" cy="300355"/>
                    </a:xfrm>
                    <a:prstGeom prst="rect">
                      <a:avLst/>
                    </a:prstGeom>
                    <a:noFill/>
                    <a:ln>
                      <a:noFill/>
                    </a:ln>
                  </pic:spPr>
                </pic:pic>
              </a:graphicData>
            </a:graphic>
          </wp:inline>
        </w:drawing>
      </w: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13</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J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Share </w:t>
      </w:r>
      <w:r>
        <w:rPr>
          <w:rFonts w:ascii="Arial" w:cs="Arial" w:eastAsia="Arial" w:hAnsi="Arial"/>
          <w:sz w:val="18"/>
          <w:szCs w:val="18"/>
          <w:b w:val="1"/>
          <w:bCs w:val="1"/>
          <w:i w:val="1"/>
          <w:iCs w:val="1"/>
          <w:color w:val="1F282C"/>
        </w:rPr>
        <w:t>Repurchase Programs</w:t>
      </w:r>
    </w:p>
    <w:p>
      <w:pPr>
        <w:spacing w:after="0" w:line="11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212529"/>
        </w:rPr>
        <w:t xml:space="preserve">Our board of directors has authorized multiple non-concurrent programs to repurchase our common stock. Details of the programs and activity thereunder through </w:t>
      </w:r>
      <w:r>
        <w:rPr>
          <w:rFonts w:ascii="Arial" w:cs="Arial" w:eastAsia="Arial" w:hAnsi="Arial"/>
          <w:sz w:val="18"/>
          <w:szCs w:val="18"/>
          <w:color w:val="000000"/>
        </w:rPr>
        <w:t>September 30, 2022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Expiration Date</w:t>
            </w:r>
          </w:p>
        </w:tc>
        <w:tc>
          <w:tcPr>
            <w:tcW w:w="1640" w:type="dxa"/>
            <w:vAlign w:val="bottom"/>
            <w:gridSpan w:val="3"/>
          </w:tcPr>
          <w:p>
            <w:pPr>
              <w:ind w:left="40"/>
              <w:spacing w:after="0"/>
              <w:rPr>
                <w:sz w:val="20"/>
                <w:szCs w:val="20"/>
                <w:color w:val="auto"/>
              </w:rPr>
            </w:pPr>
            <w:r>
              <w:rPr>
                <w:rFonts w:ascii="Arial" w:cs="Arial" w:eastAsia="Arial" w:hAnsi="Arial"/>
                <w:sz w:val="14"/>
                <w:szCs w:val="14"/>
                <w:b w:val="1"/>
                <w:bCs w:val="1"/>
                <w:color w:val="auto"/>
              </w:rPr>
              <w:t>Share Value Authorized</w:t>
            </w:r>
          </w:p>
        </w:tc>
        <w:tc>
          <w:tcPr>
            <w:tcW w:w="24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Share Value</w:t>
            </w: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Unused &amp; Expired</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Share Value Available</w:t>
            </w:r>
          </w:p>
        </w:tc>
        <w:tc>
          <w:tcPr>
            <w:tcW w:w="0" w:type="dxa"/>
            <w:vAlign w:val="bottom"/>
          </w:tcPr>
          <w:p>
            <w:pPr>
              <w:spacing w:after="0"/>
              <w:rPr>
                <w:sz w:val="1"/>
                <w:szCs w:val="1"/>
                <w:color w:val="auto"/>
              </w:rPr>
            </w:pPr>
          </w:p>
        </w:tc>
      </w:tr>
      <w:tr>
        <w:trPr>
          <w:trHeight w:val="192"/>
        </w:trPr>
        <w:tc>
          <w:tcPr>
            <w:tcW w:w="146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for Repurchase</w:t>
            </w:r>
          </w:p>
        </w:tc>
        <w:tc>
          <w:tcPr>
            <w:tcW w:w="24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Repurchased</w:t>
            </w:r>
          </w:p>
        </w:tc>
        <w:tc>
          <w:tcPr>
            <w:tcW w:w="16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Share Repurchase Value</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Future Repurchase</w:t>
            </w:r>
          </w:p>
        </w:tc>
        <w:tc>
          <w:tcPr>
            <w:tcW w:w="0" w:type="dxa"/>
            <w:vAlign w:val="bottom"/>
          </w:tcPr>
          <w:p>
            <w:pPr>
              <w:spacing w:after="0"/>
              <w:rPr>
                <w:sz w:val="1"/>
                <w:szCs w:val="1"/>
                <w:color w:val="auto"/>
              </w:rPr>
            </w:pPr>
          </w:p>
        </w:tc>
      </w:tr>
      <w:tr>
        <w:trPr>
          <w:trHeight w:val="229"/>
        </w:trPr>
        <w:tc>
          <w:tcPr>
            <w:tcW w:w="14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2019 Program</w:t>
            </w: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November 2019</w:t>
            </w: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November 2021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50,000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ind w:right="2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1460" w:type="dxa"/>
            <w:vAlign w:val="bottom"/>
          </w:tcPr>
          <w:p>
            <w:pPr>
              <w:ind w:left="220"/>
              <w:spacing w:after="0"/>
              <w:rPr>
                <w:sz w:val="20"/>
                <w:szCs w:val="20"/>
                <w:color w:val="auto"/>
              </w:rPr>
            </w:pPr>
            <w:r>
              <w:rPr>
                <w:rFonts w:ascii="Arial" w:cs="Arial" w:eastAsia="Arial" w:hAnsi="Arial"/>
                <w:sz w:val="18"/>
                <w:szCs w:val="18"/>
                <w:color w:val="auto"/>
              </w:rPr>
              <w:t>2021 Program</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November 2021</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August 2022</w:t>
            </w:r>
          </w:p>
        </w:tc>
        <w:tc>
          <w:tcPr>
            <w:tcW w:w="20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49,992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right="27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2022 Program</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2022</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2024</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N/A</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47,523</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212529"/>
        </w:rPr>
        <w:t xml:space="preserve">The </w:t>
      </w:r>
      <w:r>
        <w:rPr>
          <w:rFonts w:ascii="Arial" w:cs="Arial" w:eastAsia="Arial" w:hAnsi="Arial"/>
          <w:sz w:val="18"/>
          <w:szCs w:val="18"/>
          <w:color w:val="000000"/>
        </w:rPr>
        <w:t>share repurchase activity by period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96"/>
        </w:trPr>
        <w:tc>
          <w:tcPr>
            <w:tcW w:w="46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196"/>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shares and per share amounts)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96"/>
              </w:rPr>
              <w:t>2021</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 repurchased</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357,430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105,814</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Shares repurchased cost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12,477</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42,700</w:t>
            </w:r>
          </w:p>
        </w:tc>
        <w:tc>
          <w:tcPr>
            <w:tcW w:w="8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10,661</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price per repurchased share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K – Stock-Based Compensation</w:t>
      </w:r>
    </w:p>
    <w:p>
      <w:pPr>
        <w:spacing w:after="0" w:line="12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equity compensation plans provide for the grant of incentive and nonqualified stock options, as well as other stock-based awards including performance share units (“PSUs”), restricted stock awards (“RSAs”), restricted stock units (“RSUs”), and deferred stock units (“DSUs”), to employees, non-employee directors and other consultants who provide services to us. We also provide an employee stock purchase plan (“ESPP”) and 401(k) match to eligible participants.</w:t>
      </w:r>
    </w:p>
    <w:p>
      <w:pPr>
        <w:spacing w:after="0" w:line="79"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 xml:space="preserve">We recognize stock-based compensation expense based on grant date award fair value. This cost is recognized over the period for which the employee is required to provide service in exchange for the award or the award performance period, except for expenses relating to retirement-eligible employees that have not given their required notice, which is recognized on a pro-rata basis over the notice period prior to retirement. At </w:t>
      </w:r>
      <w:r>
        <w:rPr>
          <w:rFonts w:ascii="Arial" w:cs="Arial" w:eastAsia="Arial" w:hAnsi="Arial"/>
          <w:sz w:val="17"/>
          <w:szCs w:val="17"/>
          <w:color w:val="212529"/>
        </w:rPr>
        <w:t>September 30,</w:t>
      </w:r>
      <w:r>
        <w:rPr>
          <w:rFonts w:ascii="Arial" w:cs="Arial" w:eastAsia="Arial" w:hAnsi="Arial"/>
          <w:sz w:val="17"/>
          <w:szCs w:val="17"/>
          <w:color w:val="auto"/>
        </w:rPr>
        <w:t xml:space="preserve"> </w:t>
      </w:r>
      <w:r>
        <w:rPr>
          <w:rFonts w:ascii="Arial" w:cs="Arial" w:eastAsia="Arial" w:hAnsi="Arial"/>
          <w:sz w:val="17"/>
          <w:szCs w:val="17"/>
          <w:color w:val="212529"/>
        </w:rPr>
        <w:t>2022</w:t>
      </w:r>
      <w:r>
        <w:rPr>
          <w:rFonts w:ascii="Arial" w:cs="Arial" w:eastAsia="Arial" w:hAnsi="Arial"/>
          <w:sz w:val="17"/>
          <w:szCs w:val="17"/>
          <w:color w:val="000000"/>
        </w:rPr>
        <w:t>, there were 13.2 million shares available for grant under approved equity compensation plans.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was allocated in the condensed consolidated statements of comprehensive income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6"/>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2021</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w:t>
            </w: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3,212</w:t>
            </w:r>
          </w:p>
        </w:tc>
      </w:tr>
      <w:tr>
        <w:trPr>
          <w:trHeight w:val="229"/>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8,262</w:t>
            </w:r>
          </w:p>
        </w:tc>
      </w:tr>
      <w:tr>
        <w:trPr>
          <w:trHeight w:val="223"/>
        </w:trPr>
        <w:tc>
          <w:tcPr>
            <w:tcW w:w="50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7,960</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21,273</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342900</wp:posOffset>
            </wp:positionV>
            <wp:extent cx="325755"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spacing w:after="0"/>
        <w:tabs>
          <w:tab w:leader="none" w:pos="5420" w:val="left"/>
          <w:tab w:leader="none" w:pos="83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14</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by grant type or plan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6"/>
        </w:trPr>
        <w:tc>
          <w:tcPr>
            <w:tcW w:w="504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2021</w:t>
            </w:r>
          </w:p>
        </w:tc>
      </w:tr>
      <w:tr>
        <w:trPr>
          <w:trHeight w:val="230"/>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PSUs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1,541</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1,342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5,357</w:t>
            </w:r>
          </w:p>
        </w:tc>
      </w:tr>
      <w:tr>
        <w:trPr>
          <w:trHeight w:val="22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RSUs</w:t>
            </w: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4,735</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4,039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14,467</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11,577</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RSAs &amp; DSUs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2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ESPP</w:t>
            </w: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w:t>
            </w:r>
          </w:p>
        </w:tc>
      </w:tr>
      <w:tr>
        <w:trPr>
          <w:trHeight w:val="230"/>
        </w:trPr>
        <w:tc>
          <w:tcPr>
            <w:tcW w:w="50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401(k) stock match</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r>
      <w:tr>
        <w:trPr>
          <w:trHeight w:val="248"/>
        </w:trPr>
        <w:tc>
          <w:tcPr>
            <w:tcW w:w="50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7,960</w:t>
            </w:r>
          </w:p>
        </w:tc>
        <w:tc>
          <w:tcPr>
            <w:tcW w:w="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6,849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25,636</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21,273</w:t>
            </w: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September 30, 2022, there was $42.1 million of unrecognized stock-based compensation expense under our equity compensation plans, which is expected to be recognized on a primarily straight-line basis over a weighted average period of 2.5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Stock Options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 option activity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3960" w:type="dxa"/>
            <w:vAlign w:val="bottom"/>
            <w:gridSpan w:val="4"/>
          </w:tcPr>
          <w:p>
            <w:pPr>
              <w:jc w:val="right"/>
              <w:ind w:right="127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7280" w:type="dxa"/>
            <w:vAlign w:val="bottom"/>
          </w:tcPr>
          <w:p>
            <w:pPr>
              <w:spacing w:after="0"/>
              <w:rPr>
                <w:sz w:val="17"/>
                <w:szCs w:val="17"/>
                <w:color w:val="auto"/>
              </w:rPr>
            </w:pPr>
          </w:p>
        </w:tc>
        <w:tc>
          <w:tcPr>
            <w:tcW w:w="3960" w:type="dxa"/>
            <w:vAlign w:val="bottom"/>
            <w:tcBorders>
              <w:bottom w:val="single" w:sz="8" w:color="auto"/>
            </w:tcBorders>
            <w:gridSpan w:val="4"/>
          </w:tcPr>
          <w:p>
            <w:pPr>
              <w:jc w:val="right"/>
              <w:ind w:right="1297"/>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135"/>
        </w:trPr>
        <w:tc>
          <w:tcPr>
            <w:tcW w:w="72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9"/>
        </w:trPr>
        <w:tc>
          <w:tcPr>
            <w:tcW w:w="7280" w:type="dxa"/>
            <w:vAlign w:val="bottom"/>
          </w:tcPr>
          <w:p>
            <w:pPr>
              <w:spacing w:after="0"/>
              <w:rPr>
                <w:sz w:val="12"/>
                <w:szCs w:val="12"/>
                <w:color w:val="auto"/>
              </w:rPr>
            </w:pPr>
          </w:p>
        </w:tc>
        <w:tc>
          <w:tcPr>
            <w:tcW w:w="19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Options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tcPr>
          <w:p>
            <w:pPr>
              <w:jc w:val="center"/>
              <w:ind w:right="197"/>
              <w:spacing w:after="0" w:line="13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86"/>
        </w:trPr>
        <w:tc>
          <w:tcPr>
            <w:tcW w:w="728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6"/>
        </w:trPr>
        <w:tc>
          <w:tcPr>
            <w:tcW w:w="72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beginning of period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30"/>
        </w:trPr>
        <w:tc>
          <w:tcPr>
            <w:tcW w:w="72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spacing w:after="0"/>
              <w:rPr>
                <w:sz w:val="20"/>
                <w:szCs w:val="20"/>
                <w:color w:val="auto"/>
              </w:rPr>
            </w:pPr>
            <w:r>
              <w:rPr>
                <w:rFonts w:ascii="Arial" w:cs="Arial" w:eastAsia="Arial" w:hAnsi="Arial"/>
                <w:sz w:val="18"/>
                <w:szCs w:val="18"/>
                <w:color w:val="auto"/>
              </w:rPr>
              <w:t>49,085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122.64</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89.21</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end of period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641,935</w:t>
            </w: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Of the total outstanding options at September 30, 2022, 0.5 million were exercisable. The outstanding and exercisable options had a weighted average exercise price of $43.96 per share and a weighted average remaining contractual life of 2.9 years.</w:t>
      </w:r>
    </w:p>
    <w:p>
      <w:pPr>
        <w:spacing w:after="0" w:line="62"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weighted average grant date fair value of options granted during the nine months ended September 30, 2022 was $40.95 per share. This was estimated on the date of grant using the Black-Scholes option pricing model with the following weighted-average assumptions: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Life (in years)</w:t>
            </w:r>
          </w:p>
        </w:tc>
        <w:tc>
          <w:tcPr>
            <w:tcW w:w="52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4.3</w:t>
            </w:r>
          </w:p>
        </w:tc>
      </w:tr>
      <w:tr>
        <w:trPr>
          <w:trHeight w:val="250"/>
        </w:trPr>
        <w:tc>
          <w:tcPr>
            <w:tcW w:w="59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5260" w:type="dxa"/>
            <w:vAlign w:val="bottom"/>
          </w:tcPr>
          <w:p>
            <w:pPr>
              <w:jc w:val="right"/>
              <w:spacing w:after="0"/>
              <w:rPr>
                <w:sz w:val="20"/>
                <w:szCs w:val="20"/>
                <w:color w:val="auto"/>
              </w:rPr>
            </w:pPr>
            <w:r>
              <w:rPr>
                <w:rFonts w:ascii="Arial" w:cs="Arial" w:eastAsia="Arial" w:hAnsi="Arial"/>
                <w:sz w:val="18"/>
                <w:szCs w:val="18"/>
                <w:color w:val="auto"/>
              </w:rPr>
              <w:t>37.5 %</w:t>
            </w:r>
          </w:p>
        </w:tc>
      </w:tr>
      <w:tr>
        <w:trPr>
          <w:trHeight w:val="26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5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5260" w:type="dxa"/>
            <w:vAlign w:val="bottom"/>
          </w:tcPr>
          <w:p>
            <w:pPr>
              <w:jc w:val="right"/>
              <w:spacing w:after="0"/>
              <w:rPr>
                <w:sz w:val="20"/>
                <w:szCs w:val="20"/>
                <w:color w:val="auto"/>
              </w:rPr>
            </w:pPr>
            <w:r>
              <w:rPr>
                <w:rFonts w:ascii="Arial" w:cs="Arial" w:eastAsia="Arial" w:hAnsi="Arial"/>
                <w:sz w:val="18"/>
                <w:szCs w:val="18"/>
                <w:color w:val="auto"/>
              </w:rPr>
              <w:t>2.2 %</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Performance Share Units, Restricted Stock Units and Awards, and Deferred Stock Units</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each of the quarters ended March 31, 2022, 2021, 2020, and 2019 we granted PSU awards with a target performance level. These awards are earned based upon our Company’s total shareholder return as compared to an indexed total shareholder return over the course of a fiscal based three-year performance period, starting in the year of grant. Earned awards vest in the quarter following the conclusion of the performance period. In the three months ended March 31, 2022, PSU awards granted in 2019 vested at the maximum performance level and less than 0.1 million shares of common stock were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274320</wp:posOffset>
            </wp:positionV>
            <wp:extent cx="325755" cy="299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575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40"/>
        <w:spacing w:after="0"/>
        <w:tabs>
          <w:tab w:leader="none" w:pos="5420" w:val="left"/>
          <w:tab w:leader="none" w:pos="83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15</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for our PSUs, RSUs, RSAs, and DSUs in aggregate was as follows:</w:t>
      </w:r>
    </w:p>
    <w:p>
      <w:pPr>
        <w:spacing w:after="0" w:line="257"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September 30, 2022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18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58"/>
              <w:spacing w:after="0" w:line="14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4"/>
        </w:trPr>
        <w:tc>
          <w:tcPr>
            <w:tcW w:w="8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78"/>
              <w:spacing w:after="0" w:line="145"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39"/>
        </w:trPr>
        <w:tc>
          <w:tcPr>
            <w:tcW w:w="8180" w:type="dxa"/>
            <w:vAlign w:val="bottom"/>
          </w:tcPr>
          <w:p>
            <w:pPr>
              <w:spacing w:after="0"/>
              <w:rPr>
                <w:sz w:val="12"/>
                <w:szCs w:val="12"/>
                <w:color w:val="auto"/>
              </w:rPr>
            </w:pPr>
          </w:p>
        </w:tc>
        <w:tc>
          <w:tcPr>
            <w:tcW w:w="1480" w:type="dxa"/>
            <w:vAlign w:val="bottom"/>
            <w:vMerge w:val="restart"/>
          </w:tcPr>
          <w:p>
            <w:pPr>
              <w:jc w:val="right"/>
              <w:ind w:right="61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98"/>
              <w:spacing w:after="0" w:line="13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6"/>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beginning of period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284,739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126.88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 and common stock issued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96.81</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end of period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697,178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number of PSUs, RSUs, RSAs, and DSUs outstanding at September 30, 2022 included less than 0.1 million units that have vested, but the shares of common stock have not yet been issued, pursuant to the terms of the underlying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Employee Stock Purchase Plan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ESPP activity was as follows: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500" w:type="dxa"/>
            <w:vAlign w:val="bottom"/>
            <w:gridSpan w:val="4"/>
          </w:tcPr>
          <w:p>
            <w:pPr>
              <w:jc w:val="center"/>
              <w:ind w:left="462"/>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gridSpan w:val="3"/>
          </w:tcPr>
          <w:p>
            <w:pPr>
              <w:jc w:val="center"/>
              <w:ind w:right="219"/>
              <w:spacing w:after="0"/>
              <w:rPr>
                <w:sz w:val="20"/>
                <w:szCs w:val="20"/>
                <w:color w:val="auto"/>
              </w:rPr>
            </w:pPr>
            <w:r>
              <w:rPr>
                <w:rFonts w:ascii="Arial" w:cs="Arial" w:eastAsia="Arial" w:hAnsi="Arial"/>
                <w:sz w:val="14"/>
                <w:szCs w:val="14"/>
                <w:b w:val="1"/>
                <w:bCs w:val="1"/>
                <w:color w:val="auto"/>
                <w:w w:val="94"/>
              </w:rPr>
              <w:t>Nine Months Ended</w:t>
            </w:r>
          </w:p>
        </w:tc>
        <w:tc>
          <w:tcPr>
            <w:tcW w:w="580" w:type="dxa"/>
            <w:vAlign w:val="bottom"/>
          </w:tcPr>
          <w:p>
            <w:pPr>
              <w:spacing w:after="0"/>
              <w:rPr>
                <w:sz w:val="14"/>
                <w:szCs w:val="14"/>
                <w:color w:val="auto"/>
              </w:rPr>
            </w:pPr>
          </w:p>
        </w:tc>
      </w:tr>
      <w:tr>
        <w:trPr>
          <w:trHeight w:val="196"/>
        </w:trPr>
        <w:tc>
          <w:tcPr>
            <w:tcW w:w="50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7"/>
                <w:szCs w:val="17"/>
                <w:color w:val="auto"/>
              </w:rPr>
            </w:pPr>
          </w:p>
        </w:tc>
      </w:tr>
      <w:tr>
        <w:trPr>
          <w:trHeight w:val="196"/>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for shares purchased</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Shares purchased</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2,481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1,526</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37,516</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27,675</w:t>
            </w:r>
          </w:p>
        </w:tc>
      </w:tr>
      <w:tr>
        <w:trPr>
          <w:trHeight w:val="404"/>
        </w:trPr>
        <w:tc>
          <w:tcPr>
            <w:tcW w:w="9080" w:type="dxa"/>
            <w:vAlign w:val="bottom"/>
            <w:gridSpan w:val="8"/>
          </w:tcPr>
          <w:p>
            <w:pPr>
              <w:ind w:left="660"/>
              <w:spacing w:after="0"/>
              <w:rPr>
                <w:sz w:val="20"/>
                <w:szCs w:val="20"/>
                <w:color w:val="auto"/>
              </w:rPr>
            </w:pPr>
            <w:r>
              <w:rPr>
                <w:rFonts w:ascii="Arial" w:cs="Arial" w:eastAsia="Arial" w:hAnsi="Arial"/>
                <w:sz w:val="18"/>
                <w:szCs w:val="18"/>
                <w:color w:val="auto"/>
                <w:w w:val="91"/>
              </w:rPr>
              <w:t>A total of 1.8 million shares of common stock are reserved for issuance under the ESPP as of September 30, 2022.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10"/>
        </w:trPr>
        <w:tc>
          <w:tcPr>
            <w:tcW w:w="10660" w:type="dxa"/>
            <w:vAlign w:val="bottom"/>
            <w:gridSpan w:val="11"/>
          </w:tcPr>
          <w:p>
            <w:pPr>
              <w:ind w:left="660"/>
              <w:spacing w:after="0"/>
              <w:rPr>
                <w:sz w:val="20"/>
                <w:szCs w:val="20"/>
                <w:color w:val="auto"/>
              </w:rPr>
            </w:pPr>
            <w:r>
              <w:rPr>
                <w:rFonts w:ascii="Arial" w:cs="Arial" w:eastAsia="Arial" w:hAnsi="Arial"/>
                <w:sz w:val="18"/>
                <w:szCs w:val="18"/>
                <w:color w:val="auto"/>
                <w:w w:val="93"/>
              </w:rPr>
              <w:t>The fair value was estimated based on the market price of our common stock at the beginning of the offering period using the following</w:t>
            </w:r>
          </w:p>
        </w:tc>
        <w:tc>
          <w:tcPr>
            <w:tcW w:w="580" w:type="dxa"/>
            <w:vAlign w:val="bottom"/>
          </w:tcPr>
          <w:p>
            <w:pPr>
              <w:spacing w:after="0"/>
              <w:rPr>
                <w:sz w:val="24"/>
                <w:szCs w:val="24"/>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assumptions:</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3"/>
        </w:trPr>
        <w:tc>
          <w:tcPr>
            <w:tcW w:w="5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Life (in years)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37.4 %</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0.2 %</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L – Income Taxes</w:t>
      </w:r>
    </w:p>
    <w:p>
      <w:pPr>
        <w:spacing w:after="0" w:line="12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permanently non-deductible expenses partially offset by the federal research and development credits and tax benefits associated with foreign-derived intangible income. Additionally, excess tax benefits generated upon settlement or exercise of stock awards are recognized as a reduction to income tax expense as a discrete tax item in the quarter that the event occurs, creating potentially significant fluctuation in tax expense by quarter and by year. Our provisions for income taxes includes current federal, state, and foreign income tax expense, as well as deferred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325755" cy="299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75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0"/>
        <w:spacing w:after="0"/>
        <w:tabs>
          <w:tab w:leader="none" w:pos="5420" w:val="left"/>
          <w:tab w:leader="none" w:pos="83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16</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M – Other Income and Expense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 net included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5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92"/>
        </w:trPr>
        <w:tc>
          <w:tcPr>
            <w:tcW w:w="5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6"/>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2021</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w w:val="96"/>
              </w:rPr>
              <w:t>Realized loss from foreign currency on cash and investments held</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(1,151)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(2,010)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(1,492)</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3"/>
        </w:trPr>
        <w:tc>
          <w:tcPr>
            <w:tcW w:w="5120" w:type="dxa"/>
            <w:vAlign w:val="bottom"/>
          </w:tcPr>
          <w:p>
            <w:pPr>
              <w:ind w:left="240"/>
              <w:spacing w:after="0"/>
              <w:rPr>
                <w:sz w:val="20"/>
                <w:szCs w:val="20"/>
                <w:color w:val="auto"/>
              </w:rPr>
            </w:pPr>
            <w:r>
              <w:rPr>
                <w:rFonts w:ascii="Arial" w:cs="Arial" w:eastAsia="Arial" w:hAnsi="Arial"/>
                <w:sz w:val="18"/>
                <w:szCs w:val="18"/>
                <w:color w:val="auto"/>
              </w:rPr>
              <w:t>Total other expense, net</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(1,610)</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r>
      <w:tr>
        <w:trPr>
          <w:trHeight w:val="21"/>
        </w:trPr>
        <w:tc>
          <w:tcPr>
            <w:tcW w:w="5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N – Net Income Per Share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and computation of basic and diluted net income per share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15,863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11,449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39,219</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31,832</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 basic</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35,961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36,104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35,873</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Options to purchase common stock</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PSUs, RSUs, RSAs, and DSUs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 diluted</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30"/>
        </w:trPr>
        <w:tc>
          <w:tcPr>
            <w:tcW w:w="5060" w:type="dxa"/>
            <w:vAlign w:val="bottom"/>
          </w:tcPr>
          <w:p>
            <w:pPr>
              <w:ind w:left="52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0.31</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number of outstanding potential common shares that were excluded from the calculation of diluted net income per share as they were anti-dilutive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62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14"/>
                <w:szCs w:val="14"/>
                <w:color w:val="auto"/>
              </w:rPr>
            </w:pPr>
          </w:p>
        </w:tc>
      </w:tr>
      <w:tr>
        <w:trPr>
          <w:trHeight w:val="192"/>
        </w:trPr>
        <w:tc>
          <w:tcPr>
            <w:tcW w:w="50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r>
      <w:tr>
        <w:trPr>
          <w:trHeight w:val="196"/>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16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519"/>
              <w:spacing w:after="0"/>
              <w:rPr>
                <w:sz w:val="20"/>
                <w:szCs w:val="20"/>
                <w:color w:val="auto"/>
              </w:rPr>
            </w:pPr>
            <w:r>
              <w:rPr>
                <w:rFonts w:ascii="Arial" w:cs="Arial" w:eastAsia="Arial" w:hAnsi="Arial"/>
                <w:sz w:val="14"/>
                <w:szCs w:val="14"/>
                <w:b w:val="1"/>
                <w:bCs w:val="1"/>
                <w:color w:val="auto"/>
                <w:w w:val="89"/>
              </w:rPr>
              <w:t>2021</w:t>
            </w:r>
          </w:p>
        </w:tc>
      </w:tr>
      <w:tr>
        <w:trPr>
          <w:trHeight w:val="230"/>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shares</w:t>
            </w:r>
          </w:p>
        </w:tc>
        <w:tc>
          <w:tcPr>
            <w:tcW w:w="9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342900</wp:posOffset>
            </wp:positionV>
            <wp:extent cx="325755" cy="30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spacing w:after="0"/>
        <w:tabs>
          <w:tab w:leader="none" w:pos="5420" w:val="left"/>
          <w:tab w:leader="none" w:pos="83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17</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O –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percentage of domestic revenue, which we define as the percentage of consolidated revenue that was attributable to customers based within the U.S., was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280" w:type="dxa"/>
            <w:vAlign w:val="bottom"/>
            <w:gridSpan w:val="3"/>
          </w:tcPr>
          <w:p>
            <w:pPr>
              <w:ind w:left="960"/>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3"/>
          </w:tcPr>
          <w:p>
            <w:pPr>
              <w:ind w:left="980"/>
              <w:spacing w:after="0"/>
              <w:rPr>
                <w:sz w:val="20"/>
                <w:szCs w:val="20"/>
                <w:color w:val="auto"/>
              </w:rPr>
            </w:pPr>
            <w:r>
              <w:rPr>
                <w:rFonts w:ascii="Arial" w:cs="Arial" w:eastAsia="Arial" w:hAnsi="Arial"/>
                <w:sz w:val="14"/>
                <w:szCs w:val="14"/>
                <w:b w:val="1"/>
                <w:bCs w:val="1"/>
                <w:color w:val="auto"/>
                <w:w w:val="94"/>
              </w:rPr>
              <w:t>Nine Months Ended</w:t>
            </w:r>
          </w:p>
        </w:tc>
        <w:tc>
          <w:tcPr>
            <w:tcW w:w="960" w:type="dxa"/>
            <w:vAlign w:val="bottom"/>
          </w:tcPr>
          <w:p>
            <w:pPr>
              <w:spacing w:after="0"/>
              <w:rPr>
                <w:sz w:val="14"/>
                <w:szCs w:val="14"/>
                <w:color w:val="auto"/>
              </w:rPr>
            </w:pPr>
          </w:p>
        </w:tc>
      </w:tr>
      <w:tr>
        <w:trPr>
          <w:trHeight w:val="192"/>
        </w:trPr>
        <w:tc>
          <w:tcPr>
            <w:tcW w:w="4740" w:type="dxa"/>
            <w:vAlign w:val="bottom"/>
          </w:tcPr>
          <w:p>
            <w:pPr>
              <w:spacing w:after="0"/>
              <w:rPr>
                <w:sz w:val="16"/>
                <w:szCs w:val="16"/>
                <w:color w:val="auto"/>
              </w:rPr>
            </w:pPr>
          </w:p>
        </w:tc>
        <w:tc>
          <w:tcPr>
            <w:tcW w:w="228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95"/>
        </w:trPr>
        <w:tc>
          <w:tcPr>
            <w:tcW w:w="474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w w:val="96"/>
              </w:rPr>
              <w:t>2021</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revenue</w:t>
            </w:r>
          </w:p>
        </w:tc>
        <w:tc>
          <w:tcPr>
            <w:tcW w:w="156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2"/>
              </w:rPr>
              <w:t>85 %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2"/>
              </w:rPr>
              <w:t>84 %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single jurisdiction outside of the U.S. had revenues in excess of 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percentage of property and equipment, net located at subsidiary and office locations outside of the U.S.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6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property and equipment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20" w:val="left"/>
          <w:tab w:leader="none" w:pos="8300" w:val="left"/>
        </w:tabs>
        <w:rPr>
          <w:sz w:val="20"/>
          <w:szCs w:val="20"/>
          <w:color w:val="auto"/>
        </w:rPr>
      </w:pPr>
      <w:r>
        <w:rPr>
          <w:sz w:val="1"/>
          <w:szCs w:val="1"/>
          <w:color w:val="auto"/>
        </w:rPr>
        <w:drawing>
          <wp:inline distT="0" distB="0" distL="0" distR="0">
            <wp:extent cx="325755" cy="30035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755" cy="300355"/>
                    </a:xfrm>
                    <a:prstGeom prst="rect">
                      <a:avLst/>
                    </a:prstGeom>
                    <a:noFill/>
                    <a:ln>
                      <a:noFill/>
                    </a:ln>
                  </pic:spPr>
                </pic:pic>
              </a:graphicData>
            </a:graphic>
          </wp:inline>
        </w:drawing>
      </w: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18</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2.</w:t>
      </w:r>
      <w:r>
        <w:rPr>
          <w:sz w:val="20"/>
          <w:szCs w:val="20"/>
          <w:color w:val="auto"/>
        </w:rPr>
        <w:tab/>
      </w:r>
      <w:r>
        <w:rPr>
          <w:rFonts w:ascii="Arial" w:cs="Arial" w:eastAsia="Arial" w:hAnsi="Arial"/>
          <w:sz w:val="16"/>
          <w:szCs w:val="16"/>
          <w:b w:val="1"/>
          <w:bCs w:val="1"/>
          <w:color w:val="00AAE5"/>
        </w:rPr>
        <w:t>Management’s Discussion and Analysis of Financial Condition and Results of Operations</w:t>
      </w:r>
    </w:p>
    <w:p>
      <w:pPr>
        <w:spacing w:after="0" w:line="13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U.S. Private Securities Litigation Reform Act of 1995. Forward looking statements regarding us, our business prospects and our results of operations are subject to certain risks and uncertainties posed by many factors and events that could cause our actual business, prospects and results of operations to differ materially from those that may be anticipated by such forward-looking statements. Readers are cautioned not to place undue reliance on these forward-looking statements, which speak only as of the date of this report. In some cases, you can identify forward-looking statements by the following words: “anticipate,” “assume,” “believe,” “continue,” “could,” “estimate,” “expect,” “intend,” “may,” “ongoing,” “plan,” “potential,” “predict,” “project,” “should,” “will,” “would,” or the negative of these terms or other comparable terminology, although not all forward-looking statements contain these words. Similarly, statements that describe our future plans, objectives or goals are also forward-looking. Forward-looking statements may also be made from time to time in oral presentations, including telephone conferences and/or webcasts open to the public. Shareholders, potential investors, and others are cautioned that all forward-looking statements involve risks and uncertainties that could cause results in future periods to differ materially from those anticipated by some of the statements made in this report, including the risks and uncertainties described under the heading “Risk Factors” appearing in our Annual Report on Form 10-K for the year ended December 31, 2021, as may be updated in our subsequent Quarterly Reports on Form 10-Q from time to time.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Securities and Exchange Commission (“SEC”) that advise interested parties of the risks and factors that may affect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Overview</w:t>
      </w:r>
    </w:p>
    <w:p>
      <w:pPr>
        <w:spacing w:after="0" w:line="12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SPS Commerce is a leading provider of cloud-based supply chain management services across our global retail network. Our products make it easier for retailers, suppliers, grocers, distributors, and logistics firms to orchestrate the management of item data, order fulfillment, inventory control, and sales analytics across omnichannel retail channels. SPS Commerce delivers our products using a full-service model whereby our internal experts monitor, update, and boost network performance on our customers’ behalf.</w:t>
      </w:r>
    </w:p>
    <w:p>
      <w:pPr>
        <w:spacing w:after="0" w:line="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services offered by SPS Commerce eliminate the need for on-premise software and support staff by taking on that capability on the customer’s behalf. The services we provide enable our customers to increase their supply cycle agility, optimize their inventory levels and sell-through, reduce operational costs and gain increased visibility into customer orders, to help ensure that suppliers, grocers, distributors, and logistics firms can satisfy exacting retailer requirements.</w:t>
      </w:r>
    </w:p>
    <w:p>
      <w:pPr>
        <w:spacing w:after="0" w:line="7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products and applications. We also intend to selectively pursue acquisitions that will add customers, allow us to expand into new regions, or allow us to offer new functionalities.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Key Financial Terms, Metrics and Non-GAAP Measures</w:t>
      </w:r>
    </w:p>
    <w:p>
      <w:pPr>
        <w:spacing w:after="0" w:line="121"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We have several key financial terms and metrics, as discussed in our Annual Report on Form 10-K for the year ended December 31, 2021, as filed with the SEC, under the heading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3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To supplement our financial statements, we provide investors with Adjusted EBITDA, Adjusted EBITDA Margin, and non-GAAP income per share, all of which are non-GAAP financial measures. We believe that these non-GAAP measures provide useful information to our management, board of directors, and investors regarding certain financial and business trends relating to our financial condition and results of operations.</w:t>
      </w:r>
    </w:p>
    <w:p>
      <w:pPr>
        <w:spacing w:after="0" w:line="5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management uses these non-GAAP measures to compare our performance to that of prior periods for trend analyses and planning purposes. Adjusted EBITDA is also used for purposes of determining executive and senior management incentive compensation. We believe these non-GAAP financial measures are useful to an investor as they are widely used in evaluating operating performance. Adjusted EBITDA and Adjusted EBITDA Margin are used to measure operating performance without regard to items such as depreciation and amortization, which can vary depending upon accounting methods and the book value of assets, and to present a meaningful measure of corporate performance exclusive of capital structure and the method by which assets were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276860</wp:posOffset>
            </wp:positionV>
            <wp:extent cx="325755" cy="299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75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tabs>
          <w:tab w:leader="none" w:pos="5420" w:val="left"/>
          <w:tab w:leader="none" w:pos="83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19</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These non-GAAP measures should not be considered a substitute for, or superior to, financial measures calculated in accordance with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Three Months Ended September 30, 2022 Compared to Three Months Ended September 30, 2021</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5"/>
              </w:rPr>
              <w:t>Three Months Ended September 30,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Pr>
          <w:p>
            <w:pPr>
              <w:spacing w:after="0"/>
              <w:rPr>
                <w:sz w:val="17"/>
                <w:szCs w:val="17"/>
                <w:color w:val="auto"/>
              </w:rPr>
            </w:pPr>
          </w:p>
        </w:tc>
        <w:tc>
          <w:tcPr>
            <w:tcW w:w="86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140" w:type="dxa"/>
            <w:vAlign w:val="bottom"/>
          </w:tcPr>
          <w:p>
            <w:pPr>
              <w:jc w:val="right"/>
              <w:ind w:right="112"/>
              <w:spacing w:after="0" w:line="202" w:lineRule="exact"/>
              <w:rPr>
                <w:sz w:val="20"/>
                <w:szCs w:val="20"/>
                <w:color w:val="auto"/>
              </w:rPr>
            </w:pPr>
            <w:r>
              <w:rPr>
                <w:rFonts w:ascii="Arial" w:cs="Arial" w:eastAsia="Arial" w:hAnsi="Arial"/>
                <w:sz w:val="14"/>
                <w:szCs w:val="14"/>
                <w:b w:val="1"/>
                <w:bCs w:val="1"/>
                <w:color w:val="auto"/>
                <w:w w:val="90"/>
              </w:rPr>
              <w:t>% of revenue</w:t>
            </w:r>
            <w:r>
              <w:rPr>
                <w:rFonts w:ascii="Arial" w:cs="Arial" w:eastAsia="Arial" w:hAnsi="Arial"/>
                <w:sz w:val="18"/>
                <w:szCs w:val="18"/>
                <w:b w:val="1"/>
                <w:bCs w:val="1"/>
                <w:color w:val="auto"/>
                <w:w w:val="90"/>
                <w:vertAlign w:val="superscript"/>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45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140" w:type="dxa"/>
            <w:vAlign w:val="bottom"/>
          </w:tcPr>
          <w:p>
            <w:pPr>
              <w:jc w:val="right"/>
              <w:ind w:right="111"/>
              <w:spacing w:after="0" w:line="202" w:lineRule="exact"/>
              <w:rPr>
                <w:sz w:val="20"/>
                <w:szCs w:val="20"/>
                <w:color w:val="auto"/>
              </w:rPr>
            </w:pPr>
            <w:r>
              <w:rPr>
                <w:rFonts w:ascii="Arial" w:cs="Arial" w:eastAsia="Arial" w:hAnsi="Arial"/>
                <w:sz w:val="14"/>
                <w:szCs w:val="14"/>
                <w:b w:val="1"/>
                <w:bCs w:val="1"/>
                <w:color w:val="auto"/>
                <w:w w:val="90"/>
              </w:rPr>
              <w:t>% of revenue</w:t>
            </w:r>
            <w:r>
              <w:rPr>
                <w:rFonts w:ascii="Arial" w:cs="Arial" w:eastAsia="Arial" w:hAnsi="Arial"/>
                <w:sz w:val="18"/>
                <w:szCs w:val="18"/>
                <w:b w:val="1"/>
                <w:bCs w:val="1"/>
                <w:color w:val="auto"/>
                <w:w w:val="90"/>
                <w:vertAlign w:val="superscript"/>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452"/>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7"/>
                <w:szCs w:val="17"/>
                <w:color w:val="auto"/>
              </w:rPr>
            </w:pPr>
          </w:p>
        </w:tc>
        <w:tc>
          <w:tcPr>
            <w:tcW w:w="900" w:type="dxa"/>
            <w:vAlign w:val="bottom"/>
          </w:tcPr>
          <w:p>
            <w:pPr>
              <w:jc w:val="right"/>
              <w:ind w:right="5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114,486</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97,887</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16,599</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38,605</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34,343</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w:t>
            </w:r>
          </w:p>
        </w:tc>
        <w:tc>
          <w:tcPr>
            <w:tcW w:w="5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63,544</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12,337</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25,334</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22,079</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11,135</w:t>
            </w:r>
          </w:p>
        </w:tc>
        <w:tc>
          <w:tcPr>
            <w:tcW w:w="2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10,854</w:t>
            </w:r>
          </w:p>
        </w:tc>
        <w:tc>
          <w:tcPr>
            <w:tcW w:w="28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w:t>
            </w: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5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50,023</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19,690</w:t>
            </w:r>
          </w:p>
        </w:tc>
        <w:tc>
          <w:tcPr>
            <w:tcW w:w="2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13,521</w:t>
            </w:r>
          </w:p>
        </w:tc>
        <w:tc>
          <w:tcPr>
            <w:tcW w:w="28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6,169</w:t>
            </w: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18,995</w:t>
            </w:r>
          </w:p>
        </w:tc>
        <w:tc>
          <w:tcPr>
            <w:tcW w:w="28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12,805</w:t>
            </w:r>
          </w:p>
        </w:tc>
        <w:tc>
          <w:tcPr>
            <w:tcW w:w="28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6,190</w:t>
            </w:r>
          </w:p>
        </w:tc>
        <w:tc>
          <w:tcPr>
            <w:tcW w:w="54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15,863</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11,449</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(1) Amounts in column may not foot due to rounding</w:t>
      </w:r>
    </w:p>
    <w:p>
      <w:pPr>
        <w:spacing w:after="0" w:line="320"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b w:val="1"/>
          <w:bCs w:val="1"/>
          <w:i w:val="1"/>
          <w:iCs w:val="1"/>
          <w:color w:val="1F282C"/>
        </w:rPr>
        <w:t xml:space="preserve">Revenues </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Revenues increased for the 87th consecutive quarter. The increase in revenue resulted from two primary factors: the increase in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recurring revenue customers, which is driven primarily by continued business growth and by business acquisitions, and the increase in average recurring revenues per recurring revenue customer, which we also refer to as wallet share.</w:t>
      </w:r>
    </w:p>
    <w:p>
      <w:pPr>
        <w:spacing w:after="0" w:line="76" w:lineRule="exact"/>
        <w:rPr>
          <w:sz w:val="20"/>
          <w:szCs w:val="20"/>
          <w:color w:val="auto"/>
        </w:rPr>
      </w:pPr>
    </w:p>
    <w:p>
      <w:pPr>
        <w:ind w:left="980" w:right="30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number of recurring revenue customers increased 12% to 39,550 at </w:t>
      </w:r>
      <w:r>
        <w:rPr>
          <w:rFonts w:ascii="Arial" w:cs="Arial" w:eastAsia="Arial" w:hAnsi="Arial"/>
          <w:sz w:val="18"/>
          <w:szCs w:val="18"/>
          <w:color w:val="1F282C"/>
        </w:rPr>
        <w:t>September 30, 2022</w:t>
      </w:r>
      <w:r>
        <w:rPr>
          <w:rFonts w:ascii="Arial" w:cs="Arial" w:eastAsia="Arial" w:hAnsi="Arial"/>
          <w:sz w:val="18"/>
          <w:szCs w:val="18"/>
          <w:color w:val="auto"/>
        </w:rPr>
        <w:t xml:space="preserve"> from 35,400 at </w:t>
      </w:r>
      <w:r>
        <w:rPr>
          <w:rFonts w:ascii="Arial" w:cs="Arial" w:eastAsia="Arial" w:hAnsi="Arial"/>
          <w:sz w:val="18"/>
          <w:szCs w:val="18"/>
          <w:color w:val="1F282C"/>
        </w:rPr>
        <w:t>September 30, 2021 primarily</w:t>
      </w:r>
      <w:r>
        <w:rPr>
          <w:rFonts w:ascii="Arial" w:cs="Arial" w:eastAsia="Arial" w:hAnsi="Arial"/>
          <w:sz w:val="18"/>
          <w:szCs w:val="18"/>
          <w:color w:val="auto"/>
        </w:rPr>
        <w:t xml:space="preserve"> </w:t>
      </w:r>
      <w:r>
        <w:rPr>
          <w:rFonts w:ascii="Arial" w:cs="Arial" w:eastAsia="Arial" w:hAnsi="Arial"/>
          <w:sz w:val="18"/>
          <w:szCs w:val="18"/>
          <w:color w:val="1F282C"/>
        </w:rPr>
        <w:t>due to sales and marketing efforts to acquire new customers and due to recent acquisitions.</w:t>
      </w:r>
    </w:p>
    <w:p>
      <w:pPr>
        <w:spacing w:after="0" w:line="62"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Wallet share increased 5% to $10,900 for the three months ended </w:t>
      </w:r>
      <w:r>
        <w:rPr>
          <w:rFonts w:ascii="Arial" w:cs="Arial" w:eastAsia="Arial" w:hAnsi="Arial"/>
          <w:sz w:val="18"/>
          <w:szCs w:val="18"/>
          <w:color w:val="1F282C"/>
        </w:rPr>
        <w:t>September 30, 2022</w:t>
      </w:r>
      <w:r>
        <w:rPr>
          <w:rFonts w:ascii="Arial" w:cs="Arial" w:eastAsia="Arial" w:hAnsi="Arial"/>
          <w:sz w:val="18"/>
          <w:szCs w:val="18"/>
          <w:color w:val="auto"/>
        </w:rPr>
        <w:t xml:space="preserve"> from $10,350 for the same period in 2021. This was primarily attributable to increased usage of our products by our recurring revenue customers.</w:t>
      </w:r>
    </w:p>
    <w:p>
      <w:pPr>
        <w:spacing w:after="0" w:line="6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Recurring revenues increased 18% to $106.6 million for the three months ended </w:t>
      </w:r>
      <w:r>
        <w:rPr>
          <w:rFonts w:ascii="Arial" w:cs="Arial" w:eastAsia="Arial" w:hAnsi="Arial"/>
          <w:sz w:val="18"/>
          <w:szCs w:val="18"/>
          <w:color w:val="1F282C"/>
        </w:rPr>
        <w:t>September 30, 2022 compared to the three months ended</w:t>
      </w:r>
      <w:r>
        <w:rPr>
          <w:rFonts w:ascii="Arial" w:cs="Arial" w:eastAsia="Arial" w:hAnsi="Arial"/>
          <w:sz w:val="18"/>
          <w:szCs w:val="18"/>
          <w:color w:val="auto"/>
        </w:rPr>
        <w:t xml:space="preserve"> </w:t>
      </w:r>
      <w:r>
        <w:rPr>
          <w:rFonts w:ascii="Arial" w:cs="Arial" w:eastAsia="Arial" w:hAnsi="Arial"/>
          <w:sz w:val="18"/>
          <w:szCs w:val="18"/>
          <w:color w:val="1F282C"/>
        </w:rPr>
        <w:t xml:space="preserve">September 30, 2021. Recurring revenues </w:t>
      </w:r>
      <w:r>
        <w:rPr>
          <w:rFonts w:ascii="Arial" w:cs="Arial" w:eastAsia="Arial" w:hAnsi="Arial"/>
          <w:sz w:val="18"/>
          <w:szCs w:val="18"/>
          <w:color w:val="000000"/>
        </w:rPr>
        <w:t>from recurring revenue customers accounted for 93% and 92% of our total revenues for the three months ended</w:t>
      </w:r>
      <w:r>
        <w:rPr>
          <w:rFonts w:ascii="Arial" w:cs="Arial" w:eastAsia="Arial" w:hAnsi="Arial"/>
          <w:sz w:val="18"/>
          <w:szCs w:val="18"/>
          <w:color w:val="1F282C"/>
        </w:rPr>
        <w:t xml:space="preserve"> September 30, 2022 </w:t>
      </w:r>
      <w:r>
        <w:rPr>
          <w:rFonts w:ascii="Arial" w:cs="Arial" w:eastAsia="Arial" w:hAnsi="Arial"/>
          <w:sz w:val="18"/>
          <w:szCs w:val="18"/>
          <w:color w:val="000000"/>
        </w:rPr>
        <w:t>and 2021, respectively. We anticipate that the number of recurring revenue customers and wallet share will continue to increase as we</w:t>
      </w:r>
      <w:r>
        <w:rPr>
          <w:rFonts w:ascii="Arial" w:cs="Arial" w:eastAsia="Arial" w:hAnsi="Arial"/>
          <w:sz w:val="18"/>
          <w:szCs w:val="18"/>
          <w:color w:val="1F282C"/>
        </w:rPr>
        <w:t xml:space="preserve"> </w:t>
      </w:r>
      <w:r>
        <w:rPr>
          <w:rFonts w:ascii="Arial" w:cs="Arial" w:eastAsia="Arial" w:hAnsi="Arial"/>
          <w:sz w:val="18"/>
          <w:szCs w:val="18"/>
          <w:color w:val="000000"/>
        </w:rPr>
        <w:t>execute our growth strategy focused on further penetrations of our market.</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Cost of Revenues - </w:t>
      </w:r>
      <w:r>
        <w:rPr>
          <w:rFonts w:ascii="Arial" w:cs="Arial" w:eastAsia="Arial" w:hAnsi="Arial"/>
          <w:sz w:val="18"/>
          <w:szCs w:val="18"/>
          <w:color w:val="000000"/>
        </w:rPr>
        <w:t>The increase in cost of revenues was primarily due to increased headcount, which resulted in an increase of $2.8 million in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personnel-related costs, and an increase of $0.6 million in software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262890</wp:posOffset>
            </wp:positionV>
            <wp:extent cx="325755" cy="300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40"/>
        <w:spacing w:after="0"/>
        <w:tabs>
          <w:tab w:leader="none" w:pos="5420" w:val="left"/>
          <w:tab w:leader="none" w:pos="83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20</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Sales and Marketing Expenses - </w:t>
      </w:r>
      <w:r>
        <w:rPr>
          <w:rFonts w:ascii="Arial" w:cs="Arial" w:eastAsia="Arial" w:hAnsi="Arial"/>
          <w:sz w:val="18"/>
          <w:szCs w:val="18"/>
          <w:color w:val="000000"/>
        </w:rPr>
        <w:t>The increase in sales and marketing expense was primarily due to increased headcount, which resulted in an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increase of $2.6 million in personnel-related costs.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1F282C"/>
        </w:rPr>
        <w:t xml:space="preserve">Research and Development Expenses - </w:t>
      </w:r>
      <w:r>
        <w:rPr>
          <w:rFonts w:ascii="Arial" w:cs="Arial" w:eastAsia="Arial" w:hAnsi="Arial"/>
          <w:sz w:val="18"/>
          <w:szCs w:val="18"/>
          <w:color w:val="000000"/>
        </w:rPr>
        <w:t>No significant changes.</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b w:val="1"/>
          <w:bCs w:val="1"/>
          <w:i w:val="1"/>
          <w:iCs w:val="1"/>
          <w:color w:val="1F282C"/>
        </w:rPr>
        <w:t xml:space="preserve">General and Administrative Expenses </w:t>
      </w:r>
      <w:r>
        <w:rPr>
          <w:rFonts w:ascii="Arial" w:cs="Arial" w:eastAsia="Arial" w:hAnsi="Arial"/>
          <w:sz w:val="18"/>
          <w:szCs w:val="18"/>
          <w:color w:val="1F282C"/>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general and administrative expense was primarily due to an increase in professional fees</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of $0.7 million and an increase of $1.0 million in charitable contributions. This was partially offset by a decrease of $1.0 million in bad debt expense given favorable accounts receivable collection rates.</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Amortization of Intangible Assets - </w:t>
      </w:r>
      <w:r>
        <w:rPr>
          <w:rFonts w:ascii="Arial" w:cs="Arial" w:eastAsia="Arial" w:hAnsi="Arial"/>
          <w:sz w:val="18"/>
          <w:szCs w:val="18"/>
          <w:color w:val="000000"/>
        </w:rPr>
        <w:t>The increase in amortization of intangible assets was driven by acquired intangible assets related to recent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business combinations.</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Other Expense, Net - </w:t>
      </w:r>
      <w:r>
        <w:rPr>
          <w:rFonts w:ascii="Arial" w:cs="Arial" w:eastAsia="Arial" w:hAnsi="Arial"/>
          <w:sz w:val="18"/>
          <w:szCs w:val="18"/>
          <w:color w:val="000000"/>
        </w:rPr>
        <w:t>The decrease in net other expenses consisted of increased investment income partially offset by unfavorable currency</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exchange rates.</w:t>
      </w:r>
    </w:p>
    <w:p>
      <w:pPr>
        <w:spacing w:after="0" w:line="170"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b w:val="1"/>
          <w:bCs w:val="1"/>
          <w:i w:val="1"/>
          <w:iCs w:val="1"/>
          <w:color w:val="1F282C"/>
        </w:rPr>
        <w:t xml:space="preserve">Income Tax Expense - </w:t>
      </w:r>
      <w:r>
        <w:rPr>
          <w:rFonts w:ascii="Arial" w:cs="Arial" w:eastAsia="Arial" w:hAnsi="Arial"/>
          <w:sz w:val="18"/>
          <w:szCs w:val="18"/>
          <w:color w:val="000000"/>
        </w:rPr>
        <w:t>The increase in income tax expense was primarily driven by an increase in pre-tax income and a decrease in the excess tax</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deductions due to the current period equity award settlements. This was partially offset by a decrease in nondeductible executive compensation. Excess tax benefits generated upon the settlement or exercise of stock awards are recognized as a reduction to income tax expense and, as a result, we expect that our annual effective income tax rate will fluctuate.</w:t>
      </w:r>
    </w:p>
    <w:p>
      <w:pPr>
        <w:spacing w:after="0" w:line="18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b w:val="1"/>
          <w:bCs w:val="1"/>
          <w:i w:val="1"/>
          <w:iCs w:val="1"/>
          <w:color w:val="1F282C"/>
        </w:rPr>
        <w:t xml:space="preserve">Adjusted EBITDA - </w:t>
      </w:r>
      <w:r>
        <w:rPr>
          <w:rFonts w:ascii="Arial" w:cs="Arial" w:eastAsia="Arial" w:hAnsi="Arial"/>
          <w:sz w:val="18"/>
          <w:szCs w:val="18"/>
          <w:color w:val="000000"/>
        </w:rPr>
        <w:t>Adjusted EBITDA consists of net income adjusted for income tax expense, depreciation and amortization expense, stock-based compensation expense, realized gain or loss from foreign currency on cash and investments held, investment income or loss, and other adjustments as necessary for a fair presentation.</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income to Adjusted EBITDA:</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11,449</w:t>
            </w: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1,356</w:t>
            </w: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2,399</w:t>
            </w:r>
          </w:p>
        </w:tc>
      </w:tr>
      <w:tr>
        <w:trPr>
          <w:trHeight w:val="22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Realized loss from foreign currency on cash and investments held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854</w:t>
            </w: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income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26,536</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342900</wp:posOffset>
            </wp:positionV>
            <wp:extent cx="325755" cy="300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0"/>
        <w:spacing w:after="0"/>
        <w:tabs>
          <w:tab w:leader="none" w:pos="5420" w:val="left"/>
          <w:tab w:leader="none" w:pos="83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21</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Adjusted EBITDA Margin - </w:t>
      </w:r>
      <w:r>
        <w:rPr>
          <w:rFonts w:ascii="Arial" w:cs="Arial" w:eastAsia="Arial" w:hAnsi="Arial"/>
          <w:sz w:val="18"/>
          <w:szCs w:val="18"/>
          <w:color w:val="000000"/>
        </w:rPr>
        <w:t>Adjusted EBITDA Margin consists of Adjusted EBITDA divided by revenue. Margin, the comparable GAAP</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measure of financial performance, consists of net income divided by revenue.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comparison of Margin to Adjusted EBITDA Margin:</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3"/>
          </w:tcPr>
          <w:p>
            <w:pPr>
              <w:ind w:left="620"/>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4"/>
                <w:szCs w:val="14"/>
                <w:color w:val="auto"/>
              </w:rPr>
            </w:pPr>
          </w:p>
        </w:tc>
      </w:tr>
      <w:tr>
        <w:trPr>
          <w:trHeight w:val="192"/>
        </w:trPr>
        <w:tc>
          <w:tcPr>
            <w:tcW w:w="7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196"/>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Margin and Adjusted EBITDA Margin)</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96"/>
              </w:rPr>
              <w:t>2021</w:t>
            </w: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114,486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97,887</w:t>
            </w:r>
          </w:p>
        </w:tc>
      </w:tr>
      <w:tr>
        <w:trPr>
          <w:trHeight w:val="270"/>
        </w:trPr>
        <w:tc>
          <w:tcPr>
            <w:tcW w:w="7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15,863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11,449</w:t>
            </w: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color w:val="auto"/>
              </w:rPr>
              <w:t>Margin</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2"/>
              </w:rPr>
              <w:t>14 %</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7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34,687</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26,536</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2"/>
              </w:rPr>
              <w:t>30 %</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b w:val="1"/>
          <w:bCs w:val="1"/>
          <w:i w:val="1"/>
          <w:iCs w:val="1"/>
          <w:color w:val="1F282C"/>
        </w:rPr>
        <w:t xml:space="preserve">Non-GAAP Income per Share - </w:t>
      </w:r>
      <w:r>
        <w:rPr>
          <w:rFonts w:ascii="Arial" w:cs="Arial" w:eastAsia="Arial" w:hAnsi="Arial"/>
          <w:sz w:val="18"/>
          <w:szCs w:val="18"/>
          <w:color w:val="000000"/>
        </w:rPr>
        <w:t>Non-GAAP income per share consists of net income adjusted for stock-based compensation expense,</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amortization expense related to intangible assets, realized gain or loss from foreign currency on cash and investments held, other adjustments as necessary for a fair presentation, and the corresponding tax impacts of the adjustments to net income, divided by the weighted average number of shares of common and diluted stock outstanding during each period.</w:t>
      </w:r>
    </w:p>
    <w:p>
      <w:pPr>
        <w:spacing w:after="0" w:line="7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income to non-GAAP income per share: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11,449</w:t>
            </w:r>
          </w:p>
        </w:tc>
      </w:tr>
      <w:tr>
        <w:trPr>
          <w:trHeight w:val="229"/>
        </w:trPr>
        <w:tc>
          <w:tcPr>
            <w:tcW w:w="8180" w:type="dxa"/>
            <w:vAlign w:val="bottom"/>
          </w:tcPr>
          <w:p>
            <w:pPr>
              <w:ind w:left="30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6,849</w:t>
            </w:r>
          </w:p>
        </w:tc>
      </w:tr>
      <w:tr>
        <w:trPr>
          <w:trHeight w:val="230"/>
        </w:trPr>
        <w:tc>
          <w:tcPr>
            <w:tcW w:w="8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r>
      <w:tr>
        <w:trPr>
          <w:trHeight w:val="230"/>
        </w:trPr>
        <w:tc>
          <w:tcPr>
            <w:tcW w:w="8180" w:type="dxa"/>
            <w:vAlign w:val="bottom"/>
          </w:tcPr>
          <w:p>
            <w:pPr>
              <w:ind w:left="300"/>
              <w:spacing w:after="0"/>
              <w:rPr>
                <w:sz w:val="20"/>
                <w:szCs w:val="20"/>
                <w:color w:val="auto"/>
              </w:rPr>
            </w:pPr>
            <w:r>
              <w:rPr>
                <w:rFonts w:ascii="Arial" w:cs="Arial" w:eastAsia="Arial" w:hAnsi="Arial"/>
                <w:sz w:val="18"/>
                <w:szCs w:val="18"/>
                <w:color w:val="auto"/>
              </w:rPr>
              <w:t>Realized loss from foreign currency on cash and investments held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854</w:t>
            </w:r>
          </w:p>
        </w:tc>
      </w:tr>
      <w:tr>
        <w:trPr>
          <w:trHeight w:val="230"/>
        </w:trPr>
        <w:tc>
          <w:tcPr>
            <w:tcW w:w="8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tax effects of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Non-GAAP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17,373</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8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Shares used to compute non-GAAP income per share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8180" w:type="dxa"/>
            <w:vAlign w:val="bottom"/>
          </w:tcPr>
          <w:p>
            <w:pPr>
              <w:ind w:left="30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35,961</w:t>
            </w:r>
          </w:p>
        </w:tc>
      </w:tr>
      <w:tr>
        <w:trPr>
          <w:trHeight w:val="230"/>
        </w:trPr>
        <w:tc>
          <w:tcPr>
            <w:tcW w:w="8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37,015</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Non-GAAP income per share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r>
      <w:tr>
        <w:trPr>
          <w:trHeight w:val="230"/>
        </w:trPr>
        <w:tc>
          <w:tcPr>
            <w:tcW w:w="8180" w:type="dxa"/>
            <w:vAlign w:val="bottom"/>
          </w:tcPr>
          <w:p>
            <w:pPr>
              <w:ind w:left="30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tabs>
          <w:tab w:leader="none" w:pos="5420" w:val="left"/>
          <w:tab w:leader="none" w:pos="8300" w:val="left"/>
        </w:tabs>
        <w:rPr>
          <w:sz w:val="20"/>
          <w:szCs w:val="20"/>
          <w:color w:val="auto"/>
        </w:rPr>
      </w:pPr>
      <w:r>
        <w:rPr>
          <w:sz w:val="1"/>
          <w:szCs w:val="1"/>
          <w:color w:val="auto"/>
        </w:rPr>
        <w:drawing>
          <wp:inline distT="0" distB="0" distL="0" distR="0">
            <wp:extent cx="325755" cy="30035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5755" cy="300355"/>
                    </a:xfrm>
                    <a:prstGeom prst="rect">
                      <a:avLst/>
                    </a:prstGeom>
                    <a:noFill/>
                    <a:ln>
                      <a:noFill/>
                    </a:ln>
                  </pic:spPr>
                </pic:pic>
              </a:graphicData>
            </a:graphic>
          </wp:inline>
        </w:drawing>
      </w:r>
      <w:r>
        <w:rPr>
          <w:rFonts w:ascii="Arial" w:cs="Arial" w:eastAsia="Arial" w:hAnsi="Arial"/>
          <w:sz w:val="29"/>
          <w:szCs w:val="29"/>
          <w:b w:val="1"/>
          <w:bCs w:val="1"/>
          <w:color w:val="auto"/>
          <w:vertAlign w:val="superscript"/>
        </w:rPr>
        <w:t>SPS COMMERCE, INC.</w:t>
      </w:r>
      <w:r>
        <w:rPr>
          <w:sz w:val="20"/>
          <w:szCs w:val="20"/>
          <w:color w:val="auto"/>
        </w:rPr>
        <w:tab/>
      </w:r>
      <w:r>
        <w:rPr>
          <w:rFonts w:ascii="Arial" w:cs="Arial" w:eastAsia="Arial" w:hAnsi="Arial"/>
          <w:sz w:val="14"/>
          <w:szCs w:val="14"/>
          <w:color w:val="auto"/>
        </w:rPr>
        <w:t>22</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180"/>
        <w:spacing w:after="0"/>
        <w:rPr>
          <w:sz w:val="20"/>
          <w:szCs w:val="20"/>
          <w:color w:val="auto"/>
        </w:rPr>
      </w:pPr>
      <w:r>
        <w:rPr>
          <w:rFonts w:ascii="Arial" w:cs="Arial" w:eastAsia="Arial" w:hAnsi="Arial"/>
          <w:sz w:val="15"/>
          <w:szCs w:val="15"/>
          <w:b w:val="1"/>
          <w:bCs w:val="1"/>
          <w:i w:val="1"/>
          <w:iCs w:val="1"/>
          <w:color w:val="1F282C"/>
        </w:rPr>
        <w:t>Nine Months Ended September 30, 2022 Compared to Nine Months Ended September 30, 2021</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8"/>
              </w:rPr>
              <w:t>Nine Months Ended September 30,</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7"/>
                <w:szCs w:val="17"/>
                <w:color w:val="auto"/>
              </w:rPr>
            </w:pPr>
          </w:p>
        </w:tc>
        <w:tc>
          <w:tcPr>
            <w:tcW w:w="88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160" w:type="dxa"/>
            <w:vAlign w:val="bottom"/>
          </w:tcPr>
          <w:p>
            <w:pPr>
              <w:jc w:val="right"/>
              <w:ind w:right="112"/>
              <w:spacing w:after="0" w:line="202" w:lineRule="exact"/>
              <w:rPr>
                <w:sz w:val="20"/>
                <w:szCs w:val="20"/>
                <w:color w:val="auto"/>
              </w:rPr>
            </w:pPr>
            <w:r>
              <w:rPr>
                <w:rFonts w:ascii="Arial" w:cs="Arial" w:eastAsia="Arial" w:hAnsi="Arial"/>
                <w:sz w:val="14"/>
                <w:szCs w:val="14"/>
                <w:b w:val="1"/>
                <w:bCs w:val="1"/>
                <w:color w:val="auto"/>
                <w:w w:val="92"/>
              </w:rPr>
              <w:t>% of revenue</w:t>
            </w:r>
            <w:r>
              <w:rPr>
                <w:rFonts w:ascii="Arial" w:cs="Arial" w:eastAsia="Arial" w:hAnsi="Arial"/>
                <w:sz w:val="18"/>
                <w:szCs w:val="18"/>
                <w:b w:val="1"/>
                <w:bCs w:val="1"/>
                <w:color w:val="auto"/>
                <w:w w:val="92"/>
                <w:vertAlign w:val="superscript"/>
              </w:rPr>
              <w:t>(1)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160" w:type="dxa"/>
            <w:vAlign w:val="bottom"/>
          </w:tcPr>
          <w:p>
            <w:pPr>
              <w:jc w:val="right"/>
              <w:ind w:right="111"/>
              <w:spacing w:after="0" w:line="202" w:lineRule="exact"/>
              <w:rPr>
                <w:sz w:val="20"/>
                <w:szCs w:val="20"/>
                <w:color w:val="auto"/>
              </w:rPr>
            </w:pPr>
            <w:r>
              <w:rPr>
                <w:rFonts w:ascii="Arial" w:cs="Arial" w:eastAsia="Arial" w:hAnsi="Arial"/>
                <w:sz w:val="14"/>
                <w:szCs w:val="14"/>
                <w:b w:val="1"/>
                <w:bCs w:val="1"/>
                <w:color w:val="auto"/>
                <w:w w:val="92"/>
              </w:rPr>
              <w:t>% of revenue</w:t>
            </w:r>
            <w:r>
              <w:rPr>
                <w:rFonts w:ascii="Arial" w:cs="Arial" w:eastAsia="Arial" w:hAnsi="Arial"/>
                <w:sz w:val="18"/>
                <w:szCs w:val="18"/>
                <w:b w:val="1"/>
                <w:bCs w:val="1"/>
                <w:color w:val="auto"/>
                <w:w w:val="92"/>
                <w:vertAlign w:val="superscript"/>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7"/>
                <w:szCs w:val="17"/>
                <w:color w:val="auto"/>
              </w:rPr>
            </w:pPr>
          </w:p>
        </w:tc>
        <w:tc>
          <w:tcPr>
            <w:tcW w:w="900" w:type="dxa"/>
            <w:vAlign w:val="bottom"/>
          </w:tcPr>
          <w:p>
            <w:pPr>
              <w:jc w:val="right"/>
              <w:ind w:right="4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328,857</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282,520</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46,337</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111,524</w:t>
            </w: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33.9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96,043</w:t>
            </w: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15,481</w:t>
            </w:r>
          </w:p>
        </w:tc>
        <w:tc>
          <w:tcPr>
            <w:tcW w:w="5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217,333</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66.1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186,477</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30,856</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65,386</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33,268</w:t>
            </w:r>
          </w:p>
        </w:tc>
        <w:tc>
          <w:tcPr>
            <w:tcW w:w="2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28,459</w:t>
            </w:r>
          </w:p>
        </w:tc>
        <w:tc>
          <w:tcPr>
            <w:tcW w:w="2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4,809</w:t>
            </w:r>
          </w:p>
        </w:tc>
        <w:tc>
          <w:tcPr>
            <w:tcW w:w="52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49,390</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45,186</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7,936</w:t>
            </w: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7,734</w:t>
            </w: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5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165,165</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146,765</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18,400</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52,168</w:t>
            </w: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15.9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39,712</w:t>
            </w: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12,456</w:t>
            </w:r>
          </w:p>
        </w:tc>
        <w:tc>
          <w:tcPr>
            <w:tcW w:w="5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50,558</w:t>
            </w:r>
          </w:p>
        </w:tc>
        <w:tc>
          <w:tcPr>
            <w:tcW w:w="2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38,288</w:t>
            </w:r>
          </w:p>
        </w:tc>
        <w:tc>
          <w:tcPr>
            <w:tcW w:w="2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12,270</w:t>
            </w:r>
          </w:p>
        </w:tc>
        <w:tc>
          <w:tcPr>
            <w:tcW w:w="52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11,339</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39,219</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11.9 %</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31,832</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7,387</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(1) Amounts in column may not foot due to rounding</w:t>
      </w:r>
    </w:p>
    <w:p>
      <w:pPr>
        <w:spacing w:after="0" w:line="32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b w:val="1"/>
          <w:bCs w:val="1"/>
          <w:i w:val="1"/>
          <w:iCs w:val="1"/>
          <w:color w:val="1F282C"/>
        </w:rPr>
        <w:t xml:space="preserve">Revenues </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revenue resulted from two primary factors: the increase in recurring revenue customers, which is driven primarily by</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continued business growth and by business acquisitions, and the increase in average recurring revenues per recurring revenue customer, which we also refer to as wallet share.</w:t>
      </w:r>
    </w:p>
    <w:p>
      <w:pPr>
        <w:spacing w:after="0" w:line="76" w:lineRule="exact"/>
        <w:rPr>
          <w:sz w:val="20"/>
          <w:szCs w:val="20"/>
          <w:color w:val="auto"/>
        </w:rPr>
      </w:pPr>
    </w:p>
    <w:p>
      <w:pPr>
        <w:ind w:left="980" w:right="30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number of recurring revenue customers increased 12% to 39,550 at </w:t>
      </w:r>
      <w:r>
        <w:rPr>
          <w:rFonts w:ascii="Arial" w:cs="Arial" w:eastAsia="Arial" w:hAnsi="Arial"/>
          <w:sz w:val="18"/>
          <w:szCs w:val="18"/>
          <w:color w:val="1F282C"/>
        </w:rPr>
        <w:t>September 30, 2022</w:t>
      </w:r>
      <w:r>
        <w:rPr>
          <w:rFonts w:ascii="Arial" w:cs="Arial" w:eastAsia="Arial" w:hAnsi="Arial"/>
          <w:sz w:val="18"/>
          <w:szCs w:val="18"/>
          <w:color w:val="auto"/>
        </w:rPr>
        <w:t xml:space="preserve"> from 35,400 at </w:t>
      </w:r>
      <w:r>
        <w:rPr>
          <w:rFonts w:ascii="Arial" w:cs="Arial" w:eastAsia="Arial" w:hAnsi="Arial"/>
          <w:sz w:val="18"/>
          <w:szCs w:val="18"/>
          <w:color w:val="1F282C"/>
        </w:rPr>
        <w:t>September 30, 2021 primarily</w:t>
      </w:r>
      <w:r>
        <w:rPr>
          <w:rFonts w:ascii="Arial" w:cs="Arial" w:eastAsia="Arial" w:hAnsi="Arial"/>
          <w:sz w:val="18"/>
          <w:szCs w:val="18"/>
          <w:color w:val="auto"/>
        </w:rPr>
        <w:t xml:space="preserve"> </w:t>
      </w:r>
      <w:r>
        <w:rPr>
          <w:rFonts w:ascii="Arial" w:cs="Arial" w:eastAsia="Arial" w:hAnsi="Arial"/>
          <w:sz w:val="18"/>
          <w:szCs w:val="18"/>
          <w:color w:val="1F282C"/>
        </w:rPr>
        <w:t>due to sales and marketing efforts to acquire new customers and due to recent acquisitions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Wallet share increased 4% to $10,550 for the nine months ended </w:t>
      </w:r>
      <w:r>
        <w:rPr>
          <w:rFonts w:ascii="Arial" w:cs="Arial" w:eastAsia="Arial" w:hAnsi="Arial"/>
          <w:sz w:val="18"/>
          <w:szCs w:val="18"/>
          <w:color w:val="1F282C"/>
        </w:rPr>
        <w:t>September 30, 2022</w:t>
      </w:r>
      <w:r>
        <w:rPr>
          <w:rFonts w:ascii="Arial" w:cs="Arial" w:eastAsia="Arial" w:hAnsi="Arial"/>
          <w:sz w:val="18"/>
          <w:szCs w:val="18"/>
          <w:color w:val="auto"/>
        </w:rPr>
        <w:t xml:space="preserve"> from $10,100 for the same period in 2021. The increase was primarily attributable to increased usage of our solutions by our recurring revenue customers.</w:t>
      </w:r>
    </w:p>
    <w:p>
      <w:pPr>
        <w:spacing w:after="0" w:line="6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Recurring revenues increased 17% to $305.3 million for the nine months ended </w:t>
      </w:r>
      <w:r>
        <w:rPr>
          <w:rFonts w:ascii="Arial" w:cs="Arial" w:eastAsia="Arial" w:hAnsi="Arial"/>
          <w:sz w:val="18"/>
          <w:szCs w:val="18"/>
          <w:color w:val="1F282C"/>
        </w:rPr>
        <w:t>September 30, 2022 compared to the</w:t>
      </w:r>
      <w:r>
        <w:rPr>
          <w:rFonts w:ascii="Arial" w:cs="Arial" w:eastAsia="Arial" w:hAnsi="Arial"/>
          <w:sz w:val="18"/>
          <w:szCs w:val="18"/>
          <w:color w:val="auto"/>
        </w:rPr>
        <w:t xml:space="preserve"> nine </w:t>
      </w:r>
      <w:r>
        <w:rPr>
          <w:rFonts w:ascii="Arial" w:cs="Arial" w:eastAsia="Arial" w:hAnsi="Arial"/>
          <w:sz w:val="18"/>
          <w:szCs w:val="18"/>
          <w:color w:val="1F282C"/>
        </w:rPr>
        <w:t>months ended</w:t>
      </w:r>
      <w:r>
        <w:rPr>
          <w:rFonts w:ascii="Arial" w:cs="Arial" w:eastAsia="Arial" w:hAnsi="Arial"/>
          <w:sz w:val="18"/>
          <w:szCs w:val="18"/>
          <w:color w:val="auto"/>
        </w:rPr>
        <w:t xml:space="preserve"> </w:t>
      </w:r>
      <w:r>
        <w:rPr>
          <w:rFonts w:ascii="Arial" w:cs="Arial" w:eastAsia="Arial" w:hAnsi="Arial"/>
          <w:sz w:val="18"/>
          <w:szCs w:val="18"/>
          <w:color w:val="1F282C"/>
        </w:rPr>
        <w:t xml:space="preserve">September 30, 2021. Recurring revenues </w:t>
      </w:r>
      <w:r>
        <w:rPr>
          <w:rFonts w:ascii="Arial" w:cs="Arial" w:eastAsia="Arial" w:hAnsi="Arial"/>
          <w:sz w:val="18"/>
          <w:szCs w:val="18"/>
          <w:color w:val="000000"/>
        </w:rPr>
        <w:t>from recurring revenue customers accounted for 93% and 92% of our total revenues for the nine months ended</w:t>
      </w:r>
      <w:r>
        <w:rPr>
          <w:rFonts w:ascii="Arial" w:cs="Arial" w:eastAsia="Arial" w:hAnsi="Arial"/>
          <w:sz w:val="18"/>
          <w:szCs w:val="18"/>
          <w:color w:val="1F282C"/>
        </w:rPr>
        <w:t xml:space="preserve"> September 30, 2022 </w:t>
      </w:r>
      <w:r>
        <w:rPr>
          <w:rFonts w:ascii="Arial" w:cs="Arial" w:eastAsia="Arial" w:hAnsi="Arial"/>
          <w:sz w:val="18"/>
          <w:szCs w:val="18"/>
          <w:color w:val="000000"/>
        </w:rPr>
        <w:t>and 2021, respectively. We anticipate that the number of recurring revenue customers and wallet share will continue to increase as we</w:t>
      </w:r>
      <w:r>
        <w:rPr>
          <w:rFonts w:ascii="Arial" w:cs="Arial" w:eastAsia="Arial" w:hAnsi="Arial"/>
          <w:sz w:val="18"/>
          <w:szCs w:val="18"/>
          <w:color w:val="1F282C"/>
        </w:rPr>
        <w:t xml:space="preserve"> </w:t>
      </w:r>
      <w:r>
        <w:rPr>
          <w:rFonts w:ascii="Arial" w:cs="Arial" w:eastAsia="Arial" w:hAnsi="Arial"/>
          <w:sz w:val="18"/>
          <w:szCs w:val="18"/>
          <w:color w:val="000000"/>
        </w:rPr>
        <w:t>execute our growth strategy focused on further penetrations of our market.</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b w:val="1"/>
          <w:bCs w:val="1"/>
          <w:i w:val="1"/>
          <w:iCs w:val="1"/>
          <w:color w:val="1F282C"/>
        </w:rPr>
        <w:t xml:space="preserve">Cost of Revenues - </w:t>
      </w:r>
      <w:r>
        <w:rPr>
          <w:rFonts w:ascii="Arial" w:cs="Arial" w:eastAsia="Arial" w:hAnsi="Arial"/>
          <w:sz w:val="17"/>
          <w:szCs w:val="17"/>
          <w:color w:val="000000"/>
        </w:rPr>
        <w:t>The increase in cost of revenues was primarily due to increased headcount, which resulted in an increase of $11.2 million in</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personnel-related costs, an increase of $1.6 million of software subscriptions, and an increase of $1.5 million in stock-based compensation. Additionally, as we continued to invest in the infrastructure supporting our platform, depreciation expense increased by $1.1 million.</w:t>
      </w:r>
    </w:p>
    <w:p>
      <w:pPr>
        <w:spacing w:after="0" w:line="165"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b w:val="1"/>
          <w:bCs w:val="1"/>
          <w:i w:val="1"/>
          <w:iCs w:val="1"/>
          <w:color w:val="1F282C"/>
        </w:rPr>
        <w:t xml:space="preserve">Sales and Marketing Expenses - </w:t>
      </w:r>
      <w:r>
        <w:rPr>
          <w:rFonts w:ascii="Arial" w:cs="Arial" w:eastAsia="Arial" w:hAnsi="Arial"/>
          <w:sz w:val="18"/>
          <w:szCs w:val="18"/>
          <w:color w:val="000000"/>
        </w:rPr>
        <w:t>The increase in sales and marketing expense was primarily due to increased headcount, which resulted in an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increase of $6.3 million in personnel-related costs, an increase of $1.0 million in stock-based compensation, and an increase of $0.9 million in variable compensation earned by sales personnel and referral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271145</wp:posOffset>
            </wp:positionV>
            <wp:extent cx="325755" cy="2997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75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40"/>
        <w:spacing w:after="0"/>
        <w:tabs>
          <w:tab w:leader="none" w:pos="5420" w:val="left"/>
          <w:tab w:leader="none" w:pos="83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23</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b w:val="1"/>
          <w:bCs w:val="1"/>
          <w:i w:val="1"/>
          <w:iCs w:val="1"/>
          <w:color w:val="1F282C"/>
        </w:rPr>
        <w:t xml:space="preserve">Research and Development Expenses - </w:t>
      </w:r>
      <w:r>
        <w:rPr>
          <w:rFonts w:ascii="Arial" w:cs="Arial" w:eastAsia="Arial" w:hAnsi="Arial"/>
          <w:sz w:val="18"/>
          <w:szCs w:val="18"/>
          <w:color w:val="000000"/>
        </w:rPr>
        <w:t>The increase in research and development expense was primarily due to increased headcount, which</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resulted in an increase of $3.0 million in personnel-related costs, an increase of $1.0 million in stock-based compensation, and an increase of $0.9 million in software subscriptions.</w:t>
      </w:r>
    </w:p>
    <w:p>
      <w:pPr>
        <w:spacing w:after="0" w:line="184" w:lineRule="exact"/>
        <w:rPr>
          <w:sz w:val="20"/>
          <w:szCs w:val="20"/>
          <w:color w:val="auto"/>
        </w:rPr>
      </w:pPr>
    </w:p>
    <w:p>
      <w:pPr>
        <w:ind w:right="440" w:firstLine="648"/>
        <w:spacing w:after="0" w:line="279" w:lineRule="auto"/>
        <w:rPr>
          <w:sz w:val="20"/>
          <w:szCs w:val="20"/>
          <w:color w:val="auto"/>
        </w:rPr>
      </w:pPr>
      <w:r>
        <w:rPr>
          <w:rFonts w:ascii="Arial" w:cs="Arial" w:eastAsia="Arial" w:hAnsi="Arial"/>
          <w:sz w:val="17"/>
          <w:szCs w:val="17"/>
          <w:b w:val="1"/>
          <w:bCs w:val="1"/>
          <w:i w:val="1"/>
          <w:iCs w:val="1"/>
          <w:color w:val="1F282C"/>
        </w:rPr>
        <w:t xml:space="preserve">General and Administrative Expenses </w:t>
      </w:r>
      <w:r>
        <w:rPr>
          <w:rFonts w:ascii="Arial" w:cs="Arial" w:eastAsia="Arial" w:hAnsi="Arial"/>
          <w:sz w:val="17"/>
          <w:szCs w:val="17"/>
          <w:color w:val="1F282C"/>
        </w:rPr>
        <w:t>-</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The increase in general and administrative expense was primarily related to supporting continued</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business growth, including an increase in headcount. The increase in headcount resulted in an increase in personnel-related costs of $2.0 million, an increase of $0.8 million of software subscriptions, and an increase of $0.8 million in stock-based compensation. Additionally, there was an increase in professional fees of $1.3 million partially offset by a decrease of $1.1 million in bad debt expense.</w:t>
      </w:r>
    </w:p>
    <w:p>
      <w:pPr>
        <w:spacing w:after="0" w:line="17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Amortization of Intangible Assets - </w:t>
      </w:r>
      <w:r>
        <w:rPr>
          <w:rFonts w:ascii="Arial" w:cs="Arial" w:eastAsia="Arial" w:hAnsi="Arial"/>
          <w:sz w:val="18"/>
          <w:szCs w:val="18"/>
          <w:color w:val="000000"/>
        </w:rPr>
        <w:t>The increase in amortization of intangible assets was driven by acquired intangible assets related to recent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business combinations.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1F282C"/>
        </w:rPr>
        <w:t xml:space="preserve">Other Expense, Net - </w:t>
      </w:r>
      <w:r>
        <w:rPr>
          <w:rFonts w:ascii="Arial" w:cs="Arial" w:eastAsia="Arial" w:hAnsi="Arial"/>
          <w:sz w:val="17"/>
          <w:szCs w:val="17"/>
          <w:color w:val="000000"/>
        </w:rPr>
        <w:t>The increase in net other expenses was primarily due to unfavorable foreign currency exchange rate changes.</w:t>
      </w:r>
    </w:p>
    <w:p>
      <w:pPr>
        <w:spacing w:after="0" w:line="23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b w:val="1"/>
          <w:bCs w:val="1"/>
          <w:i w:val="1"/>
          <w:iCs w:val="1"/>
          <w:color w:val="1F282C"/>
        </w:rPr>
        <w:t xml:space="preserve">Income Tax Expense - </w:t>
      </w:r>
      <w:r>
        <w:rPr>
          <w:rFonts w:ascii="Arial" w:cs="Arial" w:eastAsia="Arial" w:hAnsi="Arial"/>
          <w:sz w:val="18"/>
          <w:szCs w:val="18"/>
          <w:color w:val="000000"/>
        </w:rPr>
        <w:t>The increase in income tax expense was primarily driven by an increase in pre-tax income and a decrease in the excess tax</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deductions due to the current period equity award settlements. This was partially offset by a decrease in nondeductible executive compensation. Excess tax benefits generated upon the settlement or exercise of stock awards are recognized as a reduction to income tax expense and, as a result, we expect that our annual effective income tax rate will fluctuate.</w:t>
      </w:r>
    </w:p>
    <w:p>
      <w:pPr>
        <w:spacing w:after="0" w:line="18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b w:val="1"/>
          <w:bCs w:val="1"/>
          <w:i w:val="1"/>
          <w:iCs w:val="1"/>
          <w:color w:val="1F282C"/>
        </w:rPr>
        <w:t xml:space="preserve">Adjusted EBITDA - </w:t>
      </w:r>
      <w:r>
        <w:rPr>
          <w:rFonts w:ascii="Arial" w:cs="Arial" w:eastAsia="Arial" w:hAnsi="Arial"/>
          <w:sz w:val="18"/>
          <w:szCs w:val="18"/>
          <w:color w:val="000000"/>
        </w:rPr>
        <w:t>Adjusted EBITDA consists of net income adjusted for income tax expense, depreciation and amortization expense, stock-based compensation expense, realized gain or loss from foreign currency on cash and investments held, investment income or loss, and other adjustments as necessary for a fair presentation.</w:t>
      </w:r>
    </w:p>
    <w:p>
      <w:pPr>
        <w:spacing w:after="0" w:line="76"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 xml:space="preserve">For the nine months ended </w:t>
      </w:r>
      <w:r>
        <w:rPr>
          <w:rFonts w:ascii="Arial" w:cs="Arial" w:eastAsia="Arial" w:hAnsi="Arial"/>
          <w:sz w:val="18"/>
          <w:szCs w:val="18"/>
          <w:color w:val="1F282C"/>
        </w:rPr>
        <w:t>September 30, 2021</w:t>
      </w:r>
      <w:r>
        <w:rPr>
          <w:rFonts w:ascii="Arial" w:cs="Arial" w:eastAsia="Arial" w:hAnsi="Arial"/>
          <w:sz w:val="18"/>
          <w:szCs w:val="18"/>
          <w:color w:val="auto"/>
        </w:rPr>
        <w:t>, other adjustments included disposals of cloud hosting arrangement implementation costs and accelerated tenant improvement benefit, which was incurred as part of executing a lease agreement. This tenant improvement adjustment was partially offset by accelerated depreciation, which is included within Depreciation and amortization of property and equipment and was also incurred as part of executing a lease agreement.</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income to Adjusted EBITDA: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2021</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31,832</w:t>
            </w: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6,456</w:t>
            </w: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10,989</w:t>
            </w: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7,734</w:t>
            </w: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21,273</w:t>
            </w: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Realized loss from foreign currency on cash and investments held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1,492</w:t>
            </w: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48"/>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79,321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b w:val="1"/>
          <w:bCs w:val="1"/>
          <w:i w:val="1"/>
          <w:iCs w:val="1"/>
          <w:color w:val="1F282C"/>
        </w:rPr>
        <w:t xml:space="preserve">Adjusted EBITDA Margin - </w:t>
      </w:r>
      <w:r>
        <w:rPr>
          <w:rFonts w:ascii="Arial" w:cs="Arial" w:eastAsia="Arial" w:hAnsi="Arial"/>
          <w:sz w:val="18"/>
          <w:szCs w:val="18"/>
          <w:color w:val="000000"/>
        </w:rPr>
        <w:t>Adjusted EBITDA Margin consists of Adjusted EBITDA divided by revenue. Margin, the comparable GAAP</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measure of financial performance, consists of net income divided by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1377315</wp:posOffset>
            </wp:positionV>
            <wp:extent cx="325755" cy="300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40"/>
        <w:spacing w:after="0"/>
        <w:tabs>
          <w:tab w:leader="none" w:pos="5420" w:val="left"/>
          <w:tab w:leader="none" w:pos="83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24</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comparison of Margin to Adjusted EBITDA Margin:</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3"/>
              </w:rPr>
              <w:t>Nine Months Ended</w:t>
            </w:r>
          </w:p>
        </w:tc>
        <w:tc>
          <w:tcPr>
            <w:tcW w:w="1000" w:type="dxa"/>
            <w:vAlign w:val="bottom"/>
          </w:tcPr>
          <w:p>
            <w:pPr>
              <w:spacing w:after="0"/>
              <w:rPr>
                <w:sz w:val="14"/>
                <w:szCs w:val="14"/>
                <w:color w:val="auto"/>
              </w:rPr>
            </w:pPr>
          </w:p>
        </w:tc>
      </w:tr>
      <w:tr>
        <w:trPr>
          <w:trHeight w:val="192"/>
        </w:trPr>
        <w:tc>
          <w:tcPr>
            <w:tcW w:w="79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Borders>
              <w:bottom w:val="single" w:sz="8" w:color="auto"/>
            </w:tcBorders>
          </w:tcPr>
          <w:p>
            <w:pPr>
              <w:spacing w:after="0"/>
              <w:rPr>
                <w:sz w:val="16"/>
                <w:szCs w:val="16"/>
                <w:color w:val="auto"/>
              </w:rPr>
            </w:pPr>
          </w:p>
        </w:tc>
      </w:tr>
      <w:tr>
        <w:trPr>
          <w:trHeight w:val="19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Margin and Adjusted EBITDA Margin)</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328,857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282,520</w:t>
            </w:r>
          </w:p>
        </w:tc>
      </w:tr>
      <w:tr>
        <w:trPr>
          <w:trHeight w:val="270"/>
        </w:trPr>
        <w:tc>
          <w:tcPr>
            <w:tcW w:w="7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39,219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31,832</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Margin</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79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97,317</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79,321</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4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b w:val="1"/>
          <w:bCs w:val="1"/>
          <w:i w:val="1"/>
          <w:iCs w:val="1"/>
          <w:color w:val="1F282C"/>
        </w:rPr>
        <w:t xml:space="preserve">Non-GAAP Income per Share - </w:t>
      </w:r>
      <w:r>
        <w:rPr>
          <w:rFonts w:ascii="Arial" w:cs="Arial" w:eastAsia="Arial" w:hAnsi="Arial"/>
          <w:sz w:val="18"/>
          <w:szCs w:val="18"/>
          <w:color w:val="000000"/>
        </w:rPr>
        <w:t>Non-GAAP income per share consists of net income adjusted for stock-based compensation expense,</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amortization expense related to intangible assets, realized gain or loss from foreign currency on cash and investments held, other adjustments as necessary for a fair presentation, and the corresponding tax impacts of the adjustments to net income, divided by the weighted average number of shares of common and diluted stock outstanding during each period.</w:t>
      </w:r>
    </w:p>
    <w:p>
      <w:pPr>
        <w:spacing w:after="0" w:line="79"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 xml:space="preserve">For the nine months ended </w:t>
      </w:r>
      <w:r>
        <w:rPr>
          <w:rFonts w:ascii="Arial" w:cs="Arial" w:eastAsia="Arial" w:hAnsi="Arial"/>
          <w:sz w:val="18"/>
          <w:szCs w:val="18"/>
          <w:color w:val="1F282C"/>
        </w:rPr>
        <w:t>September 30, 2021</w:t>
      </w:r>
      <w:r>
        <w:rPr>
          <w:rFonts w:ascii="Arial" w:cs="Arial" w:eastAsia="Arial" w:hAnsi="Arial"/>
          <w:sz w:val="18"/>
          <w:szCs w:val="18"/>
          <w:color w:val="auto"/>
        </w:rPr>
        <w:t>, other adjustments included disposals of cloud hosting arrangement implementation costs and accelerated tenant improvement benefit, which was incurred as part of executing a lease agreement. This tenant improvement adjustment was partially offset by accelerated depreciation, which is included within Depreciation and amortization of property and equipment and was also incurred as part of executing a lease agreement.</w:t>
      </w:r>
    </w:p>
    <w:p>
      <w:pPr>
        <w:spacing w:after="0" w:line="7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income to non-GAAP income per share: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31,832</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21,273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Realized loss from foreign currency on cash and investments held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effects of adjustments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to compute non-GAAP income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35,873</w:t>
            </w: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36,898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income per share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20" w:val="left"/>
          <w:tab w:leader="none" w:pos="8300" w:val="left"/>
        </w:tabs>
        <w:rPr>
          <w:sz w:val="20"/>
          <w:szCs w:val="20"/>
          <w:color w:val="auto"/>
        </w:rPr>
      </w:pPr>
      <w:r>
        <w:rPr>
          <w:sz w:val="1"/>
          <w:szCs w:val="1"/>
          <w:color w:val="auto"/>
        </w:rPr>
        <w:drawing>
          <wp:inline distT="0" distB="0" distL="0" distR="0">
            <wp:extent cx="325755" cy="29972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5755" cy="299720"/>
                    </a:xfrm>
                    <a:prstGeom prst="rect">
                      <a:avLst/>
                    </a:prstGeom>
                    <a:noFill/>
                    <a:ln>
                      <a:noFill/>
                    </a:ln>
                  </pic:spPr>
                </pic:pic>
              </a:graphicData>
            </a:graphic>
          </wp:inline>
        </w:drawing>
      </w:r>
      <w:r>
        <w:rPr>
          <w:rFonts w:ascii="Arial" w:cs="Arial" w:eastAsia="Arial" w:hAnsi="Arial"/>
          <w:sz w:val="29"/>
          <w:szCs w:val="29"/>
          <w:b w:val="1"/>
          <w:bCs w:val="1"/>
          <w:color w:val="auto"/>
          <w:vertAlign w:val="superscript"/>
        </w:rPr>
        <w:t>SPS COMMERCE, INC.</w:t>
      </w:r>
      <w:r>
        <w:rPr>
          <w:sz w:val="20"/>
          <w:szCs w:val="20"/>
          <w:color w:val="auto"/>
        </w:rPr>
        <w:tab/>
      </w:r>
      <w:r>
        <w:rPr>
          <w:rFonts w:ascii="Arial" w:cs="Arial" w:eastAsia="Arial" w:hAnsi="Arial"/>
          <w:sz w:val="14"/>
          <w:szCs w:val="14"/>
          <w:color w:val="auto"/>
        </w:rPr>
        <w:t>25</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Critical Accounting Policies and Estimates</w:t>
      </w:r>
    </w:p>
    <w:p>
      <w:pPr>
        <w:spacing w:after="0" w:line="121"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This discussion of our financial condition and results of operations is based upon our condensed consolidated financial statements, which are prepared in accordance with GAAP and with the instructions to Form 10-Q and Rule 10-01 of Regulation S-X. The preparation of these financial statements requires us to make estimates, judgments and assumptions that affect the reported amounts of assets, liabilities, revenues, and expenses and related disclosures. On an ongoing basis, we evaluate our estimates, judgments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 critical accounting policy or estimate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internal-use software, and business combinations are the most critical to fully understand and evaluate our financial condition and results of operations.</w:t>
      </w:r>
    </w:p>
    <w:p>
      <w:pPr>
        <w:spacing w:after="0" w:line="79"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During the nine months ended September 30, 2022, there were no changes in our critical accounting policies or estimates. For additional information regarding our critical accounting policies and estimates, see the discussion under "Critical Accounting Policies and Estimates" in "Management's Discussion and Analysis of Financial Condition and Results of Operations" included in our Annual Report on Form 10-K for the year ended December 31, 2021, as filed with the SEC.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Liquidity and Capital Resources</w:t>
      </w:r>
    </w:p>
    <w:p>
      <w:pPr>
        <w:spacing w:after="0" w:line="12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As of </w:t>
      </w:r>
      <w:r>
        <w:rPr>
          <w:rFonts w:ascii="Arial" w:cs="Arial" w:eastAsia="Arial" w:hAnsi="Arial"/>
          <w:sz w:val="18"/>
          <w:szCs w:val="18"/>
          <w:color w:val="1F282C"/>
        </w:rPr>
        <w:t>September 30, 2022</w:t>
      </w:r>
      <w:r>
        <w:rPr>
          <w:rFonts w:ascii="Arial" w:cs="Arial" w:eastAsia="Arial" w:hAnsi="Arial"/>
          <w:sz w:val="18"/>
          <w:szCs w:val="18"/>
          <w:color w:val="auto"/>
        </w:rPr>
        <w:t>, our principal sources of liquidity were cash and cash equivalents and short-term investments totaling $237.2 million and net accounts receivable of $36.8 million. Our investments are selected in accordance with our investment policy, with a goal of maintaining liquidity and capital preservation. Our cash equivalents and short-term investments are held in highly liquid money market funds, certificates of deposits, and commercial paper.</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summary of activity within the condensed consolidated statements of cash flows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center"/>
              <w:ind w:left="479"/>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4"/>
                <w:szCs w:val="14"/>
                <w:color w:val="auto"/>
              </w:rPr>
            </w:pPr>
          </w:p>
        </w:tc>
      </w:t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89"/>
              </w:rPr>
              <w:t>2021</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419"/>
              <w:spacing w:after="0"/>
              <w:rPr>
                <w:sz w:val="20"/>
                <w:szCs w:val="20"/>
                <w:color w:val="auto"/>
              </w:rPr>
            </w:pPr>
            <w:r>
              <w:rPr>
                <w:rFonts w:ascii="Arial" w:cs="Arial" w:eastAsia="Arial" w:hAnsi="Arial"/>
                <w:sz w:val="18"/>
                <w:szCs w:val="18"/>
                <w:color w:val="auto"/>
                <w:w w:val="87"/>
              </w:rPr>
              <w:t>76,483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81,568</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140" w:type="dxa"/>
            <w:vAlign w:val="bottom"/>
          </w:tcPr>
          <w:p>
            <w:pPr>
              <w:jc w:val="center"/>
              <w:ind w:left="399"/>
              <w:spacing w:after="0"/>
              <w:rPr>
                <w:sz w:val="20"/>
                <w:szCs w:val="20"/>
                <w:color w:val="auto"/>
              </w:rPr>
            </w:pPr>
            <w:r>
              <w:rPr>
                <w:rFonts w:ascii="Arial" w:cs="Arial" w:eastAsia="Arial" w:hAnsi="Arial"/>
                <w:sz w:val="18"/>
                <w:szCs w:val="18"/>
                <w:color w:val="auto"/>
                <w:w w:val="92"/>
              </w:rPr>
              <w:t>(60,593)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(32,087)</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399"/>
              <w:spacing w:after="0"/>
              <w:rPr>
                <w:sz w:val="20"/>
                <w:szCs w:val="20"/>
                <w:color w:val="auto"/>
              </w:rPr>
            </w:pPr>
            <w:r>
              <w:rPr>
                <w:rFonts w:ascii="Arial" w:cs="Arial" w:eastAsia="Arial" w:hAnsi="Arial"/>
                <w:sz w:val="18"/>
                <w:szCs w:val="18"/>
                <w:color w:val="auto"/>
                <w:w w:val="92"/>
              </w:rPr>
              <w:t>(36,655)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Operating Activities</w:t>
      </w:r>
    </w:p>
    <w:p>
      <w:pPr>
        <w:spacing w:after="0" w:line="11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decrease in cash provided by operating activities was primarily driven by changes in the amount and timing of settlement of operating assets and liabilities, primarily the change in accrued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Investing Activities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increase in cash used in investing activities was primarily due to an acquisition of a business along with the net investment activity.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Financing Activities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cash used in financing activities was primarily due to the increase in cash used for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297815</wp:posOffset>
            </wp:positionV>
            <wp:extent cx="325755" cy="300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spacing w:after="0"/>
        <w:tabs>
          <w:tab w:leader="none" w:pos="5420" w:val="left"/>
          <w:tab w:leader="none" w:pos="83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26</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Contractual and Commercial Commitment Summary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Our contractual obligations and commercial commitments as of </w:t>
      </w:r>
      <w:r>
        <w:rPr>
          <w:rFonts w:ascii="Arial" w:cs="Arial" w:eastAsia="Arial" w:hAnsi="Arial"/>
          <w:sz w:val="18"/>
          <w:szCs w:val="18"/>
          <w:color w:val="1F282C"/>
        </w:rPr>
        <w:t>September 30, 2022</w:t>
      </w:r>
      <w:r>
        <w:rPr>
          <w:rFonts w:ascii="Arial" w:cs="Arial" w:eastAsia="Arial" w:hAnsi="Arial"/>
          <w:sz w:val="18"/>
          <w:szCs w:val="18"/>
          <w:color w:val="auto"/>
        </w:rPr>
        <w:t xml:space="preserve"> are summarized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6"/>
          </w:tcPr>
          <w:p>
            <w:pPr>
              <w:jc w:val="center"/>
              <w:ind w:left="717"/>
              <w:spacing w:after="0"/>
              <w:rPr>
                <w:sz w:val="20"/>
                <w:szCs w:val="20"/>
                <w:color w:val="auto"/>
              </w:rPr>
            </w:pPr>
            <w:r>
              <w:rPr>
                <w:rFonts w:ascii="Arial" w:cs="Arial" w:eastAsia="Arial" w:hAnsi="Arial"/>
                <w:sz w:val="14"/>
                <w:szCs w:val="14"/>
                <w:b w:val="1"/>
                <w:bCs w:val="1"/>
                <w:color w:val="auto"/>
                <w:w w:val="92"/>
              </w:rPr>
              <w:t>Payments Due by Period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Less Than</w:t>
            </w:r>
          </w:p>
        </w:tc>
        <w:tc>
          <w:tcPr>
            <w:tcW w:w="20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11"/>
                <w:szCs w:val="11"/>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3-5 Years</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8"/>
              </w:rPr>
              <w:t>More Than</w:t>
            </w:r>
          </w:p>
        </w:tc>
        <w:tc>
          <w:tcPr>
            <w:tcW w:w="260" w:type="dxa"/>
            <w:vAlign w:val="bottom"/>
          </w:tcPr>
          <w:p>
            <w:pPr>
              <w:spacing w:after="0"/>
              <w:rPr>
                <w:sz w:val="11"/>
                <w:szCs w:val="11"/>
                <w:color w:val="auto"/>
              </w:rPr>
            </w:pPr>
          </w:p>
        </w:tc>
        <w:tc>
          <w:tcPr>
            <w:tcW w:w="8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1 Year</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 including imputed interest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Purchase commitments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7,446</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Future Capital Requirements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to develop and implement new products and applications, if any;</w:t>
      </w:r>
    </w:p>
    <w:p>
      <w:pPr>
        <w:spacing w:after="0" w:line="117" w:lineRule="exact"/>
        <w:rPr>
          <w:rFonts w:ascii="Arial" w:cs="Arial" w:eastAsia="Arial" w:hAnsi="Arial"/>
          <w:sz w:val="18"/>
          <w:szCs w:val="18"/>
          <w:color w:val="auto"/>
        </w:rPr>
      </w:pPr>
    </w:p>
    <w:p>
      <w:pPr>
        <w:ind w:left="1300" w:right="140" w:hanging="320"/>
        <w:spacing w:after="0" w:line="277"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 and gain acceptance of new products and applications that we may develop;</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of our operations in the U.S. and internationally;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response of competitors to our products and applications;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of capital for acquisitions, including the $49 million InterTrade acquisition in October 2022.</w:t>
      </w:r>
    </w:p>
    <w:p>
      <w:pPr>
        <w:spacing w:after="0" w:line="11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6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believe our cash, cash equivalents, investments, and cash flows from our operations will be sufficient to meet our working capital and capital expenditure requirements for at least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Off-Balance Sheet Arrangements</w:t>
      </w:r>
    </w:p>
    <w:p>
      <w:pPr>
        <w:spacing w:after="0" w:line="11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Foreign Currency Exchange and Inflation Rate Changes</w:t>
      </w:r>
    </w:p>
    <w:p>
      <w:pPr>
        <w:spacing w:after="0" w:line="117"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For information regarding the effect of foreign currency exchange rate changes, refer to the section entitled “Foreign Currency Exchange Risk,” included in Part I, Item 3, “Quantitative and Qualitative Disclosures About Market Risk” of this Quarterly Report on Form 10-Q.</w:t>
      </w:r>
    </w:p>
    <w:p>
      <w:pPr>
        <w:spacing w:after="0" w:line="3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Inflation and changing prices did not have a material effect on our business during the nine months ended </w:t>
      </w:r>
      <w:r>
        <w:rPr>
          <w:rFonts w:ascii="Arial" w:cs="Arial" w:eastAsia="Arial" w:hAnsi="Arial"/>
          <w:sz w:val="18"/>
          <w:szCs w:val="18"/>
          <w:color w:val="1F282C"/>
        </w:rPr>
        <w:t>September 30, 2022</w:t>
      </w:r>
      <w:r>
        <w:rPr>
          <w:rFonts w:ascii="Arial" w:cs="Arial" w:eastAsia="Arial" w:hAnsi="Arial"/>
          <w:sz w:val="18"/>
          <w:szCs w:val="18"/>
          <w:color w:val="auto"/>
        </w:rPr>
        <w:t xml:space="preserve"> and we do not expect that inflation or changing prices will materially affect our business in the foreseeable future.</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3.</w:t>
      </w:r>
      <w:r>
        <w:rPr>
          <w:sz w:val="20"/>
          <w:szCs w:val="20"/>
          <w:color w:val="auto"/>
        </w:rPr>
        <w:tab/>
      </w:r>
      <w:r>
        <w:rPr>
          <w:rFonts w:ascii="Arial" w:cs="Arial" w:eastAsia="Arial" w:hAnsi="Arial"/>
          <w:sz w:val="16"/>
          <w:szCs w:val="16"/>
          <w:b w:val="1"/>
          <w:bCs w:val="1"/>
          <w:color w:val="00AAE5"/>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Interest Rate Sensitivity Risk</w:t>
      </w:r>
    </w:p>
    <w:p>
      <w:pPr>
        <w:spacing w:after="0" w:line="117"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cash, cash equivalents, and investments, we believe there is no material risk exposure. We do not enter into investments for trading or speculative purposes.</w:t>
      </w:r>
    </w:p>
    <w:p>
      <w:pPr>
        <w:spacing w:after="0" w:line="4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We did not have any variable interest rate outstanding debt as of </w:t>
      </w:r>
      <w:r>
        <w:rPr>
          <w:rFonts w:ascii="Arial" w:cs="Arial" w:eastAsia="Arial" w:hAnsi="Arial"/>
          <w:sz w:val="18"/>
          <w:szCs w:val="18"/>
          <w:color w:val="1F282C"/>
        </w:rPr>
        <w:t>September 30, 2022</w:t>
      </w:r>
      <w:r>
        <w:rPr>
          <w:rFonts w:ascii="Arial" w:cs="Arial" w:eastAsia="Arial" w:hAnsi="Arial"/>
          <w:sz w:val="18"/>
          <w:szCs w:val="18"/>
          <w:color w:val="auto"/>
        </w:rPr>
        <w:t>. Therefore, we do not have any material risk to interest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262890</wp:posOffset>
            </wp:positionV>
            <wp:extent cx="325755" cy="3003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40"/>
        <w:spacing w:after="0"/>
        <w:tabs>
          <w:tab w:leader="none" w:pos="5420" w:val="left"/>
          <w:tab w:leader="none" w:pos="83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27</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Foreign Currency Exchange Risk</w:t>
      </w:r>
    </w:p>
    <w:p>
      <w:pPr>
        <w:spacing w:after="0" w:line="117"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Due to international operations, we have revenue, expenses, assets, and liabilities that are denominated in currencies other than the U.S. dollar, primarily the Australian and Canadian dollars. Our consolidated balance sheet, results of operations, and cash flows are, therefore, subject to fluctuations due to changes in foreign currency exchange rates and may be adversely affected in the future due to changes in foreign exchange rates.</w:t>
      </w:r>
    </w:p>
    <w:p>
      <w:pPr>
        <w:spacing w:after="0" w:line="41" w:lineRule="exact"/>
        <w:rPr>
          <w:sz w:val="20"/>
          <w:szCs w:val="20"/>
          <w:color w:val="auto"/>
        </w:rPr>
      </w:pPr>
    </w:p>
    <w:p>
      <w:pPr>
        <w:ind w:right="380" w:firstLine="486"/>
        <w:spacing w:after="0" w:line="342" w:lineRule="auto"/>
        <w:rPr>
          <w:sz w:val="20"/>
          <w:szCs w:val="20"/>
          <w:color w:val="auto"/>
        </w:rPr>
      </w:pPr>
      <w:r>
        <w:rPr>
          <w:rFonts w:ascii="Arial" w:cs="Arial" w:eastAsia="Arial" w:hAnsi="Arial"/>
          <w:sz w:val="16"/>
          <w:szCs w:val="16"/>
          <w:color w:val="auto"/>
        </w:rPr>
        <w:t xml:space="preserve">Our sales are primarily denominated in U.S. dollars. Our expenses are generally denominated in the local currencies in which our operations are located. As of </w:t>
      </w:r>
      <w:r>
        <w:rPr>
          <w:rFonts w:ascii="Arial" w:cs="Arial" w:eastAsia="Arial" w:hAnsi="Arial"/>
          <w:sz w:val="16"/>
          <w:szCs w:val="16"/>
          <w:color w:val="1F282C"/>
        </w:rPr>
        <w:t>September 30, 2022</w:t>
      </w:r>
      <w:r>
        <w:rPr>
          <w:rFonts w:ascii="Arial" w:cs="Arial" w:eastAsia="Arial" w:hAnsi="Arial"/>
          <w:sz w:val="16"/>
          <w:szCs w:val="16"/>
          <w:color w:val="auto"/>
        </w:rPr>
        <w:t>, we maintained 8% of our total cash and cash equivalents and investments in foreign currencies.</w:t>
      </w:r>
    </w:p>
    <w:p>
      <w:pPr>
        <w:spacing w:after="0" w:line="16"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We believe that a hypothetical 10% change in foreign currency exchange rates or an inability to access foreign funds would not materially affect our ability to meet our operational needs, result in a material foreign currency loss or have a material impact on our consolidated financials.</w:t>
      </w:r>
    </w:p>
    <w:p>
      <w:pPr>
        <w:spacing w:after="0" w:line="38"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We have not used any forward contracts or currency borrowings to hedge our exposure to foreign currency exchange risk, although we may do so in the future.</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4.</w:t>
      </w:r>
      <w:r>
        <w:rPr>
          <w:sz w:val="20"/>
          <w:szCs w:val="20"/>
          <w:color w:val="auto"/>
        </w:rPr>
        <w:tab/>
      </w:r>
      <w:r>
        <w:rPr>
          <w:rFonts w:ascii="Arial" w:cs="Arial" w:eastAsia="Arial" w:hAnsi="Arial"/>
          <w:sz w:val="16"/>
          <w:szCs w:val="16"/>
          <w:b w:val="1"/>
          <w:bCs w:val="1"/>
          <w:color w:val="00AAE5"/>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Evaluation of Disclosure Controls and Procedures</w:t>
      </w:r>
    </w:p>
    <w:p>
      <w:pPr>
        <w:spacing w:after="0" w:line="117"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 xml:space="preserve">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w:t>
      </w:r>
      <w:r>
        <w:rPr>
          <w:rFonts w:ascii="Arial" w:cs="Arial" w:eastAsia="Arial" w:hAnsi="Arial"/>
          <w:sz w:val="16"/>
          <w:szCs w:val="16"/>
          <w:color w:val="1F282C"/>
        </w:rPr>
        <w:t>September 30, 2022</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Changes in Internal Control over Financial Reporting</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There were no changes in our internal control over financial reporting during the quarter ended </w:t>
      </w:r>
      <w:r>
        <w:rPr>
          <w:rFonts w:ascii="Arial" w:cs="Arial" w:eastAsia="Arial" w:hAnsi="Arial"/>
          <w:sz w:val="18"/>
          <w:szCs w:val="18"/>
          <w:color w:val="1F282C"/>
        </w:rPr>
        <w:t>September 30, 2022</w:t>
      </w:r>
      <w:r>
        <w:rPr>
          <w:rFonts w:ascii="Arial" w:cs="Arial" w:eastAsia="Arial" w:hAnsi="Arial"/>
          <w:sz w:val="18"/>
          <w:szCs w:val="18"/>
          <w:color w:val="auto"/>
        </w:rPr>
        <w:t xml:space="preserve"> that have materially affected, or are reasonably likely to materially affect, our internal control over financial reporting.</w:t>
      </w:r>
    </w:p>
    <w:p>
      <w:pPr>
        <w:spacing w:after="0" w:line="62"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In November 2021, we acquired the Genius Central business and in July 2022, we acquired the GCommerce business. Pursuant to the SEC’s general guidance that the assessment of a recently acquired business' internal control over financial reporting may be omitted in the year of acquisition, the scope of our most recent assessment did not include Genius Central or GCommerce. We are currently in the process of incorporating internal controls specific to Genius Central and GCommerce that we believe are appropriate and necessary to consolidate and report upon our financial results.</w:t>
      </w:r>
    </w:p>
    <w:p>
      <w:pPr>
        <w:spacing w:after="0" w:line="4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 xml:space="preserve">As of </w:t>
      </w:r>
      <w:r>
        <w:rPr>
          <w:rFonts w:ascii="Arial" w:cs="Arial" w:eastAsia="Arial" w:hAnsi="Arial"/>
          <w:sz w:val="18"/>
          <w:szCs w:val="18"/>
          <w:color w:val="1F282C"/>
        </w:rPr>
        <w:t>September 30, 2022</w:t>
      </w:r>
      <w:r>
        <w:rPr>
          <w:rFonts w:ascii="Arial" w:cs="Arial" w:eastAsia="Arial" w:hAnsi="Arial"/>
          <w:sz w:val="18"/>
          <w:szCs w:val="18"/>
          <w:color w:val="auto"/>
        </w:rPr>
        <w:t xml:space="preserve">, excluding net intangible assets and goodwill, Genius Central and GCommerce combined represented 2.7% of our consolidated assets. For the three and nine months ended </w:t>
      </w:r>
      <w:r>
        <w:rPr>
          <w:rFonts w:ascii="Arial" w:cs="Arial" w:eastAsia="Arial" w:hAnsi="Arial"/>
          <w:sz w:val="18"/>
          <w:szCs w:val="18"/>
          <w:color w:val="1F282C"/>
        </w:rPr>
        <w:t>September 30, 2022</w:t>
      </w:r>
      <w:r>
        <w:rPr>
          <w:rFonts w:ascii="Arial" w:cs="Arial" w:eastAsia="Arial" w:hAnsi="Arial"/>
          <w:sz w:val="18"/>
          <w:szCs w:val="18"/>
          <w:color w:val="auto"/>
        </w:rPr>
        <w:t>, Genius Central and GCommerce combined represented 2.2% and 1.4% of our consolidated revenues,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494030</wp:posOffset>
            </wp:positionV>
            <wp:extent cx="325755" cy="300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40"/>
        <w:spacing w:after="0"/>
        <w:tabs>
          <w:tab w:leader="none" w:pos="5420" w:val="left"/>
          <w:tab w:leader="none" w:pos="83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28</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1.</w:t>
      </w:r>
      <w:r>
        <w:rPr>
          <w:sz w:val="20"/>
          <w:szCs w:val="20"/>
          <w:color w:val="auto"/>
        </w:rPr>
        <w:tab/>
      </w:r>
      <w:r>
        <w:rPr>
          <w:rFonts w:ascii="Arial" w:cs="Arial" w:eastAsia="Arial" w:hAnsi="Arial"/>
          <w:sz w:val="15"/>
          <w:szCs w:val="15"/>
          <w:b w:val="1"/>
          <w:bCs w:val="1"/>
          <w:color w:val="00AAE5"/>
        </w:rPr>
        <w:t>Legal Proceedings</w:t>
      </w:r>
    </w:p>
    <w:p>
      <w:pPr>
        <w:spacing w:after="0" w:line="12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29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00AAE5"/>
        </w:rPr>
        <w:t>Item 1A.</w:t>
      </w:r>
      <w:r>
        <w:rPr>
          <w:sz w:val="20"/>
          <w:szCs w:val="20"/>
          <w:color w:val="auto"/>
        </w:rPr>
        <w:tab/>
      </w:r>
      <w:r>
        <w:rPr>
          <w:rFonts w:ascii="Arial" w:cs="Arial" w:eastAsia="Arial" w:hAnsi="Arial"/>
          <w:sz w:val="16"/>
          <w:szCs w:val="16"/>
          <w:b w:val="1"/>
          <w:bCs w:val="1"/>
          <w:color w:val="00AAE5"/>
        </w:rPr>
        <w:t>Risk Factors</w:t>
      </w:r>
    </w:p>
    <w:p>
      <w:pPr>
        <w:spacing w:after="0" w:line="12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2021, as filed with the SEC.</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2.</w:t>
      </w:r>
      <w:r>
        <w:rPr>
          <w:sz w:val="20"/>
          <w:szCs w:val="20"/>
          <w:color w:val="auto"/>
        </w:rPr>
        <w:tab/>
      </w:r>
      <w:r>
        <w:rPr>
          <w:rFonts w:ascii="Arial" w:cs="Arial" w:eastAsia="Arial" w:hAnsi="Arial"/>
          <w:sz w:val="15"/>
          <w:szCs w:val="15"/>
          <w:b w:val="1"/>
          <w:bCs w:val="1"/>
          <w:color w:val="00AAE5"/>
        </w:rPr>
        <w:t>Unregistered Sales of Equity Securities and Use of Proceeds</w:t>
      </w:r>
    </w:p>
    <w:p>
      <w:pPr>
        <w:spacing w:after="0" w:line="117" w:lineRule="exact"/>
        <w:rPr>
          <w:sz w:val="20"/>
          <w:szCs w:val="20"/>
          <w:color w:val="auto"/>
        </w:rPr>
      </w:pPr>
    </w:p>
    <w:p>
      <w:pPr>
        <w:ind w:left="760" w:hanging="252"/>
        <w:spacing w:after="0"/>
        <w:tabs>
          <w:tab w:leader="none" w:pos="760" w:val="left"/>
        </w:tabs>
        <w:numPr>
          <w:ilvl w:val="0"/>
          <w:numId w:val="6"/>
        </w:numPr>
        <w:rPr>
          <w:rFonts w:ascii="Arial" w:cs="Arial" w:eastAsia="Arial" w:hAnsi="Arial"/>
          <w:sz w:val="18"/>
          <w:szCs w:val="18"/>
          <w:b w:val="1"/>
          <w:bCs w:val="1"/>
          <w:color w:val="1F282C"/>
        </w:rPr>
      </w:pPr>
      <w:r>
        <w:rPr>
          <w:rFonts w:ascii="Arial" w:cs="Arial" w:eastAsia="Arial" w:hAnsi="Arial"/>
          <w:sz w:val="18"/>
          <w:szCs w:val="18"/>
          <w:b w:val="1"/>
          <w:bCs w:val="1"/>
          <w:color w:val="auto"/>
        </w:rPr>
        <w:t xml:space="preserve">Share </w:t>
      </w:r>
      <w:r>
        <w:rPr>
          <w:rFonts w:ascii="Arial" w:cs="Arial" w:eastAsia="Arial" w:hAnsi="Arial"/>
          <w:sz w:val="18"/>
          <w:szCs w:val="18"/>
          <w:b w:val="1"/>
          <w:bCs w:val="1"/>
          <w:color w:val="1F282C"/>
        </w:rPr>
        <w:t>Repurchases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4"/>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1"/>
              <w:spacing w:after="0" w:line="145"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39"/>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7"/>
              </w:rPr>
              <w:t>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21"/>
              <w:spacing w:after="0" w:line="139" w:lineRule="exact"/>
              <w:rPr>
                <w:sz w:val="20"/>
                <w:szCs w:val="20"/>
                <w:color w:val="auto"/>
              </w:rPr>
            </w:pPr>
            <w:r>
              <w:rPr>
                <w:rFonts w:ascii="Arial" w:cs="Arial" w:eastAsia="Arial" w:hAnsi="Arial"/>
                <w:sz w:val="14"/>
                <w:szCs w:val="14"/>
                <w:b w:val="1"/>
                <w:bCs w:val="1"/>
                <w:color w:val="auto"/>
                <w:w w:val="95"/>
              </w:rPr>
              <w:t>May Yet be</w:t>
            </w:r>
          </w:p>
        </w:tc>
        <w:tc>
          <w:tcPr>
            <w:tcW w:w="0" w:type="dxa"/>
            <w:vAlign w:val="bottom"/>
          </w:tcPr>
          <w:p>
            <w:pPr>
              <w:spacing w:after="0"/>
              <w:rPr>
                <w:sz w:val="1"/>
                <w:szCs w:val="1"/>
                <w:color w:val="auto"/>
              </w:rPr>
            </w:pPr>
          </w:p>
        </w:tc>
      </w:tr>
      <w:tr>
        <w:trPr>
          <w:trHeight w:val="144"/>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Average Price</w:t>
            </w:r>
          </w:p>
        </w:tc>
        <w:tc>
          <w:tcPr>
            <w:tcW w:w="14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1"/>
              <w:spacing w:after="0" w:line="145"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8"/>
        </w:trPr>
        <w:tc>
          <w:tcPr>
            <w:tcW w:w="5040" w:type="dxa"/>
            <w:vAlign w:val="bottom"/>
            <w:gridSpan w:val="2"/>
            <w:vMerge w:val="restart"/>
          </w:tcPr>
          <w:p>
            <w:pPr>
              <w:ind w:left="2280"/>
              <w:spacing w:after="0"/>
              <w:rPr>
                <w:sz w:val="20"/>
                <w:szCs w:val="20"/>
                <w:color w:val="auto"/>
              </w:rPr>
            </w:pPr>
            <w:r>
              <w:rPr>
                <w:rFonts w:ascii="Arial" w:cs="Arial" w:eastAsia="Arial" w:hAnsi="Arial"/>
                <w:sz w:val="14"/>
                <w:szCs w:val="14"/>
                <w:b w:val="1"/>
                <w:bCs w:val="1"/>
                <w:color w:val="auto"/>
              </w:rPr>
              <w:t>Period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203"/>
        </w:trPr>
        <w:tc>
          <w:tcPr>
            <w:tcW w:w="5040" w:type="dxa"/>
            <w:vAlign w:val="bottom"/>
            <w:gridSpan w:val="2"/>
            <w:vMerge w:val="continue"/>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Paid per Share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Program</w:t>
            </w:r>
            <w:r>
              <w:rPr>
                <w:rFonts w:ascii="Arial" w:cs="Arial" w:eastAsia="Arial" w:hAnsi="Arial"/>
                <w:sz w:val="9"/>
                <w:szCs w:val="9"/>
                <w:b w:val="1"/>
                <w:bCs w:val="1"/>
                <w:color w:val="auto"/>
                <w:w w:val="95"/>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101"/>
              <w:spacing w:after="0" w:line="202" w:lineRule="exact"/>
              <w:rPr>
                <w:sz w:val="20"/>
                <w:szCs w:val="20"/>
                <w:color w:val="auto"/>
              </w:rPr>
            </w:pPr>
            <w:r>
              <w:rPr>
                <w:rFonts w:ascii="Arial" w:cs="Arial" w:eastAsia="Arial" w:hAnsi="Arial"/>
                <w:sz w:val="14"/>
                <w:szCs w:val="14"/>
                <w:b w:val="1"/>
                <w:bCs w:val="1"/>
                <w:color w:val="auto"/>
                <w:w w:val="88"/>
              </w:rPr>
              <w:t xml:space="preserve">Program </w:t>
            </w:r>
            <w:r>
              <w:rPr>
                <w:rFonts w:ascii="Arial" w:cs="Arial" w:eastAsia="Arial" w:hAnsi="Arial"/>
                <w:sz w:val="18"/>
                <w:szCs w:val="18"/>
                <w:b w:val="1"/>
                <w:bCs w:val="1"/>
                <w:color w:val="auto"/>
                <w:w w:val="88"/>
                <w:vertAlign w:val="superscript"/>
              </w:rPr>
              <w:t>(1)(2)</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1 - 31, 2022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29,988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6,609,000</w:t>
            </w: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August 1 - 31, 2022</w:t>
            </w:r>
          </w:p>
        </w:tc>
        <w:tc>
          <w:tcPr>
            <w:tcW w:w="1480" w:type="dxa"/>
            <w:vAlign w:val="bottom"/>
          </w:tcPr>
          <w:p>
            <w:pPr>
              <w:jc w:val="right"/>
              <w:spacing w:after="0"/>
              <w:rPr>
                <w:sz w:val="20"/>
                <w:szCs w:val="20"/>
                <w:color w:val="auto"/>
              </w:rPr>
            </w:pPr>
            <w:r>
              <w:rPr>
                <w:rFonts w:ascii="Arial" w:cs="Arial" w:eastAsia="Arial" w:hAnsi="Arial"/>
                <w:sz w:val="18"/>
                <w:szCs w:val="18"/>
                <w:color w:val="auto"/>
              </w:rPr>
              <w:t>51,299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128.68</w:t>
            </w:r>
          </w:p>
        </w:tc>
        <w:tc>
          <w:tcPr>
            <w:tcW w:w="100" w:type="dxa"/>
            <w:vAlign w:val="bottom"/>
          </w:tcPr>
          <w:p>
            <w:pPr>
              <w:spacing w:after="0"/>
              <w:rPr>
                <w:sz w:val="19"/>
                <w:szCs w:val="19"/>
                <w:color w:val="auto"/>
              </w:rPr>
            </w:pPr>
          </w:p>
        </w:tc>
        <w:tc>
          <w:tcPr>
            <w:tcW w:w="1480" w:type="dxa"/>
            <w:vAlign w:val="bottom"/>
          </w:tcPr>
          <w:p>
            <w:pPr>
              <w:jc w:val="right"/>
              <w:ind w:right="1"/>
              <w:spacing w:after="0"/>
              <w:rPr>
                <w:sz w:val="20"/>
                <w:szCs w:val="20"/>
                <w:color w:val="auto"/>
              </w:rPr>
            </w:pPr>
            <w:r>
              <w:rPr>
                <w:rFonts w:ascii="Arial" w:cs="Arial" w:eastAsia="Arial" w:hAnsi="Arial"/>
                <w:sz w:val="18"/>
                <w:szCs w:val="18"/>
                <w:color w:val="auto"/>
              </w:rPr>
              <w:t>51,299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20,947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47,523,000</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122.04</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102,234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47,523,000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For more information regarding our share repurchase programs, refer to Note J to our condensed consolidated financial statements, included in Part I of this Quarterly Report on Form 10-Q.</w:t>
      </w:r>
    </w:p>
    <w:p>
      <w:pPr>
        <w:spacing w:after="0" w:line="62" w:lineRule="exact"/>
        <w:rPr>
          <w:sz w:val="20"/>
          <w:szCs w:val="20"/>
          <w:color w:val="auto"/>
        </w:rPr>
      </w:pPr>
    </w:p>
    <w:p>
      <w:pPr>
        <w:ind w:left="1300" w:right="20" w:hanging="644"/>
        <w:spacing w:after="0" w:line="311" w:lineRule="auto"/>
        <w:tabs>
          <w:tab w:leader="none" w:pos="1294"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October 28, 2021, our board of directors announced and authorized a program to repurchase up to $50.0 million of our common stock. Under the program, purchases could be made from time to time in the open market or in privately negotiated purchases, or both. At the program's expiration, August 26, 2022, less than $0.1 million of unused share repurchase value expired from the program.</w:t>
      </w:r>
    </w:p>
    <w:p>
      <w:pPr>
        <w:spacing w:after="0" w:line="40" w:lineRule="exact"/>
        <w:rPr>
          <w:rFonts w:ascii="Arial" w:cs="Arial" w:eastAsia="Arial" w:hAnsi="Arial"/>
          <w:sz w:val="16"/>
          <w:szCs w:val="16"/>
          <w:color w:val="auto"/>
        </w:rPr>
      </w:pPr>
    </w:p>
    <w:p>
      <w:pPr>
        <w:ind w:left="1300" w:right="60" w:hanging="644"/>
        <w:spacing w:after="0" w:line="286" w:lineRule="auto"/>
        <w:tabs>
          <w:tab w:leader="none" w:pos="1294" w:val="left"/>
        </w:tabs>
        <w:numPr>
          <w:ilvl w:val="0"/>
          <w:numId w:val="7"/>
        </w:numPr>
        <w:rPr>
          <w:rFonts w:ascii="Arial" w:cs="Arial" w:eastAsia="Arial" w:hAnsi="Arial"/>
          <w:sz w:val="17"/>
          <w:szCs w:val="17"/>
          <w:color w:val="212529"/>
        </w:rPr>
      </w:pPr>
      <w:r>
        <w:rPr>
          <w:rFonts w:ascii="Arial" w:cs="Arial" w:eastAsia="Arial" w:hAnsi="Arial"/>
          <w:sz w:val="17"/>
          <w:szCs w:val="17"/>
          <w:color w:val="212529"/>
        </w:rPr>
        <w:t xml:space="preserve">On July 26, 2022 (announced July 27, 2022), our board of directors authorized a program </w:t>
      </w:r>
      <w:r>
        <w:rPr>
          <w:rFonts w:ascii="Arial" w:cs="Arial" w:eastAsia="Arial" w:hAnsi="Arial"/>
          <w:sz w:val="17"/>
          <w:szCs w:val="17"/>
          <w:color w:val="000000"/>
        </w:rPr>
        <w:t>to repurchase up to $50.0 million of our</w:t>
      </w:r>
      <w:r>
        <w:rPr>
          <w:rFonts w:ascii="Arial" w:cs="Arial" w:eastAsia="Arial" w:hAnsi="Arial"/>
          <w:sz w:val="17"/>
          <w:szCs w:val="17"/>
          <w:color w:val="212529"/>
        </w:rPr>
        <w:t xml:space="preserve"> </w:t>
      </w:r>
      <w:r>
        <w:rPr>
          <w:rFonts w:ascii="Arial" w:cs="Arial" w:eastAsia="Arial" w:hAnsi="Arial"/>
          <w:sz w:val="17"/>
          <w:szCs w:val="17"/>
          <w:color w:val="000000"/>
        </w:rPr>
        <w:t>common stock. Under the program, purchases may be made from time to time in the open market or in privately negotiated purchases, or both. The new share repurchase program became effective August 26, 2022 and expires on July 26, 2024.</w:t>
      </w:r>
    </w:p>
    <w:p>
      <w:pPr>
        <w:spacing w:after="0" w:line="2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3.</w:t>
      </w:r>
      <w:r>
        <w:rPr>
          <w:sz w:val="20"/>
          <w:szCs w:val="20"/>
          <w:color w:val="auto"/>
        </w:rPr>
        <w:tab/>
      </w:r>
      <w:r>
        <w:rPr>
          <w:rFonts w:ascii="Arial" w:cs="Arial" w:eastAsia="Arial" w:hAnsi="Arial"/>
          <w:sz w:val="16"/>
          <w:szCs w:val="16"/>
          <w:b w:val="1"/>
          <w:bCs w:val="1"/>
          <w:color w:val="00AAE5"/>
        </w:rPr>
        <w:t>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4.</w:t>
      </w:r>
      <w:r>
        <w:rPr>
          <w:sz w:val="20"/>
          <w:szCs w:val="20"/>
          <w:color w:val="auto"/>
        </w:rPr>
        <w:tab/>
      </w:r>
      <w:r>
        <w:rPr>
          <w:rFonts w:ascii="Arial" w:cs="Arial" w:eastAsia="Arial" w:hAnsi="Arial"/>
          <w:sz w:val="15"/>
          <w:szCs w:val="15"/>
          <w:b w:val="1"/>
          <w:bCs w:val="1"/>
          <w:color w:val="00AAE5"/>
        </w:rPr>
        <w:t>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00AAE5"/>
        </w:rPr>
        <w:t>Item 5.</w:t>
      </w:r>
      <w:r>
        <w:rPr>
          <w:sz w:val="20"/>
          <w:szCs w:val="20"/>
          <w:color w:val="auto"/>
        </w:rPr>
        <w:tab/>
      </w:r>
      <w:r>
        <w:rPr>
          <w:rFonts w:ascii="Arial" w:cs="Arial" w:eastAsia="Arial" w:hAnsi="Arial"/>
          <w:sz w:val="17"/>
          <w:szCs w:val="17"/>
          <w:b w:val="1"/>
          <w:bCs w:val="1"/>
          <w:color w:val="00AAE5"/>
        </w:rPr>
        <w:t>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297815</wp:posOffset>
            </wp:positionV>
            <wp:extent cx="325755" cy="3003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spacing w:after="0"/>
        <w:tabs>
          <w:tab w:leader="none" w:pos="5420" w:val="left"/>
          <w:tab w:leader="none" w:pos="83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29</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00AAE5"/>
              </w:rPr>
              <w:t>Item 6.</w:t>
            </w:r>
          </w:p>
        </w:tc>
        <w:tc>
          <w:tcPr>
            <w:tcW w:w="10600" w:type="dxa"/>
            <w:vAlign w:val="bottom"/>
            <w:gridSpan w:val="13"/>
          </w:tcPr>
          <w:p>
            <w:pPr>
              <w:ind w:left="80"/>
              <w:spacing w:after="0"/>
              <w:rPr>
                <w:sz w:val="20"/>
                <w:szCs w:val="20"/>
                <w:color w:val="auto"/>
              </w:rPr>
            </w:pPr>
            <w:r>
              <w:rPr>
                <w:rFonts w:ascii="Arial" w:cs="Arial" w:eastAsia="Arial" w:hAnsi="Arial"/>
                <w:sz w:val="18"/>
                <w:szCs w:val="18"/>
                <w:b w:val="1"/>
                <w:bCs w:val="1"/>
                <w:color w:val="00AAE5"/>
              </w:rPr>
              <w:t>Exhibits</w:t>
            </w:r>
          </w:p>
        </w:tc>
      </w:tr>
      <w:tr>
        <w:trPr>
          <w:trHeight w:val="433"/>
        </w:trPr>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96"/>
        </w:trPr>
        <w:tc>
          <w:tcPr>
            <w:tcW w:w="64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0"/>
          </w:tcPr>
          <w:p>
            <w:pPr>
              <w:spacing w:after="0" w:line="196" w:lineRule="exact"/>
              <w:rPr>
                <w:rFonts w:ascii="Arial" w:cs="Arial" w:eastAsia="Arial" w:hAnsi="Arial"/>
                <w:sz w:val="18"/>
                <w:szCs w:val="18"/>
                <w:color w:val="0000EE"/>
                <w:w w:val="94"/>
              </w:rPr>
            </w:pPr>
            <w:hyperlink r:id="rId71">
              <w:r>
                <w:rPr>
                  <w:rFonts w:ascii="Arial" w:cs="Arial" w:eastAsia="Arial" w:hAnsi="Arial"/>
                  <w:sz w:val="18"/>
                  <w:szCs w:val="18"/>
                  <w:color w:val="0000EE"/>
                  <w:w w:val="94"/>
                </w:rPr>
                <w:t>Ninth Amended and Restated Certificate of Incorporation (incorporated by reference to Exhibit 3.2 to our Current Report on Form 8-K</w:t>
              </w:r>
            </w:hyperlink>
          </w:p>
        </w:tc>
      </w:tr>
      <w:tr>
        <w:trPr>
          <w:trHeight w:val="183"/>
        </w:trPr>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71">
              <w:r>
                <w:rPr>
                  <w:rFonts w:ascii="Arial" w:cs="Arial" w:eastAsia="Arial" w:hAnsi="Arial"/>
                  <w:sz w:val="18"/>
                  <w:szCs w:val="18"/>
                  <w:color w:val="0000EE"/>
                </w:rPr>
                <w:t>filed with the SEC on May 21, 2020).</w:t>
              </w:r>
            </w:hyperlink>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640" w:type="dxa"/>
            <w:vAlign w:val="bottom"/>
          </w:tcPr>
          <w:p>
            <w:pPr>
              <w:ind w:left="20"/>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0"/>
          </w:tcPr>
          <w:p>
            <w:pPr>
              <w:spacing w:after="0"/>
              <w:rPr>
                <w:rFonts w:ascii="Arial" w:cs="Arial" w:eastAsia="Arial" w:hAnsi="Arial"/>
                <w:sz w:val="18"/>
                <w:szCs w:val="18"/>
                <w:color w:val="0000EE"/>
                <w:w w:val="96"/>
              </w:rPr>
            </w:pPr>
            <w:hyperlink r:id="rId72">
              <w:r>
                <w:rPr>
                  <w:rFonts w:ascii="Arial" w:cs="Arial" w:eastAsia="Arial" w:hAnsi="Arial"/>
                  <w:sz w:val="18"/>
                  <w:szCs w:val="18"/>
                  <w:color w:val="0000EE"/>
                  <w:w w:val="96"/>
                </w:rPr>
                <w:t>Amended and Restated Bylaws (incorporated by reference to Exhibit 3.1 to our Current Report on Form 8-K filed with the SEC on</w:t>
              </w:r>
            </w:hyperlink>
          </w:p>
        </w:tc>
      </w:tr>
      <w:tr>
        <w:trPr>
          <w:trHeight w:val="183"/>
        </w:trPr>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72">
              <w:r>
                <w:rPr>
                  <w:rFonts w:ascii="Arial" w:cs="Arial" w:eastAsia="Arial" w:hAnsi="Arial"/>
                  <w:sz w:val="18"/>
                  <w:szCs w:val="18"/>
                  <w:color w:val="0000EE"/>
                </w:rPr>
                <w:t>October 17, 2017).</w:t>
              </w:r>
            </w:hyperlink>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640" w:type="dxa"/>
            <w:vAlign w:val="bottom"/>
          </w:tcPr>
          <w:p>
            <w:pPr>
              <w:ind w:left="20"/>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0000EE"/>
                <w:w w:val="94"/>
              </w:rPr>
              <w:t>Certification of Principal Executive Officer pursuant to Rules 13a-14(a) under the Securities Exchange Act of 1934, as amended (filed</w:t>
            </w:r>
          </w:p>
        </w:tc>
      </w:tr>
      <w:tr>
        <w:trPr>
          <w:trHeight w:val="183"/>
        </w:trPr>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herewith).</w:t>
            </w:r>
          </w:p>
        </w:tc>
        <w:tc>
          <w:tcPr>
            <w:tcW w:w="1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4"/>
        </w:trPr>
        <w:tc>
          <w:tcPr>
            <w:tcW w:w="640" w:type="dxa"/>
            <w:vAlign w:val="bottom"/>
          </w:tcPr>
          <w:p>
            <w:pPr>
              <w:ind w:left="20"/>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0000EE"/>
                <w:w w:val="94"/>
              </w:rPr>
              <w:t>Certification of Principal Financial Officer pursuant to Rules 13a-14(a) under the Securities Exchange Act of 1934, as amended (filed</w:t>
            </w:r>
          </w:p>
        </w:tc>
      </w:tr>
      <w:tr>
        <w:trPr>
          <w:trHeight w:val="183"/>
        </w:trPr>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4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herewith).</w:t>
            </w:r>
          </w:p>
        </w:tc>
        <w:tc>
          <w:tcPr>
            <w:tcW w:w="220" w:type="dxa"/>
            <w:vAlign w:val="bottom"/>
            <w:gridSpan w:val="3"/>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4"/>
        </w:trPr>
        <w:tc>
          <w:tcPr>
            <w:tcW w:w="640" w:type="dxa"/>
            <w:vAlign w:val="bottom"/>
          </w:tcPr>
          <w:p>
            <w:pPr>
              <w:ind w:left="20"/>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0000EE"/>
                <w:w w:val="92"/>
              </w:rPr>
              <w:t>Certification of Chief Executive Officer and Chief Financial Officer pursuant to 18 U.S.C. Sec. 1350, as adopted pursuant to Section 906</w:t>
            </w:r>
          </w:p>
        </w:tc>
      </w:tr>
      <w:tr>
        <w:trPr>
          <w:trHeight w:val="183"/>
        </w:trPr>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4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2"/>
              </w:rPr>
              <w:t>of the Sarbanes-Oxley Act of 2002 (filed herewith).</w:t>
            </w:r>
          </w:p>
        </w:tc>
        <w:tc>
          <w:tcPr>
            <w:tcW w:w="6120" w:type="dxa"/>
            <w:vAlign w:val="bottom"/>
            <w:tcBorders>
              <w:top w:val="single" w:sz="8" w:color="0000EE"/>
            </w:tcBorders>
            <w:gridSpan w:val="5"/>
          </w:tcPr>
          <w:p>
            <w:pPr>
              <w:spacing w:after="0"/>
              <w:rPr>
                <w:sz w:val="15"/>
                <w:szCs w:val="15"/>
                <w:color w:val="auto"/>
              </w:rPr>
            </w:pPr>
          </w:p>
        </w:tc>
        <w:tc>
          <w:tcPr>
            <w:tcW w:w="120" w:type="dxa"/>
            <w:vAlign w:val="bottom"/>
          </w:tcPr>
          <w:p>
            <w:pPr>
              <w:spacing w:after="0"/>
              <w:rPr>
                <w:sz w:val="15"/>
                <w:szCs w:val="15"/>
                <w:color w:val="auto"/>
              </w:rPr>
            </w:pPr>
          </w:p>
        </w:tc>
      </w:tr>
    </w:tbl>
    <w:p>
      <w:pPr>
        <w:spacing w:after="0" w:line="175" w:lineRule="exact"/>
        <w:rPr>
          <w:sz w:val="20"/>
          <w:szCs w:val="20"/>
          <w:color w:val="auto"/>
        </w:rPr>
      </w:pPr>
    </w:p>
    <w:p>
      <w:pPr>
        <w:ind w:left="1260" w:right="440" w:hanging="1234"/>
        <w:spacing w:after="0" w:line="277"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(filed herewith). The XBRL instance document does not appear in the Interactive Data File because its tags are embedded within the Inline XBRL document.</w:t>
      </w:r>
    </w:p>
    <w:p>
      <w:pPr>
        <w:spacing w:after="0" w:line="8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The cover page from the Quarterly Report on Form 10-Q for the quarter ended September 30, 2022,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373380</wp:posOffset>
            </wp:positionV>
            <wp:extent cx="325755" cy="3003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40"/>
        <w:spacing w:after="0"/>
        <w:tabs>
          <w:tab w:leader="none" w:pos="5420" w:val="left"/>
          <w:tab w:leader="none" w:pos="83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30</w:t>
      </w:r>
      <w:r>
        <w:rPr>
          <w:sz w:val="20"/>
          <w:szCs w:val="20"/>
          <w:color w:val="auto"/>
        </w:rPr>
        <w:tab/>
      </w:r>
      <w:r>
        <w:rPr>
          <w:rFonts w:ascii="Arial" w:cs="Arial" w:eastAsia="Arial" w:hAnsi="Arial"/>
          <w:sz w:val="9"/>
          <w:szCs w:val="9"/>
          <w:b w:val="1"/>
          <w:bCs w:val="1"/>
          <w:color w:val="auto"/>
        </w:rPr>
        <w:t>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Dated: October 27, 2022</w:t>
      </w:r>
      <w:r>
        <w:rPr>
          <w:sz w:val="20"/>
          <w:szCs w:val="20"/>
          <w:color w:val="auto"/>
        </w:rPr>
        <w:tab/>
      </w:r>
      <w:r>
        <w:rPr>
          <w:rFonts w:ascii="Arial" w:cs="Arial" w:eastAsia="Arial" w:hAnsi="Arial"/>
          <w:sz w:val="17"/>
          <w:szCs w:val="17"/>
          <w:b w:val="1"/>
          <w:bCs w:val="1"/>
          <w:color w:val="auto"/>
        </w:rPr>
        <w:t>SPS COMMERCE, INC.</w:t>
      </w:r>
    </w:p>
    <w:p>
      <w:pPr>
        <w:spacing w:after="0" w:line="3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KIMBERLY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Kimberly Nelson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374650</wp:posOffset>
            </wp:positionV>
            <wp:extent cx="325755" cy="3003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257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40"/>
        <w:spacing w:after="0"/>
        <w:tabs>
          <w:tab w:leader="none" w:pos="5420" w:val="left"/>
          <w:tab w:leader="none" w:pos="83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31</w:t>
      </w:r>
      <w:r>
        <w:rPr>
          <w:sz w:val="20"/>
          <w:szCs w:val="20"/>
          <w:color w:val="auto"/>
        </w:rPr>
        <w:tab/>
      </w:r>
      <w:r>
        <w:rPr>
          <w:rFonts w:ascii="Arial" w:cs="Arial" w:eastAsia="Arial" w:hAnsi="Arial"/>
          <w:sz w:val="9"/>
          <w:szCs w:val="9"/>
          <w:b w:val="1"/>
          <w:bCs w:val="1"/>
          <w:color w:val="auto"/>
        </w:rPr>
        <w:t>Form 10-Q for the Quarterly Period ended September 30, 2022</w:t>
      </w:r>
    </w:p>
    <w:p>
      <w:pPr>
        <w:sectPr>
          <w:pgSz w:w="11900" w:h="16838" w:orient="portrait"/>
          <w:cols w:equalWidth="0" w:num="1">
            <w:col w:w="11240"/>
          </w:cols>
          <w:pgMar w:left="320" w:top="337"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Black, certify that:</w:t>
      </w:r>
    </w:p>
    <w:p>
      <w:pPr>
        <w:spacing w:after="0" w:line="225"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25" w:lineRule="exact"/>
        <w:rPr>
          <w:rFonts w:ascii="Arial" w:cs="Arial" w:eastAsia="Arial" w:hAnsi="Arial"/>
          <w:sz w:val="18"/>
          <w:szCs w:val="18"/>
          <w:color w:val="auto"/>
        </w:rPr>
      </w:pPr>
    </w:p>
    <w:p>
      <w:pPr>
        <w:jc w:val="both"/>
        <w:ind w:left="980" w:right="60" w:hanging="648"/>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80" w:right="20" w:hanging="648"/>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right="120" w:hanging="648"/>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960" w:right="20" w:hanging="980"/>
        <w:spacing w:after="0" w:line="286" w:lineRule="auto"/>
        <w:tabs>
          <w:tab w:leader="none" w:pos="195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220" w:hanging="980"/>
        <w:spacing w:after="0" w:line="286" w:lineRule="auto"/>
        <w:tabs>
          <w:tab w:leader="none" w:pos="196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hanging="980"/>
        <w:spacing w:after="0" w:line="263" w:lineRule="auto"/>
        <w:tabs>
          <w:tab w:leader="none" w:pos="195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960" w:right="200" w:hanging="980"/>
        <w:spacing w:after="0" w:line="311" w:lineRule="auto"/>
        <w:tabs>
          <w:tab w:leader="none" w:pos="1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980" w:right="80" w:hanging="648"/>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960" w:right="80" w:hanging="980"/>
        <w:spacing w:after="0" w:line="263" w:lineRule="auto"/>
        <w:tabs>
          <w:tab w:leader="none" w:pos="195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960" w:right="20" w:hanging="980"/>
        <w:spacing w:after="0" w:line="277"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ARCHIE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Archie Black</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Executive Officer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ind w:left="20"/>
        <w:spacing w:after="0"/>
        <w:rPr>
          <w:sz w:val="20"/>
          <w:szCs w:val="20"/>
          <w:color w:val="auto"/>
        </w:rPr>
      </w:pPr>
      <w:r>
        <w:rPr>
          <w:rFonts w:ascii="Arial" w:cs="Arial" w:eastAsia="Arial" w:hAnsi="Arial"/>
          <w:sz w:val="18"/>
          <w:szCs w:val="18"/>
          <w:color w:val="auto"/>
        </w:rPr>
        <w:t>October 27, 2022</w:t>
      </w:r>
    </w:p>
    <w:p>
      <w:pPr>
        <w:sectPr>
          <w:pgSz w:w="11900" w:h="16838" w:orient="portrait"/>
          <w:cols w:equalWidth="0" w:num="1">
            <w:col w:w="11240"/>
          </w:cols>
          <w:pgMar w:left="320" w:top="114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Nelson, certify that:</w:t>
      </w:r>
    </w:p>
    <w:p>
      <w:pPr>
        <w:spacing w:after="0" w:line="225"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25" w:lineRule="exact"/>
        <w:rPr>
          <w:rFonts w:ascii="Arial" w:cs="Arial" w:eastAsia="Arial" w:hAnsi="Arial"/>
          <w:sz w:val="18"/>
          <w:szCs w:val="18"/>
          <w:color w:val="auto"/>
        </w:rPr>
      </w:pPr>
    </w:p>
    <w:p>
      <w:pPr>
        <w:jc w:val="both"/>
        <w:ind w:left="980" w:right="60" w:hanging="648"/>
        <w:spacing w:after="0" w:line="26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980" w:right="20" w:hanging="648"/>
        <w:spacing w:after="0" w:line="30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right="120" w:hanging="648"/>
        <w:spacing w:after="0" w:line="26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960" w:right="20" w:hanging="980"/>
        <w:spacing w:after="0" w:line="286" w:lineRule="auto"/>
        <w:tabs>
          <w:tab w:leader="none" w:pos="195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220" w:hanging="980"/>
        <w:spacing w:after="0" w:line="286" w:lineRule="auto"/>
        <w:tabs>
          <w:tab w:leader="none" w:pos="19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hanging="980"/>
        <w:spacing w:after="0" w:line="263" w:lineRule="auto"/>
        <w:tabs>
          <w:tab w:leader="none" w:pos="195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960" w:right="200" w:hanging="980"/>
        <w:spacing w:after="0" w:line="311" w:lineRule="auto"/>
        <w:tabs>
          <w:tab w:leader="none" w:pos="1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980" w:right="80" w:hanging="648"/>
        <w:spacing w:after="0" w:line="34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960" w:right="80" w:hanging="980"/>
        <w:spacing w:after="0" w:line="263" w:lineRule="auto"/>
        <w:tabs>
          <w:tab w:leader="none" w:pos="195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960" w:right="20" w:hanging="980"/>
        <w:spacing w:after="0" w:line="277"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KIMBERLY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Kimberly Nelson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and accounting officer)</w:t>
      </w:r>
    </w:p>
    <w:p>
      <w:pPr>
        <w:ind w:left="20"/>
        <w:spacing w:after="0"/>
        <w:rPr>
          <w:sz w:val="20"/>
          <w:szCs w:val="20"/>
          <w:color w:val="auto"/>
        </w:rPr>
      </w:pPr>
      <w:r>
        <w:rPr>
          <w:rFonts w:ascii="Arial" w:cs="Arial" w:eastAsia="Arial" w:hAnsi="Arial"/>
          <w:sz w:val="18"/>
          <w:szCs w:val="18"/>
          <w:color w:val="auto"/>
        </w:rPr>
        <w:t>October 27, 2022</w:t>
      </w:r>
    </w:p>
    <w:p>
      <w:pPr>
        <w:sectPr>
          <w:pgSz w:w="11900" w:h="16838" w:orient="portrait"/>
          <w:cols w:equalWidth="0" w:num="1">
            <w:col w:w="11240"/>
          </w:cols>
          <w:pgMar w:left="320" w:top="114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connection with the Quarterly Report on Form 10-Q of SPS Commerce, Inc. (the “Company”) for the period ended September 30, 2022,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187"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600" w:hanging="648"/>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ARCHIE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Archie Black</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Executive Officer</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KIMBERLY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Kimberly Nelson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27, 2022</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3"/>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0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3" Type="http://schemas.openxmlformats.org/officeDocument/2006/relationships/image" Target="media/image64.jpe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jpe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71" Type="http://schemas.openxmlformats.org/officeDocument/2006/relationships/hyperlink" Target="http://www.sec.gov/Archives/edgar/data/1092699/000119312520148645/d833455dex32.htm" TargetMode="External"/><Relationship Id="rId72" Type="http://schemas.openxmlformats.org/officeDocument/2006/relationships/hyperlink" Target="http://www.sec.gov/Archives/edgar/data/1092699/000119312517311896/d43031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2022-10-27T15:42:23Z</dcterms:created>
  <dcterms:modified xsi:type="dcterms:W3CDTF">2022-10-27T15:42:23Z</dcterms:modified>
</cp:coreProperties>
</file>