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1"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39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3220" w:type="dxa"/>
            <w:vAlign w:val="bottom"/>
          </w:tcPr>
          <w:p>
            <w:pPr>
              <w:jc w:val="center"/>
              <w:ind w:left="2062"/>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3960" w:type="dxa"/>
            <w:vAlign w:val="bottom"/>
          </w:tcPr>
          <w:p>
            <w:pPr>
              <w:jc w:val="center"/>
              <w:ind w:right="2022"/>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220" w:type="dxa"/>
            <w:vAlign w:val="bottom"/>
          </w:tcPr>
          <w:p>
            <w:pPr>
              <w:jc w:val="center"/>
              <w:ind w:left="2042"/>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29"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40" w:type="dxa"/>
            <w:vAlign w:val="bottom"/>
          </w:tcPr>
          <w:p>
            <w:pPr>
              <w:ind w:left="12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July 20, 2018 was 17,476,025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400" w:type="dxa"/>
            <w:vAlign w:val="bottom"/>
            <w:gridSpan w:val="9"/>
            <w:vMerge w:val="restart"/>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1"/>
            <w:vMerge w:val="continue"/>
          </w:tcPr>
          <w:p>
            <w:pPr>
              <w:spacing w:after="0"/>
              <w:rPr>
                <w:sz w:val="15"/>
                <w:szCs w:val="15"/>
                <w:color w:val="auto"/>
              </w:rPr>
            </w:pPr>
          </w:p>
        </w:tc>
        <w:tc>
          <w:tcPr>
            <w:tcW w:w="7400" w:type="dxa"/>
            <w:vAlign w:val="bottom"/>
            <w:gridSpan w:val="9"/>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92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2018 and December 31, 2017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gridSpan w:val="18"/>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Comprehensive Income for the three and six months ended June 30, 2018 and 2017</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8040" w:type="dxa"/>
            <w:vAlign w:val="bottom"/>
            <w:tcBorders>
              <w:top w:val="single" w:sz="8" w:color="0000EE"/>
            </w:tcBorders>
            <w:gridSpan w:val="15"/>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2018 and 2017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3100" w:type="dxa"/>
            <w:vAlign w:val="bottom"/>
            <w:tcBorders>
              <w:top w:val="single" w:sz="8" w:color="0000EE"/>
            </w:tcBorders>
            <w:gridSpan w:val="3"/>
          </w:tcPr>
          <w:p>
            <w:pPr>
              <w:spacing w:after="0"/>
              <w:rPr>
                <w:sz w:val="24"/>
                <w:szCs w:val="24"/>
                <w:color w:val="auto"/>
              </w:rPr>
            </w:pPr>
          </w:p>
        </w:tc>
        <w:tc>
          <w:tcPr>
            <w:tcW w:w="14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4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8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66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700" w:type="dxa"/>
            <w:vAlign w:val="bottom"/>
            <w:gridSpan w:val="11"/>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08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710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766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12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2017 as filed with the Securities and Exchange Commission (“SEC”).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shares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125,385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less allowance for doubtful accounts of $864 and $763, respectively</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239,886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asset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351,673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3,709</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$0.001 par value; 5,000,000 shares authorized; 0 shares issued and outstanding</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w w:val="91"/>
              </w:rPr>
              <w:t>Common stock, $0.001 par value; 55,000,000 shares authorized; 17,475,360 and 17,249,153 shares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issued; and 17,159,819 and 17,127,006 outstanding, respectively</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315,541 and 122,147 shares, respectively</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(17,684)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313,887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294,689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 xml:space="preserve">SPS COMMERCE, INC. AND SUBSIDIARIES CONDENSED CONSOLIDATED STATEMENTS OF COMPREHENSIVE INCOME </w:t>
      </w:r>
      <w:r>
        <w:rPr>
          <w:rFonts w:ascii="Arial" w:cs="Arial" w:eastAsia="Arial" w:hAnsi="Arial"/>
          <w:sz w:val="18"/>
          <w:szCs w:val="18"/>
          <w:color w:val="auto"/>
        </w:rPr>
        <w:t>(Unaudited;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120,183</w:t>
            </w:r>
          </w:p>
        </w:tc>
        <w:tc>
          <w:tcPr>
            <w:tcW w:w="1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40,689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32,945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9"/>
                <w:szCs w:val="19"/>
                <w:color w:val="auto"/>
              </w:rPr>
            </w:pP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(1,176)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Unrealized gain (loss) on investments, net of tax of $34, ($5), $47 and ($10)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w w:val="96"/>
              </w:rPr>
              <w:t>Reclassification of unrealized gain on investments into earnings,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of ($45), ($5), ($53) and ($15)</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8,670</w:t>
            </w:r>
          </w:p>
        </w:tc>
        <w:tc>
          <w:tcPr>
            <w:tcW w:w="280" w:type="dxa"/>
            <w:vAlign w:val="bottom"/>
          </w:tcPr>
          <w:p>
            <w:pPr>
              <w:spacing w:after="0"/>
              <w:rPr>
                <w:sz w:val="19"/>
                <w:szCs w:val="19"/>
                <w:color w:val="auto"/>
              </w:rPr>
            </w:pP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net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(4,373)</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(1,607)</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costs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(3,213)</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(1,464)</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(835)</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22,247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(6,481)</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(3,334)</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(52,116)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(22,350)</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investments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(13,978)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(11,869)</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 changes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15,867</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123,127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125,385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131,744</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unaudited condensed consolidated financial statements, which have been prepared in conformity with U.S. generally accepted accounting principles (“GAAP”) for interim financial information and with the instructions to Form 10-Q and Rule 10-01 of Regulation S-X. Accordingly, these unaudited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2017 included in our Annual Report on Form 10-K as filed with the SEC on February 26, 2018.</w:t>
      </w:r>
    </w:p>
    <w:p>
      <w:pPr>
        <w:spacing w:after="0" w:line="17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Effective January 1, 2018, we adopted the requirements of Accounting Standards Update ("ASU") No. 2014-09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on a retrospective basis as discussed in this Note A. All amounts and disclosures set forth in this Form 10-Q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to comply with the new standards.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 xml:space="preserve">In May 2014, the FASB issued ASU 2014-09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Deferred Costs – Contracts with Customers</w:t>
      </w:r>
      <w:r>
        <w:rPr>
          <w:rFonts w:ascii="Arial" w:cs="Arial" w:eastAsia="Arial" w:hAnsi="Arial"/>
          <w:sz w:val="18"/>
          <w:szCs w:val="18"/>
          <w:color w:val="auto"/>
        </w:rPr>
        <w:t>, which requires the deferral of incremental costs of obtaining a contract with a customer.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Topic 606 and Subtopic 340-40 as the “new standard.” These requirements are effective for annual reporting periods beginning after December 15, 2017, and interim periods within those annual periods.</w:t>
      </w:r>
    </w:p>
    <w:p>
      <w:pPr>
        <w:spacing w:after="0" w:line="19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 as well as the timing of cost recognition.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Selected condensed consolidated balance sheet line items, which reflect the adoption of ASU 2014-09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2017</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non-current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income tax asset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(3,854)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(8,611)</w:t>
            </w:r>
          </w:p>
        </w:tc>
      </w:tr>
    </w:tbl>
    <w:p>
      <w:pPr>
        <w:spacing w:after="0" w:line="160"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Selected unaudited condensed consolidated statement of operations line items, which reflect the adoption of ASU 2014-09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 June 30, 2017</w:t>
            </w:r>
          </w:p>
        </w:tc>
        <w:tc>
          <w:tcPr>
            <w:tcW w:w="20" w:type="dxa"/>
            <w:vAlign w:val="bottom"/>
          </w:tcPr>
          <w:p>
            <w:pPr>
              <w:spacing w:after="0"/>
              <w:rPr>
                <w:sz w:val="14"/>
                <w:szCs w:val="14"/>
                <w:color w:val="auto"/>
              </w:rPr>
            </w:pPr>
          </w:p>
        </w:tc>
      </w:tr>
      <w:tr>
        <w:trPr>
          <w:trHeight w:val="252"/>
        </w:trPr>
        <w:tc>
          <w:tcPr>
            <w:tcW w:w="3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As previously</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Basic</w:t>
            </w:r>
          </w:p>
        </w:tc>
        <w:tc>
          <w:tcPr>
            <w:tcW w:w="3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4"/>
                <w:szCs w:val="14"/>
                <w:b w:val="1"/>
                <w:bCs w:val="1"/>
                <w:color w:val="auto"/>
                <w:w w:val="91"/>
              </w:rPr>
              <w:t>For the six months ended June 30, 2017</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As previously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3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4"/>
                <w:szCs w:val="14"/>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106,216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105,971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Basic</w:t>
            </w:r>
          </w:p>
        </w:tc>
        <w:tc>
          <w:tcPr>
            <w:tcW w:w="3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700" w:type="dxa"/>
            <w:vAlign w:val="bottom"/>
          </w:tcPr>
          <w:p>
            <w:pPr>
              <w:spacing w:after="0"/>
              <w:rPr>
                <w:sz w:val="24"/>
                <w:szCs w:val="24"/>
                <w:color w:val="auto"/>
              </w:rPr>
            </w:pPr>
          </w:p>
        </w:tc>
        <w:tc>
          <w:tcPr>
            <w:tcW w:w="308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7" w:name="page8"/>
    <w:bookmarkEnd w:id="7"/>
    <w:p>
      <w:pPr>
        <w:ind w:right="780" w:firstLine="518"/>
        <w:spacing w:after="0" w:line="277" w:lineRule="auto"/>
        <w:rPr>
          <w:sz w:val="20"/>
          <w:szCs w:val="20"/>
          <w:color w:val="auto"/>
        </w:rPr>
      </w:pPr>
      <w:r>
        <w:rPr>
          <w:rFonts w:ascii="Arial" w:cs="Arial" w:eastAsia="Arial" w:hAnsi="Arial"/>
          <w:sz w:val="18"/>
          <w:szCs w:val="18"/>
          <w:color w:val="auto"/>
        </w:rPr>
        <w:t>Selected unaudited condensed consolidated statement of cash flows line items, which reflect the adoption of ASU 2014-09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six months ended June 30, 2017</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Adjustments</w:t>
            </w:r>
          </w:p>
        </w:tc>
        <w:tc>
          <w:tcPr>
            <w:tcW w:w="3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(3,025)</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 xml:space="preserve">In March 2018, we adopted FASB ASU 2018-05, </w:t>
      </w:r>
      <w:r>
        <w:rPr>
          <w:rFonts w:ascii="Arial" w:cs="Arial" w:eastAsia="Arial" w:hAnsi="Arial"/>
          <w:sz w:val="16"/>
          <w:szCs w:val="16"/>
          <w:i w:val="1"/>
          <w:iCs w:val="1"/>
          <w:color w:val="auto"/>
        </w:rPr>
        <w:t>Income Taxes (Topic 740): Amendments to SEC Paragraphs Pursuant to SEC Staff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Bulletin No. 118</w:t>
      </w:r>
      <w:r>
        <w:rPr>
          <w:rFonts w:ascii="Arial" w:cs="Arial" w:eastAsia="Arial" w:hAnsi="Arial"/>
          <w:sz w:val="16"/>
          <w:szCs w:val="16"/>
          <w:color w:val="auto"/>
        </w:rPr>
        <w:t>, which updates the income tax accounting in U.S. GAAP to reflect the SEC interpretive guidance released on December 22, 2017,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Cuts and Jobs Act (the “Tax Act”) was signed into law. Additional information regarding the adoption of this standard is contained in Note 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3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 We believe the adoption of the new lease accounting standard will materially impact our consolidated financial statements by increasing our non-current assets and non-current liabilities on our consolidated balance sheets in order to record the right of use assets and related lease liabilities for our existing operating leases. We are in the process of determining the financial statement impact and are currently unable to estimate the extent of the impact on our consolidated financial statements.</w:t>
      </w:r>
    </w:p>
    <w:p>
      <w:pPr>
        <w:spacing w:after="0" w:line="19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215"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w:t>
      </w:r>
      <w:r>
        <w:rPr>
          <w:rFonts w:ascii="Arial" w:cs="Arial" w:eastAsia="Arial" w:hAnsi="Arial"/>
          <w:sz w:val="17"/>
          <w:szCs w:val="17"/>
          <w:color w:val="auto"/>
        </w:rPr>
        <w:t>, which simplifies the test for goodwill impairment by eliminating step two from the goodwill impairment test. Under the new guidance, an entity should recognize an impairment charge for the amount based on the excess of a reporting unit’s carrying amount over its fair value. The impairment charge will be limited to the amount of goodwill allocated to that reporting unit. This guidance is effective for annual and interim impairment tests performed in periods beginning after December 15, 2019 on a prospective basis, and earlier adoption is permitted for goodwill impairment tests performed on testing dates after January 1, 2017. We believe the adoption of this standard will not have a material impact on our consolidated financial statements.</w:t>
      </w:r>
    </w:p>
    <w:p>
      <w:pPr>
        <w:spacing w:after="0" w:line="20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which expands the scope of Topic 718 to include share-based payment transactions for acquiring goods and services from nonemployees. The requirements of Topic 718 are to be applied to nonemployee awards except for specific guidance on inputs to an option pricing model and the attribution of cost.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Except for the accounting policies for revenue recognition and deferred commissions that were updated as a result of adopting ASU 2014-09, there were no material changes in our significant accounting policies during the six months ended June 30, 2018. See Note A to the consolidated financial statements included in our Annual Report on Form 10-K for the year ended December 31, 2017, as filed with the SEC on February 26, 2018, for additional information regarding our significant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Recurring revenues:</w:t>
            </w: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Fulfillment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46,480</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40,249</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91,844</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Analytics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8,603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Recurring Revenues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56,430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111,290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One-time revenues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54,092</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 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9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5,614</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(5,256)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Costs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deferred costs and amortization of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59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331"/>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41,557</w:t>
            </w:r>
          </w:p>
        </w:tc>
        <w:tc>
          <w:tcPr>
            <w:tcW w:w="14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33,461</w:t>
            </w:r>
          </w:p>
        </w:tc>
        <w:tc>
          <w:tcPr>
            <w:tcW w:w="160" w:type="dxa"/>
            <w:vAlign w:val="bottom"/>
            <w:shd w:val="clear" w:color="auto" w:fill="CFF0FC"/>
          </w:tcPr>
          <w:p>
            <w:pPr>
              <w:spacing w:after="0"/>
              <w:rPr>
                <w:sz w:val="24"/>
                <w:szCs w:val="24"/>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2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20" w:type="dxa"/>
            <w:vAlign w:val="bottom"/>
            <w:shd w:val="clear" w:color="auto" w:fill="CFF0FC"/>
          </w:tcPr>
          <w:p>
            <w:pPr>
              <w:spacing w:after="0"/>
              <w:rPr>
                <w:sz w:val="24"/>
                <w:szCs w:val="24"/>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20,849</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(10,923)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(21,805)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(17,634)</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35,332</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impairment loss in relation to the costs capitalized for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17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ind w:right="40" w:firstLine="518"/>
        <w:spacing w:after="0" w:line="257"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an other-than-temporary decline in fair value has occurred, the amount of the decline that is related to a credit loss is realized and is included in other income (expense), net, in the condensed consolidated statements of comprehensive income.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 2018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102,281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4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154,589</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149,953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June 30, 2018. We expect to receive the full principal and interest on all of these cash equivalents, certificate of deposit and marketable securities.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380" w:hanging="519"/>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20,123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7,394</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net carrying amount of goodwill for the six months ended June 30, 2018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Borders>
              <w:bottom w:val="single" w:sz="8" w:color="CFF0FC"/>
            </w:tcBorders>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Goodwill acquired during the period</w:t>
            </w: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Balances, June 30</w:t>
            </w:r>
          </w:p>
        </w:tc>
        <w:tc>
          <w:tcPr>
            <w:tcW w:w="4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0" w:type="dxa"/>
            <w:vAlign w:val="bottom"/>
            <w:vMerge w:val="restart"/>
          </w:tcPr>
          <w:p>
            <w:pPr>
              <w:jc w:val="right"/>
              <w:ind w:right="2930"/>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2" w:name="page13"/>
    <w:bookmarkEnd w:id="12"/>
    <w:p>
      <w:pPr>
        <w:ind w:right="440" w:firstLine="518"/>
        <w:spacing w:after="0" w:line="342" w:lineRule="auto"/>
        <w:rPr>
          <w:sz w:val="20"/>
          <w:szCs w:val="20"/>
          <w:color w:val="auto"/>
        </w:rPr>
      </w:pPr>
      <w:r>
        <w:rPr>
          <w:rFonts w:ascii="Arial" w:cs="Arial" w:eastAsia="Arial" w:hAnsi="Arial"/>
          <w:sz w:val="16"/>
          <w:szCs w:val="16"/>
          <w:color w:val="auto"/>
        </w:rPr>
        <w:t>Intangible assets subject to amortization primarily include subscriber relationships, non-competition agreements and acquired technology and are amortized over their respective useful lives (ranging from 1 to 9 years). Intangible assets, net of amortization, included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(2,159)</w:t>
            </w: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40,361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Total amortization expense for intangible assets during the three months ended June 30, 2018 and 2017 was $1.0 million and $1.1 million, respectively. Total amortization expense for intangible assets during the six months ended June 30, 2018 and 2017 was $2.2 million and $2.3 million, respectively. The estimated annual amortization expense related to intangible assets subject to amortization for the next five years is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1,852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ind w:left="1040"/>
              <w:spacing w:after="0"/>
              <w:rPr>
                <w:sz w:val="20"/>
                <w:szCs w:val="20"/>
                <w:color w:val="auto"/>
              </w:rPr>
            </w:pPr>
            <w:r>
              <w:rPr>
                <w:rFonts w:ascii="Arial" w:cs="Arial" w:eastAsia="Arial" w:hAnsi="Arial"/>
                <w:sz w:val="18"/>
                <w:szCs w:val="18"/>
                <w:color w:val="auto"/>
                <w:w w:val="88"/>
              </w:rPr>
              <w:t>3,699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3,349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ind w:left="1040"/>
              <w:spacing w:after="0"/>
              <w:rPr>
                <w:sz w:val="20"/>
                <w:szCs w:val="20"/>
                <w:color w:val="auto"/>
              </w:rPr>
            </w:pPr>
            <w:r>
              <w:rPr>
                <w:rFonts w:ascii="Arial" w:cs="Arial" w:eastAsia="Arial" w:hAnsi="Arial"/>
                <w:sz w:val="18"/>
                <w:szCs w:val="18"/>
                <w:color w:val="auto"/>
                <w:w w:val="88"/>
              </w:rPr>
              <w:t>2,511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ind w:left="1040"/>
              <w:spacing w:after="0"/>
              <w:rPr>
                <w:sz w:val="20"/>
                <w:szCs w:val="20"/>
                <w:color w:val="auto"/>
              </w:rPr>
            </w:pPr>
            <w:r>
              <w:rPr>
                <w:rFonts w:ascii="Arial" w:cs="Arial" w:eastAsia="Arial" w:hAnsi="Arial"/>
                <w:sz w:val="18"/>
                <w:szCs w:val="18"/>
                <w:color w:val="auto"/>
                <w:w w:val="88"/>
              </w:rPr>
              <w:t>1,440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w w:val="88"/>
              </w:rPr>
              <w:t>1,503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87"/>
              </w:rPr>
              <w:t>14,354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Commitments and Contingencies</w:t>
            </w: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80" w:type="dxa"/>
            <w:vAlign w:val="bottom"/>
          </w:tcPr>
          <w:p>
            <w:pPr>
              <w:ind w:left="500"/>
              <w:spacing w:after="0"/>
              <w:rPr>
                <w:sz w:val="20"/>
                <w:szCs w:val="20"/>
                <w:color w:val="auto"/>
              </w:rPr>
            </w:pPr>
            <w:r>
              <w:rPr>
                <w:rFonts w:ascii="Arial" w:cs="Arial" w:eastAsia="Arial" w:hAnsi="Arial"/>
                <w:sz w:val="18"/>
                <w:szCs w:val="18"/>
                <w:color w:val="auto"/>
              </w:rPr>
              <w:t>At June 30, 2018, our future minimum payments under operating leases were as follows (in thousands):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84"/>
              </w:rPr>
              <w:t>2,055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ind w:left="1060"/>
              <w:spacing w:after="0"/>
              <w:rPr>
                <w:sz w:val="20"/>
                <w:szCs w:val="20"/>
                <w:color w:val="auto"/>
              </w:rPr>
            </w:pPr>
            <w:r>
              <w:rPr>
                <w:rFonts w:ascii="Arial" w:cs="Arial" w:eastAsia="Arial" w:hAnsi="Arial"/>
                <w:sz w:val="18"/>
                <w:szCs w:val="18"/>
                <w:color w:val="auto"/>
                <w:w w:val="84"/>
              </w:rPr>
              <w:t>4,154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84"/>
              </w:rPr>
              <w:t>3,572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ind w:left="1060"/>
              <w:spacing w:after="0"/>
              <w:rPr>
                <w:sz w:val="20"/>
                <w:szCs w:val="20"/>
                <w:color w:val="auto"/>
              </w:rPr>
            </w:pPr>
            <w:r>
              <w:rPr>
                <w:rFonts w:ascii="Arial" w:cs="Arial" w:eastAsia="Arial" w:hAnsi="Arial"/>
                <w:sz w:val="18"/>
                <w:szCs w:val="18"/>
                <w:color w:val="auto"/>
                <w:w w:val="84"/>
              </w:rPr>
              <w:t>4,346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84"/>
              </w:rPr>
              <w:t>4,035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84"/>
              </w:rPr>
              <w:t>8,671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shd w:val="clear" w:color="auto" w:fill="CFF0FC"/>
          </w:tcPr>
          <w:p>
            <w:pPr>
              <w:ind w:left="960"/>
              <w:spacing w:after="0"/>
              <w:rPr>
                <w:sz w:val="20"/>
                <w:szCs w:val="20"/>
                <w:color w:val="auto"/>
              </w:rPr>
            </w:pPr>
            <w:r>
              <w:rPr>
                <w:rFonts w:ascii="Arial" w:cs="Arial" w:eastAsia="Arial" w:hAnsi="Arial"/>
                <w:sz w:val="18"/>
                <w:szCs w:val="18"/>
                <w:color w:val="auto"/>
                <w:w w:val="90"/>
              </w:rPr>
              <w:t>26,833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equity compensation plans provide for the grant of incentive and nonqualified stock options, restricted stock awards, restricted stock units and performance stock units to employees, non-employee directors and other consultants who provide services to us. We also provide an employee stock purchase plan and 401(k) stock match.</w:t>
      </w:r>
    </w:p>
    <w:p>
      <w:pPr>
        <w:spacing w:after="0" w:line="1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Restricted stock awards result in the issuance of new shares when granted. For other stock-based awards, new shares are issued when the award is exercised, vested or released according to the terms of the agreement. In January 2018, 1,027,620 additional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ind w:right="300"/>
        <w:spacing w:after="0" w:line="277" w:lineRule="auto"/>
        <w:rPr>
          <w:sz w:val="20"/>
          <w:szCs w:val="20"/>
          <w:color w:val="auto"/>
        </w:rPr>
      </w:pPr>
      <w:r>
        <w:rPr>
          <w:rFonts w:ascii="Arial" w:cs="Arial" w:eastAsia="Arial" w:hAnsi="Arial"/>
          <w:sz w:val="18"/>
          <w:szCs w:val="18"/>
          <w:color w:val="auto"/>
        </w:rPr>
        <w:t>were reserved for future issuance under our 2010 Equity Incentive Plan. At June 30, 2018, there were approximately 5.3 million shares available for grant under approved equity compensation plans.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7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recorded stock-based compensation expense of $3.2 million and $6.7 million for the three and six months ended June 30, 2018 and $2.2 million and $4.5 million for the three and six months ended June 30, 2017, respectively. This expense was allocated in the condensed consolidated statements of comprehensive income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1,608</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3,179</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2,186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by plan type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1,829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401(k) stock match</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3,179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June 30, 2018, there was approximately $17.1 million of unrecognized stock-based compensation expense under our equity compensation plans, which is expected to be recognized on a straight-line basis over a weighted average period of 2.7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86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r>
      <w:tr>
        <w:trPr>
          <w:trHeight w:val="156"/>
        </w:trPr>
        <w:tc>
          <w:tcPr>
            <w:tcW w:w="7860" w:type="dxa"/>
            <w:vAlign w:val="bottom"/>
          </w:tcPr>
          <w:p>
            <w:pPr>
              <w:spacing w:after="0"/>
              <w:rPr>
                <w:sz w:val="13"/>
                <w:szCs w:val="13"/>
                <w:color w:val="auto"/>
              </w:rPr>
            </w:pPr>
          </w:p>
        </w:tc>
        <w:tc>
          <w:tcPr>
            <w:tcW w:w="1580" w:type="dxa"/>
            <w:vAlign w:val="bottom"/>
            <w:tcBorders>
              <w:top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3"/>
                <w:szCs w:val="13"/>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181,165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(117,233)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(47,336)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Of the total outstanding options at June 30, 2018, 722,833 were exercisable with a weighted average exercise price of $46.18 per share. The total outstanding options had a weighted average remaining contractual life of 3.2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right="120" w:firstLine="518"/>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six months of 2018 was $19.46.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54" w:lineRule="exact"/>
        <w:rPr>
          <w:sz w:val="20"/>
          <w:szCs w:val="20"/>
          <w:color w:val="auto"/>
        </w:rPr>
      </w:pPr>
    </w:p>
    <w:p>
      <w:pPr>
        <w:jc w:val="both"/>
        <w:ind w:right="60" w:firstLine="518"/>
        <w:spacing w:after="0" w:line="257" w:lineRule="auto"/>
        <w:rPr>
          <w:sz w:val="20"/>
          <w:szCs w:val="20"/>
          <w:color w:val="auto"/>
        </w:rPr>
      </w:pPr>
      <w:r>
        <w:rPr>
          <w:rFonts w:ascii="Arial" w:cs="Arial" w:eastAsia="Arial" w:hAnsi="Arial"/>
          <w:sz w:val="18"/>
          <w:szCs w:val="18"/>
          <w:color w:val="auto"/>
        </w:rPr>
        <w:t>In February 2018, our executive officers were granted PSU awards with vesting contingent on the Company’s total shareholder return as compared to indexed total shareholder return over the course of a three-year performance period (fiscal years 2018 – 2020).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w:t>
      </w:r>
    </w:p>
    <w:p>
      <w:pPr>
        <w:spacing w:after="0" w:line="188"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performance share units and restricted stock units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Share and</w:t>
            </w:r>
          </w:p>
        </w:tc>
        <w:tc>
          <w:tcPr>
            <w:tcW w:w="22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678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Restricted Stock Units</w:t>
            </w:r>
          </w:p>
        </w:tc>
        <w:tc>
          <w:tcPr>
            <w:tcW w:w="22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6780" w:type="dxa"/>
            <w:vAlign w:val="bottom"/>
          </w:tcPr>
          <w:p>
            <w:pPr>
              <w:spacing w:after="0"/>
              <w:rPr>
                <w:sz w:val="13"/>
                <w:szCs w:val="13"/>
                <w:color w:val="auto"/>
              </w:rPr>
            </w:pPr>
          </w:p>
        </w:tc>
        <w:tc>
          <w:tcPr>
            <w:tcW w:w="2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57"/>
              <w:spacing w:after="0" w:line="155"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spacing w:after="0"/>
              <w:rPr>
                <w:sz w:val="20"/>
                <w:szCs w:val="20"/>
                <w:color w:val="auto"/>
              </w:rPr>
            </w:pPr>
            <w:r>
              <w:rPr>
                <w:rFonts w:ascii="Arial" w:cs="Arial" w:eastAsia="Arial" w:hAnsi="Arial"/>
                <w:sz w:val="18"/>
                <w:szCs w:val="18"/>
                <w:color w:val="auto"/>
              </w:rPr>
              <w:t>145,060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61.03</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(81,427)</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(22,539)</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363,006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number of restricted stock units outstanding at June 30, 2018 included 22,771 units that have vested, but for which shares of common stock have not yet been issued pursuant to the terms of the agreement.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restricted stock awards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Restricted Stock</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 Grant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600" w:type="dxa"/>
            <w:vAlign w:val="bottom"/>
          </w:tcPr>
          <w:p>
            <w:pPr>
              <w:jc w:val="center"/>
              <w:ind w:left="448"/>
              <w:spacing w:after="0"/>
              <w:rPr>
                <w:sz w:val="20"/>
                <w:szCs w:val="20"/>
                <w:color w:val="auto"/>
              </w:rPr>
            </w:pPr>
            <w:r>
              <w:rPr>
                <w:rFonts w:ascii="Arial" w:cs="Arial" w:eastAsia="Arial" w:hAnsi="Arial"/>
                <w:sz w:val="14"/>
                <w:szCs w:val="14"/>
                <w:b w:val="1"/>
                <w:bCs w:val="1"/>
                <w:color w:val="auto"/>
                <w:w w:val="94"/>
              </w:rPr>
              <w:t>Awards (#)</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20" w:type="dxa"/>
            <w:vAlign w:val="bottom"/>
          </w:tcPr>
          <w:p>
            <w:pPr>
              <w:jc w:val="right"/>
              <w:spacing w:after="0"/>
              <w:rPr>
                <w:sz w:val="20"/>
                <w:szCs w:val="20"/>
                <w:color w:val="auto"/>
              </w:rPr>
            </w:pPr>
            <w:r>
              <w:rPr>
                <w:rFonts w:ascii="Arial" w:cs="Arial" w:eastAsia="Arial" w:hAnsi="Arial"/>
                <w:sz w:val="18"/>
                <w:szCs w:val="18"/>
                <w:color w:val="auto"/>
              </w:rPr>
              <w:t>7,304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(3,192)</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16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8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For the offering period that began on January 1, 2018 and ended on June 30, 2018, we withheld $0.8 million from employees participating in the plan which were used to purchase 20,243 shares.</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Stock Match</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sponsor a 401(k) retirement savings plan for our U.S. employees where employees can contribute up to 100% of their compensation, subject to the limits established by law. In 2018, we increased our match to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2018 we do not have any unrecognized tax benefits nor any accrued interest or tax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Tax Act, which was enacted on December 22, 2017, includes broad and complex changes to the U.S tax code. The Tax Act reduces the corporate federal income tax rate to 21.0% effective January 1, 2018 and establishes a mandatory tax on previously untaxed foreign earnings and profits (“E&amp;P”). The Tax Act expands the limitations for executive compensation under Section 162(m) and includes transition rules for previously awarded compensation.</w:t>
      </w:r>
    </w:p>
    <w:p>
      <w:pPr>
        <w:spacing w:after="0" w:line="14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January and April of 2018, the Internal Revenue Service (“IRS”) issued guidance which provides additional clarification on certain aspects of the transition tax calculation. We have applied this guidance for the second quarter of 2018 which did not result in a material adjustment to our previously calculated discrete income tax expense relating to the Tax Act. We anticipate additional IRS guidance relative to the impacts of the Tax Act will be forthcoming throughout 2018.</w:t>
      </w:r>
    </w:p>
    <w:p>
      <w:pPr>
        <w:spacing w:after="0" w:line="18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are continuing to evaluate the impact of the Tax Act on the taxation of previously untaxed foreign E&amp;P and the deferred tax liability for withholding taxes on dividends. We are also continuing to evaluate the impact the expanded Section 162(m) limitations and related transition rules have on our deferred tax assets related to stock compensation.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980" w:firstLine="518"/>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66"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Restricted stock units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10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17,549</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17,378</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17,446</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share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Basic</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0.51</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4900" w:type="dxa"/>
            <w:vAlign w:val="bottom"/>
          </w:tcPr>
          <w:p>
            <w:pPr>
              <w:spacing w:after="0"/>
              <w:rPr>
                <w:sz w:val="20"/>
                <w:szCs w:val="20"/>
                <w:color w:val="auto"/>
              </w:rPr>
            </w:pPr>
            <w:r>
              <w:rPr>
                <w:rFonts w:ascii="Arial" w:cs="Arial" w:eastAsia="Arial" w:hAnsi="Arial"/>
                <w:sz w:val="18"/>
                <w:szCs w:val="18"/>
                <w:color w:val="auto"/>
              </w:rPr>
              <w:t>Antidilutive shares (in thousands)</w:t>
            </w: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75" w:right="21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jc w:val="both"/>
        <w:ind w:right="40" w:firstLine="518"/>
        <w:spacing w:after="0" w:line="286" w:lineRule="auto"/>
        <w:rPr>
          <w:sz w:val="20"/>
          <w:szCs w:val="20"/>
          <w:color w:val="auto"/>
        </w:rPr>
      </w:pPr>
      <w:r>
        <w:rPr>
          <w:rFonts w:ascii="Arial" w:cs="Arial" w:eastAsia="Arial" w:hAnsi="Arial"/>
          <w:sz w:val="17"/>
          <w:szCs w:val="17"/>
          <w:color w:val="auto"/>
        </w:rPr>
        <w:t>For the three months ended June 30, 2018, our revenues were $61.1 million, an increase of 13% from the comparable period in 2017, and represented our 70</w:t>
      </w:r>
      <w:r>
        <w:rPr>
          <w:rFonts w:ascii="Arial" w:cs="Arial" w:eastAsia="Arial" w:hAnsi="Arial"/>
          <w:sz w:val="14"/>
          <w:szCs w:val="14"/>
          <w:color w:val="auto"/>
        </w:rPr>
        <w:t>th</w:t>
      </w:r>
      <w:r>
        <w:rPr>
          <w:rFonts w:ascii="Arial" w:cs="Arial" w:eastAsia="Arial" w:hAnsi="Arial"/>
          <w:sz w:val="17"/>
          <w:szCs w:val="17"/>
          <w:color w:val="auto"/>
        </w:rPr>
        <w:t xml:space="preserve"> consecutive quarter of increased revenues. Total operating expenses increased 5% for the same period in 2018 from 2017. For the six months ended June 30, 2018, revenues increased 13% and operating expenses increased 9% compared to the same period in 2017.</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use several key financial terms and metrics to analyze our business, including annualized average recurring revenues per recurring revenue customer, which we also refer to as wallet share. During the three and six months ended June 30, 2018,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included in our Annual Report on Form 10-K for the year ended December 31, 2017 as filed with the SEC on February 26, 2018.</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income taxes are the most critical to fully understand and evaluate our financial condition and results of operations.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8" w:name="page19"/>
    <w:bookmarkEnd w:id="18"/>
    <w:p>
      <w:pPr>
        <w:ind w:right="80" w:firstLine="518"/>
        <w:spacing w:after="0" w:line="259" w:lineRule="auto"/>
        <w:rPr>
          <w:sz w:val="20"/>
          <w:szCs w:val="20"/>
          <w:color w:val="auto"/>
        </w:rPr>
      </w:pPr>
      <w:r>
        <w:rPr>
          <w:rFonts w:ascii="Arial" w:cs="Arial" w:eastAsia="Arial" w:hAnsi="Arial"/>
          <w:sz w:val="18"/>
          <w:szCs w:val="18"/>
          <w:color w:val="auto"/>
        </w:rPr>
        <w:t>During the three and six months ended June 30, 2018, there were no changes in our significant accounting policies or estimates, except for the adoptions of ASU No. 2014-09 and ASU No. 2018-05 as detailed in Note A. See Note A to our condensed consolidated financial statements included in this Quarterly Report on Form 10-Q and in our Annual Report on Form 10-K for the year ended December 31, 2017, as filed with the SEC on February 26, 2018, for additional information regarding our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2018 Compared to Three Months Ended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8"/>
              </w:rPr>
              <w:t>Three Months Ended June 30,</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61,091</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54,092</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6,999</w:t>
            </w: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35,901</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18,424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18,320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(76)</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9,974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(84)</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34,724</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6,344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2018 increased $7.0 million, or 13%, to $61.1 million from $54.1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The increase in revenues resulted from two primary factors: an increase in recurring revenue customers and an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26,212 at June 30, 2018 from 25,153 at June 30, 2017.</w:t>
      </w:r>
    </w:p>
    <w:p>
      <w:pPr>
        <w:spacing w:after="0" w:line="117" w:lineRule="exact"/>
        <w:rPr>
          <w:rFonts w:ascii="Arial" w:cs="Arial" w:eastAsia="Arial" w:hAnsi="Arial"/>
          <w:sz w:val="18"/>
          <w:szCs w:val="18"/>
          <w:color w:val="auto"/>
        </w:rPr>
      </w:pPr>
    </w:p>
    <w:p>
      <w:pPr>
        <w:ind w:left="1040" w:right="360" w:hanging="519"/>
        <w:spacing w:after="0" w:line="26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8% to $8,665 for the three months ended June 30, 2018 from $7,993 for the same period in 2017. This increase in wallet share was primarily attributable to increased usage of our solutions by our recurring revenue customers.</w:t>
      </w:r>
    </w:p>
    <w:p>
      <w:pPr>
        <w:spacing w:after="0" w:line="181"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Recurring revenues from recurring revenue customers accounted for 92% of our total revenues for the three months ended June 30, 2018, decreasing from 93% for the same period in 2017, due to an increase in one-time revenues. We anticipate that the number of recurring revenue customers and wallet share will continue to increase as we increase the number of solutions we offer and increase the penetration of those solutions across our customer base.</w:t>
      </w:r>
    </w:p>
    <w:p>
      <w:pPr>
        <w:spacing w:after="0" w:line="14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three months ended June 30, 2018 increased $2.2 million, or 12%, to $20.4 million from $18.2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same period in 2017. The increase in cost of revenues for the three months ended June 30, 2018 was primarily due to an increase in personnel-related costs of approximately $2.1 million, driven by increased salaries and benefits due to business growth and by increased contractor labor, and an increase in depreciation expense of $0.4 million, driven by continued investment in the infrastructure supporting our platform. As a percentage of revenues, cost of revenues was 33% and 34% for the three months ended June 30, 2018 and 2017,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June 30, 2018 increased $0.1 million, or 1%,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$18.4 million from $18.3 million for the same period in 2017. The increase in sales and marketing expenses for the three months ended June 30, 2018</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same period in 2017 was primarily due to an increase of $0.5 million in variable compensation earned by sales personnel and referral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as a result of new business, offset by a $0.5 million decrease in promotional expenses. As a percentage of revenues, sales and marketing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were 30% and 34% for the three months ended June 30, 2018 and 2017, respectively.</w:t>
      </w:r>
    </w:p>
    <w:p>
      <w:pPr>
        <w:spacing w:after="0" w:line="211"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June 30, 2018 decreased $0.1 million, or 1%,</w:t>
      </w:r>
      <w:r>
        <w:rPr>
          <w:rFonts w:ascii="Arial" w:cs="Arial" w:eastAsia="Arial" w:hAnsi="Arial"/>
          <w:sz w:val="18"/>
          <w:szCs w:val="18"/>
          <w:i w:val="1"/>
          <w:iCs w:val="1"/>
          <w:color w:val="auto"/>
        </w:rPr>
        <w:t xml:space="preserve"> </w:t>
      </w:r>
      <w:r>
        <w:rPr>
          <w:rFonts w:ascii="Arial" w:cs="Arial" w:eastAsia="Arial" w:hAnsi="Arial"/>
          <w:sz w:val="18"/>
          <w:szCs w:val="18"/>
          <w:color w:val="auto"/>
        </w:rPr>
        <w:t>to $5.3 million from $5.4 million for the same period in 2017. The decrease in research and development expenses for the three months ended June 30, 2018 was primarily due to a $0.3 million decrease in personnel-related costs, due to an increase in internally developed capitalized software, which reduces personnel expenses, offset by increases in salaries and benefits due to business growth. Additionally, there was $0.2 million increase in software subscriptions, due to continued growth in the business. As a percentage of revenues, research and development expenses were 9% and 10% for the three months ended June 30, 2018 and 2017, respectively.</w:t>
      </w:r>
    </w:p>
    <w:p>
      <w:pPr>
        <w:spacing w:after="0" w:line="19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three months ended June 30, 2018 increased $1.8 million, or 23%,</w:t>
      </w:r>
      <w:r>
        <w:rPr>
          <w:rFonts w:ascii="Arial" w:cs="Arial" w:eastAsia="Arial" w:hAnsi="Arial"/>
          <w:sz w:val="17"/>
          <w:szCs w:val="17"/>
          <w:i w:val="1"/>
          <w:iCs w:val="1"/>
          <w:color w:val="auto"/>
        </w:rPr>
        <w:t xml:space="preserve"> </w:t>
      </w:r>
      <w:r>
        <w:rPr>
          <w:rFonts w:ascii="Arial" w:cs="Arial" w:eastAsia="Arial" w:hAnsi="Arial"/>
          <w:sz w:val="17"/>
          <w:szCs w:val="17"/>
          <w:color w:val="auto"/>
        </w:rPr>
        <w:t>to $10.0 million from $8.1 million for the same period in 2017. The increase in general and administrative expenses for the three months ended June 30, 2018 was primarily due to an increase of $0.7 million in stock-based compensation expense, as a result of stock grants made to retirement-eligible employees which result in immediate expensing, an increase of $0.6 million in personnel-related costs, as a result of continued business growth, and an increase of $0.5 million in other general and administrative expenses, as a result of continued growth in the business. As a percentage of revenues, general and administrative expenses were 16% and 15% for the three months ended June 30, 2018 and 2017, respectively.</w:t>
      </w:r>
    </w:p>
    <w:p>
      <w:pPr>
        <w:spacing w:after="0" w:line="178" w:lineRule="exact"/>
        <w:rPr>
          <w:sz w:val="20"/>
          <w:szCs w:val="20"/>
          <w:color w:val="auto"/>
        </w:rPr>
      </w:pPr>
    </w:p>
    <w:p>
      <w:pPr>
        <w:ind w:right="220" w:firstLine="518"/>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months ended June 30, 2018 increased $0.2 million over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primarily due to a $0.3 million increase of interest income from investments, as a result of additional cash being invested.</w:t>
      </w:r>
    </w:p>
    <w:p>
      <w:pPr>
        <w:spacing w:after="0" w:line="14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income tax expense of $0.9 million for the three months ended June 30, 2018 compared to income tax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for the same period in 2017. The decrease in income tax expense for the three months ended June 30, 2018 was primarily due to a reduction in overall effective tax rate in 2018, as a result of the Tax Act, partially offset by increased pre-tax income. In addition, discrete tax benefits increased $0.7 million, of which $0.5 million relates to research and development tax credits and $0.2 million relates to stock activity.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89"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stock-based compensation expense. The following table provides a reconciliation of net income to Adjusted EBITDA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12,102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0" w:name="page21"/>
    <w:bookmarkEnd w:id="20"/>
    <w:p>
      <w:pPr>
        <w:ind w:right="300" w:firstLine="518"/>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income tax effects of adjustments divided by the weighted average number of shares of common stock outstanding during each period. The following table provides a reconciliation of net income to Non-GAAP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17,163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17,549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98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2018 Compared to Six Months Ended June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120,183</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105,971</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14,212</w:t>
            </w: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70,450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37,071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(49)</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20,104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15,966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(174)</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58.0</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64,115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60.5</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10,904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6,606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six months ended June 30, 2018 increased $14.2 million, or 13%, to $120.2 million from $106.0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The increase in revenues resulted from two primary factors: the increase in recurring revenue customers and the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4% to 26,212 at June 30, 2018 from 25,153 at June 30, 2017.</w:t>
      </w:r>
    </w:p>
    <w:p>
      <w:pPr>
        <w:spacing w:after="0" w:line="117" w:lineRule="exact"/>
        <w:rPr>
          <w:rFonts w:ascii="Arial" w:cs="Arial" w:eastAsia="Arial" w:hAnsi="Arial"/>
          <w:sz w:val="18"/>
          <w:szCs w:val="18"/>
          <w:color w:val="auto"/>
        </w:rPr>
      </w:pPr>
    </w:p>
    <w:p>
      <w:pPr>
        <w:jc w:val="both"/>
        <w:ind w:left="1040" w:right="4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 average recurring revenues per recurring revenue customer, or wallet share, increased 9% to $8,567 for the six months ended June 30, 2018 from $7,852 for the same period in 2017. This increase in wallet share was primarily attributable to increased usage of our solutions by our recurring revenue customers.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ind w:firstLine="518"/>
        <w:spacing w:after="0" w:line="264" w:lineRule="auto"/>
        <w:rPr>
          <w:sz w:val="20"/>
          <w:szCs w:val="20"/>
          <w:color w:val="auto"/>
        </w:rPr>
      </w:pPr>
      <w:r>
        <w:rPr>
          <w:rFonts w:ascii="Arial" w:cs="Arial" w:eastAsia="Arial" w:hAnsi="Arial"/>
          <w:sz w:val="18"/>
          <w:szCs w:val="18"/>
          <w:color w:val="auto"/>
        </w:rPr>
        <w:t>Recurring revenues from recurring revenue customers accounted for 93% of our total revenues for the six months ended June 30, 2018, consistent with the same period in 2017.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six months ended June 30, 2018 increased $4.6 million, or 13%, to $40.2 million from $35.5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The increase in cost of revenues for the six months ended June 30, 2018 was primarily due to an increase of $4.0 million in personnel-related costs, driven by continued business growth and by an increase in contractor labor. As we continued to invest in the infrastructure supporting our platform, depreciation expense increased by $0.7 million compared to the same period in 2017. As a percentage of revenues, cost of revenues was 33% and 34% for the six months ended June 30, 2018 and 2017, respectively.</w:t>
      </w:r>
    </w:p>
    <w:p>
      <w:pPr>
        <w:spacing w:after="0" w:line="18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six months ended June 30, 2018 increased $1.7 million, or 5%, to $37.1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$35.3 million for the same period in 2017. The increase in sales and marketing expenses for the six months ended June 30, 2018 was due to an increase of $1.0 million of personnel-related costs, as a result of overall business growth, an increase of $1.1 million in variable compensation earned by sales personnel and referral partners, as a result of new business, partially offset by an $0.8 million decrease in promotional expenses. As a percentage of revenues, sales and marketing expenses were 31% and 33% for the six months ended June 30, 2018 and 2017, respectively.</w:t>
      </w:r>
    </w:p>
    <w:p>
      <w:pPr>
        <w:spacing w:after="0" w:line="1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six months ended June 30, 2018 were consistent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Increases in software subscriptions of $0.4 million and stock-based compensation of $0.2 million were consistent with business growth and were offset by decreases in personnel-related costs of $0.5 million, primarily due to an increase in internally developed capitalized software which reduces personnel expenses. As a percentage of revenues, research and development expenses were 9% and 10% for the six months ended June 30, 2018 and 2017, respectively.</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six months ended June 30, 2018 increased $4.1 million, or 26%, to</w:t>
      </w:r>
      <w:r>
        <w:rPr>
          <w:rFonts w:ascii="Arial" w:cs="Arial" w:eastAsia="Arial" w:hAnsi="Arial"/>
          <w:sz w:val="17"/>
          <w:szCs w:val="17"/>
          <w:i w:val="1"/>
          <w:iCs w:val="1"/>
          <w:color w:val="auto"/>
        </w:rPr>
        <w:t xml:space="preserve"> </w:t>
      </w:r>
      <w:r>
        <w:rPr>
          <w:rFonts w:ascii="Arial" w:cs="Arial" w:eastAsia="Arial" w:hAnsi="Arial"/>
          <w:sz w:val="17"/>
          <w:szCs w:val="17"/>
          <w:color w:val="auto"/>
        </w:rPr>
        <w:t>$20.1 million from $16.0 million for the same period in 2017. The increase in general and administrative expenses for the six months ended June 30, 2018 was primarily due to headcount growth, which resulted in an increase of $1.2 million in personnel-related costs and an increase of $1.6 million in stock-based compensation. Additionally, legal, audit and tax fees increased by $0.4 million and other expenses increased by $0.8 million, primarily driven by increased costs of software subscriptions, credit card fees and bad debt expense. As a percentage of revenues, general and administrative expenses were 17% and 15% for the six months ended June 30, 2018 and 2017, respectively.</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six months ended June 30, 2018 increased $0.4 million over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primarily due to a $0.5 million increase in interest income from investments.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$2.2 million for the six months ended June 30, 2018 compared to income tax expense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 million for the same period in 2017. The increase in income tax expense for the six months ended June 30, 2018 was primarily due to increased pre-tax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partially offset by a reduction in overall effective tax rate in 2018 as compared to 2017 due to the Tax Act. In addition, discrete tax benefits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$0.2 million for the six months ended June 30, 2018 compared to the same period in 2017. The decrease is primarily due to a $0.7 million decrease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discrete tax benefits from stock activity offset by a $0.5 million increase in research and development tax credits. Under ASU 2016-09, excess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benefits generated upon the settlement or exercise of stock awards are no longer recognized as additional paid-in capital but are instead recognized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to income tax expense. As a result of recording these excess tax benefits in income tax expense, we expect that our annual effective income tax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more volatile than it has been historically.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2" w:name="page23"/>
    <w:bookmarkEnd w:id="22"/>
    <w:p>
      <w:pPr>
        <w:jc w:val="both"/>
        <w:ind w:right="120" w:firstLine="518"/>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stock-based compensation expense. The following table provides a reconciliation of net income to Adjusted EBITDA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14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7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22,989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income tax effects of adjustments divided by the weighted average number of shares of common stock outstanding during each period. The following table provides a reconciliation of net income to Non-GAAP income per share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15,360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17,140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17,446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98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At June 30, 2018, our principal sources of liquidity were cash, cash equivalents, certificates of deposit and marketable securities of $177.7 million and accounts receivable, net of allowance for doubtful accounts, of $28.2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provided by operating activities was $22.2 million and $17.9 million for the six months ended June 30, 2018 and 2017, respectively. The increase in operating cash flows as compared to the same period in 2017 was primarily due to increases in net income, stock-based compensation and deferred rent offset by decreases in accounts receivable.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Net cash used in investing activities was $14.0 million and $5.2 million for the six months ended June 30, 2018 and 2017, respectively. The increase in net cash used in investing activities compared to the same period in 2017 was primarily due to purchases of marketable securities, net of maturities of $5.7 million and purchases of capital expenditures of $3.1 million. Our capital expenditures are for supporting our business growth and existing customer base, as well as for our internal use such as equipment for our employees.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Net financing activities resulted in cash used of $5.9 million and cash provided of $2.3 million for the six months ended June 30, 2018 and 2017, respectively. The decrease was primarily due to $11.9 million of common stock repurchases offset by $3.7 million of proceeds from stock-based compensation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8%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2018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June 30,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89"/>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7"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2"/>
                <w:szCs w:val="12"/>
                <w:color w:val="auto"/>
              </w:rPr>
            </w:pP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5 Years</w:t>
            </w: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26,833</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color w:val="auto"/>
        </w:rPr>
        <w:t>We did not have any outstanding debt as of June 30, 2018. Therefore, we do not have any material risk to interest rate fluctuations.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June 30, 2018, we maintained approximately 8%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2018 that have materially affected, or are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2017 as filed with the Securities and Exchange Commission on February 26,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Share Repurchases</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second quarter of 2018,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April 1 - 30, 2018</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May 1 - 31,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June 1 - 30,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75.51</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79,410</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32,316,000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second quarter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75.51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79,410</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32,316,000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right="60" w:hanging="372"/>
        <w:spacing w:after="0" w:line="253"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authorized by our board of directors on November 2, 2017. There is no expiration date governing the period over which we can repurchase shares under the November 2017 share repurchase program.</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00" w:type="dxa"/>
            <w:vAlign w:val="bottom"/>
          </w:tcPr>
          <w:p>
            <w:pPr>
              <w:jc w:val="center"/>
              <w:ind w:right="212"/>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8"/>
          </w:tcPr>
          <w:p>
            <w:pPr>
              <w:spacing w:after="0"/>
              <w:rPr>
                <w:rFonts w:ascii="Arial" w:cs="Arial" w:eastAsia="Arial" w:hAnsi="Arial"/>
                <w:sz w:val="18"/>
                <w:szCs w:val="18"/>
                <w:color w:val="0000EE"/>
                <w:w w:val="91"/>
              </w:rPr>
            </w:pPr>
            <w:hyperlink r:id="rId40">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0">
              <w:r>
                <w:rPr>
                  <w:rFonts w:ascii="Arial" w:cs="Arial" w:eastAsia="Arial" w:hAnsi="Arial"/>
                  <w:sz w:val="18"/>
                  <w:szCs w:val="18"/>
                  <w:color w:val="0000EE"/>
                  <w:w w:val="90"/>
                </w:rPr>
                <w:t>filed with the SEC on September 13, 2012).</w:t>
              </w:r>
            </w:hyperlink>
          </w:p>
        </w:tc>
        <w:tc>
          <w:tcPr>
            <w:tcW w:w="6920" w:type="dxa"/>
            <w:vAlign w:val="bottom"/>
            <w:gridSpan w:val="8"/>
          </w:tcPr>
          <w:p>
            <w:pPr>
              <w:spacing w:after="0"/>
              <w:rPr>
                <w:sz w:val="17"/>
                <w:szCs w:val="17"/>
                <w:color w:val="auto"/>
              </w:rPr>
            </w:pPr>
          </w:p>
        </w:tc>
      </w:tr>
      <w:tr>
        <w:trPr>
          <w:trHeight w:val="318"/>
        </w:trPr>
        <w:tc>
          <w:tcPr>
            <w:tcW w:w="800" w:type="dxa"/>
            <w:vAlign w:val="bottom"/>
          </w:tcPr>
          <w:p>
            <w:pPr>
              <w:jc w:val="center"/>
              <w:ind w:right="212"/>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4"/>
              </w:rPr>
            </w:pPr>
            <w:hyperlink r:id="rId41">
              <w:r>
                <w:rPr>
                  <w:rFonts w:ascii="Arial" w:cs="Arial" w:eastAsia="Arial" w:hAnsi="Arial"/>
                  <w:sz w:val="18"/>
                  <w:szCs w:val="18"/>
                  <w:color w:val="0000EE"/>
                  <w:w w:val="94"/>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with the SEC on October 12, 2017).</w:t>
              </w:r>
            </w:hyperlink>
          </w:p>
        </w:tc>
        <w:tc>
          <w:tcPr>
            <w:tcW w:w="7180" w:type="dxa"/>
            <w:vAlign w:val="bottom"/>
            <w:tcBorders>
              <w:top w:val="single" w:sz="8" w:color="0000EE"/>
            </w:tcBorders>
            <w:gridSpan w:val="7"/>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318"/>
        </w:trPr>
        <w:tc>
          <w:tcPr>
            <w:tcW w:w="800" w:type="dxa"/>
            <w:vAlign w:val="bottom"/>
          </w:tcPr>
          <w:p>
            <w:pPr>
              <w:jc w:val="center"/>
              <w:ind w:right="192"/>
              <w:spacing w:after="0"/>
              <w:rPr>
                <w:sz w:val="20"/>
                <w:szCs w:val="20"/>
                <w:color w:val="auto"/>
              </w:rPr>
            </w:pPr>
            <w:r>
              <w:rPr>
                <w:rFonts w:ascii="Arial" w:cs="Arial" w:eastAsia="Arial" w:hAnsi="Arial"/>
                <w:sz w:val="18"/>
                <w:szCs w:val="18"/>
                <w:color w:val="auto"/>
                <w:w w:val="91"/>
              </w:rPr>
              <w:t>10.1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Non-Employee Director Compensation Policy (filed herewith).</w:t>
              </w:r>
            </w:hyperlink>
          </w:p>
        </w:tc>
        <w:tc>
          <w:tcPr>
            <w:tcW w:w="5520" w:type="dxa"/>
            <w:vAlign w:val="bottom"/>
            <w:gridSpan w:val="6"/>
          </w:tcPr>
          <w:p>
            <w:pPr>
              <w:spacing w:after="0"/>
              <w:rPr>
                <w:sz w:val="24"/>
                <w:szCs w:val="24"/>
                <w:color w:val="auto"/>
              </w:rPr>
            </w:pPr>
          </w:p>
        </w:tc>
      </w:tr>
      <w:tr>
        <w:trPr>
          <w:trHeight w:val="318"/>
        </w:trPr>
        <w:tc>
          <w:tcPr>
            <w:tcW w:w="800" w:type="dxa"/>
            <w:vAlign w:val="bottom"/>
          </w:tcPr>
          <w:p>
            <w:pPr>
              <w:jc w:val="center"/>
              <w:ind w:right="192"/>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herewith).</w:t>
              </w:r>
            </w:hyperlink>
          </w:p>
        </w:tc>
        <w:tc>
          <w:tcPr>
            <w:tcW w:w="8940" w:type="dxa"/>
            <w:vAlign w:val="bottom"/>
            <w:tcBorders>
              <w:top w:val="single" w:sz="8" w:color="0000EE"/>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318"/>
        </w:trPr>
        <w:tc>
          <w:tcPr>
            <w:tcW w:w="800" w:type="dxa"/>
            <w:vAlign w:val="bottom"/>
          </w:tcPr>
          <w:p>
            <w:pPr>
              <w:jc w:val="center"/>
              <w:ind w:right="192"/>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44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herewith).</w:t>
              </w:r>
            </w:hyperlink>
          </w:p>
        </w:tc>
        <w:tc>
          <w:tcPr>
            <w:tcW w:w="9340" w:type="dxa"/>
            <w:vAlign w:val="bottom"/>
            <w:gridSpan w:val="10"/>
          </w:tcPr>
          <w:p>
            <w:pPr>
              <w:spacing w:after="0"/>
              <w:rPr>
                <w:sz w:val="17"/>
                <w:szCs w:val="17"/>
                <w:color w:val="auto"/>
              </w:rPr>
            </w:pPr>
          </w:p>
        </w:tc>
      </w:tr>
      <w:tr>
        <w:trPr>
          <w:trHeight w:val="318"/>
        </w:trPr>
        <w:tc>
          <w:tcPr>
            <w:tcW w:w="800" w:type="dxa"/>
            <w:vAlign w:val="bottom"/>
          </w:tcPr>
          <w:p>
            <w:pPr>
              <w:jc w:val="center"/>
              <w:ind w:right="192"/>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the Sarbanes-Oxley Act of 2002 (filed herewith).</w:t>
              </w:r>
            </w:hyperlink>
          </w:p>
        </w:tc>
        <w:tc>
          <w:tcPr>
            <w:tcW w:w="65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bl>
    <w:p>
      <w:pPr>
        <w:spacing w:after="0" w:line="134" w:lineRule="exact"/>
        <w:rPr>
          <w:sz w:val="20"/>
          <w:szCs w:val="20"/>
          <w:color w:val="auto"/>
        </w:rPr>
      </w:pPr>
    </w:p>
    <w:p>
      <w:pPr>
        <w:ind w:right="4400" w:firstLine="8"/>
        <w:spacing w:after="0" w:line="528" w:lineRule="auto"/>
        <w:tabs>
          <w:tab w:leader="none" w:pos="1337"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 Indicates management contract or compensatory plan or arrangement.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July 27, 2018</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240" w:top="351" w:right="8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3"/>
          <w:szCs w:val="13"/>
          <w:b w:val="1"/>
          <w:bCs w:val="1"/>
          <w:color w:val="auto"/>
        </w:rPr>
        <w:t>ON</w:t>
      </w:r>
      <w:r>
        <w:rPr>
          <w:rFonts w:ascii="Arial" w:cs="Arial" w:eastAsia="Arial" w:hAnsi="Arial"/>
          <w:sz w:val="18"/>
          <w:szCs w:val="18"/>
          <w:b w:val="1"/>
          <w:bCs w:val="1"/>
          <w:color w:val="auto"/>
        </w:rPr>
        <w:t>-E</w:t>
      </w:r>
      <w:r>
        <w:rPr>
          <w:rFonts w:ascii="Arial" w:cs="Arial" w:eastAsia="Arial" w:hAnsi="Arial"/>
          <w:sz w:val="13"/>
          <w:szCs w:val="13"/>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3"/>
          <w:szCs w:val="13"/>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February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annual retainer</w:t>
      </w:r>
      <w:r>
        <w:rPr>
          <w:rFonts w:ascii="Arial" w:cs="Arial" w:eastAsia="Arial" w:hAnsi="Arial"/>
          <w:sz w:val="18"/>
          <w:szCs w:val="18"/>
          <w:color w:val="auto"/>
        </w:rPr>
        <w:t>: Annual retainer, payable in cash, of $31,000 per director except for the chairperson who shall receive $48,000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Committee chairs annual retainer</w:t>
            </w:r>
            <w:r>
              <w:rPr>
                <w:rFonts w:ascii="Arial" w:cs="Arial" w:eastAsia="Arial" w:hAnsi="Arial"/>
                <w:sz w:val="18"/>
                <w:szCs w:val="18"/>
                <w:color w:val="auto"/>
              </w:rPr>
              <w:t>: Annual retainers, payable in cash, of:</w:t>
            </w: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10"/>
        </w:trPr>
        <w:tc>
          <w:tcPr>
            <w:tcW w:w="6600" w:type="dxa"/>
            <w:vAlign w:val="bottom"/>
          </w:tcPr>
          <w:p>
            <w:pPr>
              <w:ind w:left="1760"/>
              <w:spacing w:after="0"/>
              <w:rPr>
                <w:sz w:val="20"/>
                <w:szCs w:val="20"/>
                <w:color w:val="auto"/>
              </w:rPr>
            </w:pPr>
            <w:r>
              <w:rPr>
                <w:rFonts w:ascii="Arial" w:cs="Arial" w:eastAsia="Arial" w:hAnsi="Arial"/>
                <w:sz w:val="18"/>
                <w:szCs w:val="18"/>
                <w:color w:val="auto"/>
              </w:rPr>
              <w:t>Audit Committee: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18,500</w:t>
            </w:r>
          </w:p>
        </w:tc>
      </w:tr>
      <w:tr>
        <w:trPr>
          <w:trHeight w:val="216"/>
        </w:trPr>
        <w:tc>
          <w:tcPr>
            <w:tcW w:w="6600" w:type="dxa"/>
            <w:vAlign w:val="bottom"/>
          </w:tcPr>
          <w:p>
            <w:pPr>
              <w:ind w:left="1760"/>
              <w:spacing w:after="0"/>
              <w:rPr>
                <w:sz w:val="20"/>
                <w:szCs w:val="20"/>
                <w:color w:val="auto"/>
              </w:rPr>
            </w:pPr>
            <w:r>
              <w:rPr>
                <w:rFonts w:ascii="Arial" w:cs="Arial" w:eastAsia="Arial" w:hAnsi="Arial"/>
                <w:sz w:val="18"/>
                <w:szCs w:val="18"/>
                <w:color w:val="auto"/>
              </w:rPr>
              <w:t>Compensation Committee:</w:t>
            </w:r>
          </w:p>
        </w:tc>
        <w:tc>
          <w:tcPr>
            <w:tcW w:w="1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r>
      <w:tr>
        <w:trPr>
          <w:trHeight w:val="230"/>
        </w:trPr>
        <w:tc>
          <w:tcPr>
            <w:tcW w:w="6600" w:type="dxa"/>
            <w:vAlign w:val="bottom"/>
          </w:tcPr>
          <w:p>
            <w:pPr>
              <w:ind w:left="1760"/>
              <w:spacing w:after="0"/>
              <w:rPr>
                <w:sz w:val="20"/>
                <w:szCs w:val="20"/>
                <w:color w:val="auto"/>
              </w:rPr>
            </w:pPr>
            <w:r>
              <w:rPr>
                <w:rFonts w:ascii="Arial" w:cs="Arial" w:eastAsia="Arial" w:hAnsi="Arial"/>
                <w:sz w:val="18"/>
                <w:szCs w:val="18"/>
                <w:color w:val="auto"/>
              </w:rPr>
              <w:t>Governance and Nominating Committee:</w:t>
            </w:r>
          </w:p>
        </w:tc>
        <w:tc>
          <w:tcPr>
            <w:tcW w:w="1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324"/>
        </w:trPr>
        <w:tc>
          <w:tcPr>
            <w:tcW w:w="6600" w:type="dxa"/>
            <w:vAlign w:val="bottom"/>
          </w:tcPr>
          <w:p>
            <w:pPr>
              <w:spacing w:after="0"/>
              <w:rPr>
                <w:sz w:val="20"/>
                <w:szCs w:val="20"/>
                <w:color w:val="auto"/>
              </w:rPr>
            </w:pPr>
            <w:r>
              <w:rPr>
                <w:rFonts w:ascii="Arial" w:cs="Arial" w:eastAsia="Arial" w:hAnsi="Arial"/>
                <w:sz w:val="18"/>
                <w:szCs w:val="18"/>
                <w:i w:val="1"/>
                <w:iCs w:val="1"/>
                <w:color w:val="auto"/>
              </w:rPr>
              <w:t>Committee member annual retainer</w:t>
            </w:r>
            <w:r>
              <w:rPr>
                <w:rFonts w:ascii="Arial" w:cs="Arial" w:eastAsia="Arial" w:hAnsi="Arial"/>
                <w:sz w:val="18"/>
                <w:szCs w:val="18"/>
                <w:color w:val="auto"/>
              </w:rPr>
              <w:t>: Annual retainers, payable in cash, of:</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10"/>
        </w:trPr>
        <w:tc>
          <w:tcPr>
            <w:tcW w:w="6600" w:type="dxa"/>
            <w:vAlign w:val="bottom"/>
          </w:tcPr>
          <w:p>
            <w:pPr>
              <w:ind w:left="1760"/>
              <w:spacing w:after="0"/>
              <w:rPr>
                <w:sz w:val="20"/>
                <w:szCs w:val="20"/>
                <w:color w:val="auto"/>
              </w:rPr>
            </w:pPr>
            <w:r>
              <w:rPr>
                <w:rFonts w:ascii="Arial" w:cs="Arial" w:eastAsia="Arial" w:hAnsi="Arial"/>
                <w:sz w:val="18"/>
                <w:szCs w:val="18"/>
                <w:color w:val="auto"/>
              </w:rPr>
              <w:t>Audit Committee:</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6600" w:type="dxa"/>
            <w:vAlign w:val="bottom"/>
          </w:tcPr>
          <w:p>
            <w:pPr>
              <w:ind w:left="1760"/>
              <w:spacing w:after="0"/>
              <w:rPr>
                <w:sz w:val="20"/>
                <w:szCs w:val="20"/>
                <w:color w:val="auto"/>
              </w:rPr>
            </w:pPr>
            <w:r>
              <w:rPr>
                <w:rFonts w:ascii="Arial" w:cs="Arial" w:eastAsia="Arial" w:hAnsi="Arial"/>
                <w:sz w:val="18"/>
                <w:szCs w:val="18"/>
                <w:color w:val="auto"/>
              </w:rPr>
              <w:t>Compensation Committee:</w:t>
            </w:r>
          </w:p>
        </w:tc>
        <w:tc>
          <w:tcPr>
            <w:tcW w:w="1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600" w:type="dxa"/>
            <w:vAlign w:val="bottom"/>
          </w:tcPr>
          <w:p>
            <w:pPr>
              <w:ind w:left="1760"/>
              <w:spacing w:after="0"/>
              <w:rPr>
                <w:sz w:val="20"/>
                <w:szCs w:val="20"/>
                <w:color w:val="auto"/>
              </w:rPr>
            </w:pPr>
            <w:r>
              <w:rPr>
                <w:rFonts w:ascii="Arial" w:cs="Arial" w:eastAsia="Arial" w:hAnsi="Arial"/>
                <w:sz w:val="18"/>
                <w:szCs w:val="18"/>
                <w:color w:val="auto"/>
              </w:rPr>
              <w:t>Governance and Nominating Committee:</w:t>
            </w:r>
          </w:p>
        </w:tc>
        <w:tc>
          <w:tcPr>
            <w:tcW w:w="14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non-statutory stock option grants</w:t>
      </w:r>
      <w:r>
        <w:rPr>
          <w:rFonts w:ascii="Arial" w:cs="Arial" w:eastAsia="Arial" w:hAnsi="Arial"/>
          <w:sz w:val="18"/>
          <w:szCs w:val="18"/>
          <w:color w:val="auto"/>
        </w:rPr>
        <w:t>:</w:t>
      </w:r>
    </w:p>
    <w:p>
      <w:pPr>
        <w:spacing w:after="0" w:line="117" w:lineRule="exact"/>
        <w:rPr>
          <w:sz w:val="20"/>
          <w:szCs w:val="20"/>
          <w:color w:val="auto"/>
        </w:rPr>
      </w:pPr>
    </w:p>
    <w:p>
      <w:pPr>
        <w:ind w:left="880" w:right="60" w:hanging="440"/>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purchase up to $68,000 of common stock calculated as the grant date fair value of the stock-based awards computed in accordance with FASB ASC 718 on the date of the Company’s annual meeting of stockholders using the closing sale price for a share of the Company’s common stock on the Nasdaq Global Market on the date of the annual meeting of stockholders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Exercise price per share equal to the closing sales price for a share on the Nasdaq Global Market on the date of the annual meeting of stockholders</w:t>
      </w:r>
    </w:p>
    <w:p>
      <w:pPr>
        <w:spacing w:after="0" w:line="140" w:lineRule="exact"/>
        <w:rPr>
          <w:rFonts w:ascii="Arial" w:cs="Arial" w:eastAsia="Arial" w:hAnsi="Arial"/>
          <w:sz w:val="16"/>
          <w:szCs w:val="16"/>
          <w:color w:val="auto"/>
        </w:rPr>
      </w:pPr>
    </w:p>
    <w:p>
      <w:pPr>
        <w:ind w:left="880" w:right="300" w:hanging="440"/>
        <w:spacing w:after="0" w:line="308"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Vest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Maximum term of seven years measured from the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restricted stock grants</w:t>
      </w:r>
      <w:r>
        <w:rPr>
          <w:rFonts w:ascii="Arial" w:cs="Arial" w:eastAsia="Arial" w:hAnsi="Arial"/>
          <w:sz w:val="18"/>
          <w:szCs w:val="18"/>
          <w:color w:val="auto"/>
        </w:rPr>
        <w:t>:</w:t>
      </w:r>
    </w:p>
    <w:p>
      <w:pPr>
        <w:spacing w:after="0" w:line="117" w:lineRule="exact"/>
        <w:rPr>
          <w:sz w:val="20"/>
          <w:szCs w:val="20"/>
          <w:color w:val="auto"/>
        </w:rPr>
      </w:pPr>
    </w:p>
    <w:p>
      <w:pPr>
        <w:ind w:left="980" w:right="180" w:hanging="432"/>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acquire up to $68,000 of restricted common stock calculated by dividing this amount by the closing sale price for a share of the Company’s common stock on the Nasdaq Global Market on the date of the Company’s annual meeting of stockholders</w:t>
      </w:r>
    </w:p>
    <w:p>
      <w:pPr>
        <w:spacing w:after="0" w:line="62" w:lineRule="exact"/>
        <w:rPr>
          <w:rFonts w:ascii="Arial" w:cs="Arial" w:eastAsia="Arial" w:hAnsi="Arial"/>
          <w:sz w:val="18"/>
          <w:szCs w:val="18"/>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Granted to directors who are elected to the board at the annual meeting of stockholders</w:t>
      </w:r>
    </w:p>
    <w:p>
      <w:pPr>
        <w:spacing w:after="0" w:line="117" w:lineRule="exact"/>
        <w:rPr>
          <w:rFonts w:ascii="Arial" w:cs="Arial" w:eastAsia="Arial" w:hAnsi="Arial"/>
          <w:sz w:val="18"/>
          <w:szCs w:val="18"/>
          <w:color w:val="auto"/>
        </w:rPr>
      </w:pPr>
    </w:p>
    <w:p>
      <w:pPr>
        <w:ind w:left="980" w:right="120" w:hanging="432"/>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Vests in four equal installments on the last day of each fiscal quarter with the first vesting occurring on the fiscal quarter end next following the date of the annual meeting of stockholders, provided the recipient remains a member of the board as of the vesting date</w:t>
      </w:r>
    </w:p>
    <w:p>
      <w:pPr>
        <w:spacing w:after="0" w:line="3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Reimbursement of expenses</w:t>
      </w:r>
      <w:r>
        <w:rPr>
          <w:rFonts w:ascii="Arial" w:cs="Arial" w:eastAsia="Arial" w:hAnsi="Arial"/>
          <w:sz w:val="18"/>
          <w:szCs w:val="18"/>
          <w:color w:val="auto"/>
        </w:rPr>
        <w:t>: The Company shall reimburse directors for reasonable expenses incurred in connection with attending board and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Initial non-statutory stock option grants</w:t>
      </w:r>
      <w:r>
        <w:rPr>
          <w:rFonts w:ascii="Arial" w:cs="Arial" w:eastAsia="Arial" w:hAnsi="Arial"/>
          <w:sz w:val="18"/>
          <w:szCs w:val="18"/>
          <w:color w:val="auto"/>
        </w:rPr>
        <w:t>: Each director receives a non-statutory stock option grant to purchase up to $111,000 of common stock calculated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fair value of the stock-based awards computed in accordance with FASB ASC 718 in connection with initial appointment or election to the board. The grant is made on the fifth trading day following the next public release of the Company’s financial results for a completed fiscal quarter following initial appointment or election to the board. Exercise price per share equal to the closing sales price for a share on the Nasdaq Global Market on the grant date. Vest in equal monthly installments over three years commencing on the first day of the calendar month following the initial appointment or election to the board,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US.116484695.02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provided the recipient remains a member of the board as of the vesting date. Maximum term of seven years measured from the date of grant.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US.116484695.02</w:t>
      </w:r>
    </w:p>
    <w:p>
      <w:pPr>
        <w:sectPr>
          <w:pgSz w:w="11900" w:h="16838" w:orient="portrait"/>
          <w:cols w:equalWidth="0" w:num="1">
            <w:col w:w="10219"/>
          </w:cols>
          <w:pgMar w:left="240" w:top="355"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ectPr>
          <w:pgSz w:w="11900" w:h="16838" w:orient="portrait"/>
          <w:cols w:equalWidth="0" w:num="1">
            <w:col w:w="11420"/>
          </w:cols>
          <w:pgMar w:left="240" w:top="33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2018,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0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0" Type="http://schemas.openxmlformats.org/officeDocument/2006/relationships/hyperlink" Target="http://www.sec.gov/Archives/edgar/data/1092699/000119312512269607/d365652dex41.htm" TargetMode="External"/><Relationship Id="rId41"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2019-12-28T21:01:49Z</dcterms:created>
  <dcterms:modified xsi:type="dcterms:W3CDTF">2019-12-28T21:01:49Z</dcterms:modified>
</cp:coreProperties>
</file>