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000" w:space="720"/>
            <w:col w:w="17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20" w:space="420"/>
            <w:col w:w="160" w:space="80"/>
            <w:col w:w="5760" w:space="720"/>
            <w:col w:w="2060" w:space="44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180" w:space="160"/>
            <w:col w:w="280" w:space="80"/>
            <w:col w:w="160" w:space="180"/>
            <w:col w:w="238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October 22, 2013 was 15,273,370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580" w:type="dxa"/>
            <w:vAlign w:val="bottom"/>
            <w:gridSpan w:val="8"/>
            <w:vMerge w:val="restart"/>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3"/>
            <w:vMerge w:val="continue"/>
          </w:tcPr>
          <w:p>
            <w:pPr>
              <w:spacing w:after="0"/>
              <w:rPr>
                <w:sz w:val="13"/>
                <w:szCs w:val="13"/>
                <w:color w:val="auto"/>
              </w:rPr>
            </w:pPr>
          </w:p>
        </w:tc>
        <w:tc>
          <w:tcPr>
            <w:tcW w:w="7580" w:type="dxa"/>
            <w:vAlign w:val="bottom"/>
            <w:gridSpan w:val="8"/>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gridSpan w:val="4"/>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2013 (unaudited) and December 31, 2012</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and nine months ended September 30, 2013 and 2012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60" w:type="dxa"/>
            <w:vAlign w:val="bottom"/>
            <w:tcBorders>
              <w:top w:val="single" w:sz="8" w:color="0000EE"/>
            </w:tcBorders>
            <w:gridSpan w:val="15"/>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Cash Flows for the nine months ended September 30, 2013 and 2012 (unaudited)</w:t>
              </w:r>
            </w:hyperlink>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04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Item 2.</w:t>
              </w:r>
            </w:hyperlink>
          </w:p>
        </w:tc>
        <w:tc>
          <w:tcPr>
            <w:tcW w:w="380" w:type="dxa"/>
            <w:vAlign w:val="bottom"/>
            <w:gridSpan w:val="3"/>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3.</w:t>
              </w:r>
            </w:hyperlink>
          </w:p>
        </w:tc>
        <w:tc>
          <w:tcPr>
            <w:tcW w:w="380" w:type="dxa"/>
            <w:vAlign w:val="bottom"/>
            <w:gridSpan w:val="3"/>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400" w:type="dxa"/>
            <w:vAlign w:val="bottom"/>
            <w:tcBorders>
              <w:left w:val="single" w:sz="8" w:color="0000EE"/>
            </w:tcBorders>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380" w:type="dxa"/>
            <w:vAlign w:val="bottom"/>
            <w:gridSpan w:val="3"/>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788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1.</w:t>
              </w:r>
            </w:hyperlink>
          </w:p>
        </w:tc>
        <w:tc>
          <w:tcPr>
            <w:tcW w:w="380" w:type="dxa"/>
            <w:vAlign w:val="bottom"/>
            <w:gridSpan w:val="3"/>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w:t>
              </w:r>
            </w:hyperlink>
          </w:p>
        </w:tc>
        <w:tc>
          <w:tcPr>
            <w:tcW w:w="974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380" w:type="dxa"/>
            <w:vAlign w:val="bottom"/>
            <w:gridSpan w:val="3"/>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74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4.</w:t>
              </w:r>
            </w:hyperlink>
          </w:p>
        </w:tc>
        <w:tc>
          <w:tcPr>
            <w:tcW w:w="380" w:type="dxa"/>
            <w:vAlign w:val="bottom"/>
            <w:gridSpan w:val="3"/>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9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5.</w:t>
              </w:r>
            </w:hyperlink>
          </w:p>
        </w:tc>
        <w:tc>
          <w:tcPr>
            <w:tcW w:w="380" w:type="dxa"/>
            <w:vAlign w:val="bottom"/>
            <w:gridSpan w:val="3"/>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44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6.</w:t>
              </w:r>
            </w:hyperlink>
          </w:p>
        </w:tc>
        <w:tc>
          <w:tcPr>
            <w:tcW w:w="380" w:type="dxa"/>
            <w:vAlign w:val="bottom"/>
            <w:gridSpan w:val="3"/>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2012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5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700" w:type="dxa"/>
            <w:vAlign w:val="bottom"/>
          </w:tcPr>
          <w:p>
            <w:pPr>
              <w:jc w:val="center"/>
              <w:ind w:left="93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52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SPS COMMERCE, INC.</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color w:val="auto"/>
                <w:w w:val="89"/>
              </w:rPr>
              <w:t>(Unaudited; in thousands, except share amounts)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700" w:type="dxa"/>
            <w:vAlign w:val="bottom"/>
            <w:shd w:val="clear" w:color="auto" w:fill="CCEEFF"/>
          </w:tcPr>
          <w:p>
            <w:pPr>
              <w:jc w:val="center"/>
              <w:ind w:right="1690"/>
              <w:spacing w:after="0" w:line="196" w:lineRule="exact"/>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80,813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66,050</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Accounts receivable, less allowance for doubtful accounts of $243 and $227, respectively</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11,148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10,940</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costs, current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income taxes, current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1,732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2,848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r>
      <w:tr>
        <w:trPr>
          <w:trHeight w:val="223"/>
        </w:trPr>
        <w:tc>
          <w:tcPr>
            <w:tcW w:w="540" w:type="dxa"/>
            <w:vAlign w:val="bottom"/>
          </w:tcPr>
          <w:p>
            <w:pPr>
              <w:spacing w:after="0"/>
              <w:rPr>
                <w:sz w:val="19"/>
                <w:szCs w:val="19"/>
                <w:color w:val="auto"/>
              </w:rPr>
            </w:pP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105,240</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91,511</w:t>
            </w:r>
          </w:p>
        </w:tc>
        <w:tc>
          <w:tcPr>
            <w:tcW w:w="100" w:type="dxa"/>
            <w:vAlign w:val="bottom"/>
          </w:tcPr>
          <w:p>
            <w:pPr>
              <w:spacing w:after="0"/>
              <w:rPr>
                <w:sz w:val="19"/>
                <w:szCs w:val="19"/>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w:t>
            </w: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25,487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25,487</w:t>
            </w: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17,799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20,240</w:t>
            </w: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costs, net of current portion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income taxes, net of current portion</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10,698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10,853</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23"/>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173,590</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159,201</w:t>
            </w:r>
          </w:p>
        </w:tc>
        <w:tc>
          <w:tcPr>
            <w:tcW w:w="10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00" w:type="dxa"/>
            <w:vAlign w:val="bottom"/>
            <w:shd w:val="clear" w:color="auto" w:fill="CCEEFF"/>
          </w:tcPr>
          <w:p>
            <w:pPr>
              <w:jc w:val="center"/>
              <w:ind w:right="169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8,404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6,038</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23"/>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19"/>
                <w:szCs w:val="19"/>
                <w:color w:val="auto"/>
              </w:rPr>
            </w:pPr>
          </w:p>
        </w:tc>
      </w:tr>
      <w:tr>
        <w:trPr>
          <w:trHeight w:val="216"/>
        </w:trPr>
        <w:tc>
          <w:tcPr>
            <w:tcW w:w="54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19,206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14,471</w:t>
            </w: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w:t>
            </w:r>
          </w:p>
        </w:tc>
      </w:tr>
      <w:tr>
        <w:trPr>
          <w:trHeight w:val="223"/>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rent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r>
      <w:tr>
        <w:trPr>
          <w:trHeight w:val="216"/>
        </w:trPr>
        <w:tc>
          <w:tcPr>
            <w:tcW w:w="54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24,384</w:t>
            </w: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06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$0.001 par value; 55,000,000 shares authorized; 15,271,191 and 14,812,759 shares issued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0" w:type="dxa"/>
            <w:vAlign w:val="bottom"/>
            <w:shd w:val="clear" w:color="auto" w:fill="CCEEFF"/>
          </w:tcPr>
          <w:p>
            <w:pPr>
              <w:spacing w:after="0"/>
              <w:rPr>
                <w:sz w:val="20"/>
                <w:szCs w:val="20"/>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respectively</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189,451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182,645</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(47,086)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(47,843)</w:t>
            </w:r>
          </w:p>
        </w:tc>
      </w:tr>
      <w:tr>
        <w:trPr>
          <w:trHeight w:val="230"/>
        </w:trPr>
        <w:tc>
          <w:tcPr>
            <w:tcW w:w="540" w:type="dxa"/>
            <w:vAlign w:val="bottom"/>
          </w:tcPr>
          <w:p>
            <w:pPr>
              <w:spacing w:after="0"/>
              <w:rPr>
                <w:sz w:val="20"/>
                <w:szCs w:val="20"/>
                <w:color w:val="auto"/>
              </w:rPr>
            </w:pP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142,380</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134,817</w:t>
            </w:r>
          </w:p>
        </w:tc>
        <w:tc>
          <w:tcPr>
            <w:tcW w:w="100" w:type="dxa"/>
            <w:vAlign w:val="bottom"/>
          </w:tcPr>
          <w:p>
            <w:pPr>
              <w:spacing w:after="0"/>
              <w:rPr>
                <w:sz w:val="20"/>
                <w:szCs w:val="20"/>
                <w:color w:val="auto"/>
              </w:rPr>
            </w:pPr>
          </w:p>
        </w:tc>
      </w:tr>
      <w:tr>
        <w:trPr>
          <w:trHeight w:val="216"/>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173,590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159,201</w:t>
            </w: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6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2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6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76,418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54,622</w:t>
            </w:r>
          </w:p>
        </w:tc>
        <w:tc>
          <w:tcPr>
            <w:tcW w:w="10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Cost of revenues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23,258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15,236</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18,759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14,322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53,160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39,386</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10,291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29,163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21,259</w:t>
            </w: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7,966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5,650</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12,542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10,079</w:t>
            </w: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18,388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14,184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52,112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38,038</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7"/>
        </w:trPr>
        <w:tc>
          <w:tcPr>
            <w:tcW w:w="6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Basic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15,223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13,042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15,064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12,500</w:t>
            </w: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15,986</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13,894</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15,781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13,373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Nine Months Ended</w:t>
      </w:r>
    </w:p>
    <w:p>
      <w:pPr>
        <w:jc w:val="center"/>
        <w:ind w:left="96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(1,770)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Accrued compensation and benefits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Deferred rent</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16,107</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(5,030)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acquisitions, net of cash acquired</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(26,262)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(5,030)</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(29,107)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proceeds from employee stock purchase plan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capital lease obligations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Proceeds from common stock offering</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offering costs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14,763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66,050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80,813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a leading provider of on-demand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2012 balance sheet data was derived from our audited financial statements at that date. For further information, refer to the consolidated financial statements and accompanying notes for the year ended December 31, 2012 included in our Annual Report on Form 10-K as filed with the Securities and Exchange Commission on March 6, 2013.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During the nine months ended September 30, 2013, there were no material changes in our significant accounting policies. See Note A to the consolidated financial statements included in our Annual Report on Form 10-K for the year ended December 31, 2012, as filed with the Securities and Exchange Commission on March 6, 2013, for additional information regarding our significant accounting policies.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have evaluated all recent accounting pronouncements and believe that none of them will have a material effect on our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7"/>
              </w:rPr>
              <w:t>September 30, 2013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5"/>
              </w:rPr>
              <w:t>December 31, 2012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920" w:type="dxa"/>
            <w:vAlign w:val="bottom"/>
          </w:tcPr>
          <w:p>
            <w:pPr>
              <w:spacing w:after="0"/>
              <w:rPr>
                <w:sz w:val="10"/>
                <w:szCs w:val="10"/>
                <w:color w:val="auto"/>
              </w:rPr>
            </w:pPr>
          </w:p>
        </w:tc>
        <w:tc>
          <w:tcPr>
            <w:tcW w:w="6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0"/>
                <w:szCs w:val="10"/>
                <w:color w:val="auto"/>
              </w:rPr>
            </w:pPr>
          </w:p>
        </w:tc>
        <w:tc>
          <w:tcPr>
            <w:tcW w:w="106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center"/>
              <w:ind w:right="60"/>
              <w:spacing w:after="0" w:line="123" w:lineRule="exact"/>
              <w:rPr>
                <w:sz w:val="20"/>
                <w:szCs w:val="20"/>
                <w:color w:val="auto"/>
              </w:rPr>
            </w:pPr>
            <w:r>
              <w:rPr>
                <w:rFonts w:ascii="Arial" w:cs="Arial" w:eastAsia="Arial" w:hAnsi="Arial"/>
                <w:sz w:val="14"/>
                <w:szCs w:val="14"/>
                <w:color w:val="auto"/>
                <w:w w:val="94"/>
              </w:rPr>
              <w:t>Carrying</w:t>
            </w:r>
          </w:p>
        </w:tc>
        <w:tc>
          <w:tcPr>
            <w:tcW w:w="24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9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900" w:type="dxa"/>
            <w:vAlign w:val="bottom"/>
            <w:gridSpan w:val="2"/>
          </w:tcPr>
          <w:p>
            <w:pPr>
              <w:ind w:left="200"/>
              <w:spacing w:after="0"/>
              <w:rPr>
                <w:sz w:val="20"/>
                <w:szCs w:val="20"/>
                <w:color w:val="auto"/>
              </w:rPr>
            </w:pPr>
            <w:r>
              <w:rPr>
                <w:rFonts w:ascii="Arial" w:cs="Arial" w:eastAsia="Arial" w:hAnsi="Arial"/>
                <w:sz w:val="14"/>
                <w:szCs w:val="14"/>
                <w:color w:val="auto"/>
              </w:rPr>
              <w:t>Net</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7"/>
              </w:rPr>
              <w:t>(5,744)</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$17,416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$23,160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1,710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(1,327)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(780)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r>
      <w:tr>
        <w:trPr>
          <w:trHeight w:val="27"/>
        </w:trPr>
        <w:tc>
          <w:tcPr>
            <w:tcW w:w="5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24,870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(7,071)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17,799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24,870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20,240</w:t>
            </w:r>
          </w:p>
        </w:tc>
      </w:tr>
      <w:tr>
        <w:trPr>
          <w:trHeight w:val="20"/>
        </w:trPr>
        <w:tc>
          <w:tcPr>
            <w:tcW w:w="5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Amortization expense for intangible assets was $1.0 million and $2.4 million for the three and nine months ended September 30, 2013, and $530,000 and $1.1 million for the three and nine months ended September 30, 2012, respectively.</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Amortization expense for the three and nine months ended September 30, 2013 included $290,000 for the impairment of a certain non-competition agreement.</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w w:val="95"/>
              </w:rPr>
              <w:t>At September 30, 2013, future amortization expense for intangible assets was as follows (in thousands):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Line of Credit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There were no borrowings outstanding at September 30, 2013 and we were in compliance with all covenants under the revolving credit agreement as of that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Accrued Expenses and Other Current Liabilities</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the second quarter of 2013, we entered into an agreement to purchase software licenses. At September 30, 2013, our future payments under this agreement, which are included in accrued expenses and other current liabilities in our consolidated balance sheets, were approximately $1.4 million for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equity compensation plans provide for the grant of incentive and nonqualified stock options, as well as other stock-based awards including restricted stock,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2013, 888,765 additional shares were reserved for future issuance under our 2010 Equity Incentive Plan. At September 30, 2013, there were approximately 1.8 million shares available for grant under approved equity compensation plans.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recorded non-cash stock-based compensation expense of $1.1 million and $3.1 million for the three and nine months ended September 30, 2013, respectively, and $715,000 and $2.0 million for the three and nine months ended September 30, 2012, respectively. This expense was allocated as follows (in thousands):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color w:val="auto"/>
                <w:w w:val="90"/>
              </w:rPr>
              <w:t>Three Months Ended</w:t>
            </w:r>
          </w:p>
        </w:tc>
        <w:tc>
          <w:tcPr>
            <w:tcW w:w="8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color w:val="auto"/>
                <w:w w:val="95"/>
              </w:rPr>
              <w:t>Nine Months Ended</w:t>
            </w:r>
          </w:p>
        </w:tc>
      </w:tr>
      <w:tr>
        <w:trPr>
          <w:trHeight w:val="167"/>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680"/>
              <w:spacing w:after="0"/>
              <w:rPr>
                <w:sz w:val="20"/>
                <w:szCs w:val="20"/>
                <w:color w:val="auto"/>
              </w:rPr>
            </w:pPr>
            <w:r>
              <w:rPr>
                <w:rFonts w:ascii="Arial" w:cs="Arial" w:eastAsia="Arial" w:hAnsi="Arial"/>
                <w:sz w:val="14"/>
                <w:szCs w:val="14"/>
                <w:color w:val="auto"/>
              </w:rPr>
              <w:t>September 30,</w:t>
            </w:r>
          </w:p>
        </w:tc>
        <w:tc>
          <w:tcPr>
            <w:tcW w:w="80" w:type="dxa"/>
            <w:vAlign w:val="bottom"/>
          </w:tcPr>
          <w:p>
            <w:pPr>
              <w:spacing w:after="0"/>
              <w:rPr>
                <w:sz w:val="14"/>
                <w:szCs w:val="14"/>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42"/>
        </w:trPr>
        <w:tc>
          <w:tcPr>
            <w:tcW w:w="7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w w:val="96"/>
              </w:rPr>
              <w:t>2013</w:t>
            </w:r>
          </w:p>
        </w:tc>
        <w:tc>
          <w:tcPr>
            <w:tcW w:w="4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2013</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378</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1,106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508</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1,466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1,085</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$ 715</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3,120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2,042</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of September 30, 2013, there was approximately $8.2 million of unrecognized stock-based compensation expense under our equity compensation plans, which is expected to be recognized on a straight line basis over a weighted average period of 2.7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4"/>
          </w:tcPr>
          <w:p>
            <w:pPr>
              <w:jc w:val="center"/>
              <w:ind w:left="108"/>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($/share)</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1,370,141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224,276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(413,023)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(28,052)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1,153,342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Of the total outstanding options at September 30, 2013, 640,625 were exercisable with a weighted average exercise price of $12.27 per share. The total outstanding options had a weighted average remaining contractual life of 6.1 years.</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weighted average fair value per share of options granted during the first nine months of 2013 was $14.53 and this was estimated on the date of grant using the Black-Scholes option pricing model with the following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4.75</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2720" w:type="dxa"/>
            <w:vAlign w:val="bottom"/>
          </w:tcPr>
          <w:p>
            <w:pPr>
              <w:jc w:val="right"/>
              <w:spacing w:after="0"/>
              <w:rPr>
                <w:sz w:val="20"/>
                <w:szCs w:val="20"/>
                <w:color w:val="auto"/>
              </w:rPr>
            </w:pPr>
            <w:r>
              <w:rPr>
                <w:rFonts w:ascii="Arial" w:cs="Arial" w:eastAsia="Arial" w:hAnsi="Arial"/>
                <w:sz w:val="18"/>
                <w:szCs w:val="18"/>
                <w:color w:val="auto"/>
              </w:rPr>
              <w:t>0.86%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900" w:type="dxa"/>
            <w:vAlign w:val="bottom"/>
            <w:gridSpan w:val="3"/>
          </w:tcPr>
          <w:p>
            <w:pPr>
              <w:jc w:val="center"/>
              <w:ind w:left="1039"/>
              <w:spacing w:after="0"/>
              <w:rPr>
                <w:sz w:val="20"/>
                <w:szCs w:val="20"/>
                <w:color w:val="auto"/>
              </w:rPr>
            </w:pPr>
            <w:r>
              <w:rPr>
                <w:rFonts w:ascii="Arial" w:cs="Arial" w:eastAsia="Arial" w:hAnsi="Arial"/>
                <w:sz w:val="14"/>
                <w:szCs w:val="14"/>
                <w:color w:val="auto"/>
                <w:w w:val="92"/>
              </w:rPr>
              <w:t>Restricted Stock</w:t>
            </w:r>
          </w:p>
        </w:tc>
        <w:tc>
          <w:tcPr>
            <w:tcW w:w="150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Units</w:t>
            </w:r>
          </w:p>
        </w:tc>
        <w:tc>
          <w:tcPr>
            <w:tcW w:w="34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00" w:type="dxa"/>
            <w:vAlign w:val="bottom"/>
            <w:gridSpan w:val="2"/>
          </w:tcPr>
          <w:p>
            <w:pPr>
              <w:jc w:val="center"/>
              <w:ind w:left="1419"/>
              <w:spacing w:after="0"/>
              <w:rPr>
                <w:sz w:val="20"/>
                <w:szCs w:val="20"/>
                <w:color w:val="auto"/>
              </w:rPr>
            </w:pPr>
            <w:r>
              <w:rPr>
                <w:rFonts w:ascii="Arial" w:cs="Arial" w:eastAsia="Arial" w:hAnsi="Arial"/>
                <w:sz w:val="14"/>
                <w:szCs w:val="14"/>
                <w:color w:val="auto"/>
                <w:w w:val="93"/>
              </w:rPr>
              <w:t>(#)</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68,241</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59,309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(17,060)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4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(8,232)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154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number of restricted stock units outstanding at September 30, 2013 included 7,142 units that have vested but shares of common stock have not yet been issued pursuant to the terms of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920" w:type="dxa"/>
            <w:vAlign w:val="bottom"/>
            <w:gridSpan w:val="3"/>
          </w:tcPr>
          <w:p>
            <w:pPr>
              <w:jc w:val="center"/>
              <w:ind w:left="1017"/>
              <w:spacing w:after="0"/>
              <w:rPr>
                <w:sz w:val="20"/>
                <w:szCs w:val="20"/>
                <w:color w:val="auto"/>
              </w:rPr>
            </w:pPr>
            <w:r>
              <w:rPr>
                <w:rFonts w:ascii="Arial" w:cs="Arial" w:eastAsia="Arial" w:hAnsi="Arial"/>
                <w:sz w:val="14"/>
                <w:szCs w:val="14"/>
                <w:color w:val="auto"/>
                <w:w w:val="92"/>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9"/>
              </w:rPr>
              <w:t>Awards</w:t>
            </w:r>
          </w:p>
        </w:tc>
        <w:tc>
          <w:tcPr>
            <w:tcW w:w="38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00" w:type="dxa"/>
            <w:vAlign w:val="bottom"/>
            <w:gridSpan w:val="2"/>
          </w:tcPr>
          <w:p>
            <w:pPr>
              <w:jc w:val="center"/>
              <w:ind w:left="1437"/>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Value ($/share)</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5,688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(8,119)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40" w:type="dxa"/>
            <w:vAlign w:val="bottom"/>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A total of 1.2 million shares of common stock are reserved for issuance under the plan.</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offering period that began on January 1, 2013 and ended June 30, 2013, we withheld approximately $551,000 from employees participating in the plan. On June 30, 2013, 17,386 shares were purchased on behalf of the employees participating in the plan and approximately 1.2 million shares were available for future purchases. For the offering period that began on July 1, 2013 and will end on December 31, 2013, we have withheld approximately $337,000 from employees participating in the plan as of September 30, 2013.</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the three and nine months ended September 30, 2013, we recorded approximately $116,000 and $299,000 of stock-based compensation expense associated with the employee stock purchase plan. The fair value was estimated based on the market price of our common stock at the beginning of each offering period and using the Black-Scholes option pricing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0.50</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350"/>
        </w:trPr>
        <w:tc>
          <w:tcPr>
            <w:tcW w:w="2780" w:type="dxa"/>
            <w:vAlign w:val="bottom"/>
          </w:tcPr>
          <w:p>
            <w:pPr>
              <w:spacing w:after="0"/>
              <w:rPr>
                <w:sz w:val="24"/>
                <w:szCs w:val="24"/>
                <w:color w:val="auto"/>
              </w:rPr>
            </w:pPr>
          </w:p>
        </w:tc>
        <w:tc>
          <w:tcPr>
            <w:tcW w:w="4980" w:type="dxa"/>
            <w:vAlign w:val="bottom"/>
          </w:tcPr>
          <w:p>
            <w:pPr>
              <w:jc w:val="right"/>
              <w:ind w:right="375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recorded income tax expense of $169,000 and $272,000 for the three and nine months ended September 30, 2013. We recorded an income tax benefit of $124,000 and income tax expense of $329,000 for the three and nine months ended September 30, 2012, respectively. We record our interim provision for income taxes based on our estimated annual effective tax rate for the year. Differences between our effective tax rate and statutory tax rates are primarily due to the impact of meals and entertainment expense, employee stock purchase plan expense and the federal R&amp;D credit. Our provisions for income taxes included current foreign and state income tax expense, as well as deferred tax expense.</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Income tax expense for the nine months ended September 30, 2013 included a discrete tax benefit of $117,000 in 2013 for the retroactive benefit of the 2012 federal R&amp;D credit. The American Taxpayer Relief Act of 2012 was enacted on January 2, 2013 and extended the federal R&amp;D credit from January 1, 2012 through December 31, 2013.</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are subject to income taxes in the U.S. federal and various state and international jurisdictions. As of September 30, 2013, we are generally subject to tax examinations for all prior years due to our net operating loss carryforwards.</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of September 30, 2013,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color w:val="auto"/>
              </w:rPr>
              <w:t>Nine Months Ended</w:t>
            </w:r>
          </w:p>
        </w:tc>
      </w:tr>
      <w:tr>
        <w:trPr>
          <w:trHeight w:val="167"/>
        </w:trPr>
        <w:tc>
          <w:tcPr>
            <w:tcW w:w="5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color w:val="auto"/>
              </w:rPr>
              <w:t>September 30,</w:t>
            </w:r>
          </w:p>
        </w:tc>
      </w:tr>
      <w:tr>
        <w:trPr>
          <w:trHeight w:val="142"/>
        </w:trPr>
        <w:tc>
          <w:tcPr>
            <w:tcW w:w="53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2013</w:t>
            </w:r>
          </w:p>
        </w:tc>
        <w:tc>
          <w:tcPr>
            <w:tcW w:w="5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2012</w:t>
            </w: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r>
      <w:tr>
        <w:trPr>
          <w:trHeight w:val="20"/>
        </w:trPr>
        <w:tc>
          <w:tcPr>
            <w:tcW w:w="5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basic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15,223</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13,042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15,064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12,500</w:t>
            </w: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Options to purchase common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538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purchase plan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diluted</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15,986</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13,894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15,781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13,373</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0"/>
        </w:trPr>
        <w:tc>
          <w:tcPr>
            <w:tcW w:w="5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0"/>
        </w:trPr>
        <w:tc>
          <w:tcPr>
            <w:tcW w:w="5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each of the three and nine months ended September 30, 2013 and September 30, 2012, the effect of all outstanding potential common shares was included in the calculation of diluted net income per share.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a leading provider of on-demand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8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plan to continue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allow us to offer new functionalities.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nine months ended September 30, 2013,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2012 as filed with the Securities and Exchange Commission on March 6, 2013.</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prior periods for trend analyses and planning purposes. Adjusted EBITDA is also used for purposes of determining executive and senior management incentive compensation. These measures are also presented to our board of directors.</w:t>
      </w:r>
    </w:p>
    <w:p>
      <w:pPr>
        <w:spacing w:after="0" w:line="17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financial statements, which are prepared in accordance with GAAP.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73"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believe that our policies for revenue recognition, the allowance for doubtful accounts, income taxes, stock-based compensation and the valuation of goodwill and intangible assets are the most critical to aid in fully understanding and evaluating our financial condition and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2013, there were no changes in our critical accounting policies or estimates.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See Note A to our consolidated financial statements included in this Quarterly Report on Form 10-Q and in our Annual Report on Form 10-K for the year ended December 31, 2012, as filed with the Securities and Exchange Commission on March 6, 2013, for additional information regarding our critical accounting policies, as well as a description of our other significant accounting policies.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gridSpan w:val="8"/>
          </w:tcPr>
          <w:p>
            <w:pPr>
              <w:jc w:val="right"/>
              <w:ind w:right="900"/>
              <w:spacing w:after="0"/>
              <w:rPr>
                <w:sz w:val="20"/>
                <w:szCs w:val="20"/>
                <w:color w:val="auto"/>
              </w:rPr>
            </w:pPr>
            <w:r>
              <w:rPr>
                <w:rFonts w:ascii="Arial" w:cs="Arial" w:eastAsia="Arial" w:hAnsi="Arial"/>
                <w:sz w:val="14"/>
                <w:szCs w:val="14"/>
                <w:color w:val="auto"/>
                <w:w w:val="92"/>
              </w:rPr>
              <w:t>Three Months Ended September 30,</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4"/>
          </w:tcPr>
          <w:p>
            <w:pPr>
              <w:jc w:val="right"/>
              <w:ind w:right="732"/>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w w:val="89"/>
              </w:rPr>
              <w:t>2012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color w:val="auto"/>
                <w:w w:val="94"/>
              </w:rPr>
              <w:t>% of revenue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27,008</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20,267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$ 6,741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5,945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29.3</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2,304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14,322</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4,437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10,291</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2,451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2,806</w:t>
            </w:r>
          </w:p>
        </w:tc>
        <w:tc>
          <w:tcPr>
            <w:tcW w:w="6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2,088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718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4,284</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3,726</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558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530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477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18,388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14,184</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4,204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6080" w:type="dxa"/>
            <w:vAlign w:val="bottom"/>
          </w:tcPr>
          <w:p>
            <w:pPr>
              <w:ind w:left="720"/>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233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104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389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0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(293)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96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gridSpan w:val="7"/>
          </w:tcPr>
          <w:p>
            <w:pPr>
              <w:jc w:val="right"/>
              <w:ind w:right="940"/>
              <w:spacing w:after="0"/>
              <w:rPr>
                <w:sz w:val="20"/>
                <w:szCs w:val="20"/>
                <w:color w:val="auto"/>
              </w:rPr>
            </w:pPr>
            <w:r>
              <w:rPr>
                <w:rFonts w:ascii="Arial" w:cs="Arial" w:eastAsia="Arial" w:hAnsi="Arial"/>
                <w:sz w:val="14"/>
                <w:szCs w:val="14"/>
                <w:color w:val="auto"/>
                <w:w w:val="91"/>
              </w:rPr>
              <w:t>Nine Months Ended September 30,</w:t>
            </w: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4"/>
          </w:tcPr>
          <w:p>
            <w:pPr>
              <w:jc w:val="right"/>
              <w:ind w:right="732"/>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w w:val="89"/>
              </w:rPr>
              <w:t>2012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color w:val="auto"/>
                <w:w w:val="94"/>
              </w:rPr>
              <w:t>% of revenue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76,418</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54,622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$21,796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23,258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15,236</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27.9</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8,022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39,386</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72.1</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13,774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29,163</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21,259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7,904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7,966</w:t>
            </w:r>
          </w:p>
        </w:tc>
        <w:tc>
          <w:tcPr>
            <w:tcW w:w="6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5,650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2,316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12,542</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10,079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2,463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1,391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52,112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38,038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69.6</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14,074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6080" w:type="dxa"/>
            <w:vAlign w:val="bottom"/>
          </w:tcPr>
          <w:p>
            <w:pPr>
              <w:ind w:left="720"/>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040" w:type="dxa"/>
            <w:vAlign w:val="bottom"/>
            <w:gridSpan w:val="2"/>
          </w:tcPr>
          <w:p>
            <w:pPr>
              <w:jc w:val="right"/>
              <w:ind w:right="208"/>
              <w:spacing w:after="0"/>
              <w:rPr>
                <w:sz w:val="20"/>
                <w:szCs w:val="20"/>
                <w:color w:val="auto"/>
              </w:rPr>
            </w:pPr>
            <w:r>
              <w:rPr>
                <w:rFonts w:ascii="Arial" w:cs="Arial" w:eastAsia="Arial" w:hAnsi="Arial"/>
                <w:sz w:val="18"/>
                <w:szCs w:val="18"/>
                <w:color w:val="auto"/>
              </w:rPr>
              <w:t>(300)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75</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208"/>
              <w:spacing w:after="0"/>
              <w:rPr>
                <w:sz w:val="20"/>
                <w:szCs w:val="20"/>
                <w:color w:val="auto"/>
              </w:rPr>
            </w:pPr>
            <w:r>
              <w:rPr>
                <w:rFonts w:ascii="Arial" w:cs="Arial" w:eastAsia="Arial" w:hAnsi="Arial"/>
                <w:sz w:val="18"/>
                <w:szCs w:val="18"/>
                <w:color w:val="auto"/>
              </w:rPr>
              <w:t>(156)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040" w:type="dxa"/>
            <w:vAlign w:val="bottom"/>
            <w:gridSpan w:val="2"/>
          </w:tcPr>
          <w:p>
            <w:pPr>
              <w:jc w:val="right"/>
              <w:ind w:right="208"/>
              <w:spacing w:after="0"/>
              <w:rPr>
                <w:sz w:val="20"/>
                <w:szCs w:val="20"/>
                <w:color w:val="auto"/>
              </w:rPr>
            </w:pPr>
            <w:r>
              <w:rPr>
                <w:rFonts w:ascii="Arial" w:cs="Arial" w:eastAsia="Arial" w:hAnsi="Arial"/>
                <w:sz w:val="18"/>
                <w:szCs w:val="18"/>
                <w:color w:val="auto"/>
              </w:rPr>
              <w:t>(99)</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2013 compared to Three and Nine Months Ended September 30, 2012</w:t>
      </w:r>
    </w:p>
    <w:p>
      <w:pPr>
        <w:spacing w:after="0" w:line="11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the three months ended September 30, 2013 increased $6.7 million, or 33%, to $27.0 million from $20.3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2012. Our fiscal quarter ended September 30, 2013 represented our 51</w:t>
      </w:r>
      <w:r>
        <w:rPr>
          <w:rFonts w:ascii="Arial" w:cs="Arial" w:eastAsia="Arial" w:hAnsi="Arial"/>
          <w:sz w:val="14"/>
          <w:szCs w:val="14"/>
          <w:color w:val="auto"/>
        </w:rPr>
        <w:t>st</w:t>
      </w:r>
      <w:r>
        <w:rPr>
          <w:rFonts w:ascii="Arial" w:cs="Arial" w:eastAsia="Arial" w:hAnsi="Arial"/>
          <w:sz w:val="17"/>
          <w:szCs w:val="17"/>
          <w:color w:val="auto"/>
        </w:rPr>
        <w:t xml:space="preserve"> consecutive quarter of increased revenues. Revenues for the nine months ended September 30, 2013 increased $21.8 million, or 40%, to $76.4 million from $54.6 million for the same period in 2012.</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increase in revenues for both the three and nine month periods resulted from two primary factors: the increase in recurring revenue customers and the increase in annualized average recurring revenues per recurring revenue customer, which we also refer to as wallet share.</w:t>
      </w:r>
    </w:p>
    <w:p>
      <w:pPr>
        <w:spacing w:after="0" w:line="76"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number of recurring revenue customers increased 9% to 19,387 at September 30, 2013 from 17,723 at September 30, 2012.</w:t>
      </w:r>
    </w:p>
    <w:p>
      <w:pPr>
        <w:spacing w:after="0" w:line="142" w:lineRule="exact"/>
        <w:rPr>
          <w:rFonts w:ascii="Arial" w:cs="Arial" w:eastAsia="Arial" w:hAnsi="Arial"/>
          <w:sz w:val="17"/>
          <w:szCs w:val="17"/>
          <w:color w:val="auto"/>
        </w:rPr>
      </w:pPr>
    </w:p>
    <w:p>
      <w:pPr>
        <w:ind w:left="1480" w:right="120" w:hanging="446"/>
        <w:spacing w:after="0" w:line="259"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increased 22% to $5,018 for the three months ended September 30, 2013 from $4,101 for the same period in 2012. This increase in wallet share was primarily attributable to increased fees resulting from increased usage of our solutions by our recurring revenue customers and growth in larger customers, including those acquired from Edifice in 2012.</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Recurring revenues from recurring revenue customers accounted for 89% of our total revenues for each of the three and nine months ended September 30, 2013, compared to 88% and 87% for each of the same periods in 2012. We anticipate that the number of recurring revenue customers and the recurring revenues per recurring revenue customer will continue to increase as we increase the number of solutions we offer and increase the penetration of those solutions across our customer base.</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September 30, 2013 increased $2.3 million, or 39%, to $8.2 million from $5.9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2012. Cost of revenues for the nine months ended September 30, 2013 increased $8.0 million, or 53%, to $23.3 million from</w:t>
      </w:r>
    </w:p>
    <w:p>
      <w:pPr>
        <w:spacing w:after="0" w:line="253" w:lineRule="auto"/>
        <w:rPr>
          <w:sz w:val="20"/>
          <w:szCs w:val="20"/>
          <w:color w:val="auto"/>
        </w:rPr>
      </w:pPr>
      <w:r>
        <w:rPr>
          <w:rFonts w:ascii="Arial" w:cs="Arial" w:eastAsia="Arial" w:hAnsi="Arial"/>
          <w:sz w:val="18"/>
          <w:szCs w:val="18"/>
          <w:color w:val="auto"/>
        </w:rPr>
        <w:t>$15.2 million for the same period in 2012. The increase in cost of revenues for both the three and nine month periods in 2013 was primarily due to increased headcount in 2013 which resulted in higher personnel costs. Also contributing to the increase were higher expenses for depreciation, occupancy and network services in 2013 as compared to 2012. As a percentage of revenues, cost of revenues was approximately 30% for each of the three and nine months ended September 30, 2013, compared to 29% and 28% for each of the same periods in 2012. Going forward, we anticipate that cost of revenues will increase in absolute dollars as we continue to expand our business.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September 30, 2013 increased $2.5 million, or 31%,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$10.3 million from $7.8 million for the same period in 2012. Sales and marketing expenses for the nine months ended September 30, 2013 increased $7.9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or 37%, to $29.2 million from $21.3 million for the same period in 2012. The increase in sales and marketing expenses for both the three and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periods in 2013 was primarily due to increased headcount in 2013, which resulted in higher personnel costs, as well as increased commissions earned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sales personnel from new business. We also had increased expenses for depreciation, stock-based compensation and occupancy in 2013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As a percentage of revenues, sales and marketing expenses were 38% for each of the three and nine months ended September 30, 2013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 for each of the comparable periods in 2012. As we expand our business, we will continue to add resources to our sales and marketing efforts over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we expect that these expenses will continue to increase in absolute dollars.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three months ended September 30, 2013 increased $718,000, or</w:t>
      </w:r>
      <w:r>
        <w:rPr>
          <w:rFonts w:ascii="Arial" w:cs="Arial" w:eastAsia="Arial" w:hAnsi="Arial"/>
          <w:sz w:val="17"/>
          <w:szCs w:val="17"/>
          <w:i w:val="1"/>
          <w:iCs w:val="1"/>
          <w:color w:val="auto"/>
        </w:rPr>
        <w:t xml:space="preserve"> </w:t>
      </w:r>
      <w:r>
        <w:rPr>
          <w:rFonts w:ascii="Arial" w:cs="Arial" w:eastAsia="Arial" w:hAnsi="Arial"/>
          <w:sz w:val="17"/>
          <w:szCs w:val="17"/>
          <w:color w:val="auto"/>
        </w:rPr>
        <w:t>34%, to $2.8 million from $2.1 million for the same period in 2012. Research and development expenses for the nine months ended September 30, 2013 increased $2.3 million, or 41%, to $8.0 million from $5.7 million for the same period in 2012. The increase in research and development expenses for both the three and nine month periods in 2013 was primarily due to increased headcount in 2013, which resulted in higher personnel costs, as well as increased depreciation and software subscription expense in 2013 as compared to 2012. As a percentage of revenues, research and development expenses were 10% for each of the three and nine months ended September 30, 2013 and 2012. As we enhance and expand our solutions and applications, we expect that research and development expenses will continue to increase in absolute dollars.</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2013 increased $558,000, or</w:t>
      </w:r>
      <w:r>
        <w:rPr>
          <w:rFonts w:ascii="Arial" w:cs="Arial" w:eastAsia="Arial" w:hAnsi="Arial"/>
          <w:sz w:val="16"/>
          <w:szCs w:val="16"/>
          <w:i w:val="1"/>
          <w:iCs w:val="1"/>
          <w:color w:val="auto"/>
        </w:rPr>
        <w:t xml:space="preserve"> </w:t>
      </w:r>
      <w:r>
        <w:rPr>
          <w:rFonts w:ascii="Arial" w:cs="Arial" w:eastAsia="Arial" w:hAnsi="Arial"/>
          <w:sz w:val="16"/>
          <w:szCs w:val="16"/>
          <w:color w:val="auto"/>
        </w:rPr>
        <w:t>15%, to $4.3 million from $3.7 million for the same period in 2012. General and administrative expenses for the nine months ended September 30, 2013 increased $2.5 million, or 24%, to $12.5 million from $10.1 million for the same period in 2012. The increase in general and administrative expenses for both the three and nine month periods in 2013 was primarily due to increased headcount in 2013, which resulted in higher personnel costs, as well as increased stock-based compensation, depreciation and software maintenance and subscription expenses. As a percentage of revenues, general and administrative expenses were 16% for each of the three and nine months ended September 30, 2013 compared to approximately 18% for each of the same periods in 2012. Going forward, we expect that general and administrative expenses will continue to increase in absolute dollars as we expand our business.</w:t>
      </w:r>
    </w:p>
    <w:p>
      <w:pPr>
        <w:spacing w:after="0" w:line="167"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Amortization expense was $1.0 million and $2.4 million for the three and nine months ended September 30, 2013,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$530,000 and $1.1 million for the same periods in 2012. The increase in amortization expense in 2013 from 2012 was the result of the August 2012 acquisition of Edifice, as well as the additional $290,000 of expense resulting from the impairment of a certain non-competition agreement.</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We recorded income tax expense of $169,000 and $272,000 for the three and nine months ended September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We recorded an income tax benefit of $124,000 and income tax expense of $329,000 for the three and nine months ended September 30, 2012. We record our interim provision for income taxes based on our estimated annual effective tax rate for the year. Differences between our effective tax rate and statutory tax rates are primarily due to the impact of meals and entertainment expense, employee stock purchase plan expense and the federal R&amp;D credit. Our provisions for income taxes included current foreign and state income tax expense, as well as deferred tax expense.</w:t>
      </w:r>
    </w:p>
    <w:p>
      <w:pPr>
        <w:spacing w:after="0" w:line="173"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decrease in income tax expense for the nine months ended September 30, 2013, compared to the nine months ended September 30, 2012, was primarily due to a discrete tax benefit of $117,000 in 2013 for the retroactive benefit of the 2012 federal R&amp;D credit. The American Taxpayer Relief Act of 2012 was enacted on January 2, 2013 and extended the federal R&amp;D credit from January 1, 2012 through December 31, 2013.</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non-cash, stock-based compensation expense and other adjustments as necessary for a fair presentation. For third quarter 2013, other adjustments included the impact of a use tax refund related to items previously expensed.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ind w:left="2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220"/>
              <w:spacing w:after="0"/>
              <w:rPr>
                <w:sz w:val="20"/>
                <w:szCs w:val="20"/>
                <w:color w:val="auto"/>
              </w:rPr>
            </w:pPr>
            <w:r>
              <w:rPr>
                <w:rFonts w:ascii="Arial" w:cs="Arial" w:eastAsia="Arial" w:hAnsi="Arial"/>
                <w:sz w:val="14"/>
                <w:szCs w:val="14"/>
                <w:color w:val="auto"/>
                <w:w w:val="94"/>
              </w:rPr>
              <w:t>Nine Months Ended</w:t>
            </w:r>
          </w:p>
        </w:tc>
      </w:tr>
      <w:tr>
        <w:trPr>
          <w:trHeight w:val="167"/>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ind w:left="220"/>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42"/>
        </w:trPr>
        <w:tc>
          <w:tcPr>
            <w:tcW w:w="7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89"/>
              </w:rPr>
              <w:t>2012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2013</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3,586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2,117</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2,441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1,050</w:t>
            </w: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6,875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4,345</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3,120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2,042</w:t>
            </w: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3,628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9,995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6,387</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We believe non-GAAP income per share is useful to an investor because it is widely used to measure a company’s operating performance.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color w:val="auto"/>
              </w:rPr>
              <w:t>Nine Months Ended</w:t>
            </w:r>
          </w:p>
        </w:tc>
      </w:tr>
      <w:tr>
        <w:trPr>
          <w:trHeight w:val="167"/>
        </w:trPr>
        <w:tc>
          <w:tcPr>
            <w:tcW w:w="4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September 30,</w:t>
            </w:r>
          </w:p>
        </w:tc>
        <w:tc>
          <w:tcPr>
            <w:tcW w:w="100" w:type="dxa"/>
            <w:vAlign w:val="bottom"/>
          </w:tcPr>
          <w:p>
            <w:pPr>
              <w:spacing w:after="0"/>
              <w:rPr>
                <w:sz w:val="14"/>
                <w:szCs w:val="14"/>
                <w:color w:val="auto"/>
              </w:rPr>
            </w:pPr>
          </w:p>
        </w:tc>
        <w:tc>
          <w:tcPr>
            <w:tcW w:w="1660" w:type="dxa"/>
            <w:vAlign w:val="bottom"/>
            <w:gridSpan w:val="6"/>
          </w:tcPr>
          <w:p>
            <w:pPr>
              <w:jc w:val="right"/>
              <w:ind w:right="500"/>
              <w:spacing w:after="0"/>
              <w:rPr>
                <w:sz w:val="20"/>
                <w:szCs w:val="20"/>
                <w:color w:val="auto"/>
              </w:rPr>
            </w:pPr>
            <w:r>
              <w:rPr>
                <w:rFonts w:ascii="Arial" w:cs="Arial" w:eastAsia="Arial" w:hAnsi="Arial"/>
                <w:sz w:val="14"/>
                <w:szCs w:val="14"/>
                <w:color w:val="auto"/>
              </w:rPr>
              <w:t>September 30,</w:t>
            </w:r>
          </w:p>
        </w:tc>
      </w:tr>
      <w:tr>
        <w:trPr>
          <w:trHeight w:val="142"/>
        </w:trPr>
        <w:tc>
          <w:tcPr>
            <w:tcW w:w="45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3,120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2,042</w:t>
            </w: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Non-GAAP income</w:t>
            </w:r>
          </w:p>
        </w:tc>
        <w:tc>
          <w:tcPr>
            <w:tcW w:w="2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Basic</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15,223</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13,042</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15,064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12,500</w:t>
            </w: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15,986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13,894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15,781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13,373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r>
      <w:tr>
        <w:trPr>
          <w:trHeight w:val="230"/>
        </w:trPr>
        <w:tc>
          <w:tcPr>
            <w:tcW w:w="450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r>
      <w:tr>
        <w:trPr>
          <w:trHeight w:val="350"/>
        </w:trPr>
        <w:tc>
          <w:tcPr>
            <w:tcW w:w="4500" w:type="dxa"/>
            <w:vAlign w:val="bottom"/>
          </w:tcPr>
          <w:p>
            <w:pPr>
              <w:spacing w:after="0"/>
              <w:rPr>
                <w:sz w:val="24"/>
                <w:szCs w:val="24"/>
                <w:color w:val="auto"/>
              </w:rPr>
            </w:pPr>
          </w:p>
        </w:tc>
        <w:tc>
          <w:tcPr>
            <w:tcW w:w="2120" w:type="dxa"/>
            <w:vAlign w:val="bottom"/>
          </w:tcPr>
          <w:p>
            <w:pPr>
              <w:jc w:val="right"/>
              <w:ind w:right="119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 September 30, 2013, our principal sources of liquidity were cash and cash equivalents of $80.8 million and accounts receivable, net of allowance for doubtful accounts, of $11.1 million. Our working capital at September 30, 2013 was $86.0 million compared to $77.0 million at December 31, 2012. The increase in working capital from December 31, 2012 to September 30, 2013 resulted from the following:</w:t>
      </w:r>
    </w:p>
    <w:p>
      <w:pPr>
        <w:spacing w:after="0" w:line="87" w:lineRule="exact"/>
        <w:rPr>
          <w:sz w:val="20"/>
          <w:szCs w:val="20"/>
          <w:color w:val="auto"/>
        </w:rPr>
      </w:pPr>
    </w:p>
    <w:p>
      <w:pPr>
        <w:ind w:left="900" w:right="12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$14.8 million increase in cash and cash equivalents, due primarily to the $16.1 million of cash provided by operations and the $3.7 million of cash received from the exercise of stock options and proceeds from our employee stock purchase plan, reduced by the $5.0 million of cash used for capital expenditures;</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$208,000 increase in net accounts receivable, as new accounts slightly exceeded collections of outstanding balances for the nine months ended September 30, 2013;</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 million increase in deferred costs, current, for expenses related to increased implementation resources and commission payments for new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 million decrease in prepaid expenses and other current assets, primarily related to the Edifice acquisition in 2012;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$172,000 decrease in accounts payable, primarily due to timing of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 million increase in accrued compensation and benefits, due primarily to increased headcount and payroll timing;</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 million increase in accrued expenses and other current liabilities due primarily to the future payments required under a software licensing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$953,000 increase in deferred revenue, current, due to new business for the nine months ended September 30,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Net cash provided by operating activities was $16.1 million for the nine months ended September 30, 2013 compared to $8.3 million for the same period in 2012. The slight decrease in net income, the changes in non-cash expenses, including increased depreciation, amortization and stock-based compensation, and the changes in our working capital accounts, including those discussed above, resulted in the overall increase in net cash provided by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cash used in investing activities was $5.0 million for the nine months ended September 30, 2013, all for capital expenditures. Net cash used in investing activities was $29.1 million for the nine months ended September 30, 2012, with $26.3 million used for the acquisition of Edifice and $2.8 million used for capital expenditures. Our capital expenditures are for supporting our business growth and existing customer base, as well as for our internal use such as equipment for our employees.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Net cash provided by financing activities was $3.7 million for the nine months ended September 30, 2013, all related to the exercise of stock options and proceeds from our employee stock purchase plan. Net cash provided by financing activities was $58.6 million for the nine months ended September 30, 2012, and primarily represented $57.8 million of net proceeds from our public offering of common stock in September 2012 and $1.1 million proceeds from the exercise of stock options.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We have a revolving credit agreement with JPMorgan Chase Bank, N.A. that will mature on September 30, 2016. The revolving credit agreement provides for a $20 million revolving credit facility that we may draw upon from time to time, subject to certain terms and conditions. There were no borrowings outstanding at September 30, 2013 and we were in compliance with all covenants under the revolving credit agreement as of that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continue to increase as we grow our business.</w:t>
      </w:r>
    </w:p>
    <w:p>
      <w:pPr>
        <w:spacing w:after="0" w:line="17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believe our cash and cash equivalents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2013. We do not expect that inflation or changing prices will materially affect our business in the foreseeable future.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fixed rate debt, interest rate changes affect the fair value of financial instruments but do not impact earnings or cash 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September 30, 2013. We therefore do not have any material risk to interest rate fluctuations unless we borrow under our credit facility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2013 that have materially affected, or are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2012 as filed with the Securities and Exchange Commission on March 6, 2013.</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following unaudited statement of operations for the twelve month period ended September 30, 2013 covers the twelve month period beginning the first full month after the effective date of the registration statement for our September 2012 public stock offering (File No. 333-182097), and is hereby made available pursuant to Section 11(a) of the Securities Act of 1933.</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700" w:type="dxa"/>
            <w:vAlign w:val="bottom"/>
          </w:tcPr>
          <w:p>
            <w:pPr>
              <w:jc w:val="center"/>
              <w:ind w:right="154"/>
              <w:spacing w:after="0"/>
              <w:rPr>
                <w:sz w:val="20"/>
                <w:szCs w:val="20"/>
                <w:color w:val="auto"/>
              </w:rPr>
            </w:pPr>
            <w:r>
              <w:rPr>
                <w:rFonts w:ascii="Arial" w:cs="Arial" w:eastAsia="Arial" w:hAnsi="Arial"/>
                <w:sz w:val="18"/>
                <w:szCs w:val="18"/>
                <w:b w:val="1"/>
                <w:bCs w:val="1"/>
                <w:color w:val="auto"/>
                <w:w w:val="99"/>
              </w:rPr>
              <w:t>SPS COMMERCE, INC.</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700" w:type="dxa"/>
            <w:vAlign w:val="bottom"/>
          </w:tcPr>
          <w:p>
            <w:pPr>
              <w:jc w:val="center"/>
              <w:ind w:right="134"/>
              <w:spacing w:after="0"/>
              <w:rPr>
                <w:sz w:val="20"/>
                <w:szCs w:val="20"/>
                <w:color w:val="auto"/>
              </w:rPr>
            </w:pPr>
            <w:r>
              <w:rPr>
                <w:rFonts w:ascii="Arial" w:cs="Arial" w:eastAsia="Arial" w:hAnsi="Arial"/>
                <w:sz w:val="18"/>
                <w:szCs w:val="18"/>
                <w:b w:val="1"/>
                <w:bCs w:val="1"/>
                <w:color w:val="auto"/>
                <w:w w:val="99"/>
              </w:rPr>
              <w:t>CONDENSED CONSOLIDATED STATEMENT OF OPERATIONS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700" w:type="dxa"/>
            <w:vAlign w:val="bottom"/>
          </w:tcPr>
          <w:p>
            <w:pPr>
              <w:jc w:val="center"/>
              <w:ind w:right="154"/>
              <w:spacing w:after="0"/>
              <w:rPr>
                <w:sz w:val="20"/>
                <w:szCs w:val="20"/>
                <w:color w:val="auto"/>
              </w:rPr>
            </w:pPr>
            <w:r>
              <w:rPr>
                <w:rFonts w:ascii="Arial" w:cs="Arial" w:eastAsia="Arial" w:hAnsi="Arial"/>
                <w:sz w:val="18"/>
                <w:szCs w:val="18"/>
                <w:b w:val="1"/>
                <w:bCs w:val="1"/>
                <w:color w:val="auto"/>
                <w:w w:val="91"/>
              </w:rPr>
              <w:t>For The Twelve Month Period Ended September 30, 2013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700" w:type="dxa"/>
            <w:vAlign w:val="bottom"/>
          </w:tcPr>
          <w:p>
            <w:pPr>
              <w:jc w:val="center"/>
              <w:ind w:right="154"/>
              <w:spacing w:after="0"/>
              <w:rPr>
                <w:sz w:val="20"/>
                <w:szCs w:val="20"/>
                <w:color w:val="auto"/>
              </w:rPr>
            </w:pPr>
            <w:r>
              <w:rPr>
                <w:rFonts w:ascii="Arial" w:cs="Arial" w:eastAsia="Arial" w:hAnsi="Arial"/>
                <w:sz w:val="14"/>
                <w:szCs w:val="14"/>
                <w:color w:val="auto"/>
                <w:w w:val="91"/>
              </w:rPr>
              <w:t>(Unaudited; in thousands, except per share amounts)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960" w:type="dxa"/>
            <w:vAlign w:val="bottom"/>
          </w:tcPr>
          <w:p>
            <w:pPr>
              <w:spacing w:after="0"/>
              <w:rPr>
                <w:sz w:val="19"/>
                <w:szCs w:val="19"/>
                <w:color w:val="auto"/>
              </w:rPr>
            </w:pPr>
          </w:p>
        </w:tc>
        <w:tc>
          <w:tcPr>
            <w:tcW w:w="9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98,902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68,840</w:t>
            </w:r>
          </w:p>
        </w:tc>
        <w:tc>
          <w:tcPr>
            <w:tcW w:w="0" w:type="dxa"/>
            <w:vAlign w:val="bottom"/>
          </w:tcPr>
          <w:p>
            <w:pPr>
              <w:spacing w:after="0"/>
              <w:rPr>
                <w:sz w:val="1"/>
                <w:szCs w:val="1"/>
                <w:color w:val="auto"/>
              </w:rPr>
            </w:pPr>
          </w:p>
        </w:tc>
      </w:tr>
      <w:tr>
        <w:trPr>
          <w:trHeight w:val="223"/>
        </w:trPr>
        <w:tc>
          <w:tcPr>
            <w:tcW w:w="106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6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67,568</w:t>
            </w:r>
          </w:p>
        </w:tc>
        <w:tc>
          <w:tcPr>
            <w:tcW w:w="0" w:type="dxa"/>
            <w:vAlign w:val="bottom"/>
          </w:tcPr>
          <w:p>
            <w:pPr>
              <w:spacing w:after="0"/>
              <w:rPr>
                <w:sz w:val="1"/>
                <w:szCs w:val="1"/>
                <w:color w:val="auto"/>
              </w:rPr>
            </w:pPr>
          </w:p>
        </w:tc>
      </w:tr>
      <w:tr>
        <w:trPr>
          <w:trHeight w:val="223"/>
        </w:trPr>
        <w:tc>
          <w:tcPr>
            <w:tcW w:w="1068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tcPr>
          <w:p>
            <w:pPr>
              <w:ind w:left="34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9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106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Basic</w:t>
            </w:r>
          </w:p>
        </w:tc>
        <w:tc>
          <w:tcPr>
            <w:tcW w:w="9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9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Diluted</w:t>
            </w:r>
          </w:p>
        </w:tc>
        <w:tc>
          <w:tcPr>
            <w:tcW w:w="9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15,713</w:t>
            </w:r>
          </w:p>
        </w:tc>
        <w:tc>
          <w:tcPr>
            <w:tcW w:w="0" w:type="dxa"/>
            <w:vAlign w:val="bottom"/>
          </w:tcPr>
          <w:p>
            <w:pPr>
              <w:spacing w:after="0"/>
              <w:rPr>
                <w:sz w:val="1"/>
                <w:szCs w:val="1"/>
                <w:color w:val="auto"/>
              </w:rPr>
            </w:pPr>
          </w:p>
        </w:tc>
      </w:tr>
      <w:tr>
        <w:trPr>
          <w:trHeight w:val="566"/>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70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left="300" w:right="40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October 30, 2013</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6040" w:type="dxa"/>
            <w:vAlign w:val="bottom"/>
            <w:gridSpan w:val="2"/>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ind w:left="40"/>
              <w:spacing w:after="0"/>
              <w:rPr>
                <w:sz w:val="20"/>
                <w:szCs w:val="20"/>
                <w:color w:val="auto"/>
              </w:rPr>
            </w:pPr>
            <w:r>
              <w:rPr>
                <w:rFonts w:ascii="Arial" w:cs="Arial" w:eastAsia="Arial" w:hAnsi="Arial"/>
                <w:sz w:val="14"/>
                <w:szCs w:val="14"/>
                <w:i w:val="1"/>
                <w:iCs w:val="1"/>
                <w:color w:val="auto"/>
                <w:w w:val="99"/>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1"/>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88"/>
              </w:rPr>
              <w:t>Number</w:t>
            </w:r>
          </w:p>
        </w:tc>
        <w:tc>
          <w:tcPr>
            <w:tcW w:w="53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i w:val="1"/>
                <w:iCs w:val="1"/>
                <w:color w:val="auto"/>
                <w:w w:val="94"/>
              </w:rPr>
              <w:t>Description</w:t>
            </w:r>
          </w:p>
        </w:tc>
      </w:tr>
      <w:tr>
        <w:trPr>
          <w:trHeight w:val="20"/>
        </w:trPr>
        <w:tc>
          <w:tcPr>
            <w:tcW w:w="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(incorporated by reference to Exhibit 4.1 to our Registration Statement on Form S-3 (File No. 333-182097) filed with the Commission on June 13, 2012).</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(incorporated by reference to Exhibit 3.2 to our Registration Statement on Form S-1/A (File No. 333-163476) filed with the Commission on March 5, 2010).</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117"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62" w:lineRule="exact"/>
        <w:rPr>
          <w:sz w:val="20"/>
          <w:szCs w:val="20"/>
          <w:color w:val="auto"/>
        </w:rPr>
      </w:pPr>
    </w:p>
    <w:p>
      <w:pPr>
        <w:ind w:left="5620" w:right="4820" w:hanging="5612"/>
        <w:spacing w:after="0" w:line="536" w:lineRule="auto"/>
        <w:tabs>
          <w:tab w:leader="none" w:pos="923"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(filed herewith). 22</w:t>
      </w:r>
    </w:p>
    <w:p>
      <w:pPr>
        <w:sectPr>
          <w:pgSz w:w="11900" w:h="16838" w:orient="portrait"/>
          <w:cols w:equalWidth="0" w:num="1">
            <w:col w:w="11420"/>
          </w:cols>
          <w:pgMar w:left="240" w:top="45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2013,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0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2019-12-06T22:49:40Z</dcterms:created>
  <dcterms:modified xsi:type="dcterms:W3CDTF">2019-12-06T22:49:40Z</dcterms:modified>
</cp:coreProperties>
</file>