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336550</wp:posOffset>
            </wp:positionH>
            <wp:positionV relativeFrom="page">
              <wp:posOffset>346075</wp:posOffset>
            </wp:positionV>
            <wp:extent cx="6875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page">
              <wp:posOffset>336550</wp:posOffset>
            </wp:positionH>
            <wp:positionV relativeFrom="page">
              <wp:posOffset>372110</wp:posOffset>
            </wp:positionV>
            <wp:extent cx="6875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5145" cy="825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6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2"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For the Transition Period from_______to_______</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001-34702</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4"/>
          <w:szCs w:val="34"/>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51435</wp:posOffset>
            </wp:positionV>
            <wp:extent cx="574675" cy="548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67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500" w:type="dxa"/>
            <w:vAlign w:val="bottom"/>
            <w:gridSpan w:val="5"/>
          </w:tcPr>
          <w:p>
            <w:pPr>
              <w:jc w:val="center"/>
              <w:ind w:left="69"/>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p>
        </w:tc>
        <w:tc>
          <w:tcPr>
            <w:tcW w:w="3720" w:type="dxa"/>
            <w:vAlign w:val="bottom"/>
          </w:tcPr>
          <w:p>
            <w:pPr>
              <w:spacing w:after="0"/>
              <w:rPr>
                <w:sz w:val="16"/>
                <w:szCs w:val="16"/>
                <w:color w:val="auto"/>
              </w:rPr>
            </w:pPr>
          </w:p>
        </w:tc>
      </w:tr>
      <w:tr>
        <w:trPr>
          <w:trHeight w:val="297"/>
        </w:trPr>
        <w:tc>
          <w:tcPr>
            <w:tcW w:w="240" w:type="dxa"/>
            <w:vAlign w:val="bottom"/>
          </w:tcPr>
          <w:p>
            <w:pPr>
              <w:spacing w:after="0"/>
              <w:rPr>
                <w:sz w:val="24"/>
                <w:szCs w:val="24"/>
                <w:color w:val="auto"/>
              </w:rPr>
            </w:pPr>
          </w:p>
        </w:tc>
        <w:tc>
          <w:tcPr>
            <w:tcW w:w="3560" w:type="dxa"/>
            <w:vAlign w:val="bottom"/>
          </w:tcPr>
          <w:p>
            <w:pPr>
              <w:jc w:val="center"/>
              <w:ind w:left="163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20" w:type="dxa"/>
            <w:vAlign w:val="bottom"/>
          </w:tcPr>
          <w:p>
            <w:pPr>
              <w:jc w:val="center"/>
              <w:ind w:right="1630"/>
              <w:spacing w:after="0"/>
              <w:rPr>
                <w:sz w:val="20"/>
                <w:szCs w:val="20"/>
                <w:color w:val="auto"/>
              </w:rPr>
            </w:pPr>
            <w:r>
              <w:rPr>
                <w:rFonts w:ascii="Times New Roman" w:cs="Times New Roman" w:eastAsia="Times New Roman" w:hAnsi="Times New Roman"/>
                <w:sz w:val="14"/>
                <w:szCs w:val="14"/>
                <w:b w:val="1"/>
                <w:bCs w:val="1"/>
                <w:color w:val="auto"/>
              </w:rPr>
              <w:t>41-2015127</w:t>
            </w:r>
          </w:p>
        </w:tc>
      </w:tr>
      <w:tr>
        <w:trPr>
          <w:trHeight w:val="159"/>
        </w:trPr>
        <w:tc>
          <w:tcPr>
            <w:tcW w:w="240" w:type="dxa"/>
            <w:vAlign w:val="bottom"/>
          </w:tcPr>
          <w:p>
            <w:pPr>
              <w:spacing w:after="0"/>
              <w:rPr>
                <w:sz w:val="13"/>
                <w:szCs w:val="13"/>
                <w:color w:val="auto"/>
              </w:rPr>
            </w:pPr>
          </w:p>
        </w:tc>
        <w:tc>
          <w:tcPr>
            <w:tcW w:w="3560" w:type="dxa"/>
            <w:vAlign w:val="bottom"/>
          </w:tcPr>
          <w:p>
            <w:pPr>
              <w:jc w:val="center"/>
              <w:ind w:left="1610"/>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(State or Other Jurisdiction of</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720" w:type="dxa"/>
            <w:vAlign w:val="bottom"/>
          </w:tcPr>
          <w:p>
            <w:pPr>
              <w:jc w:val="center"/>
              <w:ind w:right="1610"/>
              <w:spacing w:after="0" w:line="159" w:lineRule="exact"/>
              <w:rPr>
                <w:sz w:val="20"/>
                <w:szCs w:val="20"/>
                <w:color w:val="auto"/>
              </w:rPr>
            </w:pPr>
            <w:r>
              <w:rPr>
                <w:rFonts w:ascii="Times New Roman" w:cs="Times New Roman" w:eastAsia="Times New Roman" w:hAnsi="Times New Roman"/>
                <w:sz w:val="14"/>
                <w:szCs w:val="14"/>
                <w:b w:val="1"/>
                <w:bCs w:val="1"/>
                <w:i w:val="1"/>
                <w:iCs w:val="1"/>
                <w:color w:val="auto"/>
              </w:rPr>
              <w:t>(I.R.S. Employer</w:t>
            </w:r>
          </w:p>
        </w:tc>
      </w:tr>
      <w:tr>
        <w:trPr>
          <w:trHeight w:val="192"/>
        </w:trPr>
        <w:tc>
          <w:tcPr>
            <w:tcW w:w="240" w:type="dxa"/>
            <w:vAlign w:val="bottom"/>
          </w:tcPr>
          <w:p>
            <w:pPr>
              <w:spacing w:after="0"/>
              <w:rPr>
                <w:sz w:val="16"/>
                <w:szCs w:val="16"/>
                <w:color w:val="auto"/>
              </w:rPr>
            </w:pPr>
          </w:p>
        </w:tc>
        <w:tc>
          <w:tcPr>
            <w:tcW w:w="3560" w:type="dxa"/>
            <w:vAlign w:val="bottom"/>
          </w:tcPr>
          <w:p>
            <w:pPr>
              <w:jc w:val="center"/>
              <w:ind w:left="1630"/>
              <w:spacing w:after="0"/>
              <w:rPr>
                <w:sz w:val="20"/>
                <w:szCs w:val="20"/>
                <w:color w:val="auto"/>
              </w:rPr>
            </w:pPr>
            <w:r>
              <w:rPr>
                <w:rFonts w:ascii="Times New Roman" w:cs="Times New Roman" w:eastAsia="Times New Roman" w:hAnsi="Times New Roman"/>
                <w:sz w:val="14"/>
                <w:szCs w:val="14"/>
                <w:b w:val="1"/>
                <w:bCs w:val="1"/>
                <w:i w:val="1"/>
                <w:iCs w:val="1"/>
                <w:color w:val="auto"/>
              </w:rPr>
              <w:t>Incorporation or Organization)</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20" w:type="dxa"/>
            <w:vAlign w:val="bottom"/>
          </w:tcPr>
          <w:p>
            <w:pPr>
              <w:jc w:val="center"/>
              <w:ind w:right="1630"/>
              <w:spacing w:after="0"/>
              <w:rPr>
                <w:sz w:val="20"/>
                <w:szCs w:val="20"/>
                <w:color w:val="auto"/>
              </w:rPr>
            </w:pPr>
            <w:r>
              <w:rPr>
                <w:rFonts w:ascii="Times New Roman" w:cs="Times New Roman" w:eastAsia="Times New Roman" w:hAnsi="Times New Roman"/>
                <w:sz w:val="14"/>
                <w:szCs w:val="14"/>
                <w:b w:val="1"/>
                <w:bCs w:val="1"/>
                <w:i w:val="1"/>
                <w:iCs w:val="1"/>
                <w:color w:val="auto"/>
              </w:rPr>
              <w:t>Identification No.)</w:t>
            </w:r>
          </w:p>
        </w:tc>
      </w:tr>
      <w:tr>
        <w:trPr>
          <w:trHeight w:val="321"/>
        </w:trPr>
        <w:tc>
          <w:tcPr>
            <w:tcW w:w="240" w:type="dxa"/>
            <w:vAlign w:val="bottom"/>
          </w:tcPr>
          <w:p>
            <w:pPr>
              <w:spacing w:after="0"/>
              <w:rPr>
                <w:sz w:val="24"/>
                <w:szCs w:val="24"/>
                <w:color w:val="auto"/>
              </w:rPr>
            </w:pPr>
          </w:p>
        </w:tc>
        <w:tc>
          <w:tcPr>
            <w:tcW w:w="107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333 South Seventh Street, Suite 1000, Minneapolis, MN 55402</w:t>
            </w:r>
          </w:p>
        </w:tc>
      </w:tr>
      <w:tr>
        <w:trPr>
          <w:trHeight w:val="192"/>
        </w:trPr>
        <w:tc>
          <w:tcPr>
            <w:tcW w:w="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7220" w:type="dxa"/>
            <w:vAlign w:val="bottom"/>
            <w:gridSpan w:val="6"/>
          </w:tcPr>
          <w:p>
            <w:pPr>
              <w:jc w:val="center"/>
              <w:ind w:right="3490"/>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Including Zip Code)</w:t>
            </w:r>
          </w:p>
        </w:tc>
      </w:tr>
      <w:tr>
        <w:trPr>
          <w:trHeight w:val="226"/>
        </w:trPr>
        <w:tc>
          <w:tcPr>
            <w:tcW w:w="2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78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b w:val="1"/>
                <w:bCs w:val="1"/>
                <w:color w:val="auto"/>
              </w:rPr>
              <w:t>(612) 435-9400</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192"/>
        </w:trPr>
        <w:tc>
          <w:tcPr>
            <w:tcW w:w="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500" w:type="dxa"/>
            <w:vAlign w:val="bottom"/>
            <w:gridSpan w:val="5"/>
          </w:tcPr>
          <w:p>
            <w:pPr>
              <w:jc w:val="center"/>
              <w:ind w:left="69"/>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tc>
        <w:tc>
          <w:tcPr>
            <w:tcW w:w="3720" w:type="dxa"/>
            <w:vAlign w:val="bottom"/>
          </w:tcPr>
          <w:p>
            <w:pPr>
              <w:spacing w:after="0"/>
              <w:rPr>
                <w:sz w:val="16"/>
                <w:szCs w:val="16"/>
                <w:color w:val="auto"/>
              </w:rPr>
            </w:pPr>
          </w:p>
        </w:tc>
      </w:tr>
      <w:tr>
        <w:trPr>
          <w:trHeight w:val="243"/>
        </w:trPr>
        <w:tc>
          <w:tcPr>
            <w:tcW w:w="2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7220" w:type="dxa"/>
            <w:vAlign w:val="bottom"/>
            <w:gridSpan w:val="6"/>
          </w:tcPr>
          <w:p>
            <w:pPr>
              <w:jc w:val="center"/>
              <w:ind w:right="351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33"/>
        </w:trPr>
        <w:tc>
          <w:tcPr>
            <w:tcW w:w="240" w:type="dxa"/>
            <w:vAlign w:val="bottom"/>
          </w:tcPr>
          <w:p>
            <w:pPr>
              <w:spacing w:after="0"/>
              <w:rPr>
                <w:sz w:val="20"/>
                <w:szCs w:val="20"/>
                <w:color w:val="auto"/>
              </w:rPr>
            </w:pPr>
          </w:p>
        </w:tc>
        <w:tc>
          <w:tcPr>
            <w:tcW w:w="356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3"/>
                <w:szCs w:val="13"/>
                <w:b w:val="1"/>
                <w:bCs w:val="1"/>
                <w:color w:val="auto"/>
              </w:rPr>
              <w:t>Name of exchange on which registered</w:t>
            </w:r>
          </w:p>
        </w:tc>
      </w:tr>
      <w:tr>
        <w:trPr>
          <w:trHeight w:val="188"/>
        </w:trPr>
        <w:tc>
          <w:tcPr>
            <w:tcW w:w="240" w:type="dxa"/>
            <w:vAlign w:val="bottom"/>
          </w:tcPr>
          <w:p>
            <w:pPr>
              <w:spacing w:after="0"/>
              <w:rPr>
                <w:sz w:val="16"/>
                <w:szCs w:val="16"/>
                <w:color w:val="auto"/>
              </w:rPr>
            </w:pPr>
          </w:p>
        </w:tc>
        <w:tc>
          <w:tcPr>
            <w:tcW w:w="3560" w:type="dxa"/>
            <w:vAlign w:val="bottom"/>
          </w:tcPr>
          <w:p>
            <w:pPr>
              <w:jc w:val="center"/>
              <w:ind w:left="670"/>
              <w:spacing w:after="0"/>
              <w:rPr>
                <w:sz w:val="20"/>
                <w:szCs w:val="20"/>
                <w:color w:val="auto"/>
              </w:rPr>
            </w:pPr>
            <w:r>
              <w:rPr>
                <w:rFonts w:ascii="Times New Roman" w:cs="Times New Roman" w:eastAsia="Times New Roman" w:hAnsi="Times New Roman"/>
                <w:sz w:val="13"/>
                <w:szCs w:val="13"/>
                <w:color w:val="auto"/>
              </w:rPr>
              <w:t>Common Stock, par value $0.001 per share</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3"/>
          </w:tcPr>
          <w:p>
            <w:pPr>
              <w:jc w:val="center"/>
              <w:ind w:right="720"/>
              <w:spacing w:after="0"/>
              <w:rPr>
                <w:sz w:val="20"/>
                <w:szCs w:val="20"/>
                <w:color w:val="auto"/>
              </w:rPr>
            </w:pPr>
            <w:r>
              <w:rPr>
                <w:rFonts w:ascii="Times New Roman" w:cs="Times New Roman" w:eastAsia="Times New Roman" w:hAnsi="Times New Roman"/>
                <w:sz w:val="13"/>
                <w:szCs w:val="13"/>
                <w:color w:val="auto"/>
                <w:w w:val="98"/>
              </w:rPr>
              <w:t>SPSC</w:t>
            </w:r>
          </w:p>
        </w:tc>
        <w:tc>
          <w:tcPr>
            <w:tcW w:w="3720" w:type="dxa"/>
            <w:vAlign w:val="bottom"/>
          </w:tcPr>
          <w:p>
            <w:pPr>
              <w:jc w:val="center"/>
              <w:ind w:right="590"/>
              <w:spacing w:after="0"/>
              <w:rPr>
                <w:sz w:val="20"/>
                <w:szCs w:val="20"/>
                <w:color w:val="auto"/>
              </w:rPr>
            </w:pPr>
            <w:r>
              <w:rPr>
                <w:rFonts w:ascii="Times New Roman" w:cs="Times New Roman" w:eastAsia="Times New Roman" w:hAnsi="Times New Roman"/>
                <w:sz w:val="13"/>
                <w:szCs w:val="13"/>
                <w:color w:val="auto"/>
              </w:rPr>
              <w:t>The Nasdaq Stock Market LLC (Nasdaq Global Market)</w:t>
            </w:r>
          </w:p>
        </w:tc>
      </w:tr>
      <w:tr>
        <w:trPr>
          <w:trHeight w:val="315"/>
        </w:trPr>
        <w:tc>
          <w:tcPr>
            <w:tcW w:w="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500" w:type="dxa"/>
            <w:vAlign w:val="bottom"/>
            <w:gridSpan w:val="5"/>
          </w:tcPr>
          <w:p>
            <w:pPr>
              <w:jc w:val="center"/>
              <w:ind w:left="8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tc>
        <w:tc>
          <w:tcPr>
            <w:tcW w:w="3720" w:type="dxa"/>
            <w:vAlign w:val="bottom"/>
          </w:tcPr>
          <w:p>
            <w:pPr>
              <w:spacing w:after="0"/>
              <w:rPr>
                <w:sz w:val="24"/>
                <w:szCs w:val="24"/>
                <w:color w:val="auto"/>
              </w:rPr>
            </w:pPr>
          </w:p>
        </w:tc>
      </w:tr>
      <w:tr>
        <w:trPr>
          <w:trHeight w:val="188"/>
        </w:trPr>
        <w:tc>
          <w:tcPr>
            <w:tcW w:w="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rPr>
              <w:t>None</w:t>
            </w:r>
          </w:p>
        </w:tc>
        <w:tc>
          <w:tcPr>
            <w:tcW w:w="3720" w:type="dxa"/>
            <w:vAlign w:val="bottom"/>
          </w:tcPr>
          <w:p>
            <w:pPr>
              <w:spacing w:after="0"/>
              <w:rPr>
                <w:sz w:val="16"/>
                <w:szCs w:val="16"/>
                <w:color w:val="auto"/>
              </w:rPr>
            </w:pPr>
          </w:p>
        </w:tc>
      </w:tr>
      <w:tr>
        <w:trPr>
          <w:trHeight w:val="256"/>
        </w:trPr>
        <w:tc>
          <w:tcPr>
            <w:tcW w:w="110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tc>
      </w:tr>
    </w:tbl>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82" w:lineRule="exact"/>
        <w:rPr>
          <w:sz w:val="24"/>
          <w:szCs w:val="24"/>
          <w:color w:val="auto"/>
        </w:rPr>
      </w:pPr>
    </w:p>
    <w:p>
      <w:pPr>
        <w:jc w:val="both"/>
        <w:ind w:right="18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40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820" w:type="dxa"/>
        <w:tblCellMar>
          <w:top w:w="0" w:type="dxa"/>
          <w:left w:w="0" w:type="dxa"/>
          <w:bottom w:w="0" w:type="dxa"/>
          <w:right w:w="0" w:type="dxa"/>
        </w:tblCellMar>
      </w:tblPr>
      <w:tr>
        <w:trPr>
          <w:trHeight w:val="188"/>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00" w:type="dxa"/>
            <w:vAlign w:val="bottom"/>
          </w:tcPr>
          <w:p>
            <w:pPr>
              <w:ind w:left="880"/>
              <w:spacing w:after="0"/>
              <w:rPr>
                <w:sz w:val="20"/>
                <w:szCs w:val="20"/>
                <w:color w:val="auto"/>
              </w:rPr>
            </w:pPr>
            <w:r>
              <w:rPr>
                <w:rFonts w:ascii="Wingdings" w:cs="Wingdings" w:eastAsia="Wingdings" w:hAnsi="Wingdings"/>
                <w:sz w:val="14"/>
                <w:szCs w:val="14"/>
                <w:b w:val="1"/>
                <w:bCs w:val="1"/>
                <w:color w:val="auto"/>
              </w:rPr>
              <w:t>x</w:t>
            </w:r>
          </w:p>
        </w:tc>
        <w:tc>
          <w:tcPr>
            <w:tcW w:w="31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60"/>
              <w:spacing w:after="0"/>
              <w:rPr>
                <w:sz w:val="20"/>
                <w:szCs w:val="20"/>
                <w:color w:val="auto"/>
              </w:rPr>
            </w:pPr>
            <w:r>
              <w:rPr>
                <w:rFonts w:ascii="Wingdings" w:cs="Wingdings" w:eastAsia="Wingdings" w:hAnsi="Wingdings"/>
                <w:sz w:val="14"/>
                <w:szCs w:val="14"/>
                <w:b w:val="1"/>
                <w:bCs w:val="1"/>
                <w:color w:val="auto"/>
                <w:w w:val="79"/>
              </w:rPr>
              <w:t>o</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800" w:type="dxa"/>
            <w:vAlign w:val="bottom"/>
          </w:tcPr>
          <w:p>
            <w:pPr>
              <w:ind w:left="880"/>
              <w:spacing w:after="0"/>
              <w:rPr>
                <w:sz w:val="20"/>
                <w:szCs w:val="20"/>
                <w:color w:val="auto"/>
              </w:rPr>
            </w:pPr>
            <w:r>
              <w:rPr>
                <w:rFonts w:ascii="Wingdings" w:cs="Wingdings" w:eastAsia="Wingdings" w:hAnsi="Wingdings"/>
                <w:sz w:val="14"/>
                <w:szCs w:val="14"/>
                <w:b w:val="1"/>
                <w:bCs w:val="1"/>
                <w:color w:val="auto"/>
              </w:rPr>
              <w:t>o</w:t>
            </w:r>
          </w:p>
        </w:tc>
        <w:tc>
          <w:tcPr>
            <w:tcW w:w="31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60"/>
              <w:spacing w:after="0"/>
              <w:rPr>
                <w:sz w:val="20"/>
                <w:szCs w:val="20"/>
                <w:color w:val="auto"/>
              </w:rPr>
            </w:pPr>
            <w:r>
              <w:rPr>
                <w:rFonts w:ascii="Wingdings" w:cs="Wingdings" w:eastAsia="Wingdings" w:hAnsi="Wingdings"/>
                <w:sz w:val="14"/>
                <w:szCs w:val="14"/>
                <w:b w:val="1"/>
                <w:bCs w:val="1"/>
                <w:color w:val="auto"/>
                <w:w w:val="79"/>
              </w:rPr>
              <w:t>o</w:t>
            </w:r>
          </w:p>
        </w:tc>
      </w:tr>
      <w:tr>
        <w:trPr>
          <w:trHeight w:val="216"/>
        </w:trPr>
        <w:tc>
          <w:tcPr>
            <w:tcW w:w="2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60"/>
              <w:spacing w:after="0"/>
              <w:rPr>
                <w:sz w:val="20"/>
                <w:szCs w:val="20"/>
                <w:color w:val="auto"/>
              </w:rPr>
            </w:pPr>
            <w:r>
              <w:rPr>
                <w:rFonts w:ascii="Wingdings" w:cs="Wingdings" w:eastAsia="Wingdings" w:hAnsi="Wingdings"/>
                <w:sz w:val="14"/>
                <w:szCs w:val="14"/>
                <w:b w:val="1"/>
                <w:bCs w:val="1"/>
                <w:color w:val="auto"/>
                <w:w w:val="79"/>
              </w:rPr>
              <w:t>o</w:t>
            </w:r>
          </w:p>
        </w:tc>
      </w:tr>
    </w:tbl>
    <w:p>
      <w:pPr>
        <w:spacing w:after="0" w:line="136" w:lineRule="exact"/>
        <w:rPr>
          <w:sz w:val="24"/>
          <w:szCs w:val="24"/>
          <w:color w:val="auto"/>
        </w:rPr>
      </w:pPr>
    </w:p>
    <w:p>
      <w:pPr>
        <w:ind w:right="52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ind w:right="8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7" w:lineRule="exact"/>
        <w:rPr>
          <w:sz w:val="24"/>
          <w:szCs w:val="24"/>
          <w:color w:val="auto"/>
        </w:rPr>
      </w:pPr>
    </w:p>
    <w:p>
      <w:pPr>
        <w:ind w:right="2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 w:lineRule="exact"/>
        <w:rPr>
          <w:sz w:val="24"/>
          <w:szCs w:val="24"/>
          <w:color w:val="auto"/>
        </w:rPr>
      </w:pPr>
    </w:p>
    <w:p>
      <w:pPr>
        <w:spacing w:after="0" w:line="161" w:lineRule="exact"/>
        <w:tabs>
          <w:tab w:leader="none" w:pos="70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127"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4"/>
          <w:szCs w:val="14"/>
          <w:color w:val="auto"/>
        </w:rPr>
        <w:t>As of June 28, 2024, the last business day of the registrant’s most recently completed second fiscal quarter, the aggregate market value of shares of the registrant’s common stock held by non-affiliates of the registrant (based upon the closing sale price of $188.16 per share on the Nasdaq Global Market on such date) was approximately $7.0 billion.</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par value $0.001 per share, outstanding as of February 11, 2025 was 37,773,837 shares.</w:t>
      </w:r>
    </w:p>
    <w:p>
      <w:pPr>
        <w:spacing w:after="0" w:line="8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82"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Portions of the Company’s definitive Proxy Statement for the Annual Meeting of Stockholders to be held on May 13, 2025 (the “2025 Proxy Statement”), which is expected to be filed within 120 days after the end of the fiscal year covered by this Annual Report on Form 10-K, are incorporated by reference in Part III of this Annual Report on Form 10-K.</w:t>
      </w:r>
    </w:p>
    <w:p>
      <w:pPr>
        <w:spacing w:after="0" w:line="67" w:lineRule="exact"/>
        <w:rPr>
          <w:sz w:val="24"/>
          <w:szCs w:val="24"/>
          <w:color w:val="auto"/>
        </w:rPr>
      </w:pPr>
    </w:p>
    <w:p>
      <w:pPr>
        <w:ind w:left="420"/>
        <w:spacing w:after="0"/>
        <w:tabs>
          <w:tab w:leader="none" w:pos="2580" w:val="left"/>
          <w:tab w:leader="none" w:pos="4060" w:val="left"/>
          <w:tab w:leader="none" w:pos="5940" w:val="left"/>
          <w:tab w:leader="none" w:pos="7620" w:val="left"/>
          <w:tab w:leader="none" w:pos="944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185</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KPMG,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Minneapolis, MN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118110</wp:posOffset>
            </wp:positionV>
            <wp:extent cx="6875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143510</wp:posOffset>
            </wp:positionV>
            <wp:extent cx="6875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00" w:type="dxa"/>
            <w:vAlign w:val="bottom"/>
            <w:gridSpan w:val="9"/>
          </w:tcPr>
          <w:p>
            <w:pPr>
              <w:jc w:val="center"/>
              <w:ind w:right="3700"/>
              <w:spacing w:after="0"/>
              <w:rPr>
                <w:sz w:val="20"/>
                <w:szCs w:val="20"/>
                <w:color w:val="auto"/>
              </w:rPr>
            </w:pPr>
            <w:r>
              <w:rPr>
                <w:rFonts w:ascii="Times New Roman" w:cs="Times New Roman" w:eastAsia="Times New Roman" w:hAnsi="Times New Roman"/>
                <w:sz w:val="18"/>
                <w:szCs w:val="18"/>
                <w:b w:val="1"/>
                <w:bCs w:val="1"/>
                <w:color w:val="00AAE5"/>
                <w:w w:val="99"/>
              </w:rPr>
              <w:t>SPS COMMERCE, INC.</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60" w:type="dxa"/>
            <w:vAlign w:val="bottom"/>
            <w:gridSpan w:val="11"/>
          </w:tcPr>
          <w:p>
            <w:pPr>
              <w:jc w:val="center"/>
              <w:ind w:right="2820"/>
              <w:spacing w:after="0"/>
              <w:rPr>
                <w:sz w:val="20"/>
                <w:szCs w:val="20"/>
                <w:color w:val="auto"/>
              </w:rPr>
            </w:pPr>
            <w:r>
              <w:rPr>
                <w:rFonts w:ascii="Times New Roman" w:cs="Times New Roman" w:eastAsia="Times New Roman" w:hAnsi="Times New Roman"/>
                <w:sz w:val="18"/>
                <w:szCs w:val="18"/>
                <w:b w:val="1"/>
                <w:bCs w:val="1"/>
                <w:color w:val="00AAE5"/>
                <w:w w:val="99"/>
              </w:rPr>
              <w:t>ANNUAL REPORT ON FORM 10-K</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00" w:type="dxa"/>
            <w:vAlign w:val="bottom"/>
            <w:gridSpan w:val="9"/>
          </w:tcPr>
          <w:p>
            <w:pPr>
              <w:jc w:val="center"/>
              <w:ind w:right="3700"/>
              <w:spacing w:after="0"/>
              <w:rPr>
                <w:sz w:val="20"/>
                <w:szCs w:val="20"/>
                <w:color w:val="auto"/>
              </w:rPr>
            </w:pPr>
            <w:r>
              <w:rPr>
                <w:rFonts w:ascii="Times New Roman" w:cs="Times New Roman" w:eastAsia="Times New Roman" w:hAnsi="Times New Roman"/>
                <w:sz w:val="18"/>
                <w:szCs w:val="18"/>
                <w:b w:val="1"/>
                <w:bCs w:val="1"/>
                <w:color w:val="00AAE5"/>
                <w:w w:val="98"/>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980" w:type="dxa"/>
            <w:vAlign w:val="bottom"/>
          </w:tcPr>
          <w:p>
            <w:pPr>
              <w:spacing w:after="0"/>
              <w:rPr>
                <w:sz w:val="24"/>
                <w:szCs w:val="24"/>
                <w:color w:val="auto"/>
              </w:rPr>
            </w:pPr>
          </w:p>
        </w:tc>
        <w:tc>
          <w:tcPr>
            <w:tcW w:w="93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9320" w:type="dxa"/>
            <w:vAlign w:val="bottom"/>
            <w:gridSpan w:val="25"/>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5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Business</w:t>
            </w:r>
          </w:p>
        </w:tc>
        <w:tc>
          <w:tcPr>
            <w:tcW w:w="7960" w:type="dxa"/>
            <w:vAlign w:val="bottom"/>
            <w:gridSpan w:val="20"/>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7700" w:type="dxa"/>
            <w:vAlign w:val="bottom"/>
            <w:gridSpan w:val="17"/>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Unresolved Staff Comments</w:t>
            </w:r>
          </w:p>
        </w:tc>
        <w:tc>
          <w:tcPr>
            <w:tcW w:w="6560" w:type="dxa"/>
            <w:vAlign w:val="bottom"/>
            <w:gridSpan w:val="11"/>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600" w:type="dxa"/>
            <w:vAlign w:val="bottom"/>
            <w:gridSpan w:val="16"/>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80"/>
        </w:trPr>
        <w:tc>
          <w:tcPr>
            <w:tcW w:w="9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740" w:type="dxa"/>
            <w:vAlign w:val="bottom"/>
            <w:tcBorders>
              <w:top w:val="single" w:sz="8" w:color="0000FF"/>
            </w:tcBorders>
            <w:gridSpan w:val="9"/>
          </w:tcPr>
          <w:p>
            <w:pPr>
              <w:spacing w:after="0"/>
              <w:rPr>
                <w:sz w:val="24"/>
                <w:szCs w:val="24"/>
                <w:color w:val="auto"/>
              </w:rPr>
            </w:pPr>
          </w:p>
        </w:tc>
        <w:tc>
          <w:tcPr>
            <w:tcW w:w="6840" w:type="dxa"/>
            <w:vAlign w:val="bottom"/>
            <w:gridSpan w:val="13"/>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5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14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240" w:type="dxa"/>
            <w:vAlign w:val="bottom"/>
            <w:gridSpan w:val="6"/>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4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84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700" w:type="dxa"/>
            <w:vAlign w:val="bottom"/>
            <w:gridSpan w:val="5"/>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80"/>
        </w:trPr>
        <w:tc>
          <w:tcPr>
            <w:tcW w:w="98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3"/>
              </w:rPr>
              <w:t>PART III</w:t>
            </w:r>
          </w:p>
        </w:tc>
        <w:tc>
          <w:tcPr>
            <w:tcW w:w="8580" w:type="dxa"/>
            <w:vAlign w:val="bottom"/>
            <w:gridSpan w:val="22"/>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Executive Compensation</w:t>
            </w:r>
          </w:p>
        </w:tc>
        <w:tc>
          <w:tcPr>
            <w:tcW w:w="2280" w:type="dxa"/>
            <w:vAlign w:val="bottom"/>
            <w:tcBorders>
              <w:top w:val="single" w:sz="8" w:color="0000FF"/>
            </w:tcBorders>
            <w:gridSpan w:val="5"/>
          </w:tcPr>
          <w:p>
            <w:pPr>
              <w:spacing w:after="0"/>
              <w:rPr>
                <w:sz w:val="18"/>
                <w:szCs w:val="18"/>
                <w:color w:val="auto"/>
              </w:rPr>
            </w:pPr>
          </w:p>
        </w:tc>
        <w:tc>
          <w:tcPr>
            <w:tcW w:w="452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32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16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480"/>
        </w:trPr>
        <w:tc>
          <w:tcPr>
            <w:tcW w:w="980" w:type="dxa"/>
            <w:vAlign w:val="bottom"/>
          </w:tcPr>
          <w:p>
            <w:pPr>
              <w:spacing w:after="0"/>
              <w:rPr>
                <w:sz w:val="24"/>
                <w:szCs w:val="24"/>
                <w:color w:val="auto"/>
              </w:rPr>
            </w:pPr>
          </w:p>
        </w:tc>
        <w:tc>
          <w:tcPr>
            <w:tcW w:w="7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2840" w:type="dxa"/>
            <w:vAlign w:val="bottom"/>
            <w:tcBorders>
              <w:top w:val="single" w:sz="8" w:color="0000FF"/>
            </w:tcBorders>
            <w:gridSpan w:val="12"/>
          </w:tcPr>
          <w:p>
            <w:pPr>
              <w:spacing w:after="0"/>
              <w:rPr>
                <w:sz w:val="24"/>
                <w:szCs w:val="24"/>
                <w:color w:val="auto"/>
              </w:rPr>
            </w:pPr>
          </w:p>
        </w:tc>
        <w:tc>
          <w:tcPr>
            <w:tcW w:w="5740" w:type="dxa"/>
            <w:vAlign w:val="bottom"/>
            <w:gridSpan w:val="10"/>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Exhibits, Financial Statement Schedules</w:t>
            </w:r>
          </w:p>
        </w:tc>
        <w:tc>
          <w:tcPr>
            <w:tcW w:w="5700" w:type="dxa"/>
            <w:vAlign w:val="bottom"/>
            <w:gridSpan w:val="9"/>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40" w:type="dxa"/>
            <w:vAlign w:val="bottom"/>
            <w:tcBorders>
              <w:right w:val="single" w:sz="8" w:color="0000FF"/>
            </w:tcBorders>
            <w:gridSpan w:val="3"/>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00" w:type="dxa"/>
            <w:vAlign w:val="bottom"/>
            <w:gridSpan w:val="7"/>
            <w:shd w:val="clear" w:color="auto" w:fill="0000FF"/>
          </w:tcPr>
          <w:p>
            <w:pPr>
              <w:spacing w:after="0" w:line="20" w:lineRule="exact"/>
              <w:rPr>
                <w:sz w:val="1"/>
                <w:szCs w:val="1"/>
                <w:color w:val="auto"/>
              </w:rPr>
            </w:pPr>
          </w:p>
        </w:tc>
        <w:tc>
          <w:tcPr>
            <w:tcW w:w="7060" w:type="dxa"/>
            <w:vAlign w:val="bottom"/>
            <w:gridSpan w:val="1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980" w:type="dxa"/>
            <w:vAlign w:val="bottom"/>
          </w:tcPr>
          <w:p>
            <w:pPr>
              <w:spacing w:after="0"/>
              <w:rPr>
                <w:sz w:val="24"/>
                <w:szCs w:val="24"/>
                <w:color w:val="auto"/>
              </w:rPr>
            </w:pPr>
          </w:p>
        </w:tc>
        <w:tc>
          <w:tcPr>
            <w:tcW w:w="1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8160" w:type="dxa"/>
            <w:vAlign w:val="bottom"/>
            <w:gridSpan w:val="2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for purposes of the Annual Report on Form 10-K, the words “we,” “us,” “our,” the “Company,” “SPS,” and “SPS Commerce” refer to SPS Commerce, Inc.</w:t>
      </w:r>
    </w:p>
    <w:p>
      <w:pPr>
        <w:spacing w:after="0" w:line="192"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40030" cy="2317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2</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the U.S. Private Securities Litigation Reform Act of</w:t>
      </w:r>
    </w:p>
    <w:p>
      <w:pPr>
        <w:spacing w:after="0" w:line="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in Part I, Item IA, “Risk Factors” of this Annual Report on Form 10-K for the year ended December 31, 2024, as may be updated in our subsequent Quarterly Reports on Form 10-Q or other filings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U.S. Securities and Exchange Commission ("SEC") that advise interested parties of the risks and factors that may affect our business.</w:t>
      </w:r>
    </w:p>
    <w:p>
      <w:pPr>
        <w:spacing w:after="0" w:line="219"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40030" cy="2311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PART 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00AAE5"/>
        </w:rPr>
        <w:t>Item 1.</w:t>
      </w:r>
      <w:r>
        <w:rPr>
          <w:sz w:val="20"/>
          <w:szCs w:val="20"/>
          <w:color w:val="auto"/>
        </w:rPr>
        <w:tab/>
      </w:r>
      <w:r>
        <w:rPr>
          <w:rFonts w:ascii="Times New Roman" w:cs="Times New Roman" w:eastAsia="Times New Roman" w:hAnsi="Times New Roman"/>
          <w:sz w:val="17"/>
          <w:szCs w:val="17"/>
          <w:b w:val="1"/>
          <w:bCs w:val="1"/>
          <w:color w:val="00AAE5"/>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Overview</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SPS Commerce is transforming how our global retail supply chain co-operates by creating a more dynamic, interconnected community where players can more freely connect, collaborate, and prosper together. Our comprehensive suite of cloud-based products and solutions lead the industry in establishing and maintaining stronger collaboration between retailers, grocers, distributors, suppliers, manufacturers, and logistics firms around the globe.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Our products enable customers to enhance how they operate: both within their organizations and with their trading partners, with reduced operational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stronger supply chain performance; compete: with order and supply chain visibility, sell-through data, and optimized inventory management,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adapt: through the limitless access to connect and grow with the world’s largest retail network of trading partners that only SPS Commerce can offer.</w:t>
      </w:r>
    </w:p>
    <w:p>
      <w:pPr>
        <w:spacing w:after="0" w:line="9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45,350 customers with an active recurring revenue contract at the end of the period, which we refer to as recurring revenue customers, across approximately 90 countries. Once connected to the SPS Commerce cloud-based retail network, our recurring revenue customers often require additional integrations to new organizations that represent an expansion of our cloud-based network and new sources of revenues for us.</w:t>
      </w:r>
    </w:p>
    <w:p>
      <w:pPr>
        <w:spacing w:after="0" w:line="7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we generated revenues of $637.8 million, $536.9 million, and $450.9 million, respectively. Our quarter ended December 31, 2024 represented our 96th consecutive quarter of revenue growth. Recurring revenues from recurring revenue customers accounted for 94%, 94%, and 93% of our total revenues for the years ended December 31, 2024, 2023, and 2022, respectively. Our revenues are not concentrated with any customer, as our largest customer represented less than 1% of total revenues for the years ended December 31, 2024, 2023, and 2022.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Increasing Demand for a Retail Network</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The retail industry is constantly evolving, and consumers expect more, which has accelerated the need for a more automated supply chain. To navigate disruptions and meet growing consumer demands, companies across the retail ecosystem need to integrate their operations and communications from wholesale, eCommerce, and marketplace sales channels into a single omnichannel process. These channels no longer operate independently but instead in an interconnected fashion as consumers demand more buying and delivery options. The coordination needed to manage multiple channels adds complexity to supply chains and trading partner relationships. The SPS Commerce retail network offers a single destination where companies can manage item details, orders, shipments, invoices, and much more for any customer and any channel.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Our Products</w:t>
      </w:r>
    </w:p>
    <w:p>
      <w:pPr>
        <w:spacing w:after="0" w:line="12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SPS Commerce operates one of the largest retail networks in the world to improve the way retailers, grocers, distributors, suppliers, and logistics firms work together. Our recurring revenue customers use SPS Commerce products to expand and optimize the performance of their trading relationships through the network.</w:t>
      </w:r>
    </w:p>
    <w:p>
      <w:pPr>
        <w:spacing w:after="0" w:line="6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products fundamentally change how organizations communicate information to manage their omnichannel, supply chain, and other business requirements. Our products replace traditional, manual, or disparate approaches (such as email, phone, and fax), multiple channel-specific solution providers, as well as custom-built, point-to-point integrations by delivering a single smart connection to the entire SPS Commerce retail network of prebuilt connections to thousands of global trading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include:</w:t>
      </w:r>
    </w:p>
    <w:p>
      <w:pPr>
        <w:spacing w:after="0" w:line="50" w:lineRule="exact"/>
        <w:rPr>
          <w:sz w:val="20"/>
          <w:szCs w:val="20"/>
          <w:color w:val="auto"/>
        </w:rPr>
      </w:pPr>
    </w:p>
    <w:p>
      <w:pPr>
        <w:ind w:left="980" w:right="20" w:hanging="486"/>
        <w:spacing w:after="0" w:line="259"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Fulfillment - </w:t>
      </w:r>
      <w:r>
        <w:rPr>
          <w:rFonts w:ascii="Times New Roman" w:cs="Times New Roman" w:eastAsia="Times New Roman" w:hAnsi="Times New Roman"/>
          <w:sz w:val="18"/>
          <w:szCs w:val="18"/>
          <w:color w:val="auto"/>
        </w:rPr>
        <w:t>Our Fulfillment product offers a comprehensive solution designed to streamline supply chain operations. Our connections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empower retailers, grocers, distributors, suppliers, manufacturers, and logistics firms to efficiently send and receive order data, ensuring accurate execution of required processes from order to invoicing and revenue recovery through fully automated operations. By integrating seamlessly with existing systems, Fulfillment enhances day-to-day efficiency, reduces errors, and provides real-time visibility across all of our customers' order channels.</w:t>
      </w:r>
    </w:p>
    <w:p>
      <w:pPr>
        <w:spacing w:after="0" w:line="228"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40030" cy="2311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4</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80" w:right="40" w:hanging="486"/>
        <w:spacing w:after="0" w:line="268" w:lineRule="auto"/>
        <w:tabs>
          <w:tab w:leader="none" w:pos="97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Analytics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Analytics product simplifies managing sell-through data from our customers’ business partners. We handle data acquisition,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cleansing, normalization, and delivery. Our pre-built dashboards create custom reports, or integrate data with existing tools, to gain insights to enhance product performance, forecasting, pricing, and inventory management.</w:t>
      </w:r>
    </w:p>
    <w:p>
      <w:pPr>
        <w:spacing w:after="0" w:line="62" w:lineRule="exact"/>
        <w:rPr>
          <w:rFonts w:ascii="Times New Roman" w:cs="Times New Roman" w:eastAsia="Times New Roman" w:hAnsi="Times New Roman"/>
          <w:sz w:val="18"/>
          <w:szCs w:val="18"/>
          <w:b w:val="1"/>
          <w:bCs w:val="1"/>
          <w:i w:val="1"/>
          <w:iCs w:val="1"/>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Products - </w:t>
      </w:r>
      <w:r>
        <w:rPr>
          <w:rFonts w:ascii="Times New Roman" w:cs="Times New Roman" w:eastAsia="Times New Roman" w:hAnsi="Times New Roman"/>
          <w:sz w:val="18"/>
          <w:szCs w:val="18"/>
          <w:color w:val="auto"/>
        </w:rPr>
        <w:t>We also have other complementary products, including:</w:t>
      </w:r>
    </w:p>
    <w:p>
      <w:pPr>
        <w:spacing w:after="0" w:line="31" w:lineRule="exact"/>
        <w:rPr>
          <w:rFonts w:ascii="Times New Roman" w:cs="Times New Roman" w:eastAsia="Times New Roman" w:hAnsi="Times New Roman"/>
          <w:sz w:val="18"/>
          <w:szCs w:val="18"/>
          <w:color w:val="auto"/>
        </w:rPr>
      </w:pPr>
    </w:p>
    <w:p>
      <w:pPr>
        <w:ind w:left="1620" w:right="200" w:hanging="478"/>
        <w:spacing w:after="0" w:line="250" w:lineRule="auto"/>
        <w:tabs>
          <w:tab w:leader="none" w:pos="161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Assortment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Assortment product simplifies the communication of robust, accurate item data by automatically translating item attributes and hierarchies through a single connection across all sales channels.</w:t>
      </w:r>
    </w:p>
    <w:p>
      <w:pPr>
        <w:ind w:left="1620" w:right="20" w:hanging="478"/>
        <w:spacing w:after="0" w:line="260" w:lineRule="auto"/>
        <w:tabs>
          <w:tab w:leader="none" w:pos="161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Community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Community product allows organizations to accelerate digitization of their supply chain and improve collaboration with suppliers through proven change management, onboarding programs, and supplier score carding.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these offerings, we also provide one-time services such as professional services and testing and certification.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Growing Our Network</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As one of the largest providers of cloud-based services for retail supply chain management, SPS Commerce enables trading partner relationships among retailers, grocers, distributors, suppliers, manufacturers, and logistics firms that naturally lead to new customer acquisition opportunities.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Effect”</w:t>
      </w:r>
    </w:p>
    <w:p>
      <w:pPr>
        <w:spacing w:after="0" w:line="1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Once connected to our retail network, trading partners can exchange electronic supply chain information with each other. The value of our network increases with the number of trading partners connected to it. After joining our retail network, customers often find that many of their existing or new trading partners are already on the network, allowing for easy connections. The addition of each new customer enables that customer to communicate with our existing customers and permits our existing customers to do business with the new customer. This “network effect” of adding additional customers to our products’ infrastructure creates a significant opportunity for existing customers to realize incremental sales by working with our new trading partners and vice versa. As a result of this increased volume of activity among our network participants, we earn additional revenues from these participants.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Sources</w:t>
      </w:r>
    </w:p>
    <w:p>
      <w:pPr>
        <w:spacing w:after="0" w:line="119"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Community - </w:t>
      </w:r>
      <w:r>
        <w:rPr>
          <w:rFonts w:ascii="Times New Roman" w:cs="Times New Roman" w:eastAsia="Times New Roman" w:hAnsi="Times New Roman"/>
          <w:sz w:val="18"/>
          <w:szCs w:val="18"/>
          <w:color w:val="auto"/>
        </w:rPr>
        <w:t>As retailers and suppliers reshape how they do business in an omnichannel landscape, they need to bring new capabilities and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their trading partner networks. Our Community product is designed to manage this process and bring suppliers into compliance with new requirements. For instance, a supplier may wish to collaborate with their retailers around point-of-sale analytics data, or a retailer may decide to change the workflow or protocol by which it interacts with its suppliers. In each case, the supplier and retailer may engage us to work with their trading partner base to enable the new capability. Performing these programs on behalf of retailers and suppliers generates supplier sales leads for us.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Referrals from Our Customers - </w:t>
      </w:r>
      <w:r>
        <w:rPr>
          <w:rFonts w:ascii="Times New Roman" w:cs="Times New Roman" w:eastAsia="Times New Roman" w:hAnsi="Times New Roman"/>
          <w:sz w:val="18"/>
          <w:szCs w:val="18"/>
          <w:color w:val="auto"/>
        </w:rPr>
        <w:t>We also receive sales leads from our customers seeking to communicate electronically with their trading partners.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a supplier may refer a third-party logistics provider or manufacturer, which is not in our network, to us.</w:t>
      </w:r>
    </w:p>
    <w:p>
      <w:pPr>
        <w:spacing w:after="0" w:line="97" w:lineRule="exact"/>
        <w:rPr>
          <w:sz w:val="20"/>
          <w:szCs w:val="20"/>
          <w:color w:val="auto"/>
        </w:rPr>
      </w:pPr>
    </w:p>
    <w:p>
      <w:pPr>
        <w:jc w:val="both"/>
        <w:ind w:right="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Marketing - </w:t>
      </w:r>
      <w:r>
        <w:rPr>
          <w:rFonts w:ascii="Times New Roman" w:cs="Times New Roman" w:eastAsia="Times New Roman" w:hAnsi="Times New Roman"/>
          <w:sz w:val="18"/>
          <w:szCs w:val="18"/>
          <w:color w:val="auto"/>
        </w:rPr>
        <w:t>We employ various marketing strategies. Our marketing programs include a variety of lead generating activities including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account-based marketing, conferences and trade shows, sponsored events, and public relations activities targeted at key decision makers within our prospective customers.</w:t>
      </w:r>
    </w:p>
    <w:p>
      <w:pPr>
        <w:spacing w:after="0" w:line="65" w:lineRule="exact"/>
        <w:rPr>
          <w:sz w:val="20"/>
          <w:szCs w:val="20"/>
          <w:color w:val="auto"/>
        </w:rPr>
      </w:pPr>
    </w:p>
    <w:p>
      <w:pPr>
        <w:jc w:val="both"/>
        <w:ind w:right="24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Channel Partners - </w:t>
      </w:r>
      <w:r>
        <w:rPr>
          <w:rFonts w:ascii="Times New Roman" w:cs="Times New Roman" w:eastAsia="Times New Roman" w:hAnsi="Times New Roman"/>
          <w:sz w:val="18"/>
          <w:szCs w:val="18"/>
          <w:color w:val="auto"/>
        </w:rPr>
        <w:t>In addition to the customer acquisition sources identified above, we market and sell our products through a variety of channel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including software providers, resellers, system integrators, and logistics partners. For example, software partners such as Microsoft, NetSuite, Oracle, SAP, Sage, and their business partner communities generate sales for us as part of broader enterprise resource planning, warehouse management system and/or transportation management system sales efforts. Our logistics partners also drive new sales both by providing leads and by embedding our products as part of their service offerings</w:t>
      </w:r>
      <w:r>
        <w:rPr>
          <w:rFonts w:ascii="Times New Roman" w:cs="Times New Roman" w:eastAsia="Times New Roman" w:hAnsi="Times New Roman"/>
          <w:sz w:val="18"/>
          <w:szCs w:val="18"/>
          <w:i w:val="1"/>
          <w:iCs w:val="1"/>
          <w:color w:val="auto"/>
        </w:rPr>
        <w:t>.</w:t>
      </w:r>
    </w:p>
    <w:p>
      <w:pPr>
        <w:spacing w:after="0" w:line="217"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40030" cy="2317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5</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Our Growth Strategy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objective is to be the leading global retail network and provider of supply chain management products. Key elements of our strategy include:</w:t>
      </w:r>
    </w:p>
    <w:p>
      <w:pPr>
        <w:spacing w:after="0" w:line="113" w:lineRule="exact"/>
        <w:rPr>
          <w:sz w:val="20"/>
          <w:szCs w:val="20"/>
          <w:color w:val="auto"/>
        </w:rPr>
      </w:pPr>
    </w:p>
    <w:p>
      <w:pPr>
        <w:ind w:left="980" w:right="200" w:hanging="486"/>
        <w:spacing w:after="0" w:line="26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Further Penetrate Our Current Market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the global supply chain management market is underpenetrated. As the retail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continues to respond to the changing requirements of the omnichannel marketplace, and as the supply chain ecosystem becomes more complex and geographically dispersed, we believe the demand for supply chain management solutions will increase. We intend to continue leveraging our relationships with customers and their trading partners to obtain new sales leads.</w:t>
      </w:r>
    </w:p>
    <w:p>
      <w:pPr>
        <w:spacing w:after="0" w:line="68" w:lineRule="exact"/>
        <w:rPr>
          <w:rFonts w:ascii="Times New Roman" w:cs="Times New Roman" w:eastAsia="Times New Roman" w:hAnsi="Times New Roman"/>
          <w:sz w:val="18"/>
          <w:szCs w:val="18"/>
          <w:color w:val="auto"/>
        </w:rPr>
      </w:pPr>
    </w:p>
    <w:p>
      <w:pPr>
        <w:ind w:left="980" w:right="40" w:hanging="486"/>
        <w:spacing w:after="0" w:line="257"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Revenues from Our Customer Base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our overall customer satisfaction is strong and will lead our customers to further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 their use of our products they have purchased, as well as purchase additional products to continue improving the performance of their trading partner relationships, generating additional revenues for us. We also expect to introduce new products to sell to our customers. We believe our position as the incumbent supply chain management solution provider to our customers, our integration into our recurring revenue customers’ business systems, and the modular nature of our cloud-based products are conducive to deploying additional products with customers.</w:t>
      </w:r>
    </w:p>
    <w:p>
      <w:pPr>
        <w:spacing w:after="0" w:line="74" w:lineRule="exact"/>
        <w:rPr>
          <w:rFonts w:ascii="Times New Roman" w:cs="Times New Roman" w:eastAsia="Times New Roman" w:hAnsi="Times New Roman"/>
          <w:sz w:val="18"/>
          <w:szCs w:val="18"/>
          <w:color w:val="auto"/>
        </w:rPr>
      </w:pPr>
    </w:p>
    <w:p>
      <w:pPr>
        <w:ind w:left="980" w:right="560" w:hanging="486"/>
        <w:spacing w:after="0" w:line="28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Distribution Channels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grow our business by expanding our sales capacity to gain new customers. We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there are valuable opportunities to promote and sell our products through collaboration with other providers.</w:t>
      </w:r>
    </w:p>
    <w:p>
      <w:pPr>
        <w:spacing w:after="0" w:line="46" w:lineRule="exact"/>
        <w:rPr>
          <w:rFonts w:ascii="Times New Roman" w:cs="Times New Roman" w:eastAsia="Times New Roman" w:hAnsi="Times New Roman"/>
          <w:sz w:val="18"/>
          <w:szCs w:val="18"/>
          <w:color w:val="auto"/>
        </w:rPr>
      </w:pPr>
    </w:p>
    <w:p>
      <w:pPr>
        <w:ind w:left="980" w:right="120" w:hanging="486"/>
        <w:spacing w:after="0" w:line="26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International Presence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our presence in Asia Pacific and Europe has created a foundation to expand our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presence. We plan to increase our global sales efforts to obtain new customers around the world. We intend to leverage our current global presence to increase the number of integrations we have with retailers in foreign markets to make our products more valuable to their trading partners based overseas.</w:t>
      </w:r>
    </w:p>
    <w:p>
      <w:pPr>
        <w:spacing w:after="0" w:line="68" w:lineRule="exact"/>
        <w:rPr>
          <w:rFonts w:ascii="Times New Roman" w:cs="Times New Roman" w:eastAsia="Times New Roman" w:hAnsi="Times New Roman"/>
          <w:sz w:val="18"/>
          <w:szCs w:val="18"/>
          <w:color w:val="auto"/>
        </w:rPr>
      </w:pPr>
    </w:p>
    <w:p>
      <w:pPr>
        <w:ind w:left="980" w:right="240" w:hanging="486"/>
        <w:spacing w:after="0" w:line="28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Enhance and Expand Our Services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further improve and develop the functionality and features of our cloud-based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from time to time, developing new offerings and applications.</w:t>
      </w:r>
    </w:p>
    <w:p>
      <w:pPr>
        <w:spacing w:after="0" w:line="46" w:lineRule="exact"/>
        <w:rPr>
          <w:rFonts w:ascii="Times New Roman" w:cs="Times New Roman" w:eastAsia="Times New Roman" w:hAnsi="Times New Roman"/>
          <w:sz w:val="18"/>
          <w:szCs w:val="18"/>
          <w:color w:val="auto"/>
        </w:rPr>
      </w:pPr>
    </w:p>
    <w:p>
      <w:pPr>
        <w:ind w:left="980" w:hanging="486"/>
        <w:spacing w:after="0" w:line="257" w:lineRule="auto"/>
        <w:tabs>
          <w:tab w:leader="none" w:pos="97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Selectively Pursue Strategic Acquisitions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nature of our market provides an opportunity for selective acquisitions. We plan to continue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evaluate potential acquisitions based on the number of new customers, revenue, functionality, or geographic reach the acquisition would provide relative to the purchase price, and our ability to integrate and operate the acquired business. In 2024, we acquired SupplyPike, Inc. ("SupplyPike"), a revenue recovery solution, Traverse Systems LLC ("Traverse Systems"), an industry-leading provider in retailer supply chain performance and vendor management, and Vision33's SAP Business One SPS Integration Technology. These acquisitions further extend the capabilities of our network and added new customers and technology.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Our Market Opportunity</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We believe we have a significant market opportunity to help organizations accelerate their omnichannel retail strategies with our retail network and supply chain products.</w:t>
      </w:r>
    </w:p>
    <w:p>
      <w:pPr>
        <w:spacing w:after="0" w:line="50" w:lineRule="exact"/>
        <w:rPr>
          <w:sz w:val="20"/>
          <w:szCs w:val="20"/>
          <w:color w:val="auto"/>
        </w:rPr>
      </w:pPr>
    </w:p>
    <w:p>
      <w:pPr>
        <w:jc w:val="both"/>
        <w:ind w:left="980" w:right="380" w:hanging="486"/>
        <w:spacing w:after="0" w:line="268"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Omnichannel retail requires new connections/transactions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sales channel (wholesale, eCommerce, and marketplaces) brings new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partners to the supply chain process. As customers expand their business, the SPS Commerce retail network is a core part of their omnichannel strategy. Each additional channel brings more reliance and volume to the network and increases customer revenue.</w:t>
      </w:r>
    </w:p>
    <w:p>
      <w:pPr>
        <w:spacing w:after="0" w:line="62" w:lineRule="exact"/>
        <w:rPr>
          <w:rFonts w:ascii="Times New Roman" w:cs="Times New Roman" w:eastAsia="Times New Roman" w:hAnsi="Times New Roman"/>
          <w:sz w:val="18"/>
          <w:szCs w:val="18"/>
          <w:color w:val="auto"/>
        </w:rPr>
      </w:pPr>
    </w:p>
    <w:p>
      <w:pPr>
        <w:ind w:left="980" w:right="160" w:hanging="486"/>
        <w:spacing w:after="0" w:line="259"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Retail needs automation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increased retail store openings and closings, labor shortages, supply chain disruptions, and new buying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patterns, retailers are demanding more from their trading partners as they need to be agile and transition their businesses as markets change. Businesses using SPS Commerce products to automate supply chain functions with their trading partners can pivot quickly to new delivery models and capture market share. The visibility into orders, shipments, and inventory gained by automating trading relationships on the SPS Commerce retail network is critical to their success and offers a competitive advantage.</w:t>
      </w:r>
    </w:p>
    <w:p>
      <w:pPr>
        <w:spacing w:after="0" w:line="215"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40030" cy="2317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6</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80" w:right="40" w:hanging="486"/>
        <w:spacing w:after="0" w:line="25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Consumers want new products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Retail assortments are ever-changing with seasonality shifts and new product introductions from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all sizes. Consumers want the latest products and retailers are continually chasing trends, offering differentiated items, and introducing new products and suppliers to their supply chains. As retailers evolve, their trading partner relationships must support any new product introductions or new suppliers to achieve their merchandising goals. The SPS Commerce retail network automates these relationships to quickly secure product details, initiate orders, and track performance to help keep operations running smoothly.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Technology, Development and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SPS Commerce was an early provider of cloud-services to the retail supply chain management industry, launching the first version of what would become our current services in 1997. We use commercially available hardware and cloud-services with a combination of proprietary and commercially available software.</w:t>
      </w:r>
    </w:p>
    <w:p>
      <w:pPr>
        <w:spacing w:after="0" w:line="6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cloud-service model treats all customers as logically separate tenants within a shared virtual infrastructure. As a result, we spread the cost of delivering our products across our customer base. Because we do not manage thousands of distinct applications with their own business logic and database schemas, we can scale our business faster than traditional software vendors, even those that modified their products to be accessible over the internet.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w:t>
      </w:r>
    </w:p>
    <w:p>
      <w:pPr>
        <w:spacing w:after="0" w:line="12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focus on maintaining, improving, and enhancing our existing products, as well as developing new products and applications. Our multi-tenant products serve all of our customers, which allows us to maintain relatively low research and development expenses and release software updates more frequently compared to traditional on-premise licensed software products that support multiple versions. Our development efforts take place at our United States ("U.S.") locations in Minnesota, Iowa, Arkansas, and New Jersey, as well as in Melbourne, Australia; Toronto, Canada; Breukelen, Netherlands; and Kyiv, Ukraine.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21"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We operate our infrastructure in third-party data centers located throughout North America, Europe, and Australia, as well as provisioned services with cloud providers. In most cases, infrastructure and services are managed by us.</w:t>
      </w:r>
    </w:p>
    <w:p>
      <w:pPr>
        <w:spacing w:after="0" w:line="5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have internal and third-party monitoring software that continually checks the status of services and underlying infrastructure for availability and performance, helping ensure that the network is always available and providing desired service levels. We have a technology team that includes system provisioning, management, maintenance, monitoring, and back-up.</w:t>
      </w:r>
    </w:p>
    <w:p>
      <w:pPr>
        <w:spacing w:after="0" w:line="68"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We operate a service architecture using industry best practices to ensure multiple points of redundancy, high availability, and scale as needed. Our databases are replicated between locations with a defined recovery point objective.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Sales &amp; Marketing</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sell our products through an employed global sales force that focuses on retailers, grocers, distributors, suppliers, and logistics firms.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marketing teams focus on driving awareness and demand for our products through the following activities:</w:t>
      </w:r>
    </w:p>
    <w:p>
      <w:pPr>
        <w:spacing w:after="0" w:line="113"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Demand Generation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Engages with target audiences using the latest digital marketing strategies to bring opportunities to our sales teams.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Communications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Manages our brand and public relations, as well as provides go-to-market support.</w:t>
      </w:r>
    </w:p>
    <w:p>
      <w:pPr>
        <w:spacing w:after="0" w:line="117" w:lineRule="exact"/>
        <w:rPr>
          <w:rFonts w:ascii="Times New Roman" w:cs="Times New Roman" w:eastAsia="Times New Roman" w:hAnsi="Times New Roman"/>
          <w:sz w:val="18"/>
          <w:szCs w:val="18"/>
          <w:color w:val="auto"/>
        </w:rPr>
      </w:pPr>
    </w:p>
    <w:p>
      <w:pPr>
        <w:ind w:left="980" w:right="60" w:hanging="486"/>
        <w:spacing w:after="0" w:line="28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 Marketing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Equips our sales teams, performs market studies, and promotes the unique capabilities of each of our products using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go-to-market strategies.</w:t>
      </w:r>
    </w:p>
    <w:p>
      <w:pPr>
        <w:spacing w:after="0" w:line="46"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Events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Highlights our presence at industry trade shows and orchestrates virtual and in-person events.</w:t>
      </w:r>
    </w:p>
    <w:p>
      <w:pPr>
        <w:spacing w:after="0" w:line="261"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40030" cy="2317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7</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Customer Success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Customer Success team includes retail and technology experts who implement our products on our customers' behalf, provide ongoing support, and collaborate with accounts to identify opportunities for added value from their existing products. This team focuses on delivering services that build customer satisfaction and result in high customer retention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Competition</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Vendors in the supply chain management industry offer products through three delivery methods: traditional on-premise software, managed services, and cloud-based full-service products.</w:t>
      </w:r>
    </w:p>
    <w:p>
      <w:pPr>
        <w:spacing w:after="0" w:line="54"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market for cloud-based supply chain management products is fragmented and rapidly evolving. Cloud-service vendors compete directly with each other based mainly on the following:</w:t>
      </w:r>
    </w:p>
    <w:p>
      <w:pPr>
        <w:spacing w:after="0" w:line="54" w:lineRule="exact"/>
        <w:rPr>
          <w:sz w:val="20"/>
          <w:szCs w:val="20"/>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breadth of pre-built network connections to retailers, third-party logistics providers, and other trading partners;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history of establishing and maintaining reliable connections with trading partners;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reputation of the cloud-service vendor in the supply chain management industry;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specialization in a customer market segment;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speed and quality with which the cloud-service vendor can integrate its customers to their trading partners;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functionality of the cloud-service product, such as the ability to integrate the product with a customer’s business systems;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complementary supply chain management products the cloud-service vendor offers;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and customer support services provided during and after a customer’s initial integration.</w:t>
      </w:r>
    </w:p>
    <w:p>
      <w:pPr>
        <w:spacing w:after="0" w:line="117"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Cloud-service vendors also compete with traditional on-premise software companies. Traditional on-premise software uses a single-tenant approach in which information maps to retailers are built for and used by one supplier, as compared to cloud-service products that allow multiple customers to share information maps with a retailer. Traditional on-premise requires customers to purchase, install, and manage specialized software, hardware, and value-added networks for their supply chain integration needs. Additionally, customers are required to make significant upfront and ongoing investments to purchase, operate, and maintain the software. As such, a customer may be less willing to abandon their traditional on-premise product in favor of a cloud-service product.</w:t>
      </w:r>
    </w:p>
    <w:p>
      <w:pPr>
        <w:spacing w:after="0" w:line="7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Managed service providers focused on the supply chain management market offer a cloud-based product in which they develop and maintain the core technology, while the customer’s internal staff is responsible for the day-to-day customization, optimization, and operations of the technology.</w:t>
      </w:r>
    </w:p>
    <w:p>
      <w:pPr>
        <w:spacing w:after="0" w:line="5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 contrast, full-service providers, including SPS Commerce, offer cloud-based products and expert resources that customize, optimize, and operate the technology. This approach offloads the time-intensive process of managing these products, which is not a core competency for most businesses. Full-service cloud-based vendors compete with both managed service providers and traditional on-premise software products based on the total cost of ownership and flexibility.</w:t>
      </w:r>
    </w:p>
    <w:p>
      <w:pPr>
        <w:spacing w:after="0" w:line="211"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40030" cy="2317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8</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Intellectual Property and Proprietary Content</w:t>
      </w:r>
    </w:p>
    <w:p>
      <w:pPr>
        <w:spacing w:after="0" w:line="121"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SPS Commerce relies on a combination of copyright, trademark, patent and trade secret laws as well as confidentiality procedures and contractual provisions to protect our proprietary technology and our brand. We enter into confidentiality and proprietary rights agreements with our employees, consultants and other third parties, and control access to software, documentation, and other proprietary information. We have registered trademarks and pending trademark applications in the U.S. and certain foreign countries.</w:t>
      </w:r>
    </w:p>
    <w:p>
      <w:pPr>
        <w:spacing w:after="0" w:line="7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Depending on the jurisdiction, trademarks are generally valid as long as they are in use or their registrations are properly maintained, and they have not been found to have become generic. Registrations of trademarks can also generally be renewed indefinitely as long as the trademarks are in use. We have two patents acquired through the acquisitions of GCommerce, Inc. and SupplyPike, Inc. Our trade secrets consist primarily of the software we have developed for our SPS Commerce cloud-based products and network. Our software is also protected under copyright law, but we do not have any registered copyrights.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Human Capital</w:t>
      </w:r>
    </w:p>
    <w:p>
      <w:pPr>
        <w:spacing w:after="0" w:line="121"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At SPS, we recognize that our employees are crucial to our ongoing growth and success. Our core values shape our culture and serve as the foundation for fostering an engaging workplace, attracting the right talent, and developing our teams. These values also inform how we interact with customers, partners, and each other. By nurturing an inclusive and high-performing culture, we attract, retain, and reward outstanding talent, providing employees with meaningful work and opportunities for personal and professional growth.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and Governance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board of directors, along with the Compensation and Talent Committee, oversees our human capital management as well as our diversity, equity, and inclusion initiatives. They receive consistent updates from our Chief Human Resources Officer about key strategic initiatives and other significant human resources matters, which include hiring, development, retention, employee engagement, succession planning, compensation and benefits, and risks associated with human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People</w:t>
      </w:r>
    </w:p>
    <w:p>
      <w:pPr>
        <w:spacing w:after="0" w:line="10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2024, we had a total of 2,783 employees worldwide, including 1,355 in cost of revenues, 733 in sales and marketing, 461 in research and development, and 234 in general and administrative. 82% are based in North America with the remaining in Europe and Asia Pacific. The majority of our employees are engaged on a full-time basis. We also utilize third-party agencies for staff augmentation to enhance our operations. While we have statutory obligations for employee representation in certain countries, none of our U.S. employees are unionized.</w:t>
      </w:r>
    </w:p>
    <w:p>
      <w:pPr>
        <w:spacing w:after="0" w:line="72" w:lineRule="exact"/>
        <w:rPr>
          <w:sz w:val="20"/>
          <w:szCs w:val="20"/>
          <w:color w:val="auto"/>
        </w:rPr>
      </w:pPr>
    </w:p>
    <w:p>
      <w:pPr>
        <w:jc w:val="both"/>
        <w:ind w:right="560" w:firstLine="486"/>
        <w:spacing w:after="0" w:line="282" w:lineRule="auto"/>
        <w:rPr>
          <w:sz w:val="20"/>
          <w:szCs w:val="20"/>
          <w:color w:val="auto"/>
        </w:rPr>
      </w:pPr>
      <w:r>
        <w:rPr>
          <w:rFonts w:ascii="Times New Roman" w:cs="Times New Roman" w:eastAsia="Times New Roman" w:hAnsi="Times New Roman"/>
          <w:sz w:val="18"/>
          <w:szCs w:val="18"/>
          <w:color w:val="auto"/>
        </w:rPr>
        <w:t>38% of our global workforce identify as female and 2% did not specify their gender. Within the U.S. 17% of our employees self-identified as members of an underrepresented group. As of December 31, 2024, our executive team is comprised of 6 individuals, of which one-third are women.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Belonging@SPS</w:t>
      </w:r>
    </w:p>
    <w:p>
      <w:pPr>
        <w:spacing w:after="0" w:line="12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power connections that drive the world of commerce forward, and our success depends on making strong decisions, fostering innovation, delivering unparalleled customer solutions, and driving outstanding business performance. We achieve this by creating an environment where every employee feels a true sense of belonging. We are committed to creating an environment where everyone feels welcomed, valued, and empowered to contribute meaningfully. In 2024, we launched Belonging@SPS as a thoughtful update to our diversity, equity, inclusion, and belonging ("DEI(B)") statement and strategy. This initiative was shaped by employee feedback, designed to better reflect our core values, and tailored to ensure global relevance. We bring this commitment to life by embedding it into our human resources processes and integrating it into our talent strategies.</w:t>
      </w:r>
    </w:p>
    <w:p>
      <w:pPr>
        <w:spacing w:after="0" w:line="214"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18"/>
          <w:szCs w:val="18"/>
          <w:color w:val="auto"/>
        </w:rPr>
        <w:t>Our Employee Resource Groups ("ERGs"), a core part of our Belonging@SPS commitment, foster employee connections across the globe, and provide learning, engagement, and community-building for all SPS Commerce employees. We added two new ERGs in 2024, the Disability Empowerment Network and A+ (Asian, Native Hawaiian &amp; Pacific Islanders). All employees are encouraged to participate in one or more of our ERGs, which also include our Black Business Resource Group, the LGBTQ+ Group, and Women in Tech.</w:t>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5560" w:val="left"/>
          <w:tab w:leader="none" w:pos="8000" w:val="left"/>
        </w:tabs>
        <w:rPr>
          <w:sz w:val="20"/>
          <w:szCs w:val="20"/>
          <w:color w:val="auto"/>
        </w:rPr>
      </w:pPr>
      <w:r>
        <w:rPr>
          <w:sz w:val="1"/>
          <w:szCs w:val="1"/>
          <w:color w:val="auto"/>
        </w:rPr>
        <w:drawing>
          <wp:inline distT="0" distB="0" distL="0" distR="0">
            <wp:extent cx="240030" cy="2311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9</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left="102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486"/>
        <w:spacing w:after="0" w:line="243" w:lineRule="auto"/>
        <w:rPr>
          <w:sz w:val="20"/>
          <w:szCs w:val="20"/>
          <w:color w:val="auto"/>
        </w:rPr>
      </w:pPr>
      <w:r>
        <w:rPr>
          <w:rFonts w:ascii="Times New Roman" w:cs="Times New Roman" w:eastAsia="Times New Roman" w:hAnsi="Times New Roman"/>
          <w:sz w:val="18"/>
          <w:szCs w:val="18"/>
          <w:color w:val="auto"/>
        </w:rPr>
        <w:t>We have taken meaningful steps to advance our commitment to diversity and inclusion by collaborating with local organizations that support underrepresented communities, including individuals with disabilities and those who are neurodiverse. Through these partnerships, we gain valuable insights into equipping our workplace with the tools and resources needed for every employee to succeed. Furthermore, our Talent Acquisition team has a focus area on recruiting individuals with disabilities and neurodiverse candidates, fostering an inclusive hiring process from initial recruitment to onboarding and ongoing professional development. Since 2021, all new hires have participated in an interactive inclusion curriculum. In 2024, we refreshed our new employee Belonging@SPS onboarding experience to identity awareness and belonging, focused on creating a safe work environment where employees feel comfortable bringing their full authentic selves to the workplace. Additionally, we continue to provide all managers with resources to support building inclusive teams.</w:t>
      </w:r>
    </w:p>
    <w:p>
      <w:pPr>
        <w:spacing w:after="0" w:line="227" w:lineRule="exact"/>
        <w:rPr>
          <w:sz w:val="20"/>
          <w:szCs w:val="20"/>
          <w:color w:val="auto"/>
        </w:rPr>
      </w:pPr>
    </w:p>
    <w:p>
      <w:pPr>
        <w:ind w:right="80" w:firstLine="486"/>
        <w:spacing w:after="0" w:line="246" w:lineRule="auto"/>
        <w:rPr>
          <w:sz w:val="20"/>
          <w:szCs w:val="20"/>
          <w:color w:val="auto"/>
        </w:rPr>
      </w:pPr>
      <w:r>
        <w:rPr>
          <w:rFonts w:ascii="Times New Roman" w:cs="Times New Roman" w:eastAsia="Times New Roman" w:hAnsi="Times New Roman"/>
          <w:sz w:val="18"/>
          <w:szCs w:val="18"/>
          <w:color w:val="auto"/>
        </w:rPr>
        <w:t>For over a decade, SPS has invested in and supported the communities in which we live and work, focused on efforts that expand our future talent pipeline by helping to develop the workforce of tomorrow. Over the years we have invested in student programs focused on creating opportunities for high school and college students who are part of underrepresented populations including women, genderqueer and non-binary individuals, and racial minorities. Interns make a meaningful impact by supporting real world projects. They work in all areas of the business and have access to mentorship, job shadows, and other professional development opportunities.</w:t>
      </w:r>
    </w:p>
    <w:p>
      <w:pPr>
        <w:spacing w:after="0" w:line="208" w:lineRule="exact"/>
        <w:rPr>
          <w:sz w:val="20"/>
          <w:szCs w:val="20"/>
          <w:color w:val="auto"/>
        </w:rPr>
      </w:pPr>
    </w:p>
    <w:p>
      <w:pPr>
        <w:jc w:val="both"/>
        <w:ind w:right="40" w:firstLine="486"/>
        <w:spacing w:after="0" w:line="258" w:lineRule="auto"/>
        <w:rPr>
          <w:sz w:val="20"/>
          <w:szCs w:val="20"/>
          <w:color w:val="auto"/>
        </w:rPr>
      </w:pPr>
      <w:r>
        <w:rPr>
          <w:rFonts w:ascii="Times New Roman" w:cs="Times New Roman" w:eastAsia="Times New Roman" w:hAnsi="Times New Roman"/>
          <w:sz w:val="18"/>
          <w:szCs w:val="18"/>
          <w:color w:val="auto"/>
        </w:rPr>
        <w:t>Established in 2020, the SPS Diverse Scholar Program supports diverse first-generation college students (through funding from the SPS Foundation) pursuing a career in technology. In addition to receiving funding for their education, our diverse scholars participate in our internship program, have access to mentors, are offered part-time work during the school year, and are connected to a wide range of business professionals.</w:t>
      </w:r>
    </w:p>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Additionally, as a federal contractor we comply with applicable federal contractor affirmative action requirements.</w:t>
      </w:r>
    </w:p>
    <w:p>
      <w:pPr>
        <w:spacing w:after="0" w:line="252"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By embedding Belonging@SPS across the Company, we have built a solid foundation for sustainable growth. This dedication empowers us to foster an environment where every employee can thrive while enhancing our ability to serve and engage with customers and markets across the globe.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Engagement, and Retention</w:t>
      </w:r>
    </w:p>
    <w:p>
      <w:pPr>
        <w:spacing w:after="0" w:line="121"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We work diligently to attract the best talent from a variety of sources to meet current and future business needs. We have cultivated relationships with many colleges and universities, including Historically Black Colleges and Universities ("HBCUs"), industry groups, professional associations, and other student programs focused on recruiting women, non-binary and genderqueer, minorities, and individuals with disabilities. Our campus program focuses on bringing in talent with experience from schools that are leaders in technology, supply chain, engineering, and business. 64% of our most recent campus cohort hires identify as underrepresented minorities.</w:t>
      </w:r>
    </w:p>
    <w:p>
      <w:pPr>
        <w:spacing w:after="0" w:line="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regularly survey our employees to better understand their perspectives and where we can focus to improve their experience. Our 2024 employee engagement survey indicated a positive engagement score of 70%, which is higher than the benchmark provided by our survey vendor both globally and for North American companies of similar size or within our sector. Additionally, our belonging index continues to score higher than benchmarks with an 81% positive perception score.</w:t>
      </w:r>
    </w:p>
    <w:p>
      <w:pPr>
        <w:spacing w:after="0" w:line="72"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Our 2024 employee retention rate was 91%. We believe our strong company culture and focus on providing meaningful work, professional development, flexible work options, competitive pay and benefits, as well as our commitment to belonging contributes to our high employee retention.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and Development</w:t>
      </w:r>
    </w:p>
    <w:p>
      <w:pPr>
        <w:spacing w:after="0" w:line="108"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We are shifting training and development from a traditional, program-centric model to a learner-driven strategy that empowers employees to take ownership of their professional growth. Our focus is on fostering a culture where learning how to learn is as critical as acquiring specific skills. This evolution represents more than a tactical shift; it’s a cultural transformation built on our longstanding commitment to learning, which is ingrained in the fabric of our organization.</w:t>
      </w:r>
    </w:p>
    <w:p>
      <w:pPr>
        <w:spacing w:after="0" w:line="207" w:lineRule="exact"/>
        <w:rPr>
          <w:sz w:val="20"/>
          <w:szCs w:val="20"/>
          <w:color w:val="auto"/>
        </w:rPr>
      </w:pPr>
    </w:p>
    <w:p>
      <w:pPr>
        <w:ind w:right="300" w:firstLine="486"/>
        <w:spacing w:after="0" w:line="250" w:lineRule="auto"/>
        <w:rPr>
          <w:sz w:val="20"/>
          <w:szCs w:val="20"/>
          <w:color w:val="auto"/>
        </w:rPr>
      </w:pPr>
      <w:r>
        <w:rPr>
          <w:rFonts w:ascii="Times New Roman" w:cs="Times New Roman" w:eastAsia="Times New Roman" w:hAnsi="Times New Roman"/>
          <w:sz w:val="18"/>
          <w:szCs w:val="18"/>
          <w:color w:val="auto"/>
        </w:rPr>
        <w:t>Our goal is to foster a mindset of continuous reinvention, preparing our teams to meet today’s challenges while adapting to the rapid evolution of global commerce. In 2024, we took significant steps toward establishing a dynamic, experiential learning model designed to drive performance and behavioral change through active engagement in daily work.</w:t>
      </w:r>
    </w:p>
    <w:p>
      <w:pPr>
        <w:spacing w:after="0" w:line="217"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Development of our employees and leaders results in high performing teams who are empowered to grow their careers and deliver exceptional results, beginning on the first day of employment with SPS. When new employees join</w:t>
      </w:r>
    </w:p>
    <w:p>
      <w:pPr>
        <w:spacing w:after="0" w:line="208"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10</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SPS, they attend a robust new hire onboarding program that focuses on the skills necessary to become productive employees, including training on company technology, collaboration tools, our company culture, values, and a comprehensive Belonging@SPS experience. Onboarding is followed by on-the-job training and regular performance and development discussions between employees and their managers.</w:t>
      </w:r>
    </w:p>
    <w:p>
      <w:pPr>
        <w:spacing w:after="0" w:line="196"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are committed to providing ongoing opportunities for employees to build new skills, excel in their current roles, and prepare for future opportunities. Every employee has access to an online learning platform that supports their growth, along with resources designed to help them explore and advance into management roles.</w:t>
      </w:r>
    </w:p>
    <w:p>
      <w:pPr>
        <w:spacing w:after="0" w:line="19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Looking ahead, we are placing a strong emphasis on professional development at the highest levels of the Company. Our aim is to equip leaders and managers with the mindsets, tools, and practical experience needed to excel while empowering their teams to achieve success.</w:t>
      </w:r>
    </w:p>
    <w:p>
      <w:pPr>
        <w:spacing w:after="0" w:line="203" w:lineRule="exact"/>
        <w:rPr>
          <w:sz w:val="20"/>
          <w:szCs w:val="20"/>
          <w:color w:val="auto"/>
        </w:rPr>
      </w:pPr>
    </w:p>
    <w:p>
      <w:pPr>
        <w:ind w:right="280" w:firstLine="486"/>
        <w:spacing w:after="0" w:line="250" w:lineRule="auto"/>
        <w:rPr>
          <w:sz w:val="20"/>
          <w:szCs w:val="20"/>
          <w:color w:val="auto"/>
        </w:rPr>
      </w:pPr>
      <w:r>
        <w:rPr>
          <w:rFonts w:ascii="Times New Roman" w:cs="Times New Roman" w:eastAsia="Times New Roman" w:hAnsi="Times New Roman"/>
          <w:sz w:val="18"/>
          <w:szCs w:val="18"/>
          <w:color w:val="auto"/>
        </w:rPr>
        <w:t>We assess leadership talent across the organization through a rigorous talent review process, allowing us to distinguish individuals based on performance and potential. This process forms the foundation for succession planning in critical roles. Additionally, our performance review framework integrates the SPS leadership model, ensuring leaders are evaluated not only on their outcomes but also on how well they exemplify essential leadership competencies.</w:t>
      </w:r>
    </w:p>
    <w:p>
      <w:pPr>
        <w:spacing w:after="0" w:line="204"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As we grow, we remain committed to cultivating an environment that promotes continuous learning, supports career mobility, and empowers employees to build the skills and connections needed to thrive. Our initiatives are focused on driving success for our people and customers, propelling the growth of the Company.</w:t>
      </w:r>
    </w:p>
    <w:p>
      <w:pPr>
        <w:spacing w:after="0" w:line="196"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The SPS Leadership Model is built on four key pillars: People Developer, Culture Champion, Strategist, and Results Enabler. These competencies shape our leadership development programs as we continue to create tools and resources to enhance our leaders’ ability to grow and scale their teams effectively.</w:t>
      </w:r>
    </w:p>
    <w:p>
      <w:pPr>
        <w:spacing w:after="0" w:line="196" w:lineRule="exact"/>
        <w:rPr>
          <w:sz w:val="20"/>
          <w:szCs w:val="20"/>
          <w:color w:val="auto"/>
        </w:rPr>
      </w:pPr>
    </w:p>
    <w:p>
      <w:pPr>
        <w:ind w:right="320" w:firstLine="486"/>
        <w:spacing w:after="0" w:line="258" w:lineRule="auto"/>
        <w:rPr>
          <w:sz w:val="20"/>
          <w:szCs w:val="20"/>
          <w:color w:val="auto"/>
        </w:rPr>
      </w:pPr>
      <w:r>
        <w:rPr>
          <w:rFonts w:ascii="Times New Roman" w:cs="Times New Roman" w:eastAsia="Times New Roman" w:hAnsi="Times New Roman"/>
          <w:sz w:val="18"/>
          <w:szCs w:val="18"/>
          <w:color w:val="auto"/>
        </w:rPr>
        <w:t>In 2024, our senior leadership team completed 360-degree assessments, leveraging the insights to incorporate their strengths and growth opportunities into personalized development plans. Additionally, we conducted a thorough organizational talent review to evaluate leadership across all levels, allowing us to distinguish talent based on both performance and potential.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Rewards and Employee Well-being</w:t>
      </w:r>
    </w:p>
    <w:p>
      <w:pPr>
        <w:spacing w:after="0" w:line="108"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At SPS, our total rewards strategy is designed to support the financial, physical, and mental well-being of our employees and their families. We offer market-competitive pay and comprehensive benefits programs tailored to our global workforce. Our packages are thoughtfully crafted to attract, retain, and motivate top talent, featuring robust healthcare offerings, an employee stock purchase plan available in most jurisdictions, and other region-specific benefits.</w:t>
      </w:r>
    </w:p>
    <w:p>
      <w:pPr>
        <w:spacing w:after="0" w:line="207" w:lineRule="exact"/>
        <w:rPr>
          <w:sz w:val="20"/>
          <w:szCs w:val="20"/>
          <w:color w:val="auto"/>
        </w:rPr>
      </w:pPr>
    </w:p>
    <w:p>
      <w:pPr>
        <w:ind w:right="420" w:firstLine="486"/>
        <w:spacing w:after="0" w:line="266" w:lineRule="auto"/>
        <w:rPr>
          <w:sz w:val="20"/>
          <w:szCs w:val="20"/>
          <w:color w:val="auto"/>
        </w:rPr>
      </w:pPr>
      <w:r>
        <w:rPr>
          <w:rFonts w:ascii="Times New Roman" w:cs="Times New Roman" w:eastAsia="Times New Roman" w:hAnsi="Times New Roman"/>
          <w:sz w:val="18"/>
          <w:szCs w:val="18"/>
          <w:color w:val="auto"/>
        </w:rPr>
        <w:t>We are committed to equitable pay practices, ensuring employees are compensated fairly regardless of gender, race, or ethnicity. To uphold this commitment, we regularly review pay data in the U.S. and other regions to ensure fairness and equity.</w:t>
      </w:r>
    </w:p>
    <w:p>
      <w:pPr>
        <w:spacing w:after="0" w:line="203"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18"/>
          <w:szCs w:val="18"/>
          <w:color w:val="auto"/>
        </w:rPr>
        <w:t>At SPS, employee well-being is a core priority. We are dedicated to fostering a holistic approach to well-being that encompasses physical, mental, financial, career, and social dimensions. Through our partnership with a global Employee Assistance Program (EAP), we provide curated mental health and wellness webinars, access to licensed mental health professionals, and complimentary sessions for employees and their dependents. In the U.S., our healthcare platform offers virtual mental health solutions, featuring tools for mindfulness, meditation, and overall wellness support.</w:t>
      </w:r>
    </w:p>
    <w:p>
      <w:pPr>
        <w:spacing w:after="0" w:line="204" w:lineRule="exact"/>
        <w:rPr>
          <w:sz w:val="20"/>
          <w:szCs w:val="20"/>
          <w:color w:val="auto"/>
        </w:rPr>
      </w:pPr>
    </w:p>
    <w:p>
      <w:pPr>
        <w:jc w:val="both"/>
        <w:ind w:right="20" w:firstLine="486"/>
        <w:spacing w:after="0" w:line="250" w:lineRule="auto"/>
        <w:rPr>
          <w:sz w:val="20"/>
          <w:szCs w:val="20"/>
          <w:color w:val="auto"/>
        </w:rPr>
      </w:pPr>
      <w:r>
        <w:rPr>
          <w:rFonts w:ascii="Times New Roman" w:cs="Times New Roman" w:eastAsia="Times New Roman" w:hAnsi="Times New Roman"/>
          <w:sz w:val="18"/>
          <w:szCs w:val="18"/>
          <w:color w:val="auto"/>
        </w:rPr>
        <w:t>In 2023, we introduced the Wellbeing at SPS intranet site, providing a centralized hub for employees to easily access our comprehensive well-being programs. In 2024, we emphasized the importance of preventive care, encouraging employees to take proactive steps in managing their physical and mental health, fostering a healthier and more productive workforce. Additionally, SPS expanded its focus on financial well-being by offering educational resources and support programs aimed at empowering employees to achieve financial security and stability.</w:t>
      </w:r>
    </w:p>
    <w:p>
      <w:pPr>
        <w:spacing w:after="0" w:line="222"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11</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Available Information</w:t>
      </w:r>
    </w:p>
    <w:p>
      <w:pPr>
        <w:spacing w:after="0" w:line="11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provide free access to various reports that we file with or furnish to the SEC through our website at </w:t>
      </w:r>
      <w:r>
        <w:rPr>
          <w:rFonts w:ascii="Times New Roman" w:cs="Times New Roman" w:eastAsia="Times New Roman" w:hAnsi="Times New Roman"/>
          <w:sz w:val="18"/>
          <w:szCs w:val="18"/>
          <w:i w:val="1"/>
          <w:iCs w:val="1"/>
          <w:color w:val="auto"/>
        </w:rPr>
        <w:t>www.spscommerce.com</w:t>
      </w:r>
      <w:r>
        <w:rPr>
          <w:rFonts w:ascii="Times New Roman" w:cs="Times New Roman" w:eastAsia="Times New Roman" w:hAnsi="Times New Roman"/>
          <w:sz w:val="18"/>
          <w:szCs w:val="18"/>
          <w:color w:val="auto"/>
        </w:rPr>
        <w:t xml:space="preserve">, as soon as reasonably practicable after they have been filed or furnished. These reports include, but are not limited to, our Annual Reports on Form 10-K, Quarterly Reports on Form 10-Q, Current Reports on Form 8-K and any amendments to these reports. Our SEC reports can be accessed through the investor relations section of our website or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Stockholders may also request copies of these documents by writing to us at the address above, with attention to "Investor Relations".</w:t>
      </w:r>
    </w:p>
    <w:p>
      <w:pPr>
        <w:spacing w:after="0" w:line="28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00AAE5"/>
        </w:rPr>
        <w:t>Item 1A.</w:t>
        <w:tab/>
        <w:t>Risk Factors</w:t>
      </w:r>
    </w:p>
    <w:p>
      <w:pPr>
        <w:spacing w:after="0" w:line="11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Set forth below and elsewhere in this Annual Report on Form 10-K, and in other documents we file with the SEC, are risks and uncertainties that could cause our actual results to differ materially from the results contemplated by the forward-looking statements contained in this Annual Report on Form 10-K and in other written and oral communications from time to time. You should carefully consider all of the following risks and the other information in this Report and our other filings with the SEC before you decide to invest in our Company or to maintain or increase your investment. Our business could be harmed by any of these risks. The trading price of our common stock could decline due to any of these risks. In assessing these risks, you should also refer to the other information contained in this Annual Report on Form 10-K, including our consolidated financial statements and related notes.</w:t>
      </w:r>
    </w:p>
    <w:p>
      <w:pPr>
        <w:spacing w:after="0" w:line="75"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The risks included in this section are not the only ones we face. We operate in a very competitive and rapidly changing environment. New risk factors emerge from time-to-time, and it is not possible for management to predict all such risk factors, nor can it assess the potential impact of all such risk factors on our business or the extent to which any factor, or combination of factors, may cause actual results to differ materially from those in any forward-looking statements. If any of the following risks actually occur, our business, results of operations, financial condition and future prospects would likely suffer. In that case, the trading price of our common stock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Business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attract new customers, or sell additional products to existing customers, or if our customers do not increase their use of our products, our revenue growth and profitability will be adversely affected.</w:t>
      </w:r>
    </w:p>
    <w:p>
      <w:pPr>
        <w:spacing w:after="0" w:line="51"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To increase our revenue and achieve and maintain profitability, we believe that we must regularly add new customers, sell additional products to existing customers, and our customers must increase their use of the products for which they currently subscribe. We intend to grow our business by retaining and attracting talent, developing strategic relationships with resellers, including resellers that incorporate our applications in their offerings, and increasing our marketing activities. If we are unable to hire or retain quality personnel, convert companies that have been referred to us by our existing network into paying customers, ensure the effectiveness of our marketing programs, or if our existing or new customers do not perceive our products to be of sufficiently high value and quality, we might not be able to increase sales and our operating results will be adversely affected. If we fail to sell our products to existing or new customers, we will not generate anticipated revenues from these products, our operating results will suffer, and we will not be able to grow our revenues or maintain profitability as planned.</w:t>
      </w:r>
    </w:p>
    <w:p>
      <w:pPr>
        <w:spacing w:after="0" w:line="29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We do not have long-term contracts with most of our recurring revenue customers, and therefore a lack of success in maintaining or improving forecasted renewal rates will have adverse effects on revenue and financial results.</w:t>
      </w:r>
    </w:p>
    <w:p>
      <w:pPr>
        <w:spacing w:after="0" w:line="5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Most of our contracts with our recurring revenue customers allow the customer to cancel the contract for any reason with 30 to 90 days’ notice. Our continued success therefore depends significantly on our ability to meet or exceed our recurring revenue customers’ expectations because most recurring revenue customers do not make long-term commitments to use our products. In addition, if our reputation in the supply chain management industry is harmed or diminished for any reason, our recurring revenue customers have the ability to terminate their relationship with us on short notice and seek alternative supply chain management solutions. We may also not be able to accurately predict future trends in customer renewals, and our customers’ renewal rates may decline or fluctuate because of several factors, including their dissatisfaction with our services, the cost of our services compared to the cost of services offered by our competitors and reductions in our customers’ spending levels. If a significant number of recurring revenue customers seek to terminate their relationship with us, our business, results of operations and financial condition would be adversely affected in a short period of time.</w:t>
      </w:r>
    </w:p>
    <w:p>
      <w:pPr>
        <w:spacing w:after="0" w:line="223"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12</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Economic weakness and uncertainty could adversely affect our revenue, lengthen our sales cycles, and make it more difficult for us to forecast operating results accurately.</w:t>
      </w:r>
    </w:p>
    <w:p>
      <w:pPr>
        <w:spacing w:after="0" w:line="5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revenues depend significantly on general economic conditions and the sustainability and health of retailers. Economic weakness and constrained retail spending may result in slower growth, or reductions, in revenues and gross profits in the future. We have experienced, and may experience in the future, reduced spending in our business due to financial turmoil affecting the U.S. and global economy, and other macroeconomic factors affecting spending behavior. Uncertainty about future economic conditions increases the difficulty of forecasting operating results and making decisions about future investments. In addition, economic conditions or uncertainty may cause customers and potential customers to reduce or delay technology purchases, including purchases of our products. Our sales cycles may lengthen if purchasing decisions are delayed as a result of uncertain technology or development budgets or contract negotiations become more protracted or difficult as customers institute additional internal approvals for technology purchases. Delays or reductions in technology spending could have a material adverse effect on demand for our products, and consequently our results of operations and prospects.</w:t>
      </w:r>
    </w:p>
    <w:p>
      <w:pPr>
        <w:spacing w:after="0" w:line="29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Our continued growth could significantly strain our personnel resources and infrastructure, and if we are unable to implement appropriate controls and procedures to manage our growth, we may not be able to implement our business plan successfully.</w:t>
      </w:r>
    </w:p>
    <w:p>
      <w:pPr>
        <w:spacing w:after="0" w:line="5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have experienced a period of rapid growth in our headcount and operations. To the extent that we are able to sustain such growth, it might place a significant strain on our management, administrative, operational, and financial resources, and infrastructure. Our success will depend in part upon the ability of our senior management to manage this growth effectively. To do so, we must continue to hire, train, and manage new employees as needed. To manage the expected growth of our operations and personnel, we will need to continue to improve our operational, financial and management controls and our reporting systems and procedures. If we fail to successfully manage our growth, we will be unable to execute our business plan as expected.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attract, retain, and train members of our senior management team and other key personnel, our business could be adversely affected.</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Given the complex nature of the cloud-based technology through which our business operates and the speed with which such technology advances, our future success is dependent, in large part, upon our ability to attract, retain, and train highly qualified key executive, managerial, technology, and sales personnel. Competition for talented personnel is intense and we cannot be certain that we can retain our key personnel or that we can attract, assimilate, or retain such personnel in the future to adequately scale our business. Additionally, the loss of any key, or a significant number of, personnel in our technology, customer success, or sales teams might significantly delay or prevent the achievement of our business objectives and could materially harm our business, customer relationships, results of operations and financial condition.</w:t>
      </w:r>
    </w:p>
    <w:p>
      <w:pPr>
        <w:spacing w:after="0" w:line="79"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Further, we announced the retirement of our President and Chief Operating Officer, James Frome, effective December 31, 2024. Leadership transitions and management changes involve inherent risks, can be difficult to manage, and may cause uncertainty or a disruption, which could adversely affect our business.</w:t>
      </w:r>
    </w:p>
    <w:p>
      <w:pPr>
        <w:spacing w:after="0" w:line="2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If the market for cloud-based supply chain management products declines or does not maintain its historical growth rates, our revenues may decline or fail to grow, and we may incur operating losses.</w:t>
      </w:r>
    </w:p>
    <w:p>
      <w:pPr>
        <w:spacing w:after="0" w:line="51"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derive, and expect to continue to derive, substantially all of our revenues from providing cloud-based supply chain management products to retailers, grocers, distributors, suppliers, manufacturers, and logistics firms. The market for these products has historically experienced growth, but it is uncertain whether these products will continue or sustain growing levels of demand and market acceptance. Our success will depend on the willingness of retailers and their trading partners to accept our products as an alternative to traditional licensed hardware and software products.</w:t>
      </w:r>
    </w:p>
    <w:p>
      <w:pPr>
        <w:spacing w:after="0" w:line="7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Some retailers, grocers, distributors, suppliers, or logistics firms may be reluctant or unwilling to use our cloud-based products for a number of reasons, including their potential significant initial investment to replace existing investments in supply chain management hardware and licensed software and perceived loss of control over user data with a cloud-based product. Other factors that may limit market acceptance of our cloud-based supply chain management products include:</w:t>
      </w:r>
    </w:p>
    <w:p>
      <w:pPr>
        <w:spacing w:after="0" w:line="72"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levels of customer satisfaction;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continuity of service for all users of our cloud-based products;</w:t>
      </w:r>
    </w:p>
    <w:p>
      <w:pPr>
        <w:spacing w:after="0" w:line="257"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availability of competing products, both new and existing;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customers’ confidentiality and security concerns about information stored within our cloud-based products.</w:t>
      </w:r>
    </w:p>
    <w:p>
      <w:pPr>
        <w:spacing w:after="0" w:line="11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If customers do not perceive the benefits of our cloud-based supply chain management products, or if customers are unwilling to accept our cloud-based products as an alternative to the on-premise software or other options approach, demand for our products may not continue to grow or may grow more slowly than we expect, either of which would adversely affect our revenues, growth prospects, and overall operating results.</w:t>
      </w:r>
    </w:p>
    <w:p>
      <w:pPr>
        <w:spacing w:after="0" w:line="280"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The markets in which we participate are highly competitive, and our failure to compete successfully would make it difficult for us to add and retain customers and would reduce or impede the growth of our business.</w:t>
      </w:r>
    </w:p>
    <w:p>
      <w:pPr>
        <w:spacing w:after="0" w:line="5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markets for supply chain management products are increasingly competitive and global. We expect competition to increase in the future both from existing competitors and new companies that may enter our markets. We face competition from:</w:t>
      </w:r>
    </w:p>
    <w:p>
      <w:pPr>
        <w:spacing w:after="0" w:line="54"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cloud-service providers that deliver business-to-business information systems using a multi-tenant approach;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on-premise software providers;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service providers that combine traditional on-premise software with professional technology services.</w:t>
      </w:r>
    </w:p>
    <w:p>
      <w:pPr>
        <w:spacing w:after="0" w:line="11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Moreover, our industry is highly fragmented, and we believe it is likely that our existing competitors will continue to consolidate or will be acquired. In addition, some of our competitors may enter into new alliances with each other or may establish or strengthen cooperative relationships with systems integrators, third-party consulting firms or other parties. New entrants not currently considered to be competitors may also enter the market through new technology offerings, acquisitions, partnerships, or other strategic relationships. Any such new offerings, consolidation, acquisition, alliance or cooperative relationship could lead to pricing pressure, loss of customers and loss of market share, and could result in one or more competitors with greater financial, technical, marketing, service and other resources, all of which could have a material adverse effect on our business, operating results and financial condition. Increased competition could reduce our market share, revenues, and operating margins, increase our costs of operations, and otherwise adversely affect our business.</w:t>
      </w:r>
    </w:p>
    <w:p>
      <w:pPr>
        <w:spacing w:after="0" w:line="84" w:lineRule="exact"/>
        <w:rPr>
          <w:sz w:val="20"/>
          <w:szCs w:val="20"/>
          <w:color w:val="auto"/>
        </w:rPr>
      </w:pPr>
    </w:p>
    <w:p>
      <w:pPr>
        <w:ind w:right="40" w:firstLine="486"/>
        <w:spacing w:after="0" w:line="281" w:lineRule="auto"/>
        <w:rPr>
          <w:sz w:val="20"/>
          <w:szCs w:val="20"/>
          <w:color w:val="auto"/>
        </w:rPr>
      </w:pPr>
      <w:r>
        <w:rPr>
          <w:rFonts w:ascii="Times New Roman" w:cs="Times New Roman" w:eastAsia="Times New Roman" w:hAnsi="Times New Roman"/>
          <w:sz w:val="17"/>
          <w:szCs w:val="17"/>
          <w:color w:val="auto"/>
        </w:rPr>
        <w:t>To remain competitive, we will need to invest continuously in software development, marketing, customer service and support, product delivery and other cloud-based network infrastructure. However, we cannot assure you that new or established competitors will not offer products that are superior to ours or lower in price than ours, or both. We may not have sufficient resources to continue the investments in all areas of software development, marketing, customer service and support and infrastructure needed to maintain our competitive position which may diminish our market share and business prospects.</w:t>
      </w:r>
    </w:p>
    <w:p>
      <w:pPr>
        <w:spacing w:after="0" w:line="26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successfully integrate or otherwise operate newly acquired companies or businesses, which could adversely affect our financial results.</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Acquisitions involve numerous risks including:</w:t>
      </w:r>
    </w:p>
    <w:p>
      <w:pPr>
        <w:spacing w:after="0" w:line="117"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significantly higher than anticipated capital expenditures and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assimilate the operations, customers, and personnel of the acquired company or business;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disrupting our ongoing business;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dissipating or distracting our management resources;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existing stockholders from the issuance of equity securities;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or other problems associated with the acquired business;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becoming subject to adverse tax consequences, substantial depreciation, or deferred compensation charges;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and exposure to other contingent liabilities;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management of the acquired company;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maintain uniform standards, controls, and policies; and</w:t>
      </w:r>
    </w:p>
    <w:p>
      <w:pPr>
        <w:spacing w:after="0" w:line="257"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14</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relationships with employees and customers as a result of changes in management.</w:t>
      </w:r>
    </w:p>
    <w:p>
      <w:pPr>
        <w:spacing w:after="0" w:line="11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Fully integrating an acquired company or business into our operations may take a significant amount of time and resources. In addition, we may only be able to conduct limited due diligence on an acquired company’s operations. Following an acquisition, we may be subject to liabilities arising from an acquired company’s past or present operations, including liabilities related to data security, encryption and privacy of customer data, and these liabilities may be greater than the warranty and indemnity limitations that we negotiate, or the coverage we secure under representation and warranty insurance. We cannot assure you that we will be successful in overcoming these risks or any other problems encountered with acquisitions. To the extent we do not successfully avoid or overcome the risks or problems related to any acquisitions, our results of operations and financial condition could be adversely affected. Future acquisitions also could impact our financial position and capital needs and could cause substantial fluctuations in our quarterly and yearly results of operations. We also may not be able to achieve anticipated synergies or financial results post acquisition, which could negatively impact our operations and financial results. Acquisitions could include significant goodwill and intangible assets, which may result in future impairment charges that would reduce our stated earnings.</w:t>
      </w:r>
    </w:p>
    <w:p>
      <w:pPr>
        <w:spacing w:after="0" w:line="298" w:lineRule="exact"/>
        <w:rPr>
          <w:sz w:val="20"/>
          <w:szCs w:val="20"/>
          <w:color w:val="auto"/>
        </w:rPr>
      </w:pPr>
    </w:p>
    <w:p>
      <w:pPr>
        <w:spacing w:after="0" w:line="317" w:lineRule="auto"/>
        <w:rPr>
          <w:sz w:val="20"/>
          <w:szCs w:val="20"/>
          <w:color w:val="auto"/>
        </w:rPr>
      </w:pPr>
      <w:r>
        <w:rPr>
          <w:rFonts w:ascii="Times New Roman" w:cs="Times New Roman" w:eastAsia="Times New Roman" w:hAnsi="Times New Roman"/>
          <w:sz w:val="17"/>
          <w:szCs w:val="17"/>
          <w:b w:val="1"/>
          <w:bCs w:val="1"/>
          <w:color w:val="auto"/>
        </w:rPr>
        <w:t>Because our long-term success depends, in part, on our ability to expand the sales of our products to customers located outside of the United States and expand operations to support such expansion, our business will be increasingly susceptible to risks associated with international operations.</w:t>
      </w:r>
    </w:p>
    <w:p>
      <w:pPr>
        <w:spacing w:after="0" w:line="2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Our limited experience in operating our business outside of the United States increases the risk that our current and any future international expansion efforts will not be successful. Expanding international sales and operations subjects us to new risks that, generally, we have not faced in the U.S., including:</w:t>
      </w:r>
    </w:p>
    <w:p>
      <w:pPr>
        <w:spacing w:after="0" w:line="68"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misjudging the markets and competitive landscape of foreign jurisdictions;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payment cycles and difficulties in collecting accounts receivable;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systems and restrictions on the repatriation of earnings;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localization of our products, including translation into foreign languages and associated expenses;</w:t>
      </w:r>
    </w:p>
    <w:p>
      <w:pPr>
        <w:spacing w:after="0" w:line="117" w:lineRule="exact"/>
        <w:rPr>
          <w:rFonts w:ascii="Times New Roman" w:cs="Times New Roman" w:eastAsia="Times New Roman" w:hAnsi="Times New Roman"/>
          <w:sz w:val="18"/>
          <w:szCs w:val="18"/>
          <w:color w:val="auto"/>
        </w:rPr>
      </w:pPr>
    </w:p>
    <w:p>
      <w:pPr>
        <w:ind w:left="980" w:right="20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of complying with a wide variety of foreign laws and regulations, and changes to such laws and regulations, including laws and regulations related to employment, privacy and tax;</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effective tax rates due to international tax liabilities subject to allocation of expenses in differing jurisdictions;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and security concerns in general;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potential for corruption and bribery;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117"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occurrence of any one of these risks could adversely affect our international business and, consequently, our results of operations generally. Additionally, operating in international markets also requires significant management attention and financial resources. We cannot be certain that the investment and additional resources required in establishing, acquiring, or integrating operations in other countries will produce desired levels of revenues or profitability.</w:t>
      </w:r>
    </w:p>
    <w:p>
      <w:pPr>
        <w:spacing w:after="0" w:line="7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addition, we operate in parts of the world that are recognized as having governmental corruption problems and where local customs and practices may not foster strict compliance with anti-corruption laws. Our continued operation and potential expansion outside the U.S. could increase the risk of such violations in the future. Despite our training and compliance programs, we cannot assure you that our internal control policies and procedures will protect us from unauthorized, reckless, or criminal acts committed by our employees or agents, including by third parties we utilize in foreign jurisdictions. In the event that we believe, or have reason to believe, that our employees or agents have or may have violated applicable anti-corruption laws, including the U.S. Foreign Corrupt Practices Act, we may be required to investigate or have outside counsel investigate the relevant facts and circumstances, which can be expensive and require significant time and attention from senior management. Violations of these laws may result in severe civil and criminal sanctions and penalties, which could disrupt our business and have a material adverse effect on our reputation, results of operations or financial condition.</w:t>
      </w:r>
    </w:p>
    <w:p>
      <w:pPr>
        <w:spacing w:after="0" w:line="223"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Any unrest, military activities, or sanctions impacting our international operations, should they occur, could disrupt operations, and have a material adverse effect on our business. Any such disruption to our operations may be prolonged and require a transition to alternative workforce locations. An alternative workforce location may be more expensive to train, staff, and operate and may cause delays and shortfalls in programming deliverables and services, thus potentially harming our business. Given our significant international workforce in Ukraine and the Philippines and the potentially volatile political and civil unrest situations in both areas, including but not limited to Russian interference and civil unrest with multiple groups, respectively, we are more susceptible to disruptions there. Those potentially disruptive environments are out of our control and we cannot predict the outcome of future developments or reactions to such developments by the U.S., European, Asian, Oceanic, United Nations or other international authorities and organizations.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face exposure to fluctuations in foreign currency exchange rates, which could affect our financial condition and results of operations.</w:t>
      </w:r>
    </w:p>
    <w:p>
      <w:pPr>
        <w:spacing w:after="0" w:line="12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While we transact in U.S. dollars with the majority of our customers, vendors, and employees, and expect to continue in the future, we also transact in currencies other than the U.S. dollar due to our international operations. As a result, our consolidated U.S. dollar financial statements are subject to fluctuations due to changes in exchange rates. Accordingly, declines in the value of foreign currencies relative to the U.S. dollar adversely affect our financial condition and results of operations. Although we may in the future decide to undertake foreign exchange hedging transactions to cover a portion of our foreign currency exchange exposure, we currently do not hedge our exposure to foreign currency exchange risks.</w:t>
      </w:r>
    </w:p>
    <w:p>
      <w:pPr>
        <w:spacing w:after="0" w:line="28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raise additional capital or generate cash flows necessary to expand our operations and invest in new technologies could reduce our ability to compete successfully and adversely affect our results of operations.</w:t>
      </w:r>
    </w:p>
    <w:p>
      <w:pPr>
        <w:spacing w:after="0" w:line="5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may need to raise additional capital due to shortfalls in cash flow or for other reasons, and we may not be able to obtain debt or additional equity financing on favorable terms, if at all. If we raise additional equity financing, our security holders may experience significant dilution of their ownership interests and the value of shares of our common stock could decline.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we may not be able to, among other things:</w:t>
      </w:r>
    </w:p>
    <w:p>
      <w:pPr>
        <w:spacing w:after="0" w:line="75"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enhance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technology development, sales, and marketing organizations;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new or complementary technologies, products, or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train and retain employees; 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inability to do any of the foregoing could reduce our ability to compete successfully and adversely affect our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Products and Service Offerings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new products and changes to existing products we pursue could fail to attract or retain customers or generate expected revenues.</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Our ability to retain, increase, and engage our customers and to increase our revenues depends heavily on our ability to identify, develop, and launch successful new products. We may introduce significant changes to our existing products or develop and introduce new and unproven products which include or use technologies with which we have little or no prior development or operating experience. If new or enhanced products fail to garner expected customer demand in a timely manner or at all, we may fail to generate sufficient revenues, operating margin, or other value to justify our investments and our business may be adversely affected.</w:t>
      </w:r>
    </w:p>
    <w:p>
      <w:pPr>
        <w:spacing w:after="0" w:line="215"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16</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dependent on our ability to maintain and scale our technical infrastructure, and any failure to effectively maintain or scale such infrastructure could damage our reputation, result in a potential loss of revenue, and adversely affect our financial results.</w:t>
      </w:r>
    </w:p>
    <w:p>
      <w:pPr>
        <w:spacing w:after="0" w:line="5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customers is dependent upon the reliable performance of our cloud-based products and our underlying technical infrastructure and cloud providers. As our user base and the amount and types of information shared on our cloud-based network continue to grow, we will need an increasing amount of technical infrastructure, including network capacity and computing power, to continue to satisfy the needs of our users. It is possible that we or our cloud providers may fail to effectively maintain and scale our technical infrastructure to accommodate these increased demands. Any failure to effectively maintain and grow our technical infrastructure could result in interruptions or delays in service which may damage our reputation, result in a potential loss of customers, and adversely affect our financial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inability to adapt to rapid technological change could impair our ability to remain competitive.</w:t>
      </w:r>
    </w:p>
    <w:p>
      <w:pPr>
        <w:spacing w:after="0" w:line="12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The industry in which we compete is characterized by rapid technological change, frequent introductions of new products, and evolving industry standards, which may include advancements in artificial intelligence. Existing products can become obsolete and unmarketable when vendors introduce products utilizing new technologies or new industry standards emerge, and as a result, it is difficult for us to predict the life cycles of our products. Our ability to attract new customers and increase revenues from customers will depend in significant part on our ability to anticipate technological changes, and the corresponding impact on customer needs, evolving requirements, and future industry standards, and to continue to enhance our existing products or introduce or acquire new products to keep pace with such technological developments. The success of our enhanced or new products depend on several factors, including the timely completion, introduction and market acceptance of the enhancement or product. Any new product we develop or acquire might not be introduced in a timely or cost-effective manner and might not achieve the broad market acceptance necessary to generate expected revenues. If any of our competitors or new market entrants implement new technologies or upgrades to existing technologies before we are able to implement them, they may be able to provide more effective products than ours at lower prices. Any delay or failure in the introduction of new or enhanced products could adversely affect our business, results of operations and financial condition.</w:t>
      </w:r>
    </w:p>
    <w:p>
      <w:pPr>
        <w:spacing w:after="0" w:line="29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third-party infrastructure, software and services that could take significant time, and involve a complex transition, to replace or upgrade.</w:t>
      </w:r>
    </w:p>
    <w:p>
      <w:pPr>
        <w:spacing w:after="0" w:line="5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rely on infrastructure, software and services licensed from third parties to offer our cloud-based supply chain management products. This infrastructure, software, and services, as well as related maintenance and updates, may not continue to be available to us on commercially reasonable terms, or at all. If we lose the right to use or upgrade any of these licenses, our customers could experience delays or be unable to access our products until we can obtain and integrate equivalent technology. There might not always be commercially reasonable alternatives to the third-party infrastructure, software, and services that we currently license. Any such alternatives could be more difficult or costly to replace than what we currently license, and integration of the alternatives into our cloud-based products could require significant work and resources and delays. Any delays or failures associated with our cloud-based products could damage our reputation with current and potential customers and have an adverse effect on our business.</w:t>
      </w:r>
    </w:p>
    <w:p>
      <w:pPr>
        <w:spacing w:after="0" w:line="22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17</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Interruptions or delays from third-party data centers or to the telecommunications infrastructure we use or rely on could impair the delivery of our products and our business could suffer.</w:t>
      </w:r>
    </w:p>
    <w:p>
      <w:pPr>
        <w:spacing w:after="0" w:line="5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use third-party data centers, located in the U.S. and internationally, as well as provision services from cloud providers, to conduct our operations. Our ability to deliver our services depends on the development and maintenance of telecommunications infrastructure by third parties. This includes maintenance of a reliable network backbone with the necessary speed, data capacity, bandwidth capacity, and security. Our operations depend on the protection of the equipment and information we store in these third-party centers, or utilize from third-party providers, against damage or service interruptions that may be caused by fire, flood, severe storm, power loss, telecommunications failures, natural disasters, war, criminal act, military action, terrorist attack, financial failure of the service provider, and other events beyond our control. In addition, third-party malfeasance, such as intentional misconduct by computer hackers, unauthorized intrusions, computer viruses, ransomware, or denial of service attacks, may also cause substantial service disruptions. A prolonged service disruption affecting our products could damage our reputation with potential customers, cause us to lose existing customers, expose us to liability, or otherwise adversely affect our business. We may also incur significant costs for using alternative equipment or taking other actions in preparation for, or in reaction to, events that damage the data centers or infrastructure we use or rely on, including the additional expense of transitioning to substitute facilities or service providers.</w:t>
      </w:r>
    </w:p>
    <w:p>
      <w:pPr>
        <w:spacing w:after="0" w:line="29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A failure to protect the confidentiality and integrity of our customers’ information and prevent cyber-attacks could materially damage our reputation, expose us to claims and litigation, and lead to service disruptions and harm our business. Additionally, the growing costs to avoid or reduce the risks of such a failure could adversely affect our results of operations.</w:t>
      </w:r>
    </w:p>
    <w:p>
      <w:pPr>
        <w:spacing w:after="0" w:line="67"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As demonstrated by the frequency and sophistication of material and high-profile data security breaches across industries, computer malware, viruses, phishing, spam, ransomware, and other cyber threats continue to pose a pervasive issue for business. Given the interconnected and technology-dependent nature of the retail supply chain, our significant presence and impact in the retail industry, and past cyber events affecting our systems, it's reasonable to believe that we are a target for such attacks.</w:t>
      </w:r>
    </w:p>
    <w:p>
      <w:pPr>
        <w:spacing w:after="0" w:line="72"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Our business involves the collection and use of confidential information of our customers and their trading partners which sometimes requires our direct access to our customers’ information systems. Our security measures may be breached as a result of third-party action, including intentional misconduct by computer hackers via cyber-attacks, employee error, malfeasance, system errors or vulnerabilities, including vulnerabilities of our third-party vendors and customers, and result in someone obtaining unauthorized access to our customers’ information and information systems. Additionally, third parties may attempt to fraudulently induce employees or customers into disclosing sensitive information such as usernames, passwords, or other information in order to gain access to our customers’ data or our data or IT systems. Because the techniques used to obtain unauthorized access, or to sabotage systems, change frequently and generally are not recognized until launched against a target, we may be unable to anticipate these techniques or to implement adequate preventative measures. Malicious third parties may also conduct attacks designed to temporarily deny customers access to our services.</w:t>
      </w:r>
    </w:p>
    <w:p>
      <w:pPr>
        <w:spacing w:after="0" w:line="80"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Any failure to maintain performance, reliability, security and availability of our cloud-based products to the satisfaction of our customers, or any unauthorized access to our customers’ information or systems may cause service disruptions, harm our reputation, impair our ability to retain existing customers and attract new customers and expose us to legal claims or government action, each of which could have a material adverse impact on our financial condition, results of operations and growth prospects. Although we are allocating more resources to address cyber threats and safeguard our products and services, including cyber insurance, we cannot assure you that these efforts to protect this confidential information and prevent unauthorized access to such information systems will be successful, and the growing costs related to these efforts could adversely affect our results of operations. In addition, because of the critical nature of information security and system access, any actual or perceived failure of our security measures could cause existing or potential customers not to use our products and harm our reputation.</w:t>
      </w:r>
    </w:p>
    <w:p>
      <w:pPr>
        <w:spacing w:after="0" w:line="84"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Businesses in the retail industry have experienced material sales declines after discovering data security breaches, and our business could be similarly impacted in the event of a breach or other cyber incident. Furthermore, many U.S. states and international jurisdictions have enacted laws requiring companies to notify consumers of data security breaches involving their personal data and to increase transparency related to cybersecurity risk management and incident disclosure, all of which may further increase our costs of compliance. These mandatory disclosures regarding a data security breach or other cyber incident often lead to widespread negative publicity, which may cause our customers to lose confidence in our products and the effectiveness of our cybersecurity measures. If we fail to comply with these laws and regulations, we could be subject to enforcement action or litigation, which could harm our business.</w:t>
      </w:r>
    </w:p>
    <w:p>
      <w:pPr>
        <w:spacing w:after="0" w:line="22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18</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experience service failures or interruptions due to defects in the hardware, software, infrastructure, third-party components or processes that comprise our existing or new products, any of which could adversely affect our business.</w:t>
      </w:r>
    </w:p>
    <w:p>
      <w:pPr>
        <w:spacing w:after="0" w:line="5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Technology products like ours may contain undetected defects in the hardware, software, infrastructure, third-party components or processes that are part of the products we provide. If these defects lead to service failures, we could experience delays or lost revenues, diversion of technology resources, negative media attention or increased service costs as a result of performance-based claims during the period required to correct the cause of the defects. We cannot be certain that defects will be avoided in our upgraded or new products, resulting in loss of, or delay in, market acceptance, which could have an adverse effect on our business, results of operations and financial condition.</w:t>
      </w:r>
    </w:p>
    <w:p>
      <w:pPr>
        <w:spacing w:after="0" w:line="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Because customers use our cloud-based supply chain management products for critical business processes, any defect in our products, any disruption to our products or any error in execution could cause recurring revenue customers to cancel their contracts with us, cause potential customers to not join our network and harm our reputation. We could also be subject to litigation for actual or alleged losses to our customers, which may require us to spend significant time and money in litigation or arbitration or to pay significant settlements or damages. We do not currently maintain any warranty reserves. Moreover, defending a lawsuit, regardless of its merit, could be costly and divert management’s attention and could cause our business to suffer.</w:t>
      </w:r>
    </w:p>
    <w:p>
      <w:pPr>
        <w:spacing w:after="0" w:line="75"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insurers under our existing liability insurance policy could deny coverage of a future claim that results from an error or defect in our technology or a resulting disruption in our products, or our existing liability insurance might not be adequate to cover any or all of the damages and other costs of such a claim. Moreover, we cannot assure you that our current liability insurance coverage will continue to be available to us on acceptable terms or at all. The successful assertion against us of one or more large claims that exceeds, or is not insured by, our insurance coverage, or the occurrence of changes in our liability insurance policy, including an increase in premiums or imposition of large deductible or co-insurance requirements, could have an adverse effect on our business, financial condition, and operating results.</w:t>
      </w:r>
    </w:p>
    <w:p>
      <w:pPr>
        <w:spacing w:after="0" w:line="29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If open source, or other no-cost products and services, expand into enterprise application and supply chain software or products, our prices, revenues, and operating results may decline.</w:t>
      </w:r>
    </w:p>
    <w:p>
      <w:pPr>
        <w:spacing w:after="0" w:line="5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open source community comprises many different formal and informal groups of software developers and individuals who have created a wide variety of software and have made that software available for use, distribution, and modification, often free of charge. If developers contribute effective and scalable enterprise and supply chain application software to the open source community, or if competitors make such software or service available at no cost, we may need to lower our product pricing and alter our distribution strategy to compete successfully, and our revenues and operating results may decline as a result.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use of open source software in our products may expose us to additional risks and harm our intellectual property.</w:t>
      </w:r>
    </w:p>
    <w:p>
      <w:pPr>
        <w:spacing w:after="0" w:line="12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Some of our products use or incorporate software that is subject to one or more open source licenses. Open source software is typically licensed under terms that require making the software freely accessible, usable, and modifiable. Failure to comply with these licenses may subject us to onerous requirements, such as offering our products that incorporate the open source software for no cost or making the source code we create based upon, incorporating, or using the open source software available for modifications or derivative works. If an author or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services that contained the open source software and required to comply with the foregoing conditions, which could disrupt the distribution and sale of some of our products.</w:t>
      </w:r>
    </w:p>
    <w:p>
      <w:pPr>
        <w:spacing w:after="0" w:line="81"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While we have established standards for the use of open source software in our products, processes and technology to ensure that open source software is not used in such a way as to require us to disclose the source code to the related product or products, such use could inadvertently occur. Additionally, if a third-party software provider has incorporated certain types of open source software into software we license from such third-party for our products, we could, under certain circumstances, be required to disclose the source code to our products. This could harm our intellectual property position and have a material adverse effect on our business, results of operations and financial condition.</w:t>
      </w:r>
    </w:p>
    <w:p>
      <w:pPr>
        <w:spacing w:after="0" w:line="215"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19</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protect our intellectual property and proprietary rights adequately, our business could suffer material adverse effects.</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believe that proprietary technology is essential to establishing and maintaining our leadership position. We seek to protect our intellectual property through trade secrets, copyrights, confidentiality, non-compete and nondisclosure agreements, license agreements, trademarks, domain names and other measures, some of which afford only limited protection. We do not have any registered copyrights. Despite our efforts to protect our proprietary rights, unauthorized parties may attempt to copy or reverse engineer aspects of our technology or to obtain and use information that we regard as proprietary. We cannot assure you that our means of protecting our proprietary rights will be adequate or that our competitors will not independently develop similar or superior technology or design around our intellectual property. In addition, the laws of some foreign countries do not protect our proprietary rights to the same extent as the laws of the U.S. and intellectual property protections may also be unavailable, limited or difficult to enforce in some countries, which could make it easier for competitors to capture market share. Our failure to adequately protect our intellectual property and proprietary rights could adversely affect our business, financial condition, and results of operations.</w:t>
      </w:r>
    </w:p>
    <w:p>
      <w:pPr>
        <w:spacing w:after="0" w:line="80"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and scope of the intellectual property or other proprietary rights of others, the proceedings could be burdensome and expensive, even if we were to prevail. Any such legal proceedings, including litigation, that are pursued in the future could result in substantial costs and diversion of resources and could have a material adverse effect on our business, operating results, or financial condition, regardless of whether we prevail in such proceedings.</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An assertion by a third-party that we are infringing its intellectual property, whether or not correct, could subject us to costly and time-consuming litigation or expensive licenses and our business might be materially harmed.</w:t>
      </w:r>
    </w:p>
    <w:p>
      <w:pPr>
        <w:spacing w:after="0" w:line="5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supply chain management industry and its enabling technologies are characterized by the existence of a large number of patents, copyrights, trademarks, and trade secrets and by frequent litigation based on allegations of infringement or other violations of intellectual property rights. As we seek to extend our products, we could be constrained by the intellectual property rights of others.</w:t>
      </w:r>
    </w:p>
    <w:p>
      <w:pPr>
        <w:spacing w:after="0" w:line="68"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might not prevail in any intellectual property infringement litigation against us given, among other reasons, the complex technical issues, and inherent uncertainties in such litigation. Moreover, defending such claims, regardless of their merit, could be time-consuming and distracting to management, result in costly litigation or settlement, cause development delays, require us to enter into royalty or licensing agreements or require us to redesign our products to avoid infringement. If our products violate any third-party proprietary rights, we could be required to withdraw those products from the market, re-develop those products or seek to obtain licenses from third parties, which might not be available on reasonable terms or at all. Any efforts to re-develop our products, obtain licenses from third parties on favorable terms or license a substitute technology might be unsuccessful and, in any case, might substantially increase our costs and harm our business, financial condition and operating results. We also face risk of infringement or misappropriation claims if we hire an employee or contractor who possesses third-party proprietary information and who decides to use such information in connection with our products, services, or business processes without such third-party’s authorization. Regardless of the source of such misuse of third-party intellectual property, any resulting withdrawal of our products from the market might materially harm our business, financial condition, and operating results.</w:t>
      </w:r>
    </w:p>
    <w:p>
      <w:pPr>
        <w:spacing w:after="0" w:line="8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addition, we incorporate open source software into our cloud-based products.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or foreign courts, and there is a risk that those licenses could be construed in a manner that imposes unanticipated conditions or restrictions on our ability to commercialize our products. In that event, we could be required to seek licenses from third parties in order to continue offering our products, to re-develop our products or to discontinue sales of our products, or to release our proprietary software code under the terms of an open source license, any of which could have a material adverse effect on our business.</w:t>
      </w:r>
    </w:p>
    <w:p>
      <w:pPr>
        <w:spacing w:after="0" w:line="219"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20</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Regulation</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Privacy concerns and laws, evolving regulation of the internet and cloud computing, cross-border data transfer restrictions and other domestic or foreign regulations may limit the use and adoption of our products and adversely affect our business.</w:t>
      </w:r>
    </w:p>
    <w:p>
      <w:pPr>
        <w:spacing w:after="0" w:line="5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Regulation related to the provision of services on the internet is increasing, as federal, state, and foreign governments continue to adopt new laws and regulations addressing eCommerce generally, data privacy and the collection, processing, storage and use of personal information, including but not limited to the European Union's General Data Protection Regulation ("GDPR"). We are particularly sensitive to these risks because the internet and the collection, processing, storage, and use of personal information are critical components of our cloud-based business model. Further, laws are increasingly aimed at the use of personal information for marketing purposes, such as the European Union’s e-Privacy Directive, and the country-specific regulations that implement that directive. Such laws and regulations are subject to differing interpretations and are inconsistent among jurisdictions. These and other requirements could reduce demand for our products or restrict our ability to store and process data or, in some cases, impact our ability to offer, or develop new, services and products in certain locations.</w:t>
      </w:r>
    </w:p>
    <w:p>
      <w:pPr>
        <w:spacing w:after="0" w:line="84"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In addition to government activity, privacy advocacy and other industry groups have established or may establish new self-regulatory standards that may place additional burdens on us. Our customers may expect us to meet voluntary certification or other standards established by third parties. If we are unable to maintain these certifications or meet these standards, it could adversely affect our ability to provide our products to certain customers and could harm our business.</w:t>
      </w:r>
    </w:p>
    <w:p>
      <w:pPr>
        <w:spacing w:after="0" w:line="7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costs of compliance with and other burdens imposed by laws, regulations and standards are significant and may limit the use and adoption of our services and reduce overall demand for them, or lead to material fines, penalties, or liabilities for noncompliance.</w:t>
      </w:r>
    </w:p>
    <w:p>
      <w:pPr>
        <w:spacing w:after="0" w:line="54"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Furthermore, concerns regarding data privacy may cause our customers’ customers to resist providing the data necessary to allow our customers to use our service effectively. Even the perception that the privacy of personal information is not satisfactorily protected or does not meet regulatory requirements could inhibit sales and adoption of our cloud-based products.</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Industry-specific regulation is evolving, and unfavorable or burdensome industry-specific laws, regulations or interpretive positions could harm our business.</w:t>
      </w:r>
    </w:p>
    <w:p>
      <w:pPr>
        <w:spacing w:after="0" w:line="5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customers and potential customers do business in a variety of industries. Regulators in certain industries have adopted and may in the future adopt regulations or interpretive positions regarding the use of cloud computing and other outsourced services. The costs of compliance with, and other burdens imposed by, industry-specific laws, regulations and interpretive positions may limit customers’ use and adoption of our services and reduce overall demand for our services. In addition, an inability to satisfy the standards of certain voluntary third-party certification bodies that our customers may expect may have an adverse impact on our business. If in the future we are unable to achieve or maintain these industry-specific certifications or other requirements or standards relevant to our customers, it may harm our business.</w:t>
      </w:r>
    </w:p>
    <w:p>
      <w:pPr>
        <w:spacing w:after="0" w:line="79"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In some cases, industry-specific laws, regulations, or interpretive positions may also apply directly to us as a service provider. Any failure or perceived failure by us to comply with such requirements could have an adverse impact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fluctuate in the future, which could result in volatility in our stock price.</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Our quarterly revenues and results of operations have varied in the past and may fluctuate in the future. Fluctuations in our results of operations may be due to a number of factors, including, but not limited to, those listed below and identified throughout this “Risk Factors” section:</w:t>
      </w:r>
    </w:p>
    <w:p>
      <w:pPr>
        <w:spacing w:after="0" w:line="54" w:lineRule="exact"/>
        <w:rPr>
          <w:sz w:val="20"/>
          <w:szCs w:val="20"/>
          <w:color w:val="auto"/>
        </w:rPr>
      </w:pPr>
    </w:p>
    <w:p>
      <w:pPr>
        <w:ind w:left="980" w:right="24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sales to customers and attract new customers, including our ability to maintain and increase our number of recurring revenue customers;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introductions of new products or upgrades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U.S. and global economy, in particular, as it affects the U.S. retail sector;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our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57"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entry into the industry by new competitors;</w:t>
      </w:r>
    </w:p>
    <w:p>
      <w:pPr>
        <w:spacing w:after="0" w:line="117"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expenses, including stock-based compensation and expenditures related to expanding our operations, attracting and retaining talent, supporting new customers, performing research and development, or introducing new products;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impacting our business;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costs and unforeseen legal expenses, including litigation and settlement costs;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size, integration and operational success of potential future acquisitions;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payment terms for our products;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or service failures, security breaches or network downtime.</w:t>
      </w:r>
    </w:p>
    <w:p>
      <w:pPr>
        <w:spacing w:after="0" w:line="117"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Due to the foregoing factors, and other risks, including those identified in this “Risk Factors” section, comparing our operating results on a period-to-period basis may not be meaningful. You should not rely on these comparisons of our past results of operations as an indication of our future performance.</w:t>
      </w:r>
    </w:p>
    <w:p>
      <w:pPr>
        <w:spacing w:after="0" w:line="6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operating results in one or more future quarters may fluctuate, fall below the expectations of securities analysts and investors, or be less than any guidance we may provide to the market. If this occurs, the trading price of our common stock could decline significantly.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charter documents and Delaware law may delay, discourage, or inhibit a takeover that stockholders consider favorable.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and applicable provisions of Delaware law may delay, discourage, or inhibit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and may ultimately result in the market price of our common stock being lower than it would be without these provisions. These provisions:</w:t>
      </w:r>
    </w:p>
    <w:p>
      <w:pPr>
        <w:spacing w:after="0" w:line="72" w:lineRule="exact"/>
        <w:rPr>
          <w:sz w:val="20"/>
          <w:szCs w:val="20"/>
          <w:color w:val="auto"/>
        </w:rPr>
      </w:pPr>
    </w:p>
    <w:p>
      <w:pPr>
        <w:ind w:left="980" w:right="16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up to 5,000,000 shares of preferred stock, with any rights, preferences and privileges as our board may designate, including the right to approve an acquisition or other change in our control;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by resolution of the board of directors;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53"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 and</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w:t>
      </w:r>
    </w:p>
    <w:p>
      <w:pPr>
        <w:spacing w:after="0" w:line="11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intend to declare dividends on our stock in the foreseeable future.</w:t>
      </w:r>
    </w:p>
    <w:p>
      <w:pPr>
        <w:spacing w:after="0" w:line="1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future earnings for the operation and expansion of our business and, therefore, do not anticipate declaring or paying cash dividends on our common stock in the foreseeable future. Investors may need to sell all or part of their holdings of our common stock after price appreciation, which may never occur, as the only way to realize any future gains on their investment. Any payment of future cash dividends on our common stock will be at the discretion of our board of directors and will depend upon our results of operations, earnings, capital requirements, financial condition, future prospects, contractual restrictions, and other factors deemed relevant by our board of directors. Therefore, you should not expect to receive dividend income from shares of our common stock.</w:t>
      </w:r>
    </w:p>
    <w:p>
      <w:pPr>
        <w:spacing w:after="0" w:line="219"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22</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AAE5"/>
        </w:rPr>
        <w:t>General</w:t>
      </w:r>
    </w:p>
    <w:p>
      <w:pPr>
        <w:spacing w:after="0" w:line="117"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Our failure to maintain adequate internal control over financial reporting in accordance with Section 404 of the Sarbanes-Oxley Act of 2002 or to prevent or detect material misstatements in our annual or interim financial statements in the future could result in inaccurate financial reporting, or could otherwise harm our business and investor confidence in our financial reporting.</w:t>
      </w:r>
    </w:p>
    <w:p>
      <w:pPr>
        <w:spacing w:after="0" w:line="6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Ensuring that we have internal financial and accounting controls and procedures adequate to produce accurate financial statements on a timely basis is a costly and time-consuming effort that needs to be re-evaluated periodically. The Sarbanes-Oxley Act requires, among other things, that we maintain effective internal control over financial reporting and disclosure controls and procedures. In particular, we are required to perform annual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Furthermore, implementing any appropriate future changes to our internal control over financial reporting, including internal controls related to acquisitions and organic business growth, may entail substantial costs in order to modify our existing accounting systems, may take a significant period of time to complete and may distract our officers, directors, and employees from the operation of our business. If we are not able to comply with the requirements of Section 404 in the future, or if material weaknesses are identified, our business could be harmed and investor confidence in our financial reporting diminished.</w:t>
      </w:r>
    </w:p>
    <w:p>
      <w:pPr>
        <w:spacing w:after="0" w:line="29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00AAE5"/>
        </w:rPr>
        <w:t>Item 1B.</w:t>
      </w:r>
      <w:r>
        <w:rPr>
          <w:sz w:val="20"/>
          <w:szCs w:val="20"/>
          <w:color w:val="auto"/>
        </w:rPr>
        <w:tab/>
      </w:r>
      <w:r>
        <w:rPr>
          <w:rFonts w:ascii="Times New Roman" w:cs="Times New Roman" w:eastAsia="Times New Roman" w:hAnsi="Times New Roman"/>
          <w:sz w:val="17"/>
          <w:szCs w:val="17"/>
          <w:b w:val="1"/>
          <w:bCs w:val="1"/>
          <w:color w:val="00AAE5"/>
        </w:rPr>
        <w:t>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00AAE5"/>
        </w:rPr>
        <w:t>Item 1C.</w:t>
      </w:r>
      <w:r>
        <w:rPr>
          <w:sz w:val="20"/>
          <w:szCs w:val="20"/>
          <w:color w:val="auto"/>
        </w:rPr>
        <w:tab/>
      </w:r>
      <w:r>
        <w:rPr>
          <w:rFonts w:ascii="Times New Roman" w:cs="Times New Roman" w:eastAsia="Times New Roman" w:hAnsi="Times New Roman"/>
          <w:sz w:val="17"/>
          <w:szCs w:val="17"/>
          <w:b w:val="1"/>
          <w:bCs w:val="1"/>
          <w:color w:val="00AAE5"/>
        </w:rPr>
        <w:t>Cybersecurity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08"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have an established security program and framework based on ISO/IEC 27001 (“Security Program”) and maintain ISO/IEC 27001:2013, SOC 1 Type 2, and SOC 2 Type 2 certifications. The Security Program has been established to allow management oversight of cybersecurity risks, institute directives and principles for information security, ensure alignment to regulatory and contractual cybersecurity obligations, and enable timely incident response and remediation.</w:t>
      </w:r>
    </w:p>
    <w:p>
      <w:pPr>
        <w:spacing w:after="0" w:line="7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Our information security team has implemented and continues to maintain various technical, physical, and administrative controls as the foundation of our Security Program, which are designed to help us identify, manage, prevent, and mitigate risks from cybersecurity threats, including, but not limited to, incident detection systems and response plans, vulnerability management tools and processes, risk assessments, disaster recovery and business continuity plans, access controls, asset management, logging and monitoring, security awareness training, and third-party risk management programs.</w:t>
      </w:r>
    </w:p>
    <w:p>
      <w:pPr>
        <w:spacing w:after="0" w:line="72"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Our information security team actively monitor and evaluate our networks, systems, data, and security risk profile to identify and assess cybersecurity risks. We use a variety of methods to identify and evaluate these risks using manual and automated tools and processes, including, network scans, vulnerability and maturity assessments, and subscribing to services and reports providing threat intelligence. In doing so, risks are assessed for criticality, prioritized in context of our business, and communicated to stakeholders for engagement as needed.</w:t>
      </w:r>
    </w:p>
    <w:p>
      <w:pPr>
        <w:spacing w:after="0" w:line="72"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We use a variety of third-party service providers to support and execute on our Security Program. These third parties provide cybersecurity consulting services, cybersecurity software, penetration testing, audits, and other professional services to aid us in identifying, assessing, and managing risks from cybersecurity threats.</w:t>
      </w:r>
    </w:p>
    <w:p>
      <w:pPr>
        <w:spacing w:after="0" w:line="68"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Security Program is led by our Chief Information Security Officer ("CISO"), who has served in the role since 2023, has over 10 years of experience leading cybersecurity programs in a large, publicly traded, international enterprise, and is a Certified Information Systems Security Professional ("CISSP"). Our Executive Security Steering Committee ("ESSC"), comprised of selected members of leadership, assesses and manages any material risks from cybersecurity threats and manages our Security Program. The CISO and information security team provide regular updates to the ESSC on our Security Program and, in accordance with our security incident response plan, escalate applicable cybersecurity threats or incidents to the ESSC for review and management.</w:t>
      </w:r>
    </w:p>
    <w:p>
      <w:pPr>
        <w:spacing w:after="0" w:line="233"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While we have experienced cybersecurity incidents and expect to continue to be subject to such incidents, to date, we have not experienced any cybersecurity incidents that have materially affected our business, financial condition, or results of operations. However, we are subject to ongoing risks from cybersecurity threats that could materially affect us, including our business, financial condition, or results of operations, as further described in Part I, Item 1A, “Risk Factors” of this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0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Audit Committee of our board of directors oversees our risk management processes related to cybersecurity risks and is regularly informed of such risks through presentations or reports from our CISO. Through committee reports, the Audit Committee apprises the full board of directors of any significant cybersecurity updates. In addition, our security incident response plan includes reporting certain cybersecurity incidents to our Audit Committee. Finally, our board of directors reviews cybersecurity risks on an annual basis, including discussing with management, our CISO, and members of the ESSC our strategy surrounding prevention, detection, mitigation, and remediation of potential security threats.</w:t>
      </w:r>
    </w:p>
    <w:p>
      <w:pPr>
        <w:spacing w:after="0" w:line="2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00AAE5"/>
        </w:rPr>
        <w:t>Item 2.</w:t>
        <w:tab/>
        <w:t>Properties</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Our corporate headquarters, including our principal administrative, marketing, sales, technical support, and research and development facilities, are located in Minneapolis, Minnesota. This location includes approximately 200,000 square feet of space and is under lease through 2027. We lease other smaller facilities across the U.S. and international locations. We believe that our current facilities are suitable and adequate to meet our current needs and that suitable additional or substitute space will be available as needed to accommodate expansion of our operations. For additional information regarding obligations under operating leases, see Note I of our consolidated financial statements, included in Part II, Item 8, “Financial Statements and Supplementary Data” of this Annual Report on Form 10-K.</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00AAE5"/>
        </w:rPr>
        <w:t>Item 3.</w:t>
      </w:r>
      <w:r>
        <w:rPr>
          <w:sz w:val="20"/>
          <w:szCs w:val="20"/>
          <w:color w:val="auto"/>
        </w:rPr>
        <w:tab/>
      </w:r>
      <w:r>
        <w:rPr>
          <w:rFonts w:ascii="Times New Roman" w:cs="Times New Roman" w:eastAsia="Times New Roman" w:hAnsi="Times New Roman"/>
          <w:sz w:val="17"/>
          <w:szCs w:val="17"/>
          <w:b w:val="1"/>
          <w:bCs w:val="1"/>
          <w:color w:val="00AAE5"/>
        </w:rPr>
        <w:t>Legal Proceedings</w:t>
      </w:r>
    </w:p>
    <w:p>
      <w:pPr>
        <w:spacing w:after="0" w:line="12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We are not currently subject to, or aware of, any claims or actions that would have a material adverse effect on our business, financial condition, or results of operations. From time to time, we may be named as a defendant in legal actions or otherwise be subject to claims arising from our normal business activities. We believe that we have obtained adequate insurance coverage and/or rights to indemnification in connection with potential legal proceedings that may arise.</w:t>
      </w:r>
    </w:p>
    <w:p>
      <w:pPr>
        <w:spacing w:after="0" w:line="2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00AAE5"/>
        </w:rPr>
        <w:t>Item 4.</w:t>
      </w:r>
      <w:r>
        <w:rPr>
          <w:sz w:val="20"/>
          <w:szCs w:val="20"/>
          <w:color w:val="auto"/>
        </w:rPr>
        <w:tab/>
      </w:r>
      <w:r>
        <w:rPr>
          <w:rFonts w:ascii="Times New Roman" w:cs="Times New Roman" w:eastAsia="Times New Roman" w:hAnsi="Times New Roman"/>
          <w:sz w:val="17"/>
          <w:szCs w:val="17"/>
          <w:b w:val="1"/>
          <w:bCs w:val="1"/>
          <w:color w:val="00AAE5"/>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00AAE5"/>
        </w:rPr>
        <w:t>Item 5.</w:t>
      </w:r>
      <w:r>
        <w:rPr>
          <w:sz w:val="20"/>
          <w:szCs w:val="20"/>
          <w:color w:val="auto"/>
        </w:rPr>
        <w:tab/>
      </w:r>
      <w:r>
        <w:rPr>
          <w:rFonts w:ascii="Times New Roman" w:cs="Times New Roman" w:eastAsia="Times New Roman" w:hAnsi="Times New Roman"/>
          <w:sz w:val="17"/>
          <w:szCs w:val="17"/>
          <w:b w:val="1"/>
          <w:bCs w:val="1"/>
          <w:color w:val="00AAE5"/>
        </w:rPr>
        <w:t>Market for Registrant’s Common Equity, Related Stockholder Matters and Issuer Purchases of Equity Securities</w:t>
      </w:r>
    </w:p>
    <w:p>
      <w:pPr>
        <w:spacing w:after="0" w:line="119" w:lineRule="exact"/>
        <w:rPr>
          <w:sz w:val="20"/>
          <w:szCs w:val="20"/>
          <w:color w:val="auto"/>
        </w:rPr>
      </w:pPr>
    </w:p>
    <w:p>
      <w:pPr>
        <w:ind w:right="2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 Information - </w:t>
      </w:r>
      <w:r>
        <w:rPr>
          <w:rFonts w:ascii="Times New Roman" w:cs="Times New Roman" w:eastAsia="Times New Roman" w:hAnsi="Times New Roman"/>
          <w:sz w:val="18"/>
          <w:szCs w:val="18"/>
          <w:color w:val="auto"/>
        </w:rPr>
        <w:t>Our common stock is and has been traded on the Nasdaq Global Market under the symbol “SPSC” since April 22, 2010,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our initial public offering.</w:t>
      </w:r>
    </w:p>
    <w:p>
      <w:pPr>
        <w:spacing w:after="0" w:line="50" w:lineRule="exact"/>
        <w:rPr>
          <w:sz w:val="20"/>
          <w:szCs w:val="20"/>
          <w:color w:val="auto"/>
        </w:rPr>
      </w:pPr>
    </w:p>
    <w:p>
      <w:pPr>
        <w:ind w:right="2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 </w:t>
      </w:r>
      <w:r>
        <w:rPr>
          <w:rFonts w:ascii="Times New Roman" w:cs="Times New Roman" w:eastAsia="Times New Roman" w:hAnsi="Times New Roman"/>
          <w:sz w:val="18"/>
          <w:szCs w:val="18"/>
          <w:color w:val="auto"/>
        </w:rPr>
        <w:t>As of February 11, 2025, we had 71 stockholders of record of our common stock, excluding holders whose stock is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in nominee name and/or street name brokerage accounts.</w:t>
      </w:r>
    </w:p>
    <w:p>
      <w:pPr>
        <w:spacing w:after="0" w:line="50"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 </w:t>
      </w:r>
      <w:r>
        <w:rPr>
          <w:rFonts w:ascii="Times New Roman" w:cs="Times New Roman" w:eastAsia="Times New Roman" w:hAnsi="Times New Roman"/>
          <w:sz w:val="18"/>
          <w:szCs w:val="18"/>
          <w:color w:val="auto"/>
        </w:rPr>
        <w:t>We have not declared or paid cash dividends on our common stock. We currently intend to retain our future earnings, if any, to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operation and expansion of our business, and, therefore, we do not expect to pay cash dividends on our common stock in the foreseeable future. Payment of future cash dividends, if any, will be at the discretion of our board of directors after taking into account various factors, including our financial condition, operating results, current and anticipated cash needs, outstanding indebtedness and plans for expansion and restrictions imposed by lenders, if any.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Stock Performance Graph and Cumulative Total Return</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Notwithstanding any statement to the contrary in any of our previous or future filings with the SEC, the following information relating to the price performance of our common stock shall not be deemed to be “filed” with the SEC or to be “soliciting material” under the Securities Exchange Act of 1934, as amended, (“Exchange Act”), and it shall not be deemed to be incorporated by reference into any of our filings under the Securities Act of 1933, as amended (“Securities Act”), or the Exchange Act, except to the extent we specifically incorporate it by reference into such filing.</w:t>
      </w:r>
    </w:p>
    <w:p>
      <w:pPr>
        <w:spacing w:after="0" w:line="74" w:lineRule="exact"/>
        <w:rPr>
          <w:sz w:val="20"/>
          <w:szCs w:val="20"/>
          <w:color w:val="auto"/>
        </w:rPr>
      </w:pPr>
    </w:p>
    <w:p>
      <w:pPr>
        <w:ind w:right="20" w:firstLine="486"/>
        <w:spacing w:after="0" w:line="281" w:lineRule="auto"/>
        <w:rPr>
          <w:sz w:val="20"/>
          <w:szCs w:val="20"/>
          <w:color w:val="auto"/>
        </w:rPr>
      </w:pPr>
      <w:r>
        <w:rPr>
          <w:rFonts w:ascii="Times New Roman" w:cs="Times New Roman" w:eastAsia="Times New Roman" w:hAnsi="Times New Roman"/>
          <w:sz w:val="17"/>
          <w:szCs w:val="17"/>
          <w:color w:val="auto"/>
        </w:rPr>
        <w:t>The graph below compares the cumulative total stockholder return of our common stock with that of the Russell 1000 Index and the Nasdaq Computer Index from December 31, 2019 through December 31, 2024, utilizing the last trading day of each respective year. The return assumes that $100 was invested in shares of our common stock and the other indexes at the close of market on December 31, 2019, and that dividends, if any, were reinvested. The comparison in this graph is based on historical data and is not intended to forecast or be indicative of future performance of our common stock.</w:t>
      </w:r>
    </w:p>
    <w:p>
      <w:pPr>
        <w:spacing w:after="0" w:line="5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Returns of SPS Commerce, Inc. to Comparable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88265</wp:posOffset>
            </wp:positionV>
            <wp:extent cx="5143500" cy="21431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 Use of Proceeds from Sales of Registered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7"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121"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On July 23, 2024 (announced July 25, 2024), our board of directors authorized a program to repurchase up to $100.0 million of our common stock, excluding costs to obtain. Under the program, purchases may be made from time to time in the open market or in privately negotiated purchases, or both. The new share repurchase program became effective August 23, 2024 and expires on July 24, 2026.</w:t>
      </w:r>
    </w:p>
    <w:p>
      <w:pPr>
        <w:spacing w:after="0" w:line="68"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 xml:space="preserve">We did not make any repurchases under the program during the quarter ended December 31, 2024. For more information regarding our share repurchase programs, refer to Note J to our consolidated financial statements, included in Part II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Annual Report on Form 10-K.</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00AAE5"/>
        </w:rPr>
        <w:t>Item 6.</w:t>
        <w:tab/>
        <w:t>[Reserved]</w:t>
      </w:r>
    </w:p>
    <w:p>
      <w:pPr>
        <w:spacing w:after="0" w:line="261"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00AAE5"/>
        </w:rPr>
        <w:t>Item 7.</w:t>
      </w:r>
      <w:r>
        <w:rPr>
          <w:sz w:val="20"/>
          <w:szCs w:val="20"/>
          <w:color w:val="auto"/>
        </w:rPr>
        <w:tab/>
      </w:r>
      <w:r>
        <w:rPr>
          <w:rFonts w:ascii="Times New Roman" w:cs="Times New Roman" w:eastAsia="Times New Roman" w:hAnsi="Times New Roman"/>
          <w:sz w:val="17"/>
          <w:szCs w:val="17"/>
          <w:b w:val="1"/>
          <w:bCs w:val="1"/>
          <w:color w:val="00AAE5"/>
        </w:rPr>
        <w:t>Management’s Discussion and Analysis of Financial Condition and Results of Operations</w:t>
      </w:r>
    </w:p>
    <w:p>
      <w:pPr>
        <w:spacing w:after="0" w:line="119" w:lineRule="exact"/>
        <w:rPr>
          <w:sz w:val="20"/>
          <w:szCs w:val="20"/>
          <w:color w:val="auto"/>
        </w:rPr>
      </w:pPr>
    </w:p>
    <w:p>
      <w:pPr>
        <w:jc w:val="both"/>
        <w:ind w:right="3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audited consolidated financial statements and related notes which are included in Part II, Item 8, “Financial Statements and Supplementary Data” of this Annual Report on Form 10-K. Our actual results could differ materially from those anticipated in the forward-looking statements included in this discussion as a result of certain factors, including, but not limited to, those discussed in Part I, Item 1A,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 of this Annual Report on Form 10-K.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Overview</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SPS Commerce is transforming how our global retail supply chain co-operates by creating a more dynamic, interconnected community where players can more freely connect, collaborate, and prosper together. Our comprehensive suite of cloud-based products and solutions lead the industry in establishing and maintaining stronger collaboration between retailers, grocers, distributors, suppliers, manufacturers, and logistics firms around the globe.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Our products enable customers to enhance how they operate: both within their organizations and with their trading partners, with reduced operational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stronger supply chain performance; compete: with order and supply chain visibility, sell-through data, and optimized inventory management,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adapt: through the limitless access to connect and grow with the world’s largest retail network of trading partners that only SPS Commerce can offer.</w:t>
      </w:r>
    </w:p>
    <w:p>
      <w:pPr>
        <w:spacing w:after="0" w:line="99"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products and applications. We also intend to selectively pursue acquisitions that will add customers, allow us to expand into new regions, or allow us to offer new functionalities.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Key Financial Terms, Metrics and Non-GAAP Financial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Revenues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We primarily derive our revenues from subscription-based recurring revenue services, which are recognized on a ratable basis over the contract term.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our recurring revenue streams:</w:t>
      </w:r>
    </w:p>
    <w:p>
      <w:pPr>
        <w:spacing w:after="0" w:line="97"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Fulfillment - </w:t>
      </w:r>
      <w:r>
        <w:rPr>
          <w:rFonts w:ascii="Times New Roman" w:cs="Times New Roman" w:eastAsia="Times New Roman" w:hAnsi="Times New Roman"/>
          <w:sz w:val="18"/>
          <w:szCs w:val="18"/>
          <w:color w:val="auto"/>
        </w:rPr>
        <w:t>Our Fulfillment product is a comprehensive solution designed to streamline supply chain operations. Our connections empower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retailers, grocers, distributors, suppliers, manufacturers, and logistics firms to efficiently send and receive order data, ensuring accurate execution of required processes from order to invoicing and revenue recovery through fully automated operations. By integrating seamlessly with existing systems, Fulfillment enhances day-to-day efficiency, reduces errors, and provides real-time visibility across all of our customers' order channels.</w:t>
      </w:r>
    </w:p>
    <w:p>
      <w:pPr>
        <w:spacing w:after="0" w:line="72" w:lineRule="exact"/>
        <w:rPr>
          <w:sz w:val="20"/>
          <w:szCs w:val="20"/>
          <w:color w:val="auto"/>
        </w:rPr>
      </w:pPr>
    </w:p>
    <w:p>
      <w:pPr>
        <w:ind w:right="3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Analytics - </w:t>
      </w:r>
      <w:r>
        <w:rPr>
          <w:rFonts w:ascii="Times New Roman" w:cs="Times New Roman" w:eastAsia="Times New Roman" w:hAnsi="Times New Roman"/>
          <w:sz w:val="18"/>
          <w:szCs w:val="18"/>
          <w:color w:val="auto"/>
        </w:rPr>
        <w:t>Our Analytics product simplifies managing sell-through data from our customers’ business partners. We handle data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cleansing, normalization, and delivery. Our pre-built dashboards create custom reports, or integrate data with existing tools, to gain insights to enhance product performance, forecasting, pricing, and inventory management.</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Other Products - </w:t>
      </w:r>
      <w:r>
        <w:rPr>
          <w:rFonts w:ascii="Times New Roman" w:cs="Times New Roman" w:eastAsia="Times New Roman" w:hAnsi="Times New Roman"/>
          <w:sz w:val="18"/>
          <w:szCs w:val="18"/>
          <w:color w:val="auto"/>
        </w:rPr>
        <w:t>We provide several complementary products, such as:</w:t>
      </w:r>
    </w:p>
    <w:p>
      <w:pPr>
        <w:spacing w:after="0" w:line="117" w:lineRule="exact"/>
        <w:rPr>
          <w:sz w:val="20"/>
          <w:szCs w:val="20"/>
          <w:color w:val="auto"/>
        </w:rPr>
      </w:pPr>
    </w:p>
    <w:p>
      <w:pPr>
        <w:ind w:left="1760" w:right="60" w:hanging="488"/>
        <w:spacing w:after="0" w:line="284" w:lineRule="auto"/>
        <w:tabs>
          <w:tab w:leader="none" w:pos="17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Assortment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Assortment product simplifies the communication of robust, accurate item data by automatically translating item attributes and hierarchies through a single connection across all sales channels.</w:t>
      </w:r>
    </w:p>
    <w:p>
      <w:pPr>
        <w:spacing w:after="0" w:line="50" w:lineRule="exact"/>
        <w:rPr>
          <w:rFonts w:ascii="Times New Roman" w:cs="Times New Roman" w:eastAsia="Times New Roman" w:hAnsi="Times New Roman"/>
          <w:sz w:val="18"/>
          <w:szCs w:val="18"/>
          <w:color w:val="auto"/>
        </w:rPr>
      </w:pPr>
    </w:p>
    <w:p>
      <w:pPr>
        <w:ind w:left="1760" w:right="880" w:hanging="488"/>
        <w:spacing w:after="0" w:line="315" w:lineRule="auto"/>
        <w:tabs>
          <w:tab w:leader="none" w:pos="175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Community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Our Community product allows organizations to accelerate digitization of their supply chain and improve collaboration with suppliers through proven change management, onboarding programs, and supplier score carding.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One-time Revenues</w:t>
      </w:r>
    </w:p>
    <w:p>
      <w:pPr>
        <w:spacing w:after="0" w:line="11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One-time revenues consist of set-up fees, which are recognized ratably, generally over two years, and miscellaneous fees from customers, primarily professional services and testing and certification. Miscellaneous fees are recognized at the time service is provided.</w:t>
      </w:r>
    </w:p>
    <w:p>
      <w:pPr>
        <w:spacing w:after="0" w:line="193"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27</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Operating Expenses</w:t>
      </w:r>
    </w:p>
    <w:p>
      <w:pPr>
        <w:spacing w:after="0" w:line="119" w:lineRule="exact"/>
        <w:rPr>
          <w:sz w:val="20"/>
          <w:szCs w:val="20"/>
          <w:color w:val="auto"/>
        </w:rPr>
      </w:pPr>
    </w:p>
    <w:p>
      <w:pPr>
        <w:jc w:val="both"/>
        <w:ind w:right="1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 </w:t>
      </w:r>
      <w:r>
        <w:rPr>
          <w:rFonts w:ascii="Times New Roman" w:cs="Times New Roman" w:eastAsia="Times New Roman" w:hAnsi="Times New Roman"/>
          <w:sz w:val="18"/>
          <w:szCs w:val="18"/>
          <w:color w:val="auto"/>
        </w:rPr>
        <w:t>Cost of revenues consist primarily of personnel costs, stock-based compensation expense, and technology costs for our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 and implementation teams, customer support personnel, and application support personnel, as well as amortization related to internally developed software.</w:t>
      </w:r>
    </w:p>
    <w:p>
      <w:pPr>
        <w:spacing w:after="0" w:line="65" w:lineRule="exact"/>
        <w:rPr>
          <w:sz w:val="20"/>
          <w:szCs w:val="20"/>
          <w:color w:val="auto"/>
        </w:rPr>
      </w:pPr>
    </w:p>
    <w:p>
      <w:pPr>
        <w:ind w:right="2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 </w:t>
      </w:r>
      <w:r>
        <w:rPr>
          <w:rFonts w:ascii="Times New Roman" w:cs="Times New Roman" w:eastAsia="Times New Roman" w:hAnsi="Times New Roman"/>
          <w:sz w:val="18"/>
          <w:szCs w:val="18"/>
          <w:color w:val="auto"/>
        </w:rPr>
        <w:t>Sales and marketing expenses consist primarily of personnel costs and stock-based compensation expense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marketing, and product management teams, external marketing costs, and commissions earned by our sales personnel and referral partners.</w:t>
      </w:r>
    </w:p>
    <w:p>
      <w:pPr>
        <w:spacing w:after="0" w:line="50"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 </w:t>
      </w:r>
      <w:r>
        <w:rPr>
          <w:rFonts w:ascii="Times New Roman" w:cs="Times New Roman" w:eastAsia="Times New Roman" w:hAnsi="Times New Roman"/>
          <w:sz w:val="18"/>
          <w:szCs w:val="18"/>
          <w:color w:val="auto"/>
        </w:rPr>
        <w:t>Research and development expenses consist primarily of personnel costs, stock-based compensation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technology costs for development of new and maintenance of existing products, net of amounts capitalized as developed software.</w:t>
      </w:r>
    </w:p>
    <w:p>
      <w:pPr>
        <w:spacing w:after="0" w:line="50" w:lineRule="exact"/>
        <w:rPr>
          <w:sz w:val="20"/>
          <w:szCs w:val="20"/>
          <w:color w:val="auto"/>
        </w:rPr>
      </w:pPr>
    </w:p>
    <w:p>
      <w:pPr>
        <w:ind w:right="1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 </w:t>
      </w:r>
      <w:r>
        <w:rPr>
          <w:rFonts w:ascii="Times New Roman" w:cs="Times New Roman" w:eastAsia="Times New Roman" w:hAnsi="Times New Roman"/>
          <w:sz w:val="18"/>
          <w:szCs w:val="18"/>
          <w:color w:val="auto"/>
        </w:rPr>
        <w:t>General and administrative expenses consist primarily of personnel costs,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and technology costs for finance, human resources, and internal security and technology support, as well as professional services and other fees, such as bad debt expense and credit card processing fees.</w:t>
      </w:r>
    </w:p>
    <w:p>
      <w:pPr>
        <w:spacing w:after="0" w:line="65" w:lineRule="exact"/>
        <w:rPr>
          <w:sz w:val="20"/>
          <w:szCs w:val="20"/>
          <w:color w:val="auto"/>
        </w:rPr>
      </w:pPr>
    </w:p>
    <w:p>
      <w:pPr>
        <w:ind w:right="5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Overhead Allocation - </w:t>
      </w:r>
      <w:r>
        <w:rPr>
          <w:rFonts w:ascii="Times New Roman" w:cs="Times New Roman" w:eastAsia="Times New Roman" w:hAnsi="Times New Roman"/>
          <w:sz w:val="18"/>
          <w:szCs w:val="18"/>
          <w:color w:val="auto"/>
        </w:rPr>
        <w:t>We allocate overhead expenses such as rent, certain employee benefit costs, certain software costs, and depreciation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office assets to cost of revenues and operating expenses categories based on expense type using department headcount or salary.</w:t>
      </w:r>
    </w:p>
    <w:p>
      <w:pPr>
        <w:spacing w:after="0" w:line="50" w:lineRule="exact"/>
        <w:rPr>
          <w:sz w:val="20"/>
          <w:szCs w:val="20"/>
          <w:color w:val="auto"/>
        </w:rPr>
      </w:pPr>
    </w:p>
    <w:p>
      <w:pPr>
        <w:ind w:right="4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Intangibles Assets </w:t>
      </w:r>
      <w:r>
        <w:rPr>
          <w:rFonts w:ascii="Times New Roman" w:cs="Times New Roman" w:eastAsia="Times New Roman" w:hAnsi="Times New Roman"/>
          <w:sz w:val="18"/>
          <w:szCs w:val="18"/>
          <w:color w:val="auto"/>
        </w:rPr>
        <w:t>- Amortization expense consists of the expense recognition of acquired intangible assets over their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lives.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investment income, in addition to realized gain (loss) from investments held and realized gain (loss) from foreign currency impacts on cash and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Income tax expense consists primarily of income taxes for U.S. federal jurisdiction in addition to income taxes for various state and international jurisdictions.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Metrics and Non-GAAP Financial Measures</w:t>
      </w:r>
    </w:p>
    <w:p>
      <w:pPr>
        <w:spacing w:after="0" w:line="119" w:lineRule="exact"/>
        <w:rPr>
          <w:sz w:val="20"/>
          <w:szCs w:val="20"/>
          <w:color w:val="auto"/>
        </w:rPr>
      </w:pPr>
    </w:p>
    <w:p>
      <w:pPr>
        <w:ind w:right="1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Recurring Revenue - </w:t>
      </w:r>
      <w:r>
        <w:rPr>
          <w:rFonts w:ascii="Times New Roman" w:cs="Times New Roman" w:eastAsia="Times New Roman" w:hAnsi="Times New Roman"/>
          <w:sz w:val="18"/>
          <w:szCs w:val="18"/>
          <w:color w:val="auto"/>
        </w:rPr>
        <w:t>We define recurring revenue as active contracts during the reporting period to regularly pay us fees for subscription-based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reoccurring services. All components of the contracts that are not expected to recur (primarily set ups and professional services) are excluded from recurring revenue.</w:t>
      </w:r>
    </w:p>
    <w:p>
      <w:pPr>
        <w:spacing w:after="0" w:line="65" w:lineRule="exact"/>
        <w:rPr>
          <w:sz w:val="20"/>
          <w:szCs w:val="20"/>
          <w:color w:val="auto"/>
        </w:rPr>
      </w:pPr>
    </w:p>
    <w:p>
      <w:pPr>
        <w:ind w:right="1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Recurring Revenue Customers - </w:t>
      </w:r>
      <w:r>
        <w:rPr>
          <w:rFonts w:ascii="Times New Roman" w:cs="Times New Roman" w:eastAsia="Times New Roman" w:hAnsi="Times New Roman"/>
          <w:sz w:val="18"/>
          <w:szCs w:val="18"/>
          <w:color w:val="auto"/>
        </w:rPr>
        <w:t>We define recurring revenue customers as customers with an active recurring revenue contract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 small portion of our recurring revenue customers consist of separate units within a larger organization and are separately invoiced. We treat each of these units, which may include divisions, departments, affiliates and franchises, as distinct recurring revenue customers.</w:t>
      </w:r>
    </w:p>
    <w:p>
      <w:pPr>
        <w:spacing w:after="0" w:line="65"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Wallet Share - </w:t>
      </w:r>
      <w:r>
        <w:rPr>
          <w:rFonts w:ascii="Times New Roman" w:cs="Times New Roman" w:eastAsia="Times New Roman" w:hAnsi="Times New Roman"/>
          <w:sz w:val="18"/>
          <w:szCs w:val="18"/>
          <w:color w:val="auto"/>
        </w:rPr>
        <w:t>We calculate the annualized average recurring revenues per recurring revenue customer, which we also refer to as wallet share,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dividing the annualized recurring revenues for the period by the average of the beginning and ending number of recurring revenue customers for the period.</w:t>
      </w:r>
    </w:p>
    <w:p>
      <w:pPr>
        <w:spacing w:after="0" w:line="50"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Non-GAAP Financial Measures - </w:t>
      </w:r>
      <w:r>
        <w:rPr>
          <w:rFonts w:ascii="Times New Roman" w:cs="Times New Roman" w:eastAsia="Times New Roman" w:hAnsi="Times New Roman"/>
          <w:sz w:val="18"/>
          <w:szCs w:val="18"/>
          <w:color w:val="auto"/>
        </w:rPr>
        <w:t>To supplement our consolidated financial statements, we provide investors with Adjusted EBITDA,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Margin, and non-GAAP income per share, all of which are non-GAAP financial measures. We believe that these non-GAAP financial measures provide useful information to our management, board of directors, and investors regarding certain financial and business trends relating to our financial condition and results of operations.</w:t>
      </w:r>
    </w:p>
    <w:p>
      <w:pPr>
        <w:spacing w:after="0" w:line="213"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28</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management uses these non-GAAP financial measures to compare our performance to that of prior periods for trend analyses and planning purposes. Adjusted EBITDA is also used for purposes of determining executive and senior management incentive compensation. We believe these non-GAAP financial measures are useful to an investor as they are widely used in evaluating operating performance. Adjusted EBITDA and Adjusted EBITDA Margin are used to measure operating performance without regard to items such as depreciation and amortization, which can vary depending upon accounting methods and the book value of assets, and to present a meaningful measure of corporate performance exclusive of capital structure and the method by which assets were acquired.</w:t>
      </w:r>
    </w:p>
    <w:p>
      <w:pPr>
        <w:spacing w:after="0" w:line="7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These non-GAAP financial measures should not be considered a substitute for, or superior to, financial measures calculated in accordance with GAAP. These non-GAAP financial measures exclude significant expenses and income that are required by GAAP to be recorded in our consolidated financial statements and are subject to inherent limitations. Investors should review the reconciliations of non-GAAP financial measures to the comparable GAAP financial measures that are included in this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Critical Accounting Policies and Estimates</w:t>
      </w:r>
    </w:p>
    <w:p>
      <w:pPr>
        <w:spacing w:after="0" w:line="12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operations is based upon our consolidated financial statements, which are prepared in accordance with GAAP. The preparation of these consolidated financial statements requires us to make estimates, judgments, and assumptions that affect the reported amounts of assets, liabilities, revenues, expenses, and related disclosures. On an ongoing basis, we evaluate our estimates, judgments,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75"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A critical accounting policy or estimate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internally developed software, and business combinations are the most critical to fully understand and evaluate our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Revenues are the amount that reflects the consideration we are contractually and legally entitled to, as well as the amount we expect to collect, in exchange for those services. Set-up fees, a component of our revenue,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spacing w:after="0" w:line="72"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generally over two years, which is the estimated period for which a material right is present for our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Internally Developed Software</w:t>
      </w:r>
    </w:p>
    <w:p>
      <w:pPr>
        <w:spacing w:after="0" w:line="121" w:lineRule="exact"/>
        <w:rPr>
          <w:sz w:val="20"/>
          <w:szCs w:val="20"/>
          <w:color w:val="auto"/>
        </w:rPr>
      </w:pPr>
    </w:p>
    <w:p>
      <w:pPr>
        <w:ind w:right="240" w:firstLine="486"/>
        <w:spacing w:after="0" w:line="274" w:lineRule="auto"/>
        <w:rPr>
          <w:sz w:val="20"/>
          <w:szCs w:val="20"/>
          <w:color w:val="auto"/>
        </w:rPr>
      </w:pPr>
      <w:r>
        <w:rPr>
          <w:rFonts w:ascii="Times New Roman" w:cs="Times New Roman" w:eastAsia="Times New Roman" w:hAnsi="Times New Roman"/>
          <w:sz w:val="17"/>
          <w:szCs w:val="17"/>
          <w:color w:val="auto"/>
        </w:rPr>
        <w:t>Internally developed software consists of capitalized costs incurred during the application development stage, which include costs related to the design of the chosen path, coding, installation of the hardware necessary to run the software, and any testing done before the operational stage. Costs incurred during the preliminary project stage and post-implementation stage are expensed as incurred. Additionally, maintenance of internally developed software is expensed as incurred. Amortization expense is calculated using the straight-line method over the estimated useful life, generally three years, commencing on the earlier date in which the asset is placed in service or ready for its intended use. The assets and related accumulated amortization are adjusted for asset retirements and disposals with the resulting gain or loss included in our consolidated statements of comprehensive income.</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 Such valuations may require us to make significant estimates and assumptions, especially with respect to intangible assets.</w:t>
      </w:r>
    </w:p>
    <w:p>
      <w:pPr>
        <w:spacing w:after="0" w:line="211"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29</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ind w:left="102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Significant estimates in valuing certain intangible assets may include, but are not limited to, utilizing variants of the income approach, such as the relief-from-royalty and multi-period excess earnings methods, which estimate future expected cash flows from acquired customers and developed technology from a market participant perspective, useful lives, and discount rates. Significant estimates in valuing liabilities for contingent consideration may include, but are not limited to, discount rates, projected financial results of the acquired businesses based on our most recent internal forecasts, and factors indicating the probability of achieving the forecasted results.</w:t>
      </w:r>
    </w:p>
    <w:p>
      <w:pPr>
        <w:spacing w:after="0" w:line="7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estimates of fair value are based upon assumptions believed to be reasonable, but which are inherently uncertain and unpredictable and, as a result, actual results may differ from estimates. During the measurement period, which is not to exceed one year from the acquisition date, we may record adjustments to the assets acquired and liabilities assumed, with the corresponding offset to goodwill. Upon the conclusion of the measurement period, any subsequent adjustments are recorded to earnings.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8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gridSpan w:val="2"/>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80" w:type="dxa"/>
            <w:vAlign w:val="bottom"/>
            <w:gridSpan w:val="2"/>
          </w:tcPr>
          <w:p>
            <w:pPr>
              <w:jc w:val="right"/>
              <w:ind w:right="10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14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of revenue</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8"/>
                <w:szCs w:val="18"/>
                <w:color w:val="auto"/>
              </w:rPr>
            </w:pP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 of revenue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637,765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536,910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100,855</w:t>
            </w: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210,714</w:t>
            </w:r>
          </w:p>
        </w:tc>
        <w:tc>
          <w:tcPr>
            <w:tcW w:w="40" w:type="dxa"/>
            <w:vAlign w:val="bottom"/>
            <w:tcBorders>
              <w:bottom w:val="single" w:sz="8" w:color="auto"/>
            </w:tcBorders>
          </w:tcPr>
          <w:p>
            <w:pPr>
              <w:spacing w:after="0"/>
              <w:rPr>
                <w:sz w:val="21"/>
                <w:szCs w:val="21"/>
                <w:color w:val="auto"/>
              </w:rPr>
            </w:pPr>
          </w:p>
        </w:tc>
        <w:tc>
          <w:tcPr>
            <w:tcW w:w="1440" w:type="dxa"/>
            <w:vAlign w:val="bottom"/>
            <w:tcBorders>
              <w:bottom w:val="single" w:sz="8" w:color="CCEEFF"/>
            </w:tcBorders>
          </w:tcPr>
          <w:p>
            <w:pPr>
              <w:jc w:val="right"/>
              <w:ind w:right="135"/>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182,069</w:t>
            </w:r>
          </w:p>
        </w:tc>
        <w:tc>
          <w:tcPr>
            <w:tcW w:w="40" w:type="dxa"/>
            <w:vAlign w:val="bottom"/>
            <w:tcBorders>
              <w:bottom w:val="single" w:sz="8" w:color="auto"/>
            </w:tcBorders>
          </w:tcPr>
          <w:p>
            <w:pPr>
              <w:spacing w:after="0"/>
              <w:rPr>
                <w:sz w:val="21"/>
                <w:szCs w:val="21"/>
                <w:color w:val="auto"/>
              </w:rPr>
            </w:pPr>
          </w:p>
        </w:tc>
        <w:tc>
          <w:tcPr>
            <w:tcW w:w="1440" w:type="dxa"/>
            <w:vAlign w:val="bottom"/>
            <w:tcBorders>
              <w:bottom w:val="single" w:sz="8" w:color="CCEEFF"/>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28,645</w:t>
            </w:r>
          </w:p>
        </w:tc>
        <w:tc>
          <w:tcPr>
            <w:tcW w:w="5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427,051</w:t>
            </w:r>
          </w:p>
        </w:tc>
        <w:tc>
          <w:tcPr>
            <w:tcW w:w="1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354,841</w:t>
            </w:r>
          </w:p>
        </w:tc>
        <w:tc>
          <w:tcPr>
            <w:tcW w:w="148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72,210</w:t>
            </w: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148,920</w:t>
            </w:r>
          </w:p>
        </w:tc>
        <w:tc>
          <w:tcPr>
            <w:tcW w:w="1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122,936</w:t>
            </w:r>
          </w:p>
        </w:tc>
        <w:tc>
          <w:tcPr>
            <w:tcW w:w="148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3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62,809</w:t>
            </w: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53,654</w:t>
            </w:r>
          </w:p>
        </w:tc>
        <w:tc>
          <w:tcPr>
            <w:tcW w:w="148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500" w:type="dxa"/>
            <w:vAlign w:val="bottom"/>
          </w:tcPr>
          <w:p>
            <w:pPr>
              <w:spacing w:after="0"/>
              <w:rPr>
                <w:sz w:val="21"/>
                <w:szCs w:val="21"/>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3"/>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102,929</w:t>
            </w:r>
          </w:p>
        </w:tc>
        <w:tc>
          <w:tcPr>
            <w:tcW w:w="1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84,887</w:t>
            </w:r>
          </w:p>
        </w:tc>
        <w:tc>
          <w:tcPr>
            <w:tcW w:w="1480" w:type="dxa"/>
            <w:vAlign w:val="bottom"/>
            <w:gridSpan w:val="2"/>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40" w:type="dxa"/>
            <w:vAlign w:val="bottom"/>
            <w:tcBorders>
              <w:bottom w:val="single" w:sz="8" w:color="auto"/>
            </w:tcBorders>
          </w:tcPr>
          <w:p>
            <w:pPr>
              <w:spacing w:after="0"/>
              <w:rPr>
                <w:sz w:val="21"/>
                <w:szCs w:val="21"/>
                <w:color w:val="auto"/>
              </w:rPr>
            </w:pPr>
          </w:p>
        </w:tc>
        <w:tc>
          <w:tcPr>
            <w:tcW w:w="1440" w:type="dxa"/>
            <w:vAlign w:val="bottom"/>
            <w:tcBorders>
              <w:bottom w:val="single" w:sz="8" w:color="CCEEFF"/>
            </w:tcBorders>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40" w:type="dxa"/>
            <w:vAlign w:val="bottom"/>
            <w:tcBorders>
              <w:bottom w:val="single" w:sz="8" w:color="auto"/>
            </w:tcBorders>
          </w:tcPr>
          <w:p>
            <w:pPr>
              <w:spacing w:after="0"/>
              <w:rPr>
                <w:sz w:val="21"/>
                <w:szCs w:val="21"/>
                <w:color w:val="auto"/>
              </w:rPr>
            </w:pPr>
          </w:p>
        </w:tc>
        <w:tc>
          <w:tcPr>
            <w:tcW w:w="1440" w:type="dxa"/>
            <w:vAlign w:val="bottom"/>
            <w:tcBorders>
              <w:bottom w:val="single" w:sz="8" w:color="CCEEFF"/>
            </w:tcBorders>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5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32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338,168</w:t>
            </w:r>
          </w:p>
        </w:tc>
        <w:tc>
          <w:tcPr>
            <w:tcW w:w="40" w:type="dxa"/>
            <w:vAlign w:val="bottom"/>
            <w:tcBorders>
              <w:bottom w:val="single" w:sz="8" w:color="auto"/>
            </w:tcBorders>
            <w:shd w:val="clear" w:color="auto" w:fill="CCEEFF"/>
          </w:tcPr>
          <w:p>
            <w:pPr>
              <w:spacing w:after="0"/>
              <w:rPr>
                <w:sz w:val="21"/>
                <w:szCs w:val="21"/>
                <w:color w:val="auto"/>
              </w:rPr>
            </w:pP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277,593</w:t>
            </w:r>
          </w:p>
        </w:tc>
        <w:tc>
          <w:tcPr>
            <w:tcW w:w="40" w:type="dxa"/>
            <w:vAlign w:val="bottom"/>
            <w:tcBorders>
              <w:bottom w:val="single" w:sz="8" w:color="auto"/>
            </w:tcBorders>
            <w:shd w:val="clear" w:color="auto" w:fill="CCEEFF"/>
          </w:tcPr>
          <w:p>
            <w:pPr>
              <w:spacing w:after="0"/>
              <w:rPr>
                <w:sz w:val="21"/>
                <w:szCs w:val="21"/>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60,575</w:t>
            </w: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88,883</w:t>
            </w: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77,248</w:t>
            </w:r>
          </w:p>
        </w:tc>
        <w:tc>
          <w:tcPr>
            <w:tcW w:w="148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500" w:type="dxa"/>
            <w:vAlign w:val="bottom"/>
          </w:tcPr>
          <w:p>
            <w:pPr>
              <w:spacing w:after="0"/>
              <w:rPr>
                <w:sz w:val="21"/>
                <w:szCs w:val="21"/>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40" w:type="dxa"/>
            <w:vAlign w:val="bottom"/>
            <w:tcBorders>
              <w:bottom w:val="single" w:sz="8" w:color="auto"/>
            </w:tcBorders>
            <w:shd w:val="clear" w:color="auto" w:fill="CCEEFF"/>
          </w:tcPr>
          <w:p>
            <w:pPr>
              <w:spacing w:after="0"/>
              <w:rPr>
                <w:sz w:val="22"/>
                <w:szCs w:val="22"/>
                <w:color w:val="auto"/>
              </w:rPr>
            </w:pP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40" w:type="dxa"/>
            <w:vAlign w:val="bottom"/>
            <w:tcBorders>
              <w:bottom w:val="single" w:sz="8" w:color="auto"/>
            </w:tcBorders>
            <w:shd w:val="clear" w:color="auto" w:fill="CCEEFF"/>
          </w:tcPr>
          <w:p>
            <w:pPr>
              <w:spacing w:after="0"/>
              <w:rPr>
                <w:sz w:val="22"/>
                <w:szCs w:val="22"/>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99,476</w:t>
            </w: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85,563</w:t>
            </w:r>
          </w:p>
        </w:tc>
        <w:tc>
          <w:tcPr>
            <w:tcW w:w="148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500" w:type="dxa"/>
            <w:vAlign w:val="bottom"/>
          </w:tcPr>
          <w:p>
            <w:pPr>
              <w:spacing w:after="0"/>
              <w:rPr>
                <w:sz w:val="21"/>
                <w:szCs w:val="21"/>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40" w:type="dxa"/>
            <w:vAlign w:val="bottom"/>
            <w:tcBorders>
              <w:bottom w:val="single" w:sz="8" w:color="auto"/>
            </w:tcBorders>
            <w:shd w:val="clear" w:color="auto" w:fill="CCEEFF"/>
          </w:tcPr>
          <w:p>
            <w:pPr>
              <w:spacing w:after="0"/>
              <w:rPr>
                <w:sz w:val="22"/>
                <w:szCs w:val="22"/>
                <w:color w:val="auto"/>
              </w:rPr>
            </w:pPr>
          </w:p>
        </w:tc>
        <w:tc>
          <w:tcPr>
            <w:tcW w:w="14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40" w:type="dxa"/>
            <w:vAlign w:val="bottom"/>
            <w:tcBorders>
              <w:bottom w:val="single" w:sz="8" w:color="auto"/>
            </w:tcBorders>
            <w:shd w:val="clear" w:color="auto" w:fill="CCEEFF"/>
          </w:tcPr>
          <w:p>
            <w:pPr>
              <w:spacing w:after="0"/>
              <w:rPr>
                <w:sz w:val="22"/>
                <w:szCs w:val="22"/>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500" w:type="dxa"/>
            <w:vAlign w:val="bottom"/>
          </w:tcPr>
          <w:p>
            <w:pPr>
              <w:spacing w:after="0"/>
              <w:rPr>
                <w:sz w:val="22"/>
                <w:szCs w:val="22"/>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(1) Amounts in column may not foot due to rounding</w:t>
      </w:r>
    </w:p>
    <w:p>
      <w:pPr>
        <w:spacing w:after="0" w:line="210" w:lineRule="exact"/>
        <w:rPr>
          <w:sz w:val="20"/>
          <w:szCs w:val="20"/>
          <w:color w:val="auto"/>
        </w:rPr>
      </w:pPr>
    </w:p>
    <w:p>
      <w:pPr>
        <w:jc w:val="both"/>
        <w:ind w:right="1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increased for the 96th consecutive quarter. The increase in revenue period-over-period resulted primarily from the increase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average recurring revenues per recurring revenue customer, which we also refer to as wallet share. Additionally, the revenue growth was attributable to an increase in recurring revenue customers, which is driven primarily by continued business growth and by business acquisitions.</w:t>
      </w:r>
    </w:p>
    <w:p>
      <w:pPr>
        <w:spacing w:after="0" w:line="67" w:lineRule="exact"/>
        <w:rPr>
          <w:sz w:val="20"/>
          <w:szCs w:val="20"/>
          <w:color w:val="auto"/>
        </w:rPr>
      </w:pPr>
    </w:p>
    <w:p>
      <w:pPr>
        <w:ind w:left="980" w:right="1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Wallet share increased 15% to approximately $13,300 for the year ended December 31, 2024 from approximately $11,550 for the year ended December 31, 2023. This was primarily attributable to increased usage of our products by our recurring revenue customers.</w:t>
      </w:r>
    </w:p>
    <w:p>
      <w:pPr>
        <w:spacing w:after="0" w:line="53" w:lineRule="exact"/>
        <w:rPr>
          <w:rFonts w:ascii="Times New Roman" w:cs="Times New Roman" w:eastAsia="Times New Roman" w:hAnsi="Times New Roman"/>
          <w:sz w:val="18"/>
          <w:szCs w:val="18"/>
          <w:color w:val="auto"/>
        </w:rPr>
      </w:pPr>
    </w:p>
    <w:p>
      <w:pPr>
        <w:ind w:left="980" w:right="200" w:hanging="486"/>
        <w:spacing w:after="0" w:line="261"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recurring revenue customers increased 1% to approximately 45,350 at December 31, 2024 from approximately 44,800 at December 31, 2023 primarily due to sales and marketing efforts to acquire new customers and due to recent acquisitions. New recurring revenue customers do not have a meaningful contribution to revenue at the beginning of their tenure as our recurring revenue customer, and therefore a majority of the increased revenue was generated from existing recurring revenue customers.</w:t>
      </w:r>
    </w:p>
    <w:p>
      <w:pPr>
        <w:spacing w:after="0" w:line="211"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30</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right="100" w:hanging="486"/>
        <w:spacing w:after="0" w:line="261"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1,000 recurring revenue customers were added in September 2023 due to the acquisition of the existing customer base of TIE Kinetix. Approximately 50 recurring revenue customers were added in May 2024 due to the acquisition of the existing customer base of Traverse Systems, and approximately 200 recurring revenue customers were added in July 2024 due to the acquisition of the existing customer base of SupplyPike.</w:t>
      </w:r>
    </w:p>
    <w:p>
      <w:pPr>
        <w:spacing w:after="0" w:line="7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Recurring revenues increased 20% to $600,089 for the year ended December 31, 2024, as compared to the same period in 2023, and accounted for 94% of our total revenues in 2024 and 2023. We anticipate that the number of recurring revenue customers and wallet share will continue to increase as we execute our growth strategy focused on further penetration of our market.</w:t>
      </w:r>
    </w:p>
    <w:p>
      <w:pPr>
        <w:spacing w:after="0" w:line="64" w:lineRule="exact"/>
        <w:rPr>
          <w:sz w:val="20"/>
          <w:szCs w:val="20"/>
          <w:color w:val="auto"/>
        </w:rPr>
      </w:pPr>
    </w:p>
    <w:p>
      <w:pPr>
        <w:ind w:right="4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 The increase in cost of revenues was primarily due to increased headcount, which resulted in an increase of $22.5 million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personnel-related costs. Additionally, there was an increase in software subscriptions of $4.0 million due to general growth of our business.</w:t>
      </w:r>
    </w:p>
    <w:p>
      <w:pPr>
        <w:spacing w:after="0" w:line="47" w:lineRule="exact"/>
        <w:rPr>
          <w:sz w:val="20"/>
          <w:szCs w:val="20"/>
          <w:color w:val="auto"/>
        </w:rPr>
      </w:pPr>
    </w:p>
    <w:p>
      <w:pPr>
        <w:ind w:right="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sales and marketing expense was primarily due to increased headcount, which resulted in increases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$17.6 million in personnel-related costs and $2.8 million in stock-based compensation expense. Additionally, there was an increase of $3.9 million in product management costs.</w:t>
      </w:r>
    </w:p>
    <w:p>
      <w:pPr>
        <w:spacing w:after="0" w:line="63" w:lineRule="exact"/>
        <w:rPr>
          <w:sz w:val="20"/>
          <w:szCs w:val="20"/>
          <w:color w:val="auto"/>
        </w:rPr>
      </w:pPr>
    </w:p>
    <w:p>
      <w:pPr>
        <w:ind w:right="6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research and development expense was primarily due to increased headcount,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resulted in an increase of $9.0 million in personnel-related costs.</w:t>
      </w:r>
    </w:p>
    <w:p>
      <w:pPr>
        <w:spacing w:after="0" w:line="47" w:lineRule="exact"/>
        <w:rPr>
          <w:sz w:val="20"/>
          <w:szCs w:val="20"/>
          <w:color w:val="auto"/>
        </w:rPr>
      </w:pPr>
    </w:p>
    <w:p>
      <w:pPr>
        <w:ind w:right="5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general and administrative expense was primarily due to increased headcount,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resulted in increases of $7.1 million in personnel-related costs and $3.5 million in stock-based compensation expense.</w:t>
      </w:r>
    </w:p>
    <w:p>
      <w:pPr>
        <w:spacing w:after="0" w:line="47" w:lineRule="exact"/>
        <w:rPr>
          <w:sz w:val="20"/>
          <w:szCs w:val="20"/>
          <w:color w:val="auto"/>
        </w:rPr>
      </w:pPr>
    </w:p>
    <w:p>
      <w:pPr>
        <w:ind w:right="4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Intangible Assets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amortization of intangible assets was driven by increased intangible assets related to recent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acquisitions.</w:t>
      </w:r>
    </w:p>
    <w:p>
      <w:pPr>
        <w:spacing w:after="0" w:line="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 The increase was primarily due to increased investment income.</w:t>
      </w:r>
    </w:p>
    <w:p>
      <w:pPr>
        <w:spacing w:after="0" w:line="117" w:lineRule="exact"/>
        <w:rPr>
          <w:sz w:val="20"/>
          <w:szCs w:val="20"/>
          <w:color w:val="auto"/>
        </w:rPr>
      </w:pPr>
    </w:p>
    <w:p>
      <w:pPr>
        <w:ind w:right="2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in income tax expense was primarily driven by an increase in pre-tax income, partially offset by a decrease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nondeductible executive compensation and an increase in tax benefits from credits and foreign derived intangible income.</w:t>
      </w:r>
    </w:p>
    <w:p>
      <w:pPr>
        <w:spacing w:after="0" w:line="47"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EBITDA consists of net income adjusted for income tax expense, depreciation and amortization expense,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expense, realized gain or loss from investments held and foreign currency impact on cash and investments, investment income, and other adjustments as necessary for a fair presentation. Other adjustments for the year ended December 31, 2024 included the expense impacts from disposals of certain capitalized internally developed software and one-time acquisition-related insurance costs. Other adjustments for the year ended December 31, 2023 included the expense impacts from disposals of certain capitalized internally developed software and acquisition-related employee severance costs. Net income is the comparable GAAP measure of financial performance.</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Adjusted EBITDA: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65,824</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Realized gain from investments held and foreign currency impact on cash and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157,630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Margin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Adjusted EBITDA Margin consists of Adjusted EBITDA divided by revenue. Margin, the comparable GAAP measure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financial performance, consists of net income divided by revenue.</w:t>
      </w:r>
    </w:p>
    <w:p>
      <w:pPr>
        <w:spacing w:after="0" w:line="191"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Table of Contents</w:t>
            </w:r>
          </w:p>
        </w:tc>
        <w:tc>
          <w:tcPr>
            <w:tcW w:w="0" w:type="dxa"/>
            <w:vAlign w:val="bottom"/>
          </w:tcPr>
          <w:p>
            <w:pPr>
              <w:spacing w:after="0"/>
              <w:rPr>
                <w:sz w:val="1"/>
                <w:szCs w:val="1"/>
                <w:color w:val="auto"/>
              </w:rPr>
            </w:pPr>
          </w:p>
        </w:tc>
      </w:tr>
      <w:tr>
        <w:trPr>
          <w:trHeight w:val="979"/>
        </w:trPr>
        <w:tc>
          <w:tcPr>
            <w:tcW w:w="8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following table provides a comparison of Margin to Adjusted EBITDA Margin:</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Margin and Adjusted EBITDA Margin)</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637,765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536,910</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77,054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65,824</w:t>
            </w:r>
          </w:p>
        </w:tc>
        <w:tc>
          <w:tcPr>
            <w:tcW w:w="0" w:type="dxa"/>
            <w:vAlign w:val="bottom"/>
          </w:tcPr>
          <w:p>
            <w:pPr>
              <w:spacing w:after="0"/>
              <w:rPr>
                <w:sz w:val="1"/>
                <w:szCs w:val="1"/>
                <w:color w:val="auto"/>
              </w:rPr>
            </w:pP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186,631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157,630</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Non-GAAP Income per Share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Non-GAAP income per share consists of net income adjusted for stock-based compensation expense,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related to intangible assets, realized gain or loss from investments held and foreign currency impact on cash and investments, other adjustments as necessary for a fair presentation, including for the year ended December 31, 2024 the expense impacts from disposals of certain capitalized internally developed software and one-time acquisition-related insurance costs, and for the year ended December 31, 2023 the expense impacts from disposals of certain capitalized internally developed software and acquisition-related employee severance costs, and the corresponding tax impacts of the adjustments to net income, divided by the weighted average number of shares of common and diluted stock outstanding during each period. Net income per share, the comparable GAAP measure of financial performance, consists of net income divided by the weighted average number of shares of common and diluted stock outstanding during each period.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non-GAAP income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280" w:type="dxa"/>
            <w:vAlign w:val="bottom"/>
            <w:vMerge w:val="continue"/>
          </w:tcPr>
          <w:p>
            <w:pPr>
              <w:spacing w:after="0"/>
              <w:rPr>
                <w:sz w:val="16"/>
                <w:szCs w:val="16"/>
                <w:color w:val="auto"/>
              </w:rPr>
            </w:pPr>
          </w:p>
        </w:tc>
        <w:tc>
          <w:tcPr>
            <w:tcW w:w="2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28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65,824</w:t>
            </w:r>
          </w:p>
        </w:tc>
        <w:tc>
          <w:tcPr>
            <w:tcW w:w="0" w:type="dxa"/>
            <w:vAlign w:val="bottom"/>
          </w:tcPr>
          <w:p>
            <w:pPr>
              <w:spacing w:after="0"/>
              <w:rPr>
                <w:sz w:val="1"/>
                <w:szCs w:val="1"/>
                <w:color w:val="auto"/>
              </w:rPr>
            </w:pPr>
          </w:p>
        </w:tc>
      </w:tr>
      <w:tr>
        <w:trPr>
          <w:trHeight w:val="25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0" w:type="dxa"/>
            <w:vAlign w:val="bottom"/>
          </w:tcPr>
          <w:p>
            <w:pPr>
              <w:spacing w:after="0"/>
              <w:rPr>
                <w:sz w:val="1"/>
                <w:szCs w:val="1"/>
                <w:color w:val="auto"/>
              </w:rPr>
            </w:pPr>
          </w:p>
        </w:tc>
      </w:tr>
      <w:tr>
        <w:trPr>
          <w:trHeight w:val="263"/>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0" w:type="dxa"/>
            <w:vAlign w:val="bottom"/>
          </w:tcPr>
          <w:p>
            <w:pPr>
              <w:spacing w:after="0"/>
              <w:rPr>
                <w:sz w:val="1"/>
                <w:szCs w:val="1"/>
                <w:color w:val="auto"/>
              </w:rPr>
            </w:pPr>
          </w:p>
        </w:tc>
      </w:tr>
      <w:tr>
        <w:trPr>
          <w:trHeight w:val="250"/>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Realized gain from investments held and foreign currency impact on cash and investments</w:t>
            </w: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63"/>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effects of adjustments</w:t>
            </w:r>
          </w:p>
        </w:tc>
        <w:tc>
          <w:tcPr>
            <w:tcW w:w="2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(19,983)</w:t>
            </w: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income</w:t>
            </w:r>
          </w:p>
        </w:tc>
        <w:tc>
          <w:tcPr>
            <w:tcW w:w="2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net income and non-GAAP income per share</w:t>
            </w:r>
          </w:p>
        </w:tc>
        <w:tc>
          <w:tcPr>
            <w:tcW w:w="2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0" w:type="dxa"/>
            <w:vAlign w:val="bottom"/>
          </w:tcPr>
          <w:p>
            <w:pPr>
              <w:spacing w:after="0"/>
              <w:rPr>
                <w:sz w:val="1"/>
                <w:szCs w:val="1"/>
                <w:color w:val="auto"/>
              </w:rPr>
            </w:pPr>
          </w:p>
        </w:tc>
      </w:tr>
      <w:tr>
        <w:trPr>
          <w:trHeight w:val="263"/>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2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Non-GAAP adjustments to net income per share, basic</w:t>
            </w:r>
          </w:p>
        </w:tc>
        <w:tc>
          <w:tcPr>
            <w:tcW w:w="2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income per share, basic</w:t>
            </w:r>
          </w:p>
        </w:tc>
        <w:tc>
          <w:tcPr>
            <w:tcW w:w="2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2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Non-GAAP adjustments to net income per share, diluted</w:t>
            </w:r>
          </w:p>
        </w:tc>
        <w:tc>
          <w:tcPr>
            <w:tcW w:w="2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income per share, diluted</w:t>
            </w:r>
          </w:p>
        </w:tc>
        <w:tc>
          <w:tcPr>
            <w:tcW w:w="2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SPS COMMERCE, INC.</w:t>
            </w:r>
          </w:p>
        </w:tc>
        <w:tc>
          <w:tcPr>
            <w:tcW w:w="2100" w:type="dxa"/>
            <w:vAlign w:val="bottom"/>
            <w:tcBorders>
              <w:top w:val="single" w:sz="8" w:color="CCEEFF"/>
              <w:bottom w:val="single" w:sz="8" w:color="CCEEFF"/>
            </w:tcBorders>
            <w:vMerge w:val="restart"/>
          </w:tcPr>
          <w:p>
            <w:pPr>
              <w:jc w:val="right"/>
              <w:ind w:right="1628"/>
              <w:spacing w:after="0"/>
              <w:rPr>
                <w:sz w:val="20"/>
                <w:szCs w:val="20"/>
                <w:color w:val="auto"/>
              </w:rPr>
            </w:pPr>
            <w:r>
              <w:rPr>
                <w:rFonts w:ascii="Times New Roman" w:cs="Times New Roman" w:eastAsia="Times New Roman" w:hAnsi="Times New Roman"/>
                <w:sz w:val="14"/>
                <w:szCs w:val="14"/>
                <w:color w:val="auto"/>
              </w:rPr>
              <w:t>32</w:t>
            </w:r>
          </w:p>
        </w:tc>
        <w:tc>
          <w:tcPr>
            <w:tcW w:w="8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5280" w:type="dxa"/>
            <w:vAlign w:val="bottom"/>
            <w:vMerge w:val="continue"/>
          </w:tcPr>
          <w:p>
            <w:pPr>
              <w:spacing w:after="0"/>
              <w:rPr>
                <w:sz w:val="24"/>
                <w:szCs w:val="24"/>
                <w:color w:val="auto"/>
              </w:rPr>
            </w:pPr>
          </w:p>
        </w:tc>
        <w:tc>
          <w:tcPr>
            <w:tcW w:w="2100" w:type="dxa"/>
            <w:vAlign w:val="bottom"/>
            <w:vMerge w:val="continue"/>
          </w:tcPr>
          <w:p>
            <w:pPr>
              <w:spacing w:after="0"/>
              <w:rPr>
                <w:sz w:val="24"/>
                <w:szCs w:val="24"/>
                <w:color w:val="auto"/>
              </w:rPr>
            </w:pPr>
          </w:p>
        </w:tc>
        <w:tc>
          <w:tcPr>
            <w:tcW w:w="386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Form 10-K for the Annual Period ended December 31, 2024</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9A9A9A"/>
            </w:tcBorders>
          </w:tcPr>
          <w:p>
            <w:pPr>
              <w:spacing w:after="0"/>
              <w:rPr>
                <w:sz w:val="19"/>
                <w:szCs w:val="19"/>
                <w:color w:val="auto"/>
              </w:rPr>
            </w:pPr>
          </w:p>
        </w:tc>
        <w:tc>
          <w:tcPr>
            <w:tcW w:w="210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240030" cy="231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discussion of our results from operations for the year ended December 31, 2023 compared to the year ended December 31, 2022 can be found in Part II, Item 7, “Management’s Discussion and Analysis of Financial Condition and Results of Operations” in the Company’s Annual Report on Form 10-K for the year ended December 31, 2023.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our principal sources of liquidity were cash and cash equivalents of $241.0 million and net accounts receivable of $52.0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Statements of Cash Flows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summary of activity within the consolidated statements of cash flows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157,398</w:t>
            </w:r>
          </w:p>
        </w:tc>
        <w:tc>
          <w:tcPr>
            <w:tcW w:w="100" w:type="dxa"/>
            <w:vAlign w:val="bottom"/>
            <w:shd w:val="clear" w:color="auto" w:fill="CCEEFF"/>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132,298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w:t>
            </w:r>
          </w:p>
        </w:tc>
        <w:tc>
          <w:tcPr>
            <w:tcW w:w="0" w:type="dxa"/>
            <w:vAlign w:val="bottom"/>
          </w:tcPr>
          <w:p>
            <w:pPr>
              <w:spacing w:after="0"/>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increase in cash provided by operating activities from the year ended December 31, 2024 to the year ended December 31, 2023 was primarily due to an increase in net income as adjusted for non-cash expenses, of $28.2 million, driven by continued growth in revenue, as partially offset by cash paid for expenses to operate the growing business. Additionally, fluctuations in operating assets and liabilities resulted in a decrease of $3.1 million, driven by changes in the amount and timing of settlements and general growth of the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increase in cash used in investing activities from the year ended December 31, 2024 to the year ended December 31, 2023 was primarily due to an increase in cash used to acquire businesses of $77.7 million to further grow our business, partially offset by an increase in cash provided by net maturities of investments of $60.2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increase in cash used in financing activities from the year ended December 31, 2024 to the year ended December 31, 2023 was primarily due to an increase in cash used for share repurchases of $37.6 million to continue to deliver shareholder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21"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The discussion of our liquidity and capital resources for the year ended December 31, 2023 compared to the year ended December 31, 2022 can be found in Part II, Item 7, “Management’s Discussion and Analysis of Financial Condition and Results of Operations” in the Company’s Annual Report on Form 10-K for the year ended December 31, 2023.</w:t>
      </w:r>
    </w:p>
    <w:p>
      <w:pPr>
        <w:spacing w:after="0" w:line="208"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Commercial Commitment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contractual obligations and commercial commitments as of December 31, 2024 are summarized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6"/>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58"/>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90"/>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3-5 Years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60" w:type="dxa"/>
            <w:vAlign w:val="bottom"/>
          </w:tcPr>
          <w:p>
            <w:pPr>
              <w:spacing w:after="0"/>
              <w:rPr>
                <w:sz w:val="16"/>
                <w:szCs w:val="16"/>
                <w:color w:val="auto"/>
              </w:rPr>
            </w:pPr>
          </w:p>
        </w:tc>
        <w:tc>
          <w:tcPr>
            <w:tcW w:w="8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16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obligations, including imputed interest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13,141</w:t>
            </w:r>
          </w:p>
        </w:tc>
      </w:tr>
      <w:tr>
        <w:trPr>
          <w:trHeight w:val="25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18,347</w:t>
            </w:r>
          </w:p>
        </w:tc>
      </w:tr>
      <w:tr>
        <w:trPr>
          <w:trHeight w:val="256"/>
        </w:trPr>
        <w:tc>
          <w:tcPr>
            <w:tcW w:w="51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100" w:type="dxa"/>
            <w:vAlign w:val="bottom"/>
            <w:tcBorders>
              <w:top w:val="single" w:sz="8" w:color="CFF0FC"/>
            </w:tcBorders>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11,076</w:t>
            </w:r>
          </w:p>
        </w:tc>
        <w:tc>
          <w:tcPr>
            <w:tcW w:w="100" w:type="dxa"/>
            <w:vAlign w:val="bottom"/>
            <w:tcBorders>
              <w:top w:val="single" w:sz="8" w:color="CFF0FC"/>
            </w:tcBorders>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FF0FC"/>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31,488</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Capital Requirements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develop and implement new products and applications, if any;</w:t>
      </w:r>
    </w:p>
    <w:p>
      <w:pPr>
        <w:spacing w:after="0" w:line="117" w:lineRule="exact"/>
        <w:rPr>
          <w:rFonts w:ascii="Times New Roman" w:cs="Times New Roman" w:eastAsia="Times New Roman" w:hAnsi="Times New Roman"/>
          <w:sz w:val="18"/>
          <w:szCs w:val="18"/>
          <w:color w:val="auto"/>
        </w:rPr>
      </w:pPr>
    </w:p>
    <w:p>
      <w:pPr>
        <w:ind w:left="1140" w:right="300" w:hanging="322"/>
        <w:spacing w:after="0" w:line="282" w:lineRule="auto"/>
        <w:tabs>
          <w:tab w:leader="none" w:pos="11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resources needed to further penetrate our market and gain acceptance of new products and applications that we may develop;</w:t>
      </w:r>
    </w:p>
    <w:p>
      <w:pPr>
        <w:spacing w:after="0" w:line="53"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in the U.S. and internationally;</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of competitors to our products and applications; and</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capital for acquisitions.</w:t>
      </w:r>
    </w:p>
    <w:p>
      <w:pPr>
        <w:spacing w:after="0" w:line="117"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54"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We believe our cash, cash equivalents, and cash flows from our operations will be sufficient to meet our working capital and capital expenditure requirements for at least the next twelve months.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and Inflation Rate Changes</w:t>
      </w:r>
    </w:p>
    <w:p>
      <w:pPr>
        <w:spacing w:after="0" w:line="119" w:lineRule="exact"/>
        <w:rPr>
          <w:sz w:val="20"/>
          <w:szCs w:val="20"/>
          <w:color w:val="auto"/>
        </w:rPr>
      </w:pPr>
    </w:p>
    <w:p>
      <w:pPr>
        <w:ind w:right="160" w:firstLine="486"/>
        <w:spacing w:after="0" w:line="267" w:lineRule="auto"/>
        <w:rPr>
          <w:sz w:val="20"/>
          <w:szCs w:val="20"/>
          <w:color w:val="auto"/>
        </w:rPr>
      </w:pPr>
      <w:r>
        <w:rPr>
          <w:rFonts w:ascii="Times New Roman" w:cs="Times New Roman" w:eastAsia="Times New Roman" w:hAnsi="Times New Roman"/>
          <w:sz w:val="18"/>
          <w:szCs w:val="18"/>
          <w:color w:val="auto"/>
        </w:rPr>
        <w:t>For information regarding the effects of foreign currency exchange and inflation rate changes, refer to the section entitled “</w:t>
      </w:r>
      <w:r>
        <w:rPr>
          <w:rFonts w:ascii="Times New Roman" w:cs="Times New Roman" w:eastAsia="Times New Roman" w:hAnsi="Times New Roman"/>
          <w:sz w:val="18"/>
          <w:szCs w:val="18"/>
          <w:i w:val="1"/>
          <w:iCs w:val="1"/>
          <w:color w:val="auto"/>
        </w:rPr>
        <w:t>Foreign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and Inflation Risk,</w:t>
      </w:r>
      <w:r>
        <w:rPr>
          <w:rFonts w:ascii="Times New Roman" w:cs="Times New Roman" w:eastAsia="Times New Roman" w:hAnsi="Times New Roman"/>
          <w:sz w:val="18"/>
          <w:szCs w:val="18"/>
          <w:color w:val="auto"/>
        </w:rPr>
        <w:t>” included in Part II, Item 7A, “Quantitative and Qualitative Disclosures About Market Risk” of this Annual Report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Recent Accounting Pronouncements</w:t>
      </w:r>
    </w:p>
    <w:p>
      <w:pPr>
        <w:spacing w:after="0" w:line="121"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refer to Note A, General, in our Notes to Consolidated Financial Statements in the sections entitled “</w:t>
      </w:r>
      <w:r>
        <w:rPr>
          <w:rFonts w:ascii="Times New Roman" w:cs="Times New Roman" w:eastAsia="Times New Roman" w:hAnsi="Times New Roman"/>
          <w:sz w:val="18"/>
          <w:szCs w:val="18"/>
          <w:i w:val="1"/>
          <w:iCs w:val="1"/>
          <w:color w:val="auto"/>
        </w:rPr>
        <w:t>Accounting Pronouncements Recently Adopted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Accounting Pronouncements Not Yet Adopted</w:t>
      </w:r>
      <w:r>
        <w:rPr>
          <w:rFonts w:ascii="Times New Roman" w:cs="Times New Roman" w:eastAsia="Times New Roman" w:hAnsi="Times New Roman"/>
          <w:sz w:val="18"/>
          <w:szCs w:val="18"/>
          <w:color w:val="auto"/>
        </w:rPr>
        <w:t>” as applicable, included in Part II, Item 8, “Financial Statements and Supplementary Data” of this Annual Report on Form 10-K.</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00AAE5"/>
        </w:rPr>
        <w:t>Item 7A.</w:t>
      </w:r>
      <w:r>
        <w:rPr>
          <w:sz w:val="20"/>
          <w:szCs w:val="20"/>
          <w:color w:val="auto"/>
        </w:rPr>
        <w:tab/>
      </w:r>
      <w:r>
        <w:rPr>
          <w:rFonts w:ascii="Times New Roman" w:cs="Times New Roman" w:eastAsia="Times New Roman" w:hAnsi="Times New Roman"/>
          <w:sz w:val="17"/>
          <w:szCs w:val="17"/>
          <w:b w:val="1"/>
          <w:bCs w:val="1"/>
          <w:color w:val="00AAE5"/>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 Risk</w:t>
      </w:r>
    </w:p>
    <w:p>
      <w:pPr>
        <w:spacing w:after="0" w:line="12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principal objectives of our investment activities are to preserve principal, provide liquidity, and maximize income consistent with minimizing risk of material loss. We are exposed to market risk related to changes in interest rates. We may choose based on our investment strategy to hold cash, cash equivalents, and investments in interest-bearing or non-interest-bearing accounts. Based upon a sensitivity model, an immediate hypothetical 50-basis point change in interest rates at December 31, 2024 would have resulted in a $1.0 million impact on our investment income included in net income (loss) for the year ended December 31, 2024. We do not enter into investments for trading or speculative purposes. We did not have any variable interest rate outstanding debt as of December 31, 2024.</w:t>
      </w:r>
    </w:p>
    <w:p>
      <w:pPr>
        <w:sectPr>
          <w:pgSz w:w="11900" w:h="16838" w:orient="portrait"/>
          <w:cols w:equalWidth="0" w:num="1">
            <w:col w:w="11240"/>
          </w:cols>
          <w:pgMar w:left="320" w:top="118" w:right="339" w:bottom="1440" w:gutter="0" w:footer="0" w:header="0"/>
        </w:sectPr>
      </w:pPr>
    </w:p>
    <w:p>
      <w:pPr>
        <w:spacing w:after="0" w:line="219"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4" w:name="page35"/>
    <w:bookmarkEnd w:id="34"/>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and Inflation Risk</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Due to international operations, we have revenue, expenses, assets, and liabilities that are denominated in currencies other than the U.S. dollar, primarily the Australian dollar, Canadian dollar, and Euro. Our consolidated balance sheet, results of operations, and cash flows are, therefore, subject to fluctuations due to changes in foreign currency exchange rates and may be adversely affected in the future due to changes in foreign exchange rates. Our predominate exposure to foreign currency exchange rates are due to non-monetary assets held in currencies other than the U.S. dollar, and thus fluctuations in currencies primarily result in comprehensive income (loss), not net income (loss).</w:t>
      </w:r>
    </w:p>
    <w:p>
      <w:pPr>
        <w:spacing w:after="0" w:line="7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sales are primarily denominated in U.S. dollars. Our expenses are generally denominated in the local currencies in which our operations are located. As of December 31, 2024, we maintained 13% of our total cash and cash equivalents in foreign currencies. Based upon a sensitivity model, an immediate hypothetical 10% unfavorable change in all foreign currency exchange rates would have resulted in a $3.2 million impact on our cash and cash equivalents held in currencies other than the U.S. dollar as of December 31, 2024.</w:t>
      </w:r>
    </w:p>
    <w:p>
      <w:pPr>
        <w:spacing w:after="0" w:line="72"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We have not used any forward contracts or currency borrowings to hedge our exposure to foreign currency exchange risk, although we may do so in the future.</w:t>
      </w:r>
    </w:p>
    <w:p>
      <w:pPr>
        <w:spacing w:after="0" w:line="54"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During the last three years, inflation and changing prices have not had a material effect on our business and we do not expect that inflation or changing prices will materially affect our business in the foreseeable future.</w:t>
      </w:r>
    </w:p>
    <w:p>
      <w:pPr>
        <w:spacing w:after="0" w:line="193"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35</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AAE5"/>
              </w:rPr>
              <w:t>Item 8.  Financial Statements and Supplementary Data</w:t>
            </w:r>
          </w:p>
        </w:tc>
        <w:tc>
          <w:tcPr>
            <w:tcW w:w="192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24"/>
        </w:trPr>
        <w:tc>
          <w:tcPr>
            <w:tcW w:w="68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AAE5"/>
              </w:rPr>
              <w:t>SPS Commerce, Inc. and Subsidiaries Consolidated Financial Statements</w:t>
            </w:r>
          </w:p>
        </w:tc>
        <w:tc>
          <w:tcPr>
            <w:tcW w:w="44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w:t>
            </w: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9"/>
        </w:trPr>
        <w:tc>
          <w:tcPr>
            <w:tcW w:w="20" w:type="dxa"/>
            <w:vAlign w:val="bottom"/>
          </w:tcPr>
          <w:p>
            <w:pPr>
              <w:spacing w:after="0"/>
              <w:rPr>
                <w:sz w:val="18"/>
                <w:szCs w:val="18"/>
                <w:color w:val="auto"/>
              </w:rPr>
            </w:pPr>
          </w:p>
        </w:tc>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800" w:type="dxa"/>
            <w:vAlign w:val="bottom"/>
            <w:gridSpan w:val="6"/>
          </w:tcPr>
          <w:p>
            <w:pPr>
              <w:spacing w:after="0"/>
              <w:rPr>
                <w:sz w:val="18"/>
                <w:szCs w:val="18"/>
                <w:color w:val="auto"/>
              </w:rPr>
            </w:pPr>
          </w:p>
        </w:tc>
        <w:tc>
          <w:tcPr>
            <w:tcW w:w="19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20" w:type="dxa"/>
            <w:vAlign w:val="bottom"/>
          </w:tcPr>
          <w:p>
            <w:pPr>
              <w:spacing w:after="0"/>
              <w:rPr>
                <w:sz w:val="18"/>
                <w:szCs w:val="18"/>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9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20" w:type="dxa"/>
            <w:vAlign w:val="bottom"/>
          </w:tcPr>
          <w:p>
            <w:pPr>
              <w:spacing w:after="0"/>
              <w:rPr>
                <w:sz w:val="18"/>
                <w:szCs w:val="18"/>
                <w:color w:val="auto"/>
              </w:rPr>
            </w:pPr>
          </w:p>
        </w:tc>
        <w:tc>
          <w:tcPr>
            <w:tcW w:w="35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80" w:type="dxa"/>
            <w:vAlign w:val="bottom"/>
            <w:tcBorders>
              <w:top w:val="single" w:sz="8" w:color="0000FF"/>
            </w:tcBorders>
          </w:tcPr>
          <w:p>
            <w:pPr>
              <w:spacing w:after="0"/>
              <w:rPr>
                <w:sz w:val="18"/>
                <w:szCs w:val="18"/>
                <w:color w:val="auto"/>
              </w:rPr>
            </w:pPr>
          </w:p>
        </w:tc>
        <w:tc>
          <w:tcPr>
            <w:tcW w:w="11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20" w:type="dxa"/>
            <w:vAlign w:val="bottom"/>
            <w:gridSpan w:val="5"/>
          </w:tcPr>
          <w:p>
            <w:pPr>
              <w:spacing w:after="0"/>
              <w:rPr>
                <w:sz w:val="18"/>
                <w:szCs w:val="18"/>
                <w:color w:val="auto"/>
              </w:rPr>
            </w:pPr>
          </w:p>
        </w:tc>
        <w:tc>
          <w:tcPr>
            <w:tcW w:w="19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20" w:type="dxa"/>
            <w:vAlign w:val="bottom"/>
          </w:tcPr>
          <w:p>
            <w:pPr>
              <w:spacing w:after="0"/>
              <w:rPr>
                <w:sz w:val="18"/>
                <w:szCs w:val="18"/>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1740" w:type="dxa"/>
            <w:vAlign w:val="bottom"/>
            <w:gridSpan w:val="4"/>
          </w:tcPr>
          <w:p>
            <w:pPr>
              <w:spacing w:after="0"/>
              <w:rPr>
                <w:sz w:val="18"/>
                <w:szCs w:val="18"/>
                <w:color w:val="auto"/>
              </w:rPr>
            </w:pPr>
          </w:p>
        </w:tc>
        <w:tc>
          <w:tcPr>
            <w:tcW w:w="19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807"/>
        </w:trPr>
        <w:tc>
          <w:tcPr>
            <w:tcW w:w="20" w:type="dxa"/>
            <w:vAlign w:val="bottom"/>
          </w:tcPr>
          <w:p>
            <w:pPr>
              <w:spacing w:after="0"/>
              <w:rPr>
                <w:sz w:val="24"/>
                <w:szCs w:val="24"/>
                <w:color w:val="auto"/>
              </w:rPr>
            </w:pPr>
          </w:p>
        </w:tc>
        <w:tc>
          <w:tcPr>
            <w:tcW w:w="4900" w:type="dxa"/>
            <w:vAlign w:val="bottom"/>
            <w:gridSpan w:val="7"/>
          </w:tcPr>
          <w:p>
            <w:pPr>
              <w:ind w:left="420"/>
              <w:spacing w:after="0"/>
              <w:rPr>
                <w:sz w:val="20"/>
                <w:szCs w:val="20"/>
                <w:color w:val="auto"/>
              </w:rPr>
            </w:pPr>
            <w:r>
              <w:rPr>
                <w:rFonts w:ascii="Times New Roman" w:cs="Times New Roman" w:eastAsia="Times New Roman" w:hAnsi="Times New Roman"/>
                <w:sz w:val="13"/>
                <w:szCs w:val="13"/>
                <w:b w:val="1"/>
                <w:bCs w:val="1"/>
                <w:color w:val="auto"/>
              </w:rPr>
              <w:t>SPS COMMERCE, INC.</w:t>
            </w:r>
          </w:p>
        </w:tc>
        <w:tc>
          <w:tcPr>
            <w:tcW w:w="192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rPr>
              <w:t>36</w:t>
            </w:r>
          </w:p>
        </w:tc>
        <w:tc>
          <w:tcPr>
            <w:tcW w:w="4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Form 10-K for the Annual Period ended December 31, 2024</w:t>
            </w:r>
          </w:p>
        </w:tc>
      </w:tr>
      <w:tr>
        <w:trPr>
          <w:trHeight w:val="233"/>
        </w:trPr>
        <w:tc>
          <w:tcPr>
            <w:tcW w:w="20" w:type="dxa"/>
            <w:vAlign w:val="bottom"/>
            <w:tcBorders>
              <w:bottom w:val="single" w:sz="8" w:color="9A9A9A"/>
            </w:tcBorders>
          </w:tcPr>
          <w:p>
            <w:pPr>
              <w:spacing w:after="0"/>
              <w:rPr>
                <w:sz w:val="20"/>
                <w:szCs w:val="20"/>
                <w:color w:val="auto"/>
              </w:rPr>
            </w:pPr>
          </w:p>
        </w:tc>
        <w:tc>
          <w:tcPr>
            <w:tcW w:w="210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560" w:type="dxa"/>
            <w:vAlign w:val="bottom"/>
            <w:tcBorders>
              <w:bottom w:val="single" w:sz="8" w:color="9A9A9A"/>
            </w:tcBorders>
          </w:tcPr>
          <w:p>
            <w:pPr>
              <w:spacing w:after="0"/>
              <w:rPr>
                <w:sz w:val="20"/>
                <w:szCs w:val="20"/>
                <w:color w:val="auto"/>
              </w:rPr>
            </w:pPr>
          </w:p>
        </w:tc>
        <w:tc>
          <w:tcPr>
            <w:tcW w:w="600" w:type="dxa"/>
            <w:vAlign w:val="bottom"/>
            <w:tcBorders>
              <w:bottom w:val="single" w:sz="8" w:color="9A9A9A"/>
            </w:tcBorders>
          </w:tcPr>
          <w:p>
            <w:pPr>
              <w:spacing w:after="0"/>
              <w:rPr>
                <w:sz w:val="20"/>
                <w:szCs w:val="20"/>
                <w:color w:val="auto"/>
              </w:rPr>
            </w:pPr>
          </w:p>
        </w:tc>
        <w:tc>
          <w:tcPr>
            <w:tcW w:w="1920" w:type="dxa"/>
            <w:vAlign w:val="bottom"/>
            <w:tcBorders>
              <w:bottom w:val="single" w:sz="8" w:color="9A9A9A"/>
            </w:tcBorders>
          </w:tcPr>
          <w:p>
            <w:pPr>
              <w:spacing w:after="0"/>
              <w:rPr>
                <w:sz w:val="20"/>
                <w:szCs w:val="20"/>
                <w:color w:val="auto"/>
              </w:rPr>
            </w:pPr>
          </w:p>
        </w:tc>
        <w:tc>
          <w:tcPr>
            <w:tcW w:w="44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-453390</wp:posOffset>
            </wp:positionV>
            <wp:extent cx="240030" cy="2311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 Commerce,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SPS Commerce, Inc. and subsidiaries (the Company) as of December 31, 2024 and 2023, the related consolidated statements comprehensive income,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18, 2025 expressed an unqualified opinion on the effectiveness of the Company’s internal control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of sufficiency of audit evidence over fulfillment and analytics revenue</w:t>
      </w:r>
    </w:p>
    <w:p>
      <w:pPr>
        <w:spacing w:after="0" w:line="119" w:lineRule="exact"/>
        <w:rPr>
          <w:sz w:val="20"/>
          <w:szCs w:val="20"/>
          <w:color w:val="auto"/>
        </w:rPr>
      </w:pPr>
    </w:p>
    <w:p>
      <w:pPr>
        <w:ind w:left="340" w:right="100"/>
        <w:spacing w:after="0" w:line="261" w:lineRule="auto"/>
        <w:rPr>
          <w:sz w:val="20"/>
          <w:szCs w:val="20"/>
          <w:color w:val="auto"/>
        </w:rPr>
      </w:pPr>
      <w:r>
        <w:rPr>
          <w:rFonts w:ascii="Times New Roman" w:cs="Times New Roman" w:eastAsia="Times New Roman" w:hAnsi="Times New Roman"/>
          <w:sz w:val="18"/>
          <w:szCs w:val="18"/>
          <w:color w:val="auto"/>
        </w:rPr>
        <w:t>As discussed in Note C to the consolidated financial statements, the Company’s revenue is principally derived from recurring subscriptions to the Company’s Fulfillment and Analytics products. The Company recorded $523.7 million and $55.7 million of revenue for the year ended December 31, 2024, for the Fulfillment and Analytics products, respectively. The Company’s revenue recognition process is highly automated and is reliant upon information technology (IT) systems customized to recognize and record revenue.</w:t>
      </w:r>
    </w:p>
    <w:p>
      <w:pPr>
        <w:spacing w:after="0" w:line="72" w:lineRule="exact"/>
        <w:rPr>
          <w:sz w:val="20"/>
          <w:szCs w:val="20"/>
          <w:color w:val="auto"/>
        </w:rPr>
      </w:pPr>
    </w:p>
    <w:p>
      <w:pPr>
        <w:ind w:left="340" w:right="4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sufficiency of audit evidence over fulfillment and analytics revenue as a critical audit matter. Subjective auditor judgment was required in determining the nature and extent of procedures to be performed over revenue as well as the need to involve IT professionals with specialized skills and knowledge to assist in the performance of certain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37</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ind w:left="102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40"/>
        <w:spacing w:after="0" w:line="254"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fulfillment and analytics revenue. We evaluated the design and tested the operating effectiveness of certain internal controls related to revenue recognition. We involved IT professionals with specialized skills and knowledge, who assisted in testing the general IT and application controls of the systems used in the Company’s revenue recognition process. We performed a software-assisted data analysis to test relationships among certain revenue transactions. For a sample of transactions, we compared the amounts recognized by the Company with underlying documentation, including contracts with customers and cash receipts. Additionally, for the same sample of transactions, we recalculated the amount of revenue recognized in the period based on the terms of the arrangement. In addition, we evaluated the sufficiency of audit evidence obtained over revenue by assessing the results of procedures performed, including the appropriateness of the nature and extent of such evidence.</w:t>
      </w:r>
    </w:p>
    <w:p>
      <w:pPr>
        <w:spacing w:after="0" w:line="8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38</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SPS Commerce, Inc.: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SPS Commerce, Inc. and subsidiaries' (the Company)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comprehensive income, stockholders’ equity, and cash flows for each of the years in the three-year period ended December 31, 2024, and the related notes (collectively, the consolidated financial statements), and our report dated February 18, 2025 expressed an unqualified opinion on those consolidated financial statements.</w:t>
      </w:r>
    </w:p>
    <w:p>
      <w:pPr>
        <w:spacing w:after="0" w:line="7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acquired SupplyPike during 2024, and management excluded from its assessment of the effectiveness of the Company’s internal control over financial reporting as of December 31, 2024, SupplyPike’s internal control over financial reporting associated with less than 5% of consolidated assets and less than 5% of consolidated revenues included in the consolidated financial statements of the Company as of and for the year ended December 31, 2024.</w:t>
      </w:r>
    </w:p>
    <w:p>
      <w:pPr>
        <w:spacing w:after="0" w:line="2"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Our audit of internal control over financial reporting of the Company also excluded an evaluation of the internal control over financial reporting of SupplyPike.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-53975</wp:posOffset>
            </wp:positionV>
            <wp:extent cx="240030" cy="2317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169" w:lineRule="exact"/>
        <w:rPr>
          <w:sz w:val="20"/>
          <w:szCs w:val="20"/>
          <w:color w:val="auto"/>
        </w:rPr>
      </w:pPr>
    </w:p>
    <w:p>
      <w:pPr>
        <w:ind w:left="440"/>
        <w:spacing w:after="0"/>
        <w:tabs>
          <w:tab w:leader="none" w:pos="5520" w:val="left"/>
          <w:tab w:leader="none" w:pos="80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39</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0000FF"/>
              </w:rPr>
              <w:t>Table of Contents</w:t>
            </w:r>
          </w:p>
        </w:tc>
        <w:tc>
          <w:tcPr>
            <w:tcW w:w="0" w:type="dxa"/>
            <w:vAlign w:val="bottom"/>
          </w:tcPr>
          <w:p>
            <w:pPr>
              <w:spacing w:after="0"/>
              <w:rPr>
                <w:sz w:val="1"/>
                <w:szCs w:val="1"/>
                <w:color w:val="auto"/>
              </w:rPr>
            </w:pPr>
          </w:p>
        </w:tc>
      </w:tr>
      <w:tr>
        <w:trPr>
          <w:trHeight w:val="849"/>
        </w:trPr>
        <w:tc>
          <w:tcPr>
            <w:tcW w:w="818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00AAE5"/>
              </w:rPr>
              <w:t>SPS COMMERCE,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8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00AAE5"/>
              </w:rPr>
              <w:t>CONSOLIDATED BALANCE SHEETS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38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241,017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Short-term investments</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Accounts receivable, net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52,035</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65,342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381,907</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401,441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399,180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costs, non-current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 non-current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1,031,230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3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compensation</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74,256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146,684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176,540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0 shares issued and outstanding</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Common stock, $0.001 par value; 110,000,000 shares authorized; 39,590,276 and 38,971,146 shares issued; and</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37,661,308 and 36,820,048 shares outstanding, respectively</w:t>
            </w: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Treasury Stock, at cost; 1,928,968 and 2,151,098 shares, respectively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627,982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gain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81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854,690</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667,475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81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1,031,230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823,844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consolidated financial statements.</w:t>
      </w:r>
    </w:p>
    <w:p>
      <w:pPr>
        <w:sectPr>
          <w:pgSz w:w="11900" w:h="16838" w:orient="portrait"/>
          <w:cols w:equalWidth="0" w:num="1">
            <w:col w:w="11240"/>
          </w:cols>
          <w:pgMar w:left="320" w:top="114" w:right="339" w:bottom="1440" w:gutter="0" w:footer="0" w:header="0"/>
        </w:sectPr>
      </w:pPr>
    </w:p>
    <w:p>
      <w:pPr>
        <w:spacing w:after="0" w:line="267"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14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40</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Table of Contents</w:t>
            </w:r>
          </w:p>
        </w:tc>
        <w:tc>
          <w:tcPr>
            <w:tcW w:w="0" w:type="dxa"/>
            <w:vAlign w:val="bottom"/>
          </w:tcPr>
          <w:p>
            <w:pPr>
              <w:spacing w:after="0"/>
              <w:rPr>
                <w:sz w:val="1"/>
                <w:szCs w:val="1"/>
                <w:color w:val="auto"/>
              </w:rPr>
            </w:pPr>
          </w:p>
        </w:tc>
      </w:tr>
      <w:tr>
        <w:trPr>
          <w:trHeight w:val="849"/>
        </w:trPr>
        <w:tc>
          <w:tcPr>
            <w:tcW w:w="66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00AAE5"/>
                <w:w w:val="99"/>
              </w:rPr>
              <w:t>SPS COMMERCE,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560" w:type="dxa"/>
            <w:vAlign w:val="bottom"/>
            <w:gridSpan w:val="5"/>
          </w:tcPr>
          <w:p>
            <w:pPr>
              <w:ind w:left="2900"/>
              <w:spacing w:after="0"/>
              <w:rPr>
                <w:sz w:val="20"/>
                <w:szCs w:val="20"/>
                <w:color w:val="auto"/>
              </w:rPr>
            </w:pPr>
            <w:r>
              <w:rPr>
                <w:rFonts w:ascii="Times New Roman" w:cs="Times New Roman" w:eastAsia="Times New Roman" w:hAnsi="Times New Roman"/>
                <w:sz w:val="18"/>
                <w:szCs w:val="18"/>
                <w:b w:val="1"/>
                <w:bCs w:val="1"/>
                <w:color w:val="00AAE5"/>
              </w:rPr>
              <w:t>CONSOLIDATED STATEMENTS OF COMPREHENSIVE INCOME</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637,765</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450,875</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210,714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182,069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153,065</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427,051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354,841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297,810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101,772</w:t>
            </w: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45,748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102,929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67,340</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11,768</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338,168</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277,593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226,628</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71,182</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71,324</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16,190</w:t>
            </w:r>
          </w:p>
        </w:tc>
        <w:tc>
          <w:tcPr>
            <w:tcW w:w="0" w:type="dxa"/>
            <w:vAlign w:val="bottom"/>
          </w:tcPr>
          <w:p>
            <w:pPr>
              <w:spacing w:after="0"/>
              <w:rPr>
                <w:sz w:val="1"/>
                <w:szCs w:val="1"/>
                <w:color w:val="auto"/>
              </w:rPr>
            </w:pPr>
          </w:p>
        </w:tc>
      </w:tr>
      <w:tr>
        <w:trPr>
          <w:trHeight w:val="257"/>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77,054</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65,824</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55,134</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(expense)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on investments, net of tax of $363, $644, and $147, respectively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 of gain on investments into earnings, net of tax of $(537), $(564), and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$(55), respectively</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(expense)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7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67,149</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53,170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to compute net income per share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36,117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36,953</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consolidated financial statements.</w:t>
      </w:r>
    </w:p>
    <w:p>
      <w:pPr>
        <w:spacing w:after="0" w:line="267" w:lineRule="exact"/>
        <w:rPr>
          <w:sz w:val="20"/>
          <w:szCs w:val="20"/>
          <w:color w:val="auto"/>
        </w:rPr>
      </w:pPr>
    </w:p>
    <w:p>
      <w:pPr>
        <w:ind w:left="20"/>
        <w:spacing w:after="0"/>
        <w:tabs>
          <w:tab w:leader="none" w:pos="5520" w:val="left"/>
          <w:tab w:leader="none" w:pos="8000" w:val="left"/>
        </w:tabs>
        <w:rPr>
          <w:sz w:val="20"/>
          <w:szCs w:val="20"/>
          <w:color w:val="auto"/>
        </w:rPr>
      </w:pPr>
      <w:r>
        <w:rPr>
          <w:sz w:val="1"/>
          <w:szCs w:val="1"/>
          <w:color w:val="auto"/>
        </w:rPr>
        <w:drawing>
          <wp:inline distT="0" distB="0" distL="0" distR="0">
            <wp:extent cx="240030" cy="23177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0000FF"/>
              </w:rPr>
              <w:t>Table of Contents</w:t>
            </w:r>
          </w:p>
        </w:tc>
        <w:tc>
          <w:tcPr>
            <w:tcW w:w="0" w:type="dxa"/>
            <w:vAlign w:val="bottom"/>
          </w:tcPr>
          <w:p>
            <w:pPr>
              <w:spacing w:after="0"/>
              <w:rPr>
                <w:sz w:val="1"/>
                <w:szCs w:val="1"/>
                <w:color w:val="auto"/>
              </w:rPr>
            </w:pPr>
          </w:p>
        </w:tc>
      </w:tr>
      <w:tr>
        <w:trPr>
          <w:trHeight w:val="957"/>
        </w:trPr>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2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00AAE5"/>
              </w:rPr>
              <w:t>SPS COMMERCE, INC.</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6360" w:type="dxa"/>
            <w:vAlign w:val="bottom"/>
            <w:gridSpan w:val="16"/>
          </w:tcPr>
          <w:p>
            <w:pPr>
              <w:ind w:left="260"/>
              <w:spacing w:after="0"/>
              <w:rPr>
                <w:sz w:val="20"/>
                <w:szCs w:val="20"/>
                <w:color w:val="auto"/>
              </w:rPr>
            </w:pPr>
            <w:r>
              <w:rPr>
                <w:rFonts w:ascii="Times New Roman" w:cs="Times New Roman" w:eastAsia="Times New Roman" w:hAnsi="Times New Roman"/>
                <w:sz w:val="18"/>
                <w:szCs w:val="18"/>
                <w:b w:val="1"/>
                <w:bCs w:val="1"/>
                <w:color w:val="00AAE5"/>
              </w:rPr>
              <w:t>CONSOLIDATED STATEMENTS OF STOCKHOLDERS' EQUITY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700" w:type="dxa"/>
            <w:vAlign w:val="bottom"/>
          </w:tcPr>
          <w:p>
            <w:pPr>
              <w:spacing w:after="0"/>
              <w:rPr>
                <w:sz w:val="24"/>
                <w:szCs w:val="24"/>
                <w:color w:val="auto"/>
              </w:rPr>
            </w:pPr>
          </w:p>
        </w:tc>
        <w:tc>
          <w:tcPr>
            <w:tcW w:w="1820" w:type="dxa"/>
            <w:vAlign w:val="bottom"/>
            <w:gridSpan w:val="3"/>
            <w:vMerge w:val="restart"/>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5"/>
            <w:vMerge w:val="restart"/>
          </w:tcPr>
          <w:p>
            <w:pPr>
              <w:ind w:left="6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85"/>
        </w:trPr>
        <w:tc>
          <w:tcPr>
            <w:tcW w:w="2700" w:type="dxa"/>
            <w:vAlign w:val="bottom"/>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2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2"/>
            <w:vMerge w:val="restart"/>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60" w:type="dxa"/>
            <w:vAlign w:val="bottom"/>
          </w:tcPr>
          <w:p>
            <w:pPr>
              <w:spacing w:after="0"/>
              <w:rPr>
                <w:sz w:val="7"/>
                <w:szCs w:val="7"/>
                <w:color w:val="auto"/>
              </w:rPr>
            </w:pPr>
          </w:p>
        </w:tc>
        <w:tc>
          <w:tcPr>
            <w:tcW w:w="900" w:type="dxa"/>
            <w:vAlign w:val="bottom"/>
            <w:gridSpan w:val="2"/>
            <w:vMerge w:val="restart"/>
          </w:tcPr>
          <w:p>
            <w:pPr>
              <w:ind w:left="8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7"/>
                <w:szCs w:val="7"/>
                <w:color w:val="auto"/>
              </w:rPr>
            </w:pPr>
          </w:p>
        </w:tc>
        <w:tc>
          <w:tcPr>
            <w:tcW w:w="1020" w:type="dxa"/>
            <w:vAlign w:val="bottom"/>
            <w:vMerge w:val="restart"/>
          </w:tcPr>
          <w:p>
            <w:pPr>
              <w:jc w:val="right"/>
              <w:ind w:right="69"/>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restart"/>
          </w:tcPr>
          <w:p>
            <w:pPr>
              <w:jc w:val="center"/>
              <w:ind w:right="29"/>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9"/>
        </w:trPr>
        <w:tc>
          <w:tcPr>
            <w:tcW w:w="2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shares)</w:t>
            </w:r>
          </w:p>
        </w:tc>
        <w:tc>
          <w:tcPr>
            <w:tcW w:w="10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Balances, December 31, 2021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36,009,257</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38</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1,789,353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(85,677)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433,258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138,087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484,259</w:t>
            </w: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31,275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31,275</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Shares issued pursuant to stock awards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440,427</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4,908</w:t>
            </w: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Employee stock purchase plan activity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70,107</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6,676</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(361,745)</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361,745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(43,215)</w:t>
            </w: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55,134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55,134</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Unrealized gain on investments, net of tax</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Reclassification of gain on investments into</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vMerge w:val="restart"/>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earnings, net of tax</w:t>
            </w: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Balances, December 31, 2022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36,158,046</w:t>
            </w:r>
          </w:p>
        </w:tc>
        <w:tc>
          <w:tcPr>
            <w:tcW w:w="80" w:type="dxa"/>
            <w:vAlign w:val="bottom"/>
          </w:tcPr>
          <w:p>
            <w:pPr>
              <w:spacing w:after="0"/>
              <w:rPr>
                <w:sz w:val="16"/>
                <w:szCs w:val="16"/>
                <w:color w:val="auto"/>
              </w:rPr>
            </w:pPr>
          </w:p>
        </w:tc>
        <w:tc>
          <w:tcPr>
            <w:tcW w:w="74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38</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2,151,098</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(128,892)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476,117</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193,221</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537,073</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42,975</w:t>
            </w: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Shares issued pursuant to stock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598,361</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9,856</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Employee stock purchase plan activity</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63,641</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8,114</w:t>
            </w: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65,824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65,824</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w:t>
            </w: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Unrealized gain on investments, net of tax</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Reclassification of gain on investments into</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vMerge w:val="restart"/>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earnings, net of tax</w:t>
            </w: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Balances, December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36,820,048</w:t>
            </w:r>
          </w:p>
        </w:tc>
        <w:tc>
          <w:tcPr>
            <w:tcW w:w="80" w:type="dxa"/>
            <w:vAlign w:val="bottom"/>
          </w:tcPr>
          <w:p>
            <w:pPr>
              <w:spacing w:after="0"/>
              <w:rPr>
                <w:sz w:val="16"/>
                <w:szCs w:val="16"/>
                <w:color w:val="auto"/>
              </w:rPr>
            </w:pPr>
          </w:p>
        </w:tc>
        <w:tc>
          <w:tcPr>
            <w:tcW w:w="74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39</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2,151,098</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(128,892)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537,061</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259,045</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667,475</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51,668</w:t>
            </w: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Shares issued pursuant to stock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557,151</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Employee stock purchase plan activity</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61,979</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9,827</w:t>
            </w: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Repurchases of common stock, net of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(205,331)</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(37,567)</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Reissuances of treasury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427,461</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(427,461)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66,711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91,424</w:t>
            </w: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77,054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77,054</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(9,384)</w:t>
            </w:r>
          </w:p>
        </w:tc>
        <w:tc>
          <w:tcPr>
            <w:tcW w:w="0" w:type="dxa"/>
            <w:vAlign w:val="bottom"/>
          </w:tcPr>
          <w:p>
            <w:pPr>
              <w:spacing w:after="0"/>
              <w:rPr>
                <w:sz w:val="1"/>
                <w:szCs w:val="1"/>
                <w:color w:val="auto"/>
              </w:rPr>
            </w:pPr>
          </w:p>
        </w:tc>
      </w:tr>
      <w:tr>
        <w:trPr>
          <w:trHeight w:val="193"/>
        </w:trPr>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Unrealized gain on investments, net of tax</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Reclassification of gain on investments into</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vMerge w:val="restart"/>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earnings, net of tax</w:t>
            </w: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Balances, 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37,661,308</w:t>
            </w:r>
          </w:p>
        </w:tc>
        <w:tc>
          <w:tcPr>
            <w:tcW w:w="80" w:type="dxa"/>
            <w:vAlign w:val="bottom"/>
          </w:tcPr>
          <w:p>
            <w:pPr>
              <w:spacing w:after="0"/>
              <w:rPr>
                <w:sz w:val="16"/>
                <w:szCs w:val="16"/>
                <w:color w:val="auto"/>
              </w:rPr>
            </w:pPr>
          </w:p>
        </w:tc>
        <w:tc>
          <w:tcPr>
            <w:tcW w:w="740" w:type="dxa"/>
            <w:vAlign w:val="bottom"/>
          </w:tcPr>
          <w:p>
            <w:pPr>
              <w:jc w:val="right"/>
              <w:ind w:right="590"/>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40</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1,928,968</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(99,748)</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627,982</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336,099</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(9,683)</w:t>
            </w: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854,690</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consolidated financial statements.</w:t>
      </w: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5220" w:val="left"/>
          <w:tab w:leader="none" w:pos="7400" w:val="left"/>
        </w:tabs>
        <w:rPr>
          <w:sz w:val="20"/>
          <w:szCs w:val="20"/>
          <w:color w:val="auto"/>
        </w:rPr>
      </w:pPr>
      <w:r>
        <w:rPr>
          <w:sz w:val="1"/>
          <w:szCs w:val="1"/>
          <w:color w:val="auto"/>
        </w:rPr>
        <w:drawing>
          <wp:inline distT="0" distB="0" distL="0" distR="0">
            <wp:extent cx="240030" cy="2317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Table of Contents</w:t>
            </w:r>
          </w:p>
        </w:tc>
        <w:tc>
          <w:tcPr>
            <w:tcW w:w="0" w:type="dxa"/>
            <w:vAlign w:val="bottom"/>
          </w:tcPr>
          <w:p>
            <w:pPr>
              <w:spacing w:after="0"/>
              <w:rPr>
                <w:sz w:val="1"/>
                <w:szCs w:val="1"/>
                <w:color w:val="auto"/>
              </w:rPr>
            </w:pPr>
          </w:p>
        </w:tc>
      </w:tr>
      <w:tr>
        <w:trPr>
          <w:trHeight w:val="876"/>
        </w:trPr>
        <w:tc>
          <w:tcPr>
            <w:tcW w:w="66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00AAE5"/>
                <w:w w:val="99"/>
              </w:rPr>
              <w:t>SPS COMMERCE,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80" w:type="dxa"/>
            <w:vAlign w:val="bottom"/>
            <w:gridSpan w:val="3"/>
          </w:tcPr>
          <w:p>
            <w:pPr>
              <w:ind w:left="3500"/>
              <w:spacing w:after="0"/>
              <w:rPr>
                <w:sz w:val="20"/>
                <w:szCs w:val="20"/>
                <w:color w:val="auto"/>
              </w:rPr>
            </w:pPr>
            <w:r>
              <w:rPr>
                <w:rFonts w:ascii="Times New Roman" w:cs="Times New Roman" w:eastAsia="Times New Roman" w:hAnsi="Times New Roman"/>
                <w:sz w:val="18"/>
                <w:szCs w:val="18"/>
                <w:b w:val="1"/>
                <w:bCs w:val="1"/>
                <w:color w:val="00AAE5"/>
              </w:rPr>
              <w:t>CONSOLIDATED STATEMENTS OF CASH FLOWS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55,134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50"/>
        </w:trPr>
        <w:tc>
          <w:tcPr>
            <w:tcW w:w="6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0" w:type="dxa"/>
            <w:vAlign w:val="bottom"/>
          </w:tcPr>
          <w:p>
            <w:pPr>
              <w:spacing w:after="0"/>
              <w:rPr>
                <w:sz w:val="1"/>
                <w:szCs w:val="1"/>
                <w:color w:val="auto"/>
              </w:rPr>
            </w:pPr>
          </w:p>
        </w:tc>
      </w:tr>
      <w:tr>
        <w:trPr>
          <w:trHeight w:val="250"/>
        </w:trPr>
        <w:tc>
          <w:tcPr>
            <w:tcW w:w="6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Deferred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50"/>
        </w:trPr>
        <w:tc>
          <w:tcPr>
            <w:tcW w:w="6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0" w:type="dxa"/>
            <w:vAlign w:val="bottom"/>
          </w:tcPr>
          <w:p>
            <w:pPr>
              <w:spacing w:after="0"/>
              <w:rPr>
                <w:sz w:val="1"/>
                <w:szCs w:val="1"/>
                <w:color w:val="auto"/>
              </w:rPr>
            </w:pPr>
          </w:p>
        </w:tc>
      </w:tr>
      <w:tr>
        <w:trPr>
          <w:trHeight w:val="250"/>
        </w:trPr>
        <w:tc>
          <w:tcPr>
            <w:tcW w:w="66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Operating leases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157,398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100,052</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(160,427)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158,937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Acquisition of businesses,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(147,924)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(91,420)</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(43,215)</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proceeds from exercise of options to purchase common stock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from employee stock purchase plan activity</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Payments for contingent consideration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(44,659)</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219,081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162,893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207,552</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241,017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219,081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162,893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6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0" w:type="dxa"/>
            <w:vAlign w:val="bottom"/>
          </w:tcPr>
          <w:p>
            <w:pPr>
              <w:spacing w:after="0"/>
              <w:rPr>
                <w:sz w:val="1"/>
                <w:szCs w:val="1"/>
                <w:color w:val="auto"/>
              </w:rPr>
            </w:pPr>
          </w:p>
        </w:tc>
      </w:tr>
      <w:tr>
        <w:trPr>
          <w:trHeight w:val="250"/>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financing activity:</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Contingent consideration related to acquisition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these consolidated financial statements.</w:t>
      </w:r>
    </w:p>
    <w:p>
      <w:pPr>
        <w:spacing w:after="0" w:line="105" w:lineRule="exact"/>
        <w:rPr>
          <w:sz w:val="20"/>
          <w:szCs w:val="20"/>
          <w:color w:val="auto"/>
        </w:rPr>
      </w:pPr>
    </w:p>
    <w:p>
      <w:pPr>
        <w:ind w:left="20"/>
        <w:spacing w:after="0"/>
        <w:tabs>
          <w:tab w:leader="none" w:pos="5220" w:val="left"/>
          <w:tab w:leader="none" w:pos="7400" w:val="left"/>
        </w:tabs>
        <w:rPr>
          <w:sz w:val="20"/>
          <w:szCs w:val="20"/>
          <w:color w:val="auto"/>
        </w:rPr>
      </w:pPr>
      <w:r>
        <w:rPr>
          <w:sz w:val="1"/>
          <w:szCs w:val="1"/>
          <w:color w:val="auto"/>
        </w:rPr>
        <w:drawing>
          <wp:inline distT="0" distB="0" distL="0" distR="0">
            <wp:extent cx="240030" cy="23114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ind w:left="102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SPS 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A – 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SPS Commerce is transforming how our global retail supply chain co-operates by creating a more dynamic, interconnected community where players can more freely connect, collaborate, and prosper together. Our comprehensive suite of cloud-based products and solutions lead the industry in establishing and maintaining stronger collaboration between retailers, grocers, distributors, suppliers, manufacturers, and logistics firms around the globe.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Our products enable customers to enhance how they operate: both within their organizations and with their trading partners, with reduced operational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stronger supply chain performance; compete: with order and supply chain visibility, sell-through data, and optimized inventory management,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adapt: through the limitless access to connect and grow with the world’s largest retail network of trading partners that only SPS Commerce can offer.</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functional currency of our foreign operations is generally the applicable local currency. The functional currency is translated into U.S. dollars for balance sheet accounts using current exchange rates in effect as of the balance sheet date and for revenue and expense accounts using an average exchange rate during the year. The translation adjustments are deferred as a component of other comprehensive income within the consolidated statements of comprehensive income and the consolidated statements of stockholders' equity. Gains or losses resulting from transactions denominated in foreign currencies are included in other income (expense), net in our consolidated statements of comprehensive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Use of Estimates</w:t>
      </w:r>
    </w:p>
    <w:p>
      <w:pPr>
        <w:spacing w:after="0" w:line="12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conformity with GAAP requires management to make estimates, judgments,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w:t>
      </w:r>
    </w:p>
    <w:p>
      <w:pPr>
        <w:spacing w:after="0" w:line="6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Assets acquired include tangible and intangible assets. We use estimates and assumptions that we believe are reasonable as a part of the purchase price allocation, which includes the process to determine the fair value of purchased intangible assets and the process to determine the value of any contingent consideration liabilities. We value identifiable intangible assets using variants of the income approach, such as the relief-from-royalty and multi-period excess earnings methods. The income approach uses estimates such as future expected cash flows from acquired customers and developed technology from a market participant perspective, useful lives, and discount rates to estimate the fair values of the identifiable intangible assets. We record the acquisition-date fair value of any contingent liabilities, such as earn-out provisions, as part of the consideration transferred, if present. The unsettled earn-out liability, if any, is subsequently remeasured at each reporting date at fair value through earnings.</w:t>
      </w:r>
    </w:p>
    <w:p>
      <w:pPr>
        <w:spacing w:after="0" w:line="8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While we believe these estimates and assumptions are reasonable, they are inherently uncertain and subject to refinement. As a result, during the measurement period, which may be up to one year from the acquisition date, we may record adjustments to the fair value of the assets acquired and the liabilities assumed. Any such adjustments would be recorded as an offset to goodwill or a working capital purchase price adjustment as applicable. Upon the conclusion of the measurement period or final determination of the fair values, whichever comes first, any subsequent adjustments would be recorded in our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136525</wp:posOffset>
            </wp:positionV>
            <wp:extent cx="240030" cy="2311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single operating and reporting segment we have is Supply Chain Management Solutions. This segment derives revenues from customers by providing access to our cloud-based supply chain management services, primarily under subscription-based service arrangements.</w:t>
      </w:r>
    </w:p>
    <w:p>
      <w:pPr>
        <w:spacing w:after="0" w:line="54"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Our Chief Executive Officer acts as the Company’s chief operating decision maker (“CODM”). Our CODM primarily reviews revenue, consolidated net income, and consolidated Adjusted EBITDA for purposes of allocating resources and evaluating financial performance. These measures are used to monitor budget versus actual results as well as trends versus historical performance, which are the CODM's primary considerations to assess performance. The CODM does not use an asset measure to allocate resources or evaluate the consolidated performance. There are no segment managers who are held accountable by the CODM, or anyone else, for operations, operating results and planning for levels or components below the consolidated unit level. Adjusted EBITDA is a non-GAAP financial measure also reported in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cash and cash equivalents in financial institutions in excess of federally insured limits, accounts receivable, and investments. Cash and cash equivalents are held with financial institutions that we believe are subject to minimal risk. Concentrations of credit risk with respect to accounts receivable are subject to the financial condition of our customers, which are routinely assessed for potential credit losses. We believe that the receivable credit risk exposure is limited. Our investment policy limits the amount of credit exposure with any one financial institution or commercial issuer and sets requirements regarding credit rating and investment maturities to safeguard liquidity and minimize risk.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and cash equivalents consist of cash and highly liquid investments with original maturities of less than 90 days.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We invest in money market funds, certificates of deposit, and/or marketable securities such as commercial paper, highly liquid debt instruments of the U.S. government, and U.S. corporate debt securities. Investments with remaining maturities of less than one year from the balance sheet date are classified as short-term investments whereas those with remaining maturities of more than one year from the balance sheet date are classified as investments, non-current.</w:t>
      </w:r>
    </w:p>
    <w:p>
      <w:pPr>
        <w:spacing w:after="0" w:line="72"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Securities classified as available for sale are carried at fair value and the unrealized gains and losses on these investments, net of taxes, are included in accumulated other comprehensive gain (loss) in the consolidated balance sheets. Realized gains or losses are included in other income (expense), net in the consolidated statements of comprehensive income, on a specific identification basis. Certain securities accrue interest that is included in other income (expense), net as investment income. Investment income includes interest earned on securities, net of amortization of premiums and accretion of discounts from the purchase of available for sale securities, and interest earned on our cash and cash equivalents. If a determination has been made that the fair value of a marketable security is below its amortized cost basis, the portion of the unrealized loss that corresponds to a credit-related factor is realized through a credit allowance on the marketable security and the equivalent expense is realized in other income (expense), net in the consolidated statements of comprehensive income.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amounts of our short-term financial instruments, which include cash, cash equivalents, accounts receivable, and accounts payable, approximates fair value due to their short-term nature.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are used to measure fair value are:</w:t>
      </w:r>
    </w:p>
    <w:p>
      <w:pPr>
        <w:spacing w:after="0" w:line="72"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240030" cy="231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80" w:right="280" w:hanging="486"/>
        <w:spacing w:after="0" w:line="261"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to the valuation methodology that are significant to the measurement of fair value of assets or liabilities.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measure certain assets and liabilities at fair value on a nonrecurring basis, including long-lived assets, goodwill, and indefinite-lived intangible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Accounts receivable are initially recorded upon the sale and invoicing of products to customers. Credit is granted in the normal course of business without collateral. Accounts receivable are stated net of allowances for credit losses, which represent estimated losses resulting from customers not making required payments on accounts receivables. When determining the allowance, we pool our outstanding accounts receivable invoices based on the contractual due date of payment. We take several factors into consideration for estimated credit losses by pool, primarily our historical credit losses, with additional adjustments made for current and future macro-economic conditions and retail bankruptcy trends. We write-off accounts receivable when they are determined to be uncollectible. Changes in the allowance are recorded as bad debt expense and are included in general and administrative expense in our consolidated statements of comprehensive income.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Property and equipment, including assets acquired under lease obligations, are stated at cost, net of accumulated depreciation and amortization. Depreciation and amortization expense is calculated using the straight-line method over the estimated useful lives, commencing on the earlier date in which the asset is placed in service or ready for its intended use.</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useful lives of property and equipment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7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4200" w:type="dxa"/>
            <w:vAlign w:val="bottom"/>
            <w:tcBorders>
              <w:bottom w:val="single" w:sz="8" w:color="CCEEFF"/>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25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7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5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7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6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7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 years</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Shorter of the useful life of the asset or the remaining term of the lease</w:t>
            </w:r>
          </w:p>
        </w:tc>
      </w:tr>
    </w:tbl>
    <w:p>
      <w:pPr>
        <w:spacing w:after="0" w:line="19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Significant additions or improvements extending asset lives beyond one year are capitalized, while repairs and maintenance are charged to expense as incurred. The assets and related accumulated depreciation and amortization are adjusted for asset retirements and disposals with the resulting gain or loss included in our consolidated statements of comprehensive income.</w:t>
      </w:r>
    </w:p>
    <w:p>
      <w:pPr>
        <w:spacing w:after="0" w:line="6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We capitalize and amortize eligible costs to acquire or generate internally developed software that are incurred during the application development stage, which include costs related to the design of the chosen path, coding, installation of the hardware necessary to run the software, and any testing done before the operational stage. Costs incurred during the preliminary project stage and post-implementation stage are expensed as incurred. Additionally, maintenance of internally developed software is expensed as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with initial terms longer than 12 months are included in operating lease right-of-use assets, current operating lease liabilities, and non-current operating lease liabilities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122555</wp:posOffset>
            </wp:positionV>
            <wp:extent cx="240030" cy="2311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46</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Right-of-use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implicit interest rate when readily determinable. We estimate the discount rate for a similar collateralized asset by estimating costs of borrowing. The operating lease ROU asset also includes any lease payments made and lease incentives that have been incurred. The options to extend our leases are not recognized as part of our ROU assets and lease liabilities unless it is reasonably certain that we will exercise that option. Lease expense for lease payments is recognized on a straight-line basis over the lease term. For all leases, we combine non-lease components with the related lease components and account for it as a single lease component. The ROU assets are subject to the same impairment process as our long-lived assets. Additionally, we review our lease liabilities for remeasurement whenever there is a triggering event or when relevant facts and circumstances change.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costs primarily include development, maintenance, and data conversion activities related to our cloud-based supply chain management products and are expensed as incurred. Research and development costs are net of amounts capitalized as internally developed software.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identifiable net assets acquired in business combinations. Goodwill is attributed to a trained workforce and other buyer-specific value resulting from expected synergies, including long-term cost savings, which are not included in the fair values of identifiable assets.</w:t>
      </w:r>
    </w:p>
    <w:p>
      <w:pPr>
        <w:spacing w:after="0" w:line="68"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We test goodwill for impairment annually at November 30, or more frequently if events or changes in circumstances indicate that the asset might be impaired. The impairment test is conducted by comparing the fair value of the net assets with the carrying amount of the reporting unit. We determine the fair value of our single reporting unit based on our market capitalization at the testing date. If the carrying amount exceeds the fair value of the reporting unit, we would recognize an impairment loss in the consolidated statements of comprehensive income, to the extent that the carrying amount exceeds fair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Assets acquired in business combinations may include identifiable intangible assets such as subscriber relationships and developed technology. We recognize the fair value of the identifiable intangible assets acquired separately from goodwill. We have determined the fair value and useful lives of our purchased intangible assets using certain estimates and assumptions that we believe are reasonable. The purchased intangible assets are being amortized on a straight-line basis over their estimated useful lives.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useful lives for intangible assets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5620" w:type="dxa"/>
            <w:vAlign w:val="bottom"/>
            <w:tcBorders>
              <w:bottom w:val="single" w:sz="8" w:color="CFF0FC"/>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50"/>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56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7-10 years</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5-10 years</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review our long-lived assets for impairment whenever events or changes in circumstances indicate that the carrying amount may not be recoverable. The carrying amount of a long-lived asset is not recoverable if the carrying amount of an asset group exceeds the sum of the undiscounted cash flows expected to result from the use and eventual disposition of the assets at the date it is tested for recoverability, whether in use or under development. An impairment loss is measured and recorded as an expense in the consolidated statements of comprehensive income as the amount by which the carrying amount of a long-lived asset exceeds its fair value.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Revenues are the amount that reflects the consideration we are contractually and legally entitled to, as well as the amount we expect to collect, in exchange for those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122555</wp:posOffset>
            </wp:positionV>
            <wp:extent cx="240030" cy="231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47</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39" w:lineRule="exact"/>
        <w:rPr>
          <w:sz w:val="20"/>
          <w:szCs w:val="20"/>
          <w:color w:val="auto"/>
        </w:rPr>
      </w:pPr>
    </w:p>
    <w:p>
      <w:pPr>
        <w:ind w:left="980" w:hanging="486"/>
        <w:spacing w:after="0"/>
        <w:tabs>
          <w:tab w:leader="none" w:pos="98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Identification of the contract, or contracts, with a customer</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Determination of the transaction price</w:t>
      </w:r>
    </w:p>
    <w:p>
      <w:pPr>
        <w:spacing w:after="0" w:line="125" w:lineRule="exact"/>
        <w:rPr>
          <w:rFonts w:ascii="Arial" w:cs="Arial" w:eastAsia="Arial" w:hAnsi="Arial"/>
          <w:sz w:val="22"/>
          <w:szCs w:val="22"/>
          <w:color w:val="auto"/>
        </w:rPr>
      </w:pPr>
    </w:p>
    <w:p>
      <w:pPr>
        <w:ind w:left="980" w:hanging="486"/>
        <w:spacing w:after="0"/>
        <w:tabs>
          <w:tab w:leader="none" w:pos="98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11" w:lineRule="exact"/>
        <w:rPr>
          <w:rFonts w:ascii="Arial" w:cs="Arial" w:eastAsia="Arial" w:hAnsi="Arial"/>
          <w:sz w:val="22"/>
          <w:szCs w:val="22"/>
          <w:color w:val="auto"/>
        </w:rPr>
      </w:pPr>
    </w:p>
    <w:p>
      <w:pPr>
        <w:ind w:left="980" w:hanging="486"/>
        <w:spacing w:after="0"/>
        <w:tabs>
          <w:tab w:leader="none" w:pos="98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C for further descriptions of our revenue recognition policy.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Costs</w:t>
      </w:r>
    </w:p>
    <w:p>
      <w:pPr>
        <w:spacing w:after="0" w:line="121"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Deferred costs are those that are incurred to fulfill or obtain customer contracts and that are considered incremental and recoverable costs. These consist primarily of customer implementation costs and certain commissions paid to sales personnel and referral partners, respectively, at contract inception. These costs are deferred and amortized over the expected period of benefit which we have determined primarily to be two years.</w:t>
      </w:r>
    </w:p>
    <w:p>
      <w:pPr>
        <w:spacing w:after="0" w:line="68" w:lineRule="exact"/>
        <w:rPr>
          <w:sz w:val="20"/>
          <w:szCs w:val="20"/>
          <w:color w:val="auto"/>
        </w:rPr>
      </w:pPr>
    </w:p>
    <w:p>
      <w:pPr>
        <w:ind w:right="140" w:firstLine="486"/>
        <w:spacing w:after="0" w:line="313" w:lineRule="auto"/>
        <w:rPr>
          <w:sz w:val="20"/>
          <w:szCs w:val="20"/>
          <w:color w:val="auto"/>
        </w:rPr>
      </w:pPr>
      <w:r>
        <w:rPr>
          <w:rFonts w:ascii="Times New Roman" w:cs="Times New Roman" w:eastAsia="Times New Roman" w:hAnsi="Times New Roman"/>
          <w:sz w:val="18"/>
          <w:szCs w:val="18"/>
          <w:color w:val="auto"/>
        </w:rPr>
        <w:t>Customer implementation costs are based on actual costs incurred. Related amortization expense is included in cost of revenues in the consolidated statements of comprehensive income.</w:t>
      </w:r>
    </w:p>
    <w:p>
      <w:pPr>
        <w:spacing w:after="0" w:line="27"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Sales commissions are calculated based on estimated annual recurring revenue to be generated over the customer’s initial contract period. Related amortization expense is included in sales and marketing expenses in the consolidated statements of comprehensive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Stock-based compensation includes grants of incentive and nonqualified stock options, performance share units (“PSUs”), restricted stock awards (“RSAs”), restricted stock units (“RSUs”), deferred stock units (“DSUs”), employee stock purchase plan (“ESPP”) activity, and 401(k) stock match and is used to compensate employees, executive officers, and non-employee directors.</w:t>
      </w:r>
    </w:p>
    <w:p>
      <w:pPr>
        <w:spacing w:after="0" w:line="68"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We recognize the cost of all stock-based payments based on the grant date fair value of those awards. This cost is recognized over the period for which an employee is required to provide service in exchange for the award or the award performance period, except for expenses relating to retirement-eligible employees that have not given their required notice, which is recognized on a pro-rata basis over the notice period prior to retirement. For all awards, we recognize forfeitures as they occur.</w:t>
      </w:r>
    </w:p>
    <w:p>
      <w:pPr>
        <w:spacing w:after="0" w:line="7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RSAs result in the issuance of new shares of common stock when granted. For other stock-based awards, new shares of common stock are issued when the award is exercised, vested, or released according to the terms of the agreement.</w:t>
      </w:r>
    </w:p>
    <w:p>
      <w:pPr>
        <w:spacing w:after="0" w:line="5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ESPP allows participating employees to purchase shares of our common stock at a discount through payroll deductions. The plan is available to all employees subject to certain eligibility requirements. Participating employees may purchase common stock, on a voluntary after-tax basis, at a price that is the lower of 85% of the fair market value of our common stock at the beginning or end of each stock purchase period. The plan is a Type B plan, so the number of shares a participants can acquire is variable. Participants purchase more shares as the stock price decreases, up to the total amount originally elected to withhold at the beginning of the offering period. The plan consists of two six-month offering periods, beginning on January 1 and July 1 of each calendar year.</w:t>
      </w:r>
    </w:p>
    <w:p>
      <w:pPr>
        <w:spacing w:after="0" w:line="7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fair value of stock options and ESPP activity is estimated using the Black-Scholes option valuation model. The fair value for RSAs, RSUs, and DSUs is the closing market value of the underlying stock on the date of grant less the purchase price (if any). The fair value of PSUs is estimated using a Monte Carlo simulation.</w:t>
      </w:r>
    </w:p>
    <w:p>
      <w:pPr>
        <w:spacing w:after="0" w:line="68"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Judgment is required in determining the expected volatility of common stock and the expected term individuals will hold their share-based awards prior to exercising. The expected volatility of the options is based on the historical volatility of our common stock. The expected term of the options is derived from historical data on option holder exercises and post-vesting employment termination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132080</wp:posOffset>
            </wp:positionV>
            <wp:extent cx="240030" cy="231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48</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Additional valuation inputs include our expected non-issuance of future common stock dividends and the risk-free interest rate that is based on the U.S. Treasury rates at the date of grant with maturity dates approximately equaling the expected life at the grant date. For PSUs, the Monte Carlo simulation utilizes multiple input variables that determine the probability of satisfying the performance conditions stipulated in the award.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 and Reissuances</w:t>
      </w:r>
    </w:p>
    <w:p>
      <w:pPr>
        <w:spacing w:after="0" w:line="121"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212529"/>
        </w:rPr>
        <w:t xml:space="preserve">Share repurchases, reflected as treasury stock on the consolidated balance sheets, are accounted for as the trade date occurs and are reflected net of the costs incurred to acquire the shares. Share repurchases that have not yet settled in cash are included </w:t>
      </w:r>
      <w:r>
        <w:rPr>
          <w:rFonts w:ascii="Times New Roman" w:cs="Times New Roman" w:eastAsia="Times New Roman" w:hAnsi="Times New Roman"/>
          <w:sz w:val="18"/>
          <w:szCs w:val="18"/>
          <w:color w:val="000000"/>
        </w:rPr>
        <w:t>in accrued expenses in the consolidated balance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sheets. </w:t>
      </w:r>
      <w:r>
        <w:rPr>
          <w:rFonts w:ascii="Times New Roman" w:cs="Times New Roman" w:eastAsia="Times New Roman" w:hAnsi="Times New Roman"/>
          <w:sz w:val="18"/>
          <w:szCs w:val="18"/>
          <w:color w:val="212529"/>
        </w:rPr>
        <w:t>Treasury stock reissuances are accounted for using the specific identification method, with gains (or losses to the extent of previously recognized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gains) recognized in additional paid-in capital and any remaining loss recorded in retained earnings in the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which requires recognition of deferred tax assets and liabilities for the expected future tax consequences of events that have been included in the consolidated financial statements. Under this method, deferred tax assets and liabilities are determined based on the difference between the financial statement and tax basis of assets and liabilities using enacted tax rates in effect for the year in which the differences are expected to reverse. Deferred tax positions are reduced by a valuation allowance when, in our judgment, it is more likely than not that some or all of the deferred tax assets will not be realized. Deferred tax positions are net by jurisdiction on the consolidated balance sheet.</w:t>
      </w:r>
    </w:p>
    <w:p>
      <w:pPr>
        <w:spacing w:after="0" w:line="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assess our ability to realize our deferred tax assets at the end of each reporting period. Realization of our deferred tax assets is contingent upon future taxable earnings. Accordingly, this assessment requires estimates and judgment. If the estimates of future taxable income vary from actual results, our assessment regarding the realization of these deferred tax assets could change. Future changes in the estimated amount of deferred taxes expected to be realized will be reflected in our consolidated financial statements in the period the estimate is changed, with a corresponding adjustment to our operating results.</w:t>
      </w:r>
    </w:p>
    <w:p>
      <w:pPr>
        <w:spacing w:after="0" w:line="75"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We recognize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w:t>
      </w:r>
    </w:p>
    <w:p>
      <w:pPr>
        <w:spacing w:after="0" w:line="6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subject to income taxes for U.S. federal and various state and international jurisdictions. We are generally subject to U.S. federal and state tax examinations for most prior tax years due to our net operating loss and research &amp; development credit carryforwards and the utilization of the carryforwards in years still open under statute. The deferred tax asset for the federal net operating loss carryforward is reported net of the Section 382 limitations.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When applicable, the Company recognizes interest and penalties accrued on any unrecognized tax benefits as a component of income tax expense.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Share</w:t>
      </w:r>
    </w:p>
    <w:p>
      <w:pPr>
        <w:spacing w:after="0" w:line="121" w:lineRule="exact"/>
        <w:rPr>
          <w:sz w:val="20"/>
          <w:szCs w:val="20"/>
          <w:color w:val="auto"/>
        </w:rPr>
      </w:pPr>
    </w:p>
    <w:p>
      <w:pPr>
        <w:jc w:val="both"/>
        <w:ind w:right="480" w:firstLine="486"/>
        <w:spacing w:after="0" w:line="266" w:lineRule="auto"/>
        <w:rPr>
          <w:sz w:val="20"/>
          <w:szCs w:val="20"/>
          <w:color w:val="auto"/>
        </w:rPr>
      </w:pPr>
      <w:r>
        <w:rPr>
          <w:rFonts w:ascii="Times New Roman" w:cs="Times New Roman" w:eastAsia="Times New Roman" w:hAnsi="Times New Roman"/>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Potential common shares that are anti-dilutive are excluded from the calculation of diluted net income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2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on the Financial Statements</w:t>
            </w:r>
          </w:p>
        </w:tc>
      </w:tr>
      <w:tr>
        <w:trPr>
          <w:trHeight w:val="23"/>
        </w:trPr>
        <w:tc>
          <w:tcPr>
            <w:tcW w:w="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r>
      <w:tr>
        <w:trPr>
          <w:trHeight w:val="169"/>
        </w:trPr>
        <w:tc>
          <w:tcPr>
            <w:tcW w:w="40" w:type="dxa"/>
            <w:vAlign w:val="bottom"/>
          </w:tcPr>
          <w:p>
            <w:pPr>
              <w:spacing w:after="0"/>
              <w:rPr>
                <w:sz w:val="14"/>
                <w:szCs w:val="14"/>
                <w:color w:val="auto"/>
              </w:rPr>
            </w:pPr>
          </w:p>
        </w:tc>
        <w:tc>
          <w:tcPr>
            <w:tcW w:w="23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ASU 2023-07</w:t>
            </w:r>
            <w:r>
              <w:rPr>
                <w:rFonts w:ascii="Times New Roman" w:cs="Times New Roman" w:eastAsia="Times New Roman" w:hAnsi="Times New Roman"/>
                <w:sz w:val="18"/>
                <w:szCs w:val="18"/>
                <w:color w:val="auto"/>
                <w:w w:val="99"/>
              </w:rPr>
              <w:t>, Segment</w:t>
            </w:r>
          </w:p>
        </w:tc>
        <w:tc>
          <w:tcPr>
            <w:tcW w:w="12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November</w:t>
            </w:r>
          </w:p>
        </w:tc>
        <w:tc>
          <w:tcPr>
            <w:tcW w:w="336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This amendment requires that an entity</w:t>
            </w:r>
          </w:p>
        </w:tc>
        <w:tc>
          <w:tcPr>
            <w:tcW w:w="1400" w:type="dxa"/>
            <w:vAlign w:val="bottom"/>
            <w:tcBorders>
              <w:top w:val="single" w:sz="8" w:color="auto"/>
            </w:tcBorders>
            <w:shd w:val="clear" w:color="auto" w:fill="CCEEFF"/>
          </w:tcPr>
          <w:p>
            <w:pPr>
              <w:jc w:val="right"/>
              <w:ind w:right="445"/>
              <w:spacing w:after="0" w:line="169" w:lineRule="exact"/>
              <w:rPr>
                <w:sz w:val="20"/>
                <w:szCs w:val="20"/>
                <w:color w:val="auto"/>
              </w:rPr>
            </w:pPr>
            <w:r>
              <w:rPr>
                <w:rFonts w:ascii="Times New Roman" w:cs="Times New Roman" w:eastAsia="Times New Roman" w:hAnsi="Times New Roman"/>
                <w:sz w:val="18"/>
                <w:szCs w:val="18"/>
                <w:color w:val="auto"/>
              </w:rPr>
              <w:t>2024</w:t>
            </w:r>
          </w:p>
        </w:tc>
        <w:tc>
          <w:tcPr>
            <w:tcW w:w="28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The adoption resulted in additional</w:t>
            </w:r>
          </w:p>
        </w:tc>
        <w:tc>
          <w:tcPr>
            <w:tcW w:w="20" w:type="dxa"/>
            <w:vAlign w:val="bottom"/>
          </w:tcPr>
          <w:p>
            <w:pPr>
              <w:spacing w:after="0"/>
              <w:rPr>
                <w:sz w:val="14"/>
                <w:szCs w:val="14"/>
                <w:color w:val="auto"/>
              </w:rPr>
            </w:pPr>
          </w:p>
        </w:tc>
      </w:tr>
      <w:tr>
        <w:trPr>
          <w:trHeight w:val="184"/>
        </w:trPr>
        <w:tc>
          <w:tcPr>
            <w:tcW w:w="40" w:type="dxa"/>
            <w:vAlign w:val="bottom"/>
          </w:tcPr>
          <w:p>
            <w:pPr>
              <w:spacing w:after="0"/>
              <w:rPr>
                <w:sz w:val="16"/>
                <w:szCs w:val="16"/>
                <w:color w:val="auto"/>
              </w:rPr>
            </w:pPr>
          </w:p>
        </w:tc>
        <w:tc>
          <w:tcPr>
            <w:tcW w:w="23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Reporting (Topic 280) -</w:t>
            </w:r>
          </w:p>
        </w:tc>
        <w:tc>
          <w:tcPr>
            <w:tcW w:w="12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2023</w:t>
            </w:r>
          </w:p>
        </w:tc>
        <w:tc>
          <w:tcPr>
            <w:tcW w:w="33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disclose significant segment expenses</w:t>
            </w:r>
          </w:p>
        </w:tc>
        <w:tc>
          <w:tcPr>
            <w:tcW w:w="1400" w:type="dxa"/>
            <w:vAlign w:val="bottom"/>
            <w:shd w:val="clear" w:color="auto" w:fill="CCEEFF"/>
          </w:tcPr>
          <w:p>
            <w:pPr>
              <w:spacing w:after="0"/>
              <w:rPr>
                <w:sz w:val="16"/>
                <w:szCs w:val="16"/>
                <w:color w:val="auto"/>
              </w:rPr>
            </w:pPr>
          </w:p>
        </w:tc>
        <w:tc>
          <w:tcPr>
            <w:tcW w:w="28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disclosure.</w:t>
            </w:r>
          </w:p>
        </w:tc>
        <w:tc>
          <w:tcPr>
            <w:tcW w:w="2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236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Improvements to Reportable</w:t>
            </w:r>
          </w:p>
        </w:tc>
        <w:tc>
          <w:tcPr>
            <w:tcW w:w="1240" w:type="dxa"/>
            <w:vAlign w:val="bottom"/>
            <w:shd w:val="clear" w:color="auto" w:fill="CCEEFF"/>
          </w:tcPr>
          <w:p>
            <w:pPr>
              <w:spacing w:after="0"/>
              <w:rPr>
                <w:sz w:val="15"/>
                <w:szCs w:val="15"/>
                <w:color w:val="auto"/>
              </w:rPr>
            </w:pPr>
          </w:p>
        </w:tc>
        <w:tc>
          <w:tcPr>
            <w:tcW w:w="336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impacting profit and loss that are regularly</w:t>
            </w:r>
          </w:p>
        </w:tc>
        <w:tc>
          <w:tcPr>
            <w:tcW w:w="140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2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Segment Disclosures</w:t>
            </w:r>
          </w:p>
        </w:tc>
        <w:tc>
          <w:tcPr>
            <w:tcW w:w="1240" w:type="dxa"/>
            <w:vAlign w:val="bottom"/>
            <w:shd w:val="clear" w:color="auto" w:fill="CCEEFF"/>
          </w:tcPr>
          <w:p>
            <w:pPr>
              <w:spacing w:after="0"/>
              <w:rPr>
                <w:sz w:val="15"/>
                <w:szCs w:val="15"/>
                <w:color w:val="auto"/>
              </w:rPr>
            </w:pPr>
          </w:p>
        </w:tc>
        <w:tc>
          <w:tcPr>
            <w:tcW w:w="33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provided to the chief operating decision</w:t>
            </w:r>
          </w:p>
        </w:tc>
        <w:tc>
          <w:tcPr>
            <w:tcW w:w="140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maker.</w:t>
            </w:r>
          </w:p>
        </w:tc>
        <w:tc>
          <w:tcPr>
            <w:tcW w:w="140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794"/>
        </w:trPr>
        <w:tc>
          <w:tcPr>
            <w:tcW w:w="40" w:type="dxa"/>
            <w:vAlign w:val="bottom"/>
          </w:tcPr>
          <w:p>
            <w:pPr>
              <w:spacing w:after="0"/>
              <w:rPr>
                <w:sz w:val="24"/>
                <w:szCs w:val="24"/>
                <w:color w:val="auto"/>
              </w:rPr>
            </w:pPr>
          </w:p>
        </w:tc>
        <w:tc>
          <w:tcPr>
            <w:tcW w:w="236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SPS COMMERCE, INC.</w:t>
            </w:r>
          </w:p>
        </w:tc>
        <w:tc>
          <w:tcPr>
            <w:tcW w:w="124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424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Form 10-K for the Annual Period ended December 31, 2024</w:t>
            </w:r>
          </w:p>
        </w:tc>
      </w:tr>
      <w:tr>
        <w:trPr>
          <w:trHeight w:val="226"/>
        </w:trPr>
        <w:tc>
          <w:tcPr>
            <w:tcW w:w="40" w:type="dxa"/>
            <w:vAlign w:val="bottom"/>
            <w:tcBorders>
              <w:bottom w:val="single" w:sz="8" w:color="9A9A9A"/>
            </w:tcBorders>
          </w:tcPr>
          <w:p>
            <w:pPr>
              <w:spacing w:after="0"/>
              <w:rPr>
                <w:sz w:val="19"/>
                <w:szCs w:val="19"/>
                <w:color w:val="auto"/>
              </w:rPr>
            </w:pPr>
          </w:p>
        </w:tc>
        <w:tc>
          <w:tcPr>
            <w:tcW w:w="236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336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28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-454025</wp:posOffset>
            </wp:positionV>
            <wp:extent cx="240030" cy="2317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Required</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Adoption</w:t>
            </w:r>
          </w:p>
        </w:tc>
        <w:tc>
          <w:tcPr>
            <w:tcW w:w="290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Effect on the Financial Statements</w:t>
            </w:r>
          </w:p>
        </w:tc>
        <w:tc>
          <w:tcPr>
            <w:tcW w:w="0" w:type="dxa"/>
            <w:vAlign w:val="bottom"/>
          </w:tcPr>
          <w:p>
            <w:pPr>
              <w:spacing w:after="0"/>
              <w:rPr>
                <w:sz w:val="1"/>
                <w:szCs w:val="1"/>
                <w:color w:val="auto"/>
              </w:rPr>
            </w:pPr>
          </w:p>
        </w:tc>
      </w:tr>
      <w:tr>
        <w:trPr>
          <w:trHeight w:val="23"/>
        </w:trPr>
        <w:tc>
          <w:tcPr>
            <w:tcW w:w="2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0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ASU 2023-09</w:t>
            </w:r>
            <w:r>
              <w:rPr>
                <w:rFonts w:ascii="Times New Roman" w:cs="Times New Roman" w:eastAsia="Times New Roman" w:hAnsi="Times New Roman"/>
                <w:sz w:val="18"/>
                <w:szCs w:val="18"/>
                <w:color w:val="auto"/>
                <w:w w:val="99"/>
              </w:rPr>
              <w:t>, Income Taxes</w:t>
            </w:r>
          </w:p>
        </w:tc>
        <w:tc>
          <w:tcPr>
            <w:tcW w:w="114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December</w:t>
            </w:r>
          </w:p>
        </w:tc>
        <w:tc>
          <w:tcPr>
            <w:tcW w:w="348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This amendment requires that an entity</w:t>
            </w:r>
          </w:p>
        </w:tc>
        <w:tc>
          <w:tcPr>
            <w:tcW w:w="1320" w:type="dxa"/>
            <w:vAlign w:val="bottom"/>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2025</w:t>
            </w:r>
          </w:p>
        </w:tc>
        <w:tc>
          <w:tcPr>
            <w:tcW w:w="2900" w:type="dxa"/>
            <w:vAlign w:val="bottom"/>
            <w:shd w:val="clear" w:color="auto" w:fill="CCEEFF"/>
          </w:tcPr>
          <w:p>
            <w:pPr>
              <w:jc w:val="center"/>
              <w:ind w:left="12"/>
              <w:spacing w:after="0" w:line="205" w:lineRule="exact"/>
              <w:rPr>
                <w:sz w:val="20"/>
                <w:szCs w:val="20"/>
                <w:color w:val="auto"/>
              </w:rPr>
            </w:pPr>
            <w:r>
              <w:rPr>
                <w:rFonts w:ascii="Times New Roman" w:cs="Times New Roman" w:eastAsia="Times New Roman" w:hAnsi="Times New Roman"/>
                <w:sz w:val="18"/>
                <w:szCs w:val="18"/>
                <w:color w:val="auto"/>
                <w:w w:val="98"/>
              </w:rPr>
              <w:t>We are currently evaluating the</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(Topic 740) - Improvements to</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disclose specific categories in the effective</w:t>
            </w:r>
          </w:p>
        </w:tc>
        <w:tc>
          <w:tcPr>
            <w:tcW w:w="1320" w:type="dxa"/>
            <w:vAlign w:val="bottom"/>
            <w:shd w:val="clear" w:color="auto" w:fill="CCEEFF"/>
          </w:tcPr>
          <w:p>
            <w:pPr>
              <w:spacing w:after="0"/>
              <w:rPr>
                <w:sz w:val="18"/>
                <w:szCs w:val="18"/>
                <w:color w:val="auto"/>
              </w:rPr>
            </w:pPr>
          </w:p>
        </w:tc>
        <w:tc>
          <w:tcPr>
            <w:tcW w:w="290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adoption on our financial statements</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Income Tax Disclosures</w:t>
            </w:r>
          </w:p>
        </w:tc>
        <w:tc>
          <w:tcPr>
            <w:tcW w:w="1140" w:type="dxa"/>
            <w:vAlign w:val="bottom"/>
            <w:shd w:val="clear" w:color="auto" w:fill="CCEEFF"/>
          </w:tcPr>
          <w:p>
            <w:pPr>
              <w:spacing w:after="0"/>
              <w:rPr>
                <w:sz w:val="17"/>
                <w:szCs w:val="17"/>
                <w:color w:val="auto"/>
              </w:rPr>
            </w:pPr>
          </w:p>
        </w:tc>
        <w:tc>
          <w:tcPr>
            <w:tcW w:w="34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tax rate reconciliation table as well as provide</w:t>
            </w:r>
          </w:p>
        </w:tc>
        <w:tc>
          <w:tcPr>
            <w:tcW w:w="1320" w:type="dxa"/>
            <w:vAlign w:val="bottom"/>
            <w:shd w:val="clear" w:color="auto" w:fill="CCEEFF"/>
          </w:tcPr>
          <w:p>
            <w:pPr>
              <w:spacing w:after="0"/>
              <w:rPr>
                <w:sz w:val="17"/>
                <w:szCs w:val="17"/>
                <w:color w:val="auto"/>
              </w:rPr>
            </w:pPr>
          </w:p>
        </w:tc>
        <w:tc>
          <w:tcPr>
            <w:tcW w:w="2900" w:type="dxa"/>
            <w:vAlign w:val="bottom"/>
            <w:shd w:val="clear" w:color="auto" w:fill="CCEEFF"/>
          </w:tcPr>
          <w:p>
            <w:pPr>
              <w:jc w:val="center"/>
              <w:ind w:left="12"/>
              <w:spacing w:after="0" w:line="202" w:lineRule="exact"/>
              <w:rPr>
                <w:sz w:val="20"/>
                <w:szCs w:val="20"/>
                <w:color w:val="auto"/>
              </w:rPr>
            </w:pPr>
            <w:r>
              <w:rPr>
                <w:rFonts w:ascii="Times New Roman" w:cs="Times New Roman" w:eastAsia="Times New Roman" w:hAnsi="Times New Roman"/>
                <w:sz w:val="18"/>
                <w:szCs w:val="18"/>
                <w:color w:val="auto"/>
                <w:w w:val="99"/>
              </w:rPr>
              <w:t>and anticipate the impact will result in</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disclosure of disaggregated information</w:t>
            </w:r>
          </w:p>
        </w:tc>
        <w:tc>
          <w:tcPr>
            <w:tcW w:w="1320" w:type="dxa"/>
            <w:vAlign w:val="bottom"/>
            <w:shd w:val="clear" w:color="auto" w:fill="CCEEFF"/>
          </w:tcPr>
          <w:p>
            <w:pPr>
              <w:spacing w:after="0"/>
              <w:rPr>
                <w:sz w:val="17"/>
                <w:szCs w:val="17"/>
                <w:color w:val="auto"/>
              </w:rPr>
            </w:pPr>
          </w:p>
        </w:tc>
        <w:tc>
          <w:tcPr>
            <w:tcW w:w="2900" w:type="dxa"/>
            <w:vAlign w:val="bottom"/>
            <w:shd w:val="clear" w:color="auto" w:fill="CCEEFF"/>
          </w:tcPr>
          <w:p>
            <w:pPr>
              <w:jc w:val="center"/>
              <w:ind w:left="32"/>
              <w:spacing w:after="0" w:line="202" w:lineRule="exact"/>
              <w:rPr>
                <w:sz w:val="20"/>
                <w:szCs w:val="20"/>
                <w:color w:val="auto"/>
              </w:rPr>
            </w:pPr>
            <w:r>
              <w:rPr>
                <w:rFonts w:ascii="Times New Roman" w:cs="Times New Roman" w:eastAsia="Times New Roman" w:hAnsi="Times New Roman"/>
                <w:sz w:val="18"/>
                <w:szCs w:val="18"/>
                <w:color w:val="auto"/>
                <w:w w:val="99"/>
              </w:rPr>
              <w:t>additional disclosure.</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related to income tax expense, income before</w:t>
            </w:r>
          </w:p>
        </w:tc>
        <w:tc>
          <w:tcPr>
            <w:tcW w:w="132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income taxes, and income taxes paid.</w:t>
            </w:r>
          </w:p>
        </w:tc>
        <w:tc>
          <w:tcPr>
            <w:tcW w:w="13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ASU 2024-03</w:t>
            </w:r>
            <w:r>
              <w:rPr>
                <w:rFonts w:ascii="Times New Roman" w:cs="Times New Roman" w:eastAsia="Times New Roman" w:hAnsi="Times New Roman"/>
                <w:sz w:val="18"/>
                <w:szCs w:val="18"/>
                <w:color w:val="auto"/>
              </w:rPr>
              <w:t>, Income</w:t>
            </w:r>
          </w:p>
        </w:tc>
        <w:tc>
          <w:tcPr>
            <w:tcW w:w="1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November</w:t>
            </w:r>
          </w:p>
        </w:tc>
        <w:tc>
          <w:tcPr>
            <w:tcW w:w="3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This amendment requires that an entity</w:t>
            </w:r>
          </w:p>
        </w:tc>
        <w:tc>
          <w:tcPr>
            <w:tcW w:w="13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2027</w:t>
            </w:r>
          </w:p>
        </w:tc>
        <w:tc>
          <w:tcPr>
            <w:tcW w:w="2900" w:type="dxa"/>
            <w:vAlign w:val="bottom"/>
          </w:tcPr>
          <w:p>
            <w:pPr>
              <w:jc w:val="center"/>
              <w:ind w:left="12"/>
              <w:spacing w:after="0" w:line="189" w:lineRule="exact"/>
              <w:rPr>
                <w:sz w:val="20"/>
                <w:szCs w:val="20"/>
                <w:color w:val="auto"/>
              </w:rPr>
            </w:pPr>
            <w:r>
              <w:rPr>
                <w:rFonts w:ascii="Times New Roman" w:cs="Times New Roman" w:eastAsia="Times New Roman" w:hAnsi="Times New Roman"/>
                <w:sz w:val="18"/>
                <w:szCs w:val="18"/>
                <w:color w:val="auto"/>
                <w:w w:val="98"/>
              </w:rPr>
              <w:t>We are currently evaluating the</w:t>
            </w:r>
          </w:p>
        </w:tc>
        <w:tc>
          <w:tcPr>
            <w:tcW w:w="0" w:type="dxa"/>
            <w:vAlign w:val="bottom"/>
          </w:tcPr>
          <w:p>
            <w:pPr>
              <w:spacing w:after="0"/>
              <w:rPr>
                <w:sz w:val="1"/>
                <w:szCs w:val="1"/>
                <w:color w:val="auto"/>
              </w:rPr>
            </w:pPr>
          </w:p>
        </w:tc>
      </w:tr>
      <w:tr>
        <w:trPr>
          <w:trHeight w:val="203"/>
        </w:trPr>
        <w:tc>
          <w:tcPr>
            <w:tcW w:w="24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Statement - Reporting</w:t>
            </w:r>
          </w:p>
        </w:tc>
        <w:tc>
          <w:tcPr>
            <w:tcW w:w="11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2024</w:t>
            </w:r>
          </w:p>
        </w:tc>
        <w:tc>
          <w:tcPr>
            <w:tcW w:w="34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disclose in its notes to financial statements</w:t>
            </w:r>
          </w:p>
        </w:tc>
        <w:tc>
          <w:tcPr>
            <w:tcW w:w="1320" w:type="dxa"/>
            <w:vAlign w:val="bottom"/>
          </w:tcPr>
          <w:p>
            <w:pPr>
              <w:spacing w:after="0"/>
              <w:rPr>
                <w:sz w:val="17"/>
                <w:szCs w:val="17"/>
                <w:color w:val="auto"/>
              </w:rPr>
            </w:pPr>
          </w:p>
        </w:tc>
        <w:tc>
          <w:tcPr>
            <w:tcW w:w="2900" w:type="dxa"/>
            <w:vAlign w:val="bottom"/>
          </w:tcPr>
          <w:p>
            <w:pPr>
              <w:jc w:val="center"/>
              <w:ind w:left="32"/>
              <w:spacing w:after="0" w:line="202" w:lineRule="exact"/>
              <w:rPr>
                <w:sz w:val="20"/>
                <w:szCs w:val="20"/>
                <w:color w:val="auto"/>
              </w:rPr>
            </w:pPr>
            <w:r>
              <w:rPr>
                <w:rFonts w:ascii="Times New Roman" w:cs="Times New Roman" w:eastAsia="Times New Roman" w:hAnsi="Times New Roman"/>
                <w:sz w:val="18"/>
                <w:szCs w:val="18"/>
                <w:color w:val="auto"/>
                <w:w w:val="99"/>
              </w:rPr>
              <w:t>adoption on our financial statements</w:t>
            </w:r>
          </w:p>
        </w:tc>
        <w:tc>
          <w:tcPr>
            <w:tcW w:w="0" w:type="dxa"/>
            <w:vAlign w:val="bottom"/>
          </w:tcPr>
          <w:p>
            <w:pPr>
              <w:spacing w:after="0"/>
              <w:rPr>
                <w:sz w:val="1"/>
                <w:szCs w:val="1"/>
                <w:color w:val="auto"/>
              </w:rPr>
            </w:pPr>
          </w:p>
        </w:tc>
      </w:tr>
      <w:tr>
        <w:trPr>
          <w:trHeight w:val="148"/>
        </w:trPr>
        <w:tc>
          <w:tcPr>
            <w:tcW w:w="240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Comprehensive Income -</w:t>
            </w:r>
          </w:p>
        </w:tc>
        <w:tc>
          <w:tcPr>
            <w:tcW w:w="1140" w:type="dxa"/>
            <w:vAlign w:val="bottom"/>
          </w:tcPr>
          <w:p>
            <w:pPr>
              <w:spacing w:after="0"/>
              <w:rPr>
                <w:sz w:val="12"/>
                <w:szCs w:val="12"/>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specified information about certain costs and</w:t>
            </w:r>
          </w:p>
        </w:tc>
        <w:tc>
          <w:tcPr>
            <w:tcW w:w="1320" w:type="dxa"/>
            <w:vAlign w:val="bottom"/>
          </w:tcPr>
          <w:p>
            <w:pPr>
              <w:spacing w:after="0"/>
              <w:rPr>
                <w:sz w:val="12"/>
                <w:szCs w:val="12"/>
                <w:color w:val="auto"/>
              </w:rPr>
            </w:pPr>
          </w:p>
        </w:tc>
        <w:tc>
          <w:tcPr>
            <w:tcW w:w="290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color w:val="auto"/>
                <w:w w:val="99"/>
              </w:rPr>
              <w:t>and anticipate the impact will result in</w:t>
            </w:r>
          </w:p>
        </w:tc>
        <w:tc>
          <w:tcPr>
            <w:tcW w:w="0" w:type="dxa"/>
            <w:vAlign w:val="bottom"/>
          </w:tcPr>
          <w:p>
            <w:pPr>
              <w:spacing w:after="0"/>
              <w:rPr>
                <w:sz w:val="1"/>
                <w:szCs w:val="1"/>
                <w:color w:val="auto"/>
              </w:rPr>
            </w:pPr>
          </w:p>
        </w:tc>
      </w:tr>
      <w:tr>
        <w:trPr>
          <w:trHeight w:val="90"/>
        </w:trPr>
        <w:tc>
          <w:tcPr>
            <w:tcW w:w="240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rPr>
              <w:t>Expense Disaggregation</w:t>
            </w:r>
          </w:p>
        </w:tc>
        <w:tc>
          <w:tcPr>
            <w:tcW w:w="114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4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expenses.</w:t>
            </w:r>
          </w:p>
        </w:tc>
        <w:tc>
          <w:tcPr>
            <w:tcW w:w="1320" w:type="dxa"/>
            <w:vAlign w:val="bottom"/>
          </w:tcPr>
          <w:p>
            <w:pPr>
              <w:spacing w:after="0"/>
              <w:rPr>
                <w:sz w:val="7"/>
                <w:szCs w:val="7"/>
                <w:color w:val="auto"/>
              </w:rPr>
            </w:pPr>
          </w:p>
        </w:tc>
        <w:tc>
          <w:tcPr>
            <w:tcW w:w="2900" w:type="dxa"/>
            <w:vAlign w:val="bottom"/>
            <w:vMerge w:val="restart"/>
          </w:tcPr>
          <w:p>
            <w:pPr>
              <w:jc w:val="center"/>
              <w:ind w:left="32"/>
              <w:spacing w:after="0"/>
              <w:rPr>
                <w:sz w:val="20"/>
                <w:szCs w:val="20"/>
                <w:color w:val="auto"/>
              </w:rPr>
            </w:pPr>
            <w:r>
              <w:rPr>
                <w:rFonts w:ascii="Times New Roman" w:cs="Times New Roman" w:eastAsia="Times New Roman" w:hAnsi="Times New Roman"/>
                <w:sz w:val="18"/>
                <w:szCs w:val="18"/>
                <w:color w:val="auto"/>
                <w:w w:val="99"/>
              </w:rPr>
              <w:t>additional disclosure.</w:t>
            </w:r>
          </w:p>
        </w:tc>
        <w:tc>
          <w:tcPr>
            <w:tcW w:w="0" w:type="dxa"/>
            <w:vAlign w:val="bottom"/>
          </w:tcPr>
          <w:p>
            <w:pPr>
              <w:spacing w:after="0"/>
              <w:rPr>
                <w:sz w:val="1"/>
                <w:szCs w:val="1"/>
                <w:color w:val="auto"/>
              </w:rPr>
            </w:pPr>
          </w:p>
        </w:tc>
      </w:tr>
      <w:tr>
        <w:trPr>
          <w:trHeight w:val="148"/>
        </w:trPr>
        <w:tc>
          <w:tcPr>
            <w:tcW w:w="2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Disclosures (Subtopic 220-40)</w:t>
            </w:r>
          </w:p>
        </w:tc>
        <w:tc>
          <w:tcPr>
            <w:tcW w:w="1140" w:type="dxa"/>
            <w:vAlign w:val="bottom"/>
          </w:tcPr>
          <w:p>
            <w:pPr>
              <w:spacing w:after="0"/>
              <w:rPr>
                <w:sz w:val="12"/>
                <w:szCs w:val="12"/>
                <w:color w:val="auto"/>
              </w:rPr>
            </w:pPr>
          </w:p>
        </w:tc>
        <w:tc>
          <w:tcPr>
            <w:tcW w:w="348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2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40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B – Business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SupplyPike</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 xml:space="preserve">Effective July 31, 2024, we acquired SupplyPike, a revenue recovery solution, through the purchase of all of the outstanding equity ownership interests in SupplyPike. Pursuant to the definitive agreement and plan of merger, the total consideration transferred at close was $205.8 million, net of cash acquired. The consideration was comprised of $118.6 million paid in cash and 404,587 shares of SPS common stock (valued at $87.2 million, determined at acquisition close based on the price of SPS common stock). The shares were issued from SPS treasury shares, see Note J -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for further detail on the treasury share reissuance. The purchase accounting for the acquisition has not been finalized as of December 31, 2024; provisional amounts are primarily related to intangible assets and tax components. We will finalize the allocation of the purchase price within the one-year measurement period following the acquisition. The goodwill associated with the acquisition is not deductible for income tax purposes.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119"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w:t>
      </w:r>
    </w:p>
    <w:p>
      <w:pPr>
        <w:spacing w:after="0" w:line="54"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purchase consideration and fair values of acquired assets and liabilities recorded in the Company's consolidated balance sheet as of the acquisition date: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w:t>
            </w:r>
          </w:p>
        </w:tc>
        <w:tc>
          <w:tcPr>
            <w:tcW w:w="2840" w:type="dxa"/>
            <w:vAlign w:val="bottom"/>
            <w:shd w:val="clear" w:color="auto" w:fill="CCEEFF"/>
          </w:tcPr>
          <w:p>
            <w:pPr>
              <w:spacing w:after="0"/>
              <w:rPr>
                <w:sz w:val="22"/>
                <w:szCs w:val="22"/>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Equity consideration</w:t>
            </w:r>
          </w:p>
        </w:tc>
        <w:tc>
          <w:tcPr>
            <w:tcW w:w="284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840" w:type="dxa"/>
            <w:vAlign w:val="bottom"/>
            <w:shd w:val="clear" w:color="auto" w:fill="CCEEFF"/>
          </w:tcPr>
          <w:p>
            <w:pPr>
              <w:spacing w:after="0"/>
              <w:rPr>
                <w:sz w:val="22"/>
                <w:szCs w:val="22"/>
                <w:color w:val="auto"/>
              </w:rPr>
            </w:pPr>
          </w:p>
        </w:tc>
        <w:tc>
          <w:tcPr>
            <w:tcW w:w="1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of assets and liabilities acquired:</w:t>
            </w:r>
          </w:p>
        </w:tc>
        <w:tc>
          <w:tcPr>
            <w:tcW w:w="28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21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4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8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28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Subscriber relationships</w:t>
            </w:r>
          </w:p>
        </w:tc>
        <w:tc>
          <w:tcPr>
            <w:tcW w:w="28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Developed technology</w:t>
            </w:r>
          </w:p>
        </w:tc>
        <w:tc>
          <w:tcPr>
            <w:tcW w:w="28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84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28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84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 of assets and liabilities acquired</w:t>
            </w:r>
          </w:p>
        </w:tc>
        <w:tc>
          <w:tcPr>
            <w:tcW w:w="2840" w:type="dxa"/>
            <w:vAlign w:val="bottom"/>
          </w:tcPr>
          <w:p>
            <w:pPr>
              <w:spacing w:after="0"/>
              <w:rPr>
                <w:sz w:val="21"/>
                <w:szCs w:val="21"/>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spacing w:after="0"/>
              <w:rPr>
                <w:sz w:val="13"/>
                <w:szCs w:val="13"/>
                <w:color w:val="auto"/>
              </w:rPr>
            </w:pPr>
          </w:p>
        </w:tc>
        <w:tc>
          <w:tcPr>
            <w:tcW w:w="21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40" w:type="dxa"/>
            <w:vAlign w:val="bottom"/>
          </w:tcPr>
          <w:p>
            <w:pPr>
              <w:spacing w:after="0"/>
              <w:rPr>
                <w:sz w:val="21"/>
                <w:szCs w:val="21"/>
                <w:color w:val="auto"/>
              </w:rPr>
            </w:pPr>
          </w:p>
        </w:tc>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SPS COMMERCE, INC.</w:t>
            </w:r>
          </w:p>
        </w:tc>
        <w:tc>
          <w:tcPr>
            <w:tcW w:w="2840" w:type="dxa"/>
            <w:vAlign w:val="bottom"/>
            <w:vMerge w:val="restart"/>
          </w:tcPr>
          <w:p>
            <w:pPr>
              <w:jc w:val="right"/>
              <w:ind w:right="1948"/>
              <w:spacing w:after="0"/>
              <w:rPr>
                <w:sz w:val="20"/>
                <w:szCs w:val="20"/>
                <w:color w:val="auto"/>
              </w:rPr>
            </w:pPr>
            <w:r>
              <w:rPr>
                <w:rFonts w:ascii="Times New Roman" w:cs="Times New Roman" w:eastAsia="Times New Roman" w:hAnsi="Times New Roman"/>
                <w:sz w:val="14"/>
                <w:szCs w:val="14"/>
                <w:color w:val="auto"/>
              </w:rPr>
              <w:t>50</w:t>
            </w:r>
          </w:p>
        </w:tc>
        <w:tc>
          <w:tcPr>
            <w:tcW w:w="3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7"/>
        </w:trPr>
        <w:tc>
          <w:tcPr>
            <w:tcW w:w="45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Form 10-K for the Annual Period ended December 31, 2024</w:t>
            </w:r>
          </w:p>
        </w:tc>
        <w:tc>
          <w:tcPr>
            <w:tcW w:w="0" w:type="dxa"/>
            <w:vAlign w:val="bottom"/>
          </w:tcPr>
          <w:p>
            <w:pPr>
              <w:spacing w:after="0"/>
              <w:rPr>
                <w:sz w:val="1"/>
                <w:szCs w:val="1"/>
                <w:color w:val="auto"/>
              </w:rPr>
            </w:pPr>
          </w:p>
        </w:tc>
      </w:tr>
      <w:tr>
        <w:trPr>
          <w:trHeight w:val="212"/>
        </w:trPr>
        <w:tc>
          <w:tcPr>
            <w:tcW w:w="4560" w:type="dxa"/>
            <w:vAlign w:val="bottom"/>
            <w:tcBorders>
              <w:bottom w:val="single" w:sz="8" w:color="9A9A9A"/>
            </w:tcBorders>
          </w:tcPr>
          <w:p>
            <w:pPr>
              <w:spacing w:after="0"/>
              <w:rPr>
                <w:sz w:val="18"/>
                <w:szCs w:val="18"/>
                <w:color w:val="auto"/>
              </w:rPr>
            </w:pPr>
          </w:p>
        </w:tc>
        <w:tc>
          <w:tcPr>
            <w:tcW w:w="284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21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-445135</wp:posOffset>
            </wp:positionV>
            <wp:extent cx="240030" cy="2311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preliminary estimated useful lives for each acquired intangible asset: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84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7400" w:type="dxa"/>
            <w:vAlign w:val="bottom"/>
            <w:tcBorders>
              <w:bottom w:val="single" w:sz="8" w:color="CCEEFF"/>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3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384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9.0 years</w:t>
            </w:r>
          </w:p>
        </w:tc>
      </w:tr>
      <w:tr>
        <w:trPr>
          <w:trHeight w:val="25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8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8.0 years</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Traverse Systems</w:t>
      </w:r>
    </w:p>
    <w:p>
      <w:pPr>
        <w:spacing w:after="0" w:line="121"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Effective May 8, 2024, we entered into an asset purchase agreement to acquire certain assets of Traverse Systems, an industry-leading provider in retailer supply chain performance and vendor management. Total consideration transferred at close was $29.4 million, which was comprised of</w:t>
      </w:r>
    </w:p>
    <w:p>
      <w:pPr>
        <w:jc w:val="both"/>
        <w:ind w:right="440"/>
        <w:spacing w:after="0" w:line="290" w:lineRule="auto"/>
        <w:rPr>
          <w:sz w:val="20"/>
          <w:szCs w:val="20"/>
          <w:color w:val="auto"/>
        </w:rPr>
      </w:pPr>
      <w:r>
        <w:rPr>
          <w:rFonts w:ascii="Times New Roman" w:cs="Times New Roman" w:eastAsia="Times New Roman" w:hAnsi="Times New Roman"/>
          <w:sz w:val="17"/>
          <w:szCs w:val="17"/>
          <w:color w:val="auto"/>
        </w:rPr>
        <w:t xml:space="preserve">$25.0 million paid in cash and 22,874 shares of SPS common stock (valued at $4.4 million, determined at acquisition close based on the price of SPS common stock). The shares were issued from SPS treasury shares, see Note J - </w:t>
      </w:r>
      <w:r>
        <w:rPr>
          <w:rFonts w:ascii="Times New Roman" w:cs="Times New Roman" w:eastAsia="Times New Roman" w:hAnsi="Times New Roman"/>
          <w:sz w:val="17"/>
          <w:szCs w:val="17"/>
          <w:i w:val="1"/>
          <w:iCs w:val="1"/>
          <w:color w:val="auto"/>
        </w:rPr>
        <w:t>Stockholders' Equity</w:t>
      </w:r>
      <w:r>
        <w:rPr>
          <w:rFonts w:ascii="Times New Roman" w:cs="Times New Roman" w:eastAsia="Times New Roman" w:hAnsi="Times New Roman"/>
          <w:sz w:val="17"/>
          <w:szCs w:val="17"/>
          <w:color w:val="auto"/>
        </w:rPr>
        <w:t xml:space="preserve"> for further detail on the treasury share reissuance.</w:t>
      </w:r>
    </w:p>
    <w:p>
      <w:pPr>
        <w:spacing w:after="0" w:line="4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accounted for the acquisition as a business combination. We allocated the purchase price to the tangible and identifiable intangible assets acquired and liabilities assumed based on their estimated fair values as of the acquisition date. Assets acquired primarily comprised of subscriber relationships and developed technology intangible assets, totaling $7.7 million and $3.6 million of estimated fair value, respectively, and $18.4 million was allocated to goodwill. The remainder of the consideration transferred was allocated to net assets acquired other than the intangible assets. The purchase accounting for the acquisition was finalized in the year ended December 31, 2024. The goodwill associated with the acquisition is deductible for income tax purposes.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Vision33</w:t>
      </w:r>
    </w:p>
    <w:p>
      <w:pPr>
        <w:spacing w:after="0" w:line="12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Effective April 10, 2024, the Company entered into an asset purchase agreement to acquire Vision33's SAP Business One SPS Integration Technology. Pursuant to the definitive agreement, the purchase price, denominated in Canadian dollars ("CAD"), was $5.8 million CAD ($4.3 million U.S. dollars ("USD") at the agreement date exchange rate), of which $4.5 million CAD ($3.3 million USD) was paid in cash at close, with the remainder payable in cash within two years, subject to certain closing conditions. Assets acquired were primarily comprised of developed technology and subscriber relationships, totaling $1.7 million USD and $0.4 million USD of estimated fair value, respectively. The remainder of the consideration transferred,</w:t>
      </w:r>
    </w:p>
    <w:p>
      <w:pPr>
        <w:spacing w:after="0" w:line="3"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$2.2 million USD, was allocated to goodwill. The purchase accounting for the acquisition was finalized in the year ended December 31, 2024. The goodwill associated with the acquisition is deductible for income tax purposes.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TIE Kinetix</w:t>
      </w:r>
    </w:p>
    <w:p>
      <w:pPr>
        <w:spacing w:after="0" w:line="121" w:lineRule="exact"/>
        <w:rPr>
          <w:sz w:val="20"/>
          <w:szCs w:val="20"/>
          <w:color w:val="auto"/>
        </w:rPr>
      </w:pPr>
    </w:p>
    <w:p>
      <w:pPr>
        <w:ind w:right="120" w:firstLine="486"/>
        <w:spacing w:after="0" w:line="270" w:lineRule="auto"/>
        <w:rPr>
          <w:sz w:val="20"/>
          <w:szCs w:val="20"/>
          <w:color w:val="auto"/>
        </w:rPr>
      </w:pPr>
      <w:r>
        <w:rPr>
          <w:rFonts w:ascii="Times New Roman" w:cs="Times New Roman" w:eastAsia="Times New Roman" w:hAnsi="Times New Roman"/>
          <w:sz w:val="17"/>
          <w:szCs w:val="17"/>
          <w:color w:val="auto"/>
        </w:rPr>
        <w:t>Effective September 13, 2023, we acquired all of the outstanding equity ownership interests of TIE Kinetix Holding B.V. ("TIE Kinetix"), a leading provider of supply chain digitalization including EDI and e-invoicing in Europe and the United States. Pursuant to the definitive agreement, the purchase price was €63.9 million ($68.7 million at the September 13, 2023 exchange rate), net of cash acquired. In the year ended December 31, 2024, provisional amounts were adjusted by $1.8 million, primarily relating to a $2.9 million decrease in estimated value of intangible assets and the corresponding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change to the deferred tax position, with the offsets to goodwill. The purchase accounting was finalized in the year ended December 31,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associated with the acquisition is not deductible for income tax purposes.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 Activity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December 30, 2024, we entered into a definitive agreement to acquire all of the outstanding equity ownership interests of Carbon6, a provider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software tools to Amazon sellers, including specialized offerings for revenue recovery for both first-party (1P) and third-party (3P) suppliers.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became effective on February 4, 2025 ("Close"). Pursuant to the definitive agreement, the total consideration transferred at Close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$209.1 million, net of cash acquired and subject to post-close customary adjustments. The consideration was comprised of $141.4 million paid in cash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378,100 shares of SPS common stock (valued at $67.7 million, determined at acquisition Close based on the price of SPS common stock). The shares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from SPS treasury shares. Given the timing of the acquisition, the Company is currently in the process of determining the impact on its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151130</wp:posOffset>
            </wp:positionV>
            <wp:extent cx="240030" cy="2317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C –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derive our revenues from the following revenue streams: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revenues: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Fulfillment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523,704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436,702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364,148</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Analytics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revenues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600,089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419,047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One-time revenues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31,828</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637,765</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536,910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450,875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Revenues are the amount that reflects the consideration we are contractually and legally entitled to, as well as the amount we expect to collect, in exchange for those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F282C"/>
        </w:rPr>
        <w:t>Revenue by Geographic Area</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Domestic revenue, which we define as revenue that was attributable to customers based within the U.S. was as follows:</w:t>
      </w:r>
    </w:p>
    <w:p>
      <w:pPr>
        <w:spacing w:after="0" w:line="165"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33655</wp:posOffset>
            </wp:positionV>
            <wp:extent cx="3128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3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3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Domestic revenue</w:t>
            </w:r>
          </w:p>
        </w:tc>
        <w:tc>
          <w:tcPr>
            <w:tcW w:w="104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single jurisdiction outside of the U.S. had revenues in excess of 10%.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Revenues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define recurring revenue as active contracts during the reporting period to regularly pay us fees for subscription-based and reoccurring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components of the contracts that are not expected to recur (primarily set ups and professional services) are excluded from recurring revenue.</w:t>
      </w:r>
    </w:p>
    <w:p>
      <w:pPr>
        <w:spacing w:after="0" w:line="9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Revenue for subscription-based services is recognized on a ratable basis over the contract term beginning on the date that our service is made available to the customer. Our contracts primarily range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72"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Given that the recurring revenue contracts are generally for one year or less, we have applied the optional exemption to not disclose information about the remaining performance obligations for recurring revenue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One-time Revenues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One-time revenues consist of set-up fees and miscellaneous fees from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Set-up revenues</w:t>
      </w:r>
    </w:p>
    <w:p>
      <w:pPr>
        <w:spacing w:after="0" w:line="119" w:lineRule="exact"/>
        <w:rPr>
          <w:sz w:val="20"/>
          <w:szCs w:val="20"/>
          <w:color w:val="auto"/>
        </w:rPr>
      </w:pPr>
    </w:p>
    <w:p>
      <w:pPr>
        <w:jc w:val="both"/>
        <w:ind w:right="500" w:firstLine="486"/>
        <w:spacing w:after="0" w:line="266" w:lineRule="auto"/>
        <w:rPr>
          <w:sz w:val="20"/>
          <w:szCs w:val="20"/>
          <w:color w:val="auto"/>
        </w:rPr>
      </w:pPr>
      <w:r>
        <w:rPr>
          <w:rFonts w:ascii="Times New Roman" w:cs="Times New Roman" w:eastAsia="Times New Roman" w:hAnsi="Times New Roman"/>
          <w:sz w:val="18"/>
          <w:szCs w:val="18"/>
          <w:color w:val="auto"/>
        </w:rPr>
        <w:t>Set-up fees, a component of our revenue, are specific for each connection a customer has with a trading partner. These nonrefundable fees are necessary for our customers to utilize our services and do not provide any standalone value. Many of our customers have connections with numerous trading partners.</w:t>
      </w:r>
    </w:p>
    <w:p>
      <w:pPr>
        <w:spacing w:after="0" w:line="68"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Set-up fees constitute a material renewal option right that provide customers a significant future incentive that would not be otherwise available to that customer unless they entered into the contract, as the set-up fees will not be incurred again upon contract renewal. As such, set-up fees and related costs are deferred and recognized ratably, generally over two years, which is the estimated period for which a material right is present for our customers.</w:t>
      </w:r>
    </w:p>
    <w:p>
      <w:pPr>
        <w:spacing w:after="0" w:line="221" w:lineRule="exact"/>
        <w:rPr>
          <w:sz w:val="20"/>
          <w:szCs w:val="20"/>
          <w:color w:val="auto"/>
        </w:rPr>
      </w:pPr>
    </w:p>
    <w:p>
      <w:pPr>
        <w:ind w:left="20"/>
        <w:spacing w:after="0"/>
        <w:tabs>
          <w:tab w:leader="none" w:pos="5220" w:val="left"/>
          <w:tab w:leader="none" w:pos="7400" w:val="left"/>
        </w:tabs>
        <w:rPr>
          <w:sz w:val="20"/>
          <w:szCs w:val="20"/>
          <w:color w:val="auto"/>
        </w:rPr>
      </w:pPr>
      <w:r>
        <w:rPr>
          <w:sz w:val="1"/>
          <w:szCs w:val="1"/>
          <w:color w:val="auto"/>
        </w:rPr>
        <w:drawing>
          <wp:inline distT="0" distB="0" distL="0" distR="0">
            <wp:extent cx="240030" cy="23177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presents the activity of the portion of the deferred revenue liability relating to set-up fees. We expect to recognize $12.9 million of the balance as of December 31, 2024 as revenue over the next 12 months with the remaining amount recognized thereafter.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color w:val="auto"/>
                <w:w w:val="96"/>
              </w:rPr>
              <w:t>17,603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6"/>
              </w:rPr>
              <w:t>14,999</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Invoiced set-up fees</w:t>
            </w:r>
          </w:p>
        </w:tc>
        <w:tc>
          <w:tcPr>
            <w:tcW w:w="340" w:type="dxa"/>
            <w:vAlign w:val="bottom"/>
          </w:tcPr>
          <w:p>
            <w:pPr>
              <w:spacing w:after="0"/>
              <w:rPr>
                <w:sz w:val="21"/>
                <w:szCs w:val="21"/>
                <w:color w:val="auto"/>
              </w:rPr>
            </w:pPr>
          </w:p>
        </w:tc>
        <w:tc>
          <w:tcPr>
            <w:tcW w:w="1140" w:type="dxa"/>
            <w:vAlign w:val="bottom"/>
          </w:tcPr>
          <w:p>
            <w:pPr>
              <w:jc w:val="center"/>
              <w:ind w:left="416"/>
              <w:spacing w:after="0"/>
              <w:rPr>
                <w:sz w:val="20"/>
                <w:szCs w:val="20"/>
                <w:color w:val="auto"/>
              </w:rPr>
            </w:pPr>
            <w:r>
              <w:rPr>
                <w:rFonts w:ascii="Times New Roman" w:cs="Times New Roman" w:eastAsia="Times New Roman" w:hAnsi="Times New Roman"/>
                <w:sz w:val="18"/>
                <w:szCs w:val="18"/>
                <w:color w:val="auto"/>
                <w:w w:val="96"/>
              </w:rPr>
              <w:t>16,915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w w:val="96"/>
              </w:rPr>
              <w:t>19,146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set-up fees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396"/>
              <w:spacing w:after="0"/>
              <w:rPr>
                <w:sz w:val="20"/>
                <w:szCs w:val="20"/>
                <w:color w:val="auto"/>
              </w:rPr>
            </w:pPr>
            <w:r>
              <w:rPr>
                <w:rFonts w:ascii="Times New Roman" w:cs="Times New Roman" w:eastAsia="Times New Roman" w:hAnsi="Times New Roman"/>
                <w:sz w:val="18"/>
                <w:szCs w:val="18"/>
                <w:color w:val="auto"/>
              </w:rPr>
              <w:t>(17,783)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rPr>
              <w:t>(16,542)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8"/>
                <w:szCs w:val="18"/>
                <w:color w:val="auto"/>
                <w:w w:val="96"/>
              </w:rPr>
              <w:t>16,735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w w:val="96"/>
              </w:rPr>
              <w:t>17,603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Miscellaneous one-time revenues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Miscellaneous one-time fees primarily consist of professional services and testing and certification.</w:t>
      </w:r>
    </w:p>
    <w:p>
      <w:pPr>
        <w:spacing w:after="0" w:line="117" w:lineRule="exact"/>
        <w:rPr>
          <w:sz w:val="20"/>
          <w:szCs w:val="20"/>
          <w:color w:val="auto"/>
        </w:rPr>
      </w:pPr>
    </w:p>
    <w:p>
      <w:pPr>
        <w:jc w:val="both"/>
        <w:ind w:right="480" w:firstLine="486"/>
        <w:spacing w:after="0" w:line="266" w:lineRule="auto"/>
        <w:rPr>
          <w:sz w:val="20"/>
          <w:szCs w:val="20"/>
          <w:color w:val="auto"/>
        </w:rPr>
      </w:pPr>
      <w:r>
        <w:rPr>
          <w:rFonts w:ascii="Times New Roman" w:cs="Times New Roman" w:eastAsia="Times New Roman" w:hAnsi="Times New Roman"/>
          <w:sz w:val="18"/>
          <w:szCs w:val="18"/>
          <w:color w:val="auto"/>
        </w:rPr>
        <w:t>The contract period for these one-time fees is for one year or less and recognized at the time service is provided. We have applied the optional exemption to not disclose information about the remaining performance obligations for miscellaneous one-time fee contracts since they have original durations of one year or less.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year ended December 31, 2024, we recognized revenue of $69.2 million from amounts included in deferred revenue at December 31,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D – Deferred Costs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deferred costs activity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color w:val="auto"/>
                <w:w w:val="96"/>
              </w:rPr>
              <w:t>82,750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6"/>
              </w:rPr>
              <w:t>70,179</w:t>
            </w:r>
          </w:p>
        </w:tc>
        <w:tc>
          <w:tcPr>
            <w:tcW w:w="0" w:type="dxa"/>
            <w:vAlign w:val="bottom"/>
          </w:tcPr>
          <w:p>
            <w:pPr>
              <w:spacing w:after="0"/>
              <w:rPr>
                <w:sz w:val="1"/>
                <w:szCs w:val="1"/>
                <w:color w:val="auto"/>
              </w:rPr>
            </w:pP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Incurred deferred costs</w:t>
            </w:r>
          </w:p>
        </w:tc>
        <w:tc>
          <w:tcPr>
            <w:tcW w:w="340" w:type="dxa"/>
            <w:vAlign w:val="bottom"/>
          </w:tcPr>
          <w:p>
            <w:pPr>
              <w:spacing w:after="0"/>
              <w:rPr>
                <w:sz w:val="21"/>
                <w:szCs w:val="21"/>
                <w:color w:val="auto"/>
              </w:rPr>
            </w:pPr>
          </w:p>
        </w:tc>
        <w:tc>
          <w:tcPr>
            <w:tcW w:w="1140" w:type="dxa"/>
            <w:vAlign w:val="bottom"/>
          </w:tcPr>
          <w:p>
            <w:pPr>
              <w:jc w:val="center"/>
              <w:ind w:left="416"/>
              <w:spacing w:after="0"/>
              <w:rPr>
                <w:sz w:val="20"/>
                <w:szCs w:val="20"/>
                <w:color w:val="auto"/>
              </w:rPr>
            </w:pPr>
            <w:r>
              <w:rPr>
                <w:rFonts w:ascii="Times New Roman" w:cs="Times New Roman" w:eastAsia="Times New Roman" w:hAnsi="Times New Roman"/>
                <w:sz w:val="18"/>
                <w:szCs w:val="18"/>
                <w:color w:val="auto"/>
                <w:w w:val="96"/>
              </w:rPr>
              <w:t>90,482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w w:val="96"/>
              </w:rPr>
              <w:t>89,012</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Amortized deferred costs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396"/>
              <w:spacing w:after="0"/>
              <w:rPr>
                <w:sz w:val="20"/>
                <w:szCs w:val="20"/>
                <w:color w:val="auto"/>
              </w:rPr>
            </w:pPr>
            <w:r>
              <w:rPr>
                <w:rFonts w:ascii="Times New Roman" w:cs="Times New Roman" w:eastAsia="Times New Roman" w:hAnsi="Times New Roman"/>
                <w:sz w:val="18"/>
                <w:szCs w:val="18"/>
                <w:color w:val="auto"/>
              </w:rPr>
              <w:t>(87,318)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rPr>
              <w:t>(76,441)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8"/>
                <w:szCs w:val="18"/>
                <w:color w:val="auto"/>
                <w:w w:val="96"/>
              </w:rPr>
              <w:t>85,914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w w:val="96"/>
              </w:rPr>
              <w:t>82,750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E – Fair Value Measurements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equivalents and investments, as measured at fair value on a recurring basis,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6"/>
        </w:trPr>
        <w:tc>
          <w:tcPr>
            <w:tcW w:w="2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gridSpan w:val="3"/>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gridSpan w:val="3"/>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58"/>
        </w:trPr>
        <w:tc>
          <w:tcPr>
            <w:tcW w:w="2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242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7"/>
        </w:trPr>
        <w:tc>
          <w:tcPr>
            <w:tcW w:w="242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8"/>
                <w:szCs w:val="18"/>
                <w:color w:val="auto"/>
              </w:rPr>
            </w:pPr>
          </w:p>
        </w:tc>
        <w:tc>
          <w:tcPr>
            <w:tcW w:w="9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8"/>
                <w:szCs w:val="18"/>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9"/>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23"/>
        </w:trPr>
        <w:tc>
          <w:tcPr>
            <w:tcW w:w="2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1</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178,417</w:t>
            </w:r>
          </w:p>
        </w:tc>
        <w:tc>
          <w:tcPr>
            <w:tcW w:w="80" w:type="dxa"/>
            <w:vAlign w:val="bottom"/>
          </w:tcPr>
          <w:p>
            <w:pPr>
              <w:spacing w:after="0"/>
              <w:rPr>
                <w:sz w:val="22"/>
                <w:szCs w:val="2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161,233</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161,233</w:t>
            </w:r>
          </w:p>
        </w:tc>
      </w:tr>
      <w:tr>
        <w:trPr>
          <w:trHeight w:val="25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7"/>
        </w:trPr>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r>
      <w:tr>
        <w:trPr>
          <w:trHeight w:val="256"/>
        </w:trPr>
        <w:tc>
          <w:tcPr>
            <w:tcW w:w="2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6"/>
        </w:trPr>
        <w:tc>
          <w:tcPr>
            <w:tcW w:w="2420" w:type="dxa"/>
            <w:vAlign w:val="bottom"/>
            <w:tcBorders>
              <w:bottom w:val="single" w:sz="8" w:color="CCEEFF"/>
            </w:tcBorders>
          </w:tcPr>
          <w:p>
            <w:pPr>
              <w:jc w:val="right"/>
              <w:ind w:right="536"/>
              <w:spacing w:after="0"/>
              <w:rPr>
                <w:sz w:val="20"/>
                <w:szCs w:val="20"/>
                <w:color w:val="auto"/>
              </w:rPr>
            </w:pPr>
            <w:r>
              <w:rPr>
                <w:rFonts w:ascii="Times New Roman" w:cs="Times New Roman" w:eastAsia="Times New Roman" w:hAnsi="Times New Roman"/>
                <w:sz w:val="18"/>
                <w:szCs w:val="18"/>
                <w:color w:val="auto"/>
              </w:rPr>
              <w:t>Commercial paper</w:t>
            </w:r>
          </w:p>
        </w:tc>
        <w:tc>
          <w:tcPr>
            <w:tcW w:w="9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49,554</w:t>
            </w:r>
          </w:p>
        </w:tc>
      </w:tr>
      <w:tr>
        <w:trPr>
          <w:trHeight w:val="264"/>
        </w:trPr>
        <w:tc>
          <w:tcPr>
            <w:tcW w:w="2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178,417</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217,592</w:t>
            </w:r>
          </w:p>
        </w:tc>
      </w:tr>
      <w:tr>
        <w:trPr>
          <w:trHeight w:val="20"/>
        </w:trPr>
        <w:tc>
          <w:tcPr>
            <w:tcW w:w="2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774"/>
        </w:trPr>
        <w:tc>
          <w:tcPr>
            <w:tcW w:w="242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SPS COMMERCE, INC.</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gridSpan w:val="10"/>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Form 10-K for the Annual Period ended December 31, 2024</w:t>
            </w:r>
          </w:p>
        </w:tc>
      </w:tr>
      <w:tr>
        <w:trPr>
          <w:trHeight w:val="225"/>
        </w:trPr>
        <w:tc>
          <w:tcPr>
            <w:tcW w:w="242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-454025</wp:posOffset>
            </wp:positionV>
            <wp:extent cx="240030" cy="2317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F – Allowance for Credit Losses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allowance for credit losses activity, included in accounts receivable, net,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4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0" w:type="dxa"/>
            <w:vAlign w:val="bottom"/>
          </w:tcPr>
          <w:p>
            <w:pPr>
              <w:spacing w:after="0"/>
              <w:rPr>
                <w:sz w:val="1"/>
                <w:szCs w:val="1"/>
                <w:color w:val="auto"/>
              </w:rPr>
            </w:pPr>
          </w:p>
        </w:tc>
      </w:tr>
      <w:tr>
        <w:trPr>
          <w:trHeight w:val="24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4,179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7"/>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AAE5"/>
              </w:rPr>
              <w:t>NOTE G – Property and Equipment, Net</w:t>
            </w:r>
          </w:p>
        </w:tc>
        <w:tc>
          <w:tcPr>
            <w:tcW w:w="3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73,617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60,396</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27,890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34,402</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14,999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3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8,796</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10,966</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cost</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125,302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121,151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(87,755)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(85,108)</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37,547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 expense of property and equipment was as follows:</w:t>
            </w:r>
          </w:p>
        </w:tc>
        <w:tc>
          <w:tcPr>
            <w:tcW w:w="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18,721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18,631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w:t>
            </w:r>
          </w:p>
        </w:tc>
        <w:tc>
          <w:tcPr>
            <w:tcW w:w="0" w:type="dxa"/>
            <w:vAlign w:val="bottom"/>
          </w:tcPr>
          <w:p>
            <w:pPr>
              <w:spacing w:after="0"/>
              <w:rPr>
                <w:sz w:val="1"/>
                <w:szCs w:val="1"/>
                <w:color w:val="auto"/>
              </w:rPr>
            </w:pPr>
          </w:p>
        </w:tc>
      </w:tr>
      <w:tr>
        <w:trPr>
          <w:trHeight w:val="419"/>
        </w:trPr>
        <w:tc>
          <w:tcPr>
            <w:tcW w:w="80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w w:val="99"/>
              </w:rPr>
              <w:t>Property and equipment, net located at subsidiary and office locations outside of the U.S. was as follows: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property and equipment</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H – Goodwill and Intangible Assets,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activity in goodwill was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000" w:type="dxa"/>
            <w:vAlign w:val="bottom"/>
          </w:tcPr>
          <w:p>
            <w:pPr>
              <w:jc w:val="right"/>
              <w:ind w:right="1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beginning of year</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Addition from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162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translation</w:t>
      </w:r>
    </w:p>
    <w:p>
      <w:pPr>
        <w:spacing w:after="0" w:line="50" w:lineRule="exact"/>
        <w:rPr>
          <w:sz w:val="20"/>
          <w:szCs w:val="20"/>
          <w:color w:val="auto"/>
        </w:rPr>
      </w:pPr>
    </w:p>
    <w:p>
      <w:pPr>
        <w:ind w:left="40" w:right="2740" w:firstLine="216"/>
        <w:spacing w:after="0" w:line="329" w:lineRule="auto"/>
        <w:rPr>
          <w:sz w:val="20"/>
          <w:szCs w:val="20"/>
          <w:color w:val="auto"/>
        </w:rPr>
      </w:pPr>
      <w:r>
        <w:rPr>
          <w:rFonts w:ascii="Times New Roman" w:cs="Times New Roman" w:eastAsia="Times New Roman" w:hAnsi="Times New Roman"/>
          <w:sz w:val="18"/>
          <w:szCs w:val="18"/>
          <w:color w:val="auto"/>
        </w:rPr>
        <w:t>Remeasurement from provisional purchase accounting amount Balance,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-202565</wp:posOffset>
            </wp:positionV>
            <wp:extent cx="711517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249,176</w:t>
            </w:r>
          </w:p>
        </w:tc>
      </w:tr>
      <w:tr>
        <w:trPr>
          <w:trHeight w:val="256"/>
        </w:trPr>
        <w:tc>
          <w:tcPr>
            <w:tcW w:w="12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154,632</w:t>
            </w:r>
          </w:p>
        </w:tc>
      </w:tr>
      <w:tr>
        <w:trPr>
          <w:trHeight w:val="256"/>
        </w:trPr>
        <w:tc>
          <w:tcPr>
            <w:tcW w:w="124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w:t>
            </w:r>
          </w:p>
        </w:tc>
      </w:tr>
      <w:tr>
        <w:trPr>
          <w:trHeight w:val="264"/>
        </w:trPr>
        <w:tc>
          <w:tcPr>
            <w:tcW w:w="1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50"/>
        </w:trPr>
        <w:tc>
          <w:tcPr>
            <w:tcW w:w="1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399,180</w:t>
            </w:r>
          </w:p>
        </w:tc>
      </w:tr>
      <w:tr>
        <w:trPr>
          <w:trHeight w:val="27"/>
        </w:trPr>
        <w:tc>
          <w:tcPr>
            <w:tcW w:w="1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118" w:right="339" w:bottom="1440" w:gutter="0" w:footer="0" w:header="0"/>
          <w:type w:val="continuous"/>
        </w:sectPr>
      </w:pPr>
    </w:p>
    <w:p>
      <w:pPr>
        <w:spacing w:after="0" w:line="124" w:lineRule="exact"/>
        <w:rPr>
          <w:sz w:val="20"/>
          <w:szCs w:val="20"/>
          <w:color w:val="auto"/>
        </w:rPr>
      </w:pPr>
    </w:p>
    <w:p>
      <w:pPr>
        <w:ind w:left="20"/>
        <w:spacing w:after="0"/>
        <w:tabs>
          <w:tab w:leader="none" w:pos="5220" w:val="left"/>
          <w:tab w:leader="none" w:pos="7400" w:val="left"/>
        </w:tabs>
        <w:rPr>
          <w:sz w:val="20"/>
          <w:szCs w:val="20"/>
          <w:color w:val="auto"/>
        </w:rPr>
      </w:pPr>
      <w:r>
        <w:rPr>
          <w:sz w:val="1"/>
          <w:szCs w:val="1"/>
          <w:color w:val="auto"/>
        </w:rPr>
        <w:drawing>
          <wp:inline distT="0" distB="0" distL="0" distR="0">
            <wp:extent cx="240030" cy="23177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0030" cy="231775"/>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54</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40"/>
        </w:trPr>
        <w:tc>
          <w:tcPr>
            <w:tcW w:w="4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3"/>
                <w:szCs w:val="3"/>
                <w:color w:val="auto"/>
              </w:rPr>
            </w:pPr>
          </w:p>
        </w:tc>
        <w:tc>
          <w:tcPr>
            <w:tcW w:w="116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2"/>
                <w:szCs w:val="12"/>
                <w:color w:val="auto"/>
              </w:rPr>
            </w:pPr>
          </w:p>
        </w:tc>
        <w:tc>
          <w:tcPr>
            <w:tcW w:w="110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1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57"/>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178,147</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(47,432)</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(1,715)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129,000</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 years</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77,108</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(24,111)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52,294</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5.7 years</w:t>
            </w:r>
          </w:p>
        </w:tc>
        <w:tc>
          <w:tcPr>
            <w:tcW w:w="0" w:type="dxa"/>
            <w:vAlign w:val="bottom"/>
          </w:tcPr>
          <w:p>
            <w:pPr>
              <w:spacing w:after="0"/>
              <w:rPr>
                <w:sz w:val="1"/>
                <w:szCs w:val="1"/>
                <w:color w:val="auto"/>
              </w:rPr>
            </w:pPr>
          </w:p>
        </w:tc>
      </w:tr>
      <w:tr>
        <w:trPr>
          <w:trHeight w:val="275"/>
        </w:trPr>
        <w:tc>
          <w:tcPr>
            <w:tcW w:w="4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(71,543)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(2,418)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181,294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 years</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38"/>
        </w:trPr>
        <w:tc>
          <w:tcPr>
            <w:tcW w:w="4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3"/>
                <w:szCs w:val="3"/>
                <w:color w:val="auto"/>
              </w:rPr>
            </w:pPr>
          </w:p>
        </w:tc>
        <w:tc>
          <w:tcPr>
            <w:tcW w:w="116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line="20" w:lineRule="exact"/>
              <w:rPr>
                <w:sz w:val="1"/>
                <w:szCs w:val="1"/>
                <w:color w:val="auto"/>
              </w:rPr>
            </w:pPr>
          </w:p>
        </w:tc>
      </w:tr>
      <w:tr>
        <w:trPr>
          <w:trHeight w:val="135"/>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4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Subscriber relationships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(32,097)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73,855</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 years</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48,843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(15,669)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33,489</w:t>
            </w:r>
          </w:p>
        </w:tc>
        <w:tc>
          <w:tcPr>
            <w:tcW w:w="1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 years</w:t>
            </w:r>
          </w:p>
        </w:tc>
        <w:tc>
          <w:tcPr>
            <w:tcW w:w="0" w:type="dxa"/>
            <w:vAlign w:val="bottom"/>
          </w:tcPr>
          <w:p>
            <w:pPr>
              <w:spacing w:after="0"/>
              <w:rPr>
                <w:sz w:val="1"/>
                <w:szCs w:val="1"/>
                <w:color w:val="auto"/>
              </w:rPr>
            </w:pPr>
          </w:p>
        </w:tc>
      </w:tr>
      <w:tr>
        <w:trPr>
          <w:trHeight w:val="275"/>
        </w:trPr>
        <w:tc>
          <w:tcPr>
            <w:tcW w:w="4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154,071</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(47,766)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 years</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6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Amortization expense of intangible assets was as follows: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23,510</w:t>
            </w:r>
          </w:p>
        </w:tc>
        <w:tc>
          <w:tcPr>
            <w:tcW w:w="5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c>
          <w:tcPr>
            <w:tcW w:w="0" w:type="dxa"/>
            <w:vAlign w:val="bottom"/>
          </w:tcPr>
          <w:p>
            <w:pPr>
              <w:spacing w:after="0"/>
              <w:rPr>
                <w:sz w:val="1"/>
                <w:szCs w:val="1"/>
                <w:color w:val="auto"/>
              </w:rPr>
            </w:pPr>
          </w:p>
        </w:tc>
      </w:tr>
      <w:tr>
        <w:trPr>
          <w:trHeight w:val="770"/>
        </w:trPr>
        <w:tc>
          <w:tcPr>
            <w:tcW w:w="7320" w:type="dxa"/>
            <w:vAlign w:val="bottom"/>
            <w:gridSpan w:val="8"/>
          </w:tcPr>
          <w:p>
            <w:pPr>
              <w:ind w:left="500"/>
              <w:spacing w:after="0"/>
              <w:rPr>
                <w:sz w:val="20"/>
                <w:szCs w:val="20"/>
                <w:color w:val="auto"/>
              </w:rPr>
            </w:pPr>
            <w:r>
              <w:rPr>
                <w:rFonts w:ascii="Times New Roman" w:cs="Times New Roman" w:eastAsia="Times New Roman" w:hAnsi="Times New Roman"/>
                <w:sz w:val="18"/>
                <w:szCs w:val="18"/>
                <w:color w:val="auto"/>
              </w:rPr>
              <w:t>The estimated future annual amortization expense related to intangible assets is as follows: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29,528</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28,690</w:t>
            </w:r>
          </w:p>
        </w:tc>
        <w:tc>
          <w:tcPr>
            <w:tcW w:w="0" w:type="dxa"/>
            <w:vAlign w:val="bottom"/>
          </w:tcPr>
          <w:p>
            <w:pPr>
              <w:spacing w:after="0"/>
              <w:rPr>
                <w:sz w:val="1"/>
                <w:szCs w:val="1"/>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28,216</w:t>
            </w:r>
          </w:p>
        </w:tc>
        <w:tc>
          <w:tcPr>
            <w:tcW w:w="0" w:type="dxa"/>
            <w:vAlign w:val="bottom"/>
          </w:tcPr>
          <w:p>
            <w:pPr>
              <w:spacing w:after="0"/>
              <w:rPr>
                <w:sz w:val="1"/>
                <w:szCs w:val="1"/>
                <w:color w:val="auto"/>
              </w:rPr>
            </w:pPr>
          </w:p>
        </w:tc>
      </w:tr>
      <w:tr>
        <w:trPr>
          <w:trHeight w:val="25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26,886</w:t>
            </w:r>
          </w:p>
        </w:tc>
        <w:tc>
          <w:tcPr>
            <w:tcW w:w="0" w:type="dxa"/>
            <w:vAlign w:val="bottom"/>
          </w:tcPr>
          <w:p>
            <w:pPr>
              <w:spacing w:after="0"/>
              <w:rPr>
                <w:sz w:val="1"/>
                <w:szCs w:val="1"/>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0" w:type="dxa"/>
            <w:vAlign w:val="bottom"/>
          </w:tcPr>
          <w:p>
            <w:pPr>
              <w:spacing w:after="0"/>
              <w:rPr>
                <w:sz w:val="1"/>
                <w:szCs w:val="1"/>
                <w:color w:val="auto"/>
              </w:rPr>
            </w:pPr>
          </w:p>
        </w:tc>
      </w:tr>
      <w:tr>
        <w:trPr>
          <w:trHeight w:val="275"/>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181,294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I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We are engaged in a lease agreement for our current headquarters located in Minneapolis, Minnesota where we lease approximately 200,000 square feet under an agreement that expires in 2027. The lease also has two options to extend the term for five years each at a market rate determined in accordance with the lease. We lease other smaller facilities across the U.S. and international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132080</wp:posOffset>
            </wp:positionV>
            <wp:extent cx="240030" cy="2311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55</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6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58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3,420</w:t>
            </w:r>
          </w:p>
        </w:tc>
        <w:tc>
          <w:tcPr>
            <w:tcW w:w="4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9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3,685</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3,771</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7,105</w:t>
            </w:r>
          </w:p>
        </w:tc>
        <w:tc>
          <w:tcPr>
            <w:tcW w:w="4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bottom w:val="single" w:sz="8" w:color="CCEEFF"/>
            </w:tcBorders>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5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94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5,209</w:t>
            </w:r>
          </w:p>
        </w:tc>
        <w:tc>
          <w:tcPr>
            <w:tcW w:w="4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5,022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9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5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was as follows:</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gridSpan w:val="2"/>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 years</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3.1 years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5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At December 31, 2024, our future minimum payments under operating leases were as follows: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9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gross payments</w:t>
            </w:r>
          </w:p>
        </w:tc>
        <w:tc>
          <w:tcPr>
            <w:tcW w:w="9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9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9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have entered into separate noncancelable agreements with computing infrastructure, productivity software, customer relationship management, and performance and security data analytics vendors for services through 2026. At December 31, 2024, our remaining purchase commitments and estimated purchase timing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remaining purchase commitments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 may be involved in various claims and legal actions in the normal course of business. We believe that the outcome of any such claim or legal action is not expected to have a material adverse effect on our financial position or results of operations.</w:t>
      </w:r>
    </w:p>
    <w:p>
      <w:pPr>
        <w:spacing w:after="0" w:line="207" w:lineRule="exact"/>
        <w:rPr>
          <w:sz w:val="20"/>
          <w:szCs w:val="20"/>
          <w:color w:val="auto"/>
        </w:rPr>
      </w:pPr>
    </w:p>
    <w:p>
      <w:pPr>
        <w:ind w:left="20"/>
        <w:spacing w:after="0"/>
        <w:tabs>
          <w:tab w:leader="none" w:pos="5220" w:val="left"/>
          <w:tab w:leader="none" w:pos="7400" w:val="left"/>
        </w:tabs>
        <w:rPr>
          <w:sz w:val="20"/>
          <w:szCs w:val="20"/>
          <w:color w:val="auto"/>
        </w:rPr>
      </w:pPr>
      <w:r>
        <w:rPr>
          <w:sz w:val="1"/>
          <w:szCs w:val="1"/>
          <w:color w:val="auto"/>
        </w:rPr>
        <w:drawing>
          <wp:inline distT="0" distB="0" distL="0" distR="0">
            <wp:extent cx="240030" cy="23114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0030" cy="231140"/>
                    </a:xfrm>
                    <a:prstGeom prst="rect">
                      <a:avLst/>
                    </a:prstGeom>
                    <a:noFill/>
                    <a:ln>
                      <a:noFill/>
                    </a:ln>
                  </pic:spPr>
                </pic:pic>
              </a:graphicData>
            </a:graphic>
          </wp:inline>
        </w:drawing>
      </w:r>
      <w:r>
        <w:rPr>
          <w:rFonts w:ascii="Times New Roman" w:cs="Times New Roman" w:eastAsia="Times New Roman" w:hAnsi="Times New Roman"/>
          <w:sz w:val="13"/>
          <w:szCs w:val="13"/>
          <w:b w:val="1"/>
          <w:bCs w:val="1"/>
          <w:color w:val="auto"/>
        </w:rPr>
        <w:t xml:space="preserve"> SPS COMMERCE, INC.</w:t>
      </w:r>
      <w:r>
        <w:rPr>
          <w:sz w:val="20"/>
          <w:szCs w:val="20"/>
          <w:color w:val="auto"/>
        </w:rPr>
        <w:tab/>
      </w:r>
      <w:r>
        <w:rPr>
          <w:rFonts w:ascii="Times New Roman" w:cs="Times New Roman" w:eastAsia="Times New Roman" w:hAnsi="Times New Roman"/>
          <w:sz w:val="14"/>
          <w:szCs w:val="14"/>
          <w:color w:val="auto"/>
        </w:rPr>
        <w:t>56</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J –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21"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Our board of directors has authorized multiple non-concurrent programs to repurchase our common stock. Details of the programs and activity thereunder through December 31, 2024 were as follows:</w:t>
      </w:r>
    </w:p>
    <w:p>
      <w:pPr>
        <w:spacing w:after="0" w:line="10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Value</w:t>
            </w:r>
          </w:p>
        </w:tc>
        <w:tc>
          <w:tcPr>
            <w:tcW w:w="1340" w:type="dxa"/>
            <w:vAlign w:val="bottom"/>
          </w:tcPr>
          <w:p>
            <w:pPr>
              <w:spacing w:after="0"/>
              <w:rPr>
                <w:sz w:val="14"/>
                <w:szCs w:val="14"/>
                <w:color w:val="auto"/>
              </w:rPr>
            </w:pP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Unused &amp; Expired</w:t>
            </w:r>
          </w:p>
        </w:tc>
        <w:tc>
          <w:tcPr>
            <w:tcW w:w="13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Share Value</w:t>
            </w:r>
          </w:p>
        </w:tc>
      </w:tr>
      <w:tr>
        <w:trPr>
          <w:trHeight w:val="162"/>
        </w:trPr>
        <w:tc>
          <w:tcPr>
            <w:tcW w:w="1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 for</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Value</w:t>
            </w:r>
          </w:p>
        </w:tc>
        <w:tc>
          <w:tcPr>
            <w:tcW w:w="15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Share Repurchase</w:t>
            </w:r>
          </w:p>
        </w:tc>
        <w:tc>
          <w:tcPr>
            <w:tcW w:w="13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Available for Future</w:t>
            </w:r>
          </w:p>
        </w:tc>
      </w:tr>
      <w:tr>
        <w:trPr>
          <w:trHeight w:val="190"/>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8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6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5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Repurchase</w:t>
            </w: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 w:type="dxa"/>
            <w:vAlign w:val="bottom"/>
          </w:tcPr>
          <w:p>
            <w:pPr>
              <w:spacing w:after="0"/>
              <w:rPr>
                <w:sz w:val="23"/>
                <w:szCs w:val="23"/>
                <w:color w:val="auto"/>
              </w:rPr>
            </w:pPr>
          </w:p>
        </w:tc>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Program</w:t>
            </w:r>
          </w:p>
        </w:tc>
        <w:tc>
          <w:tcPr>
            <w:tcW w:w="160" w:type="dxa"/>
            <w:vAlign w:val="bottom"/>
            <w:tcBorders>
              <w:top w:val="single" w:sz="8" w:color="auto"/>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November 2021</w:t>
            </w: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2022</w:t>
            </w: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49,992</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Program</w:t>
            </w:r>
          </w:p>
        </w:tc>
        <w:tc>
          <w:tcPr>
            <w:tcW w:w="15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August 2022</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July 2024</w:t>
            </w:r>
          </w:p>
        </w:tc>
        <w:tc>
          <w:tcPr>
            <w:tcW w:w="38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40,471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Program</w:t>
            </w:r>
          </w:p>
        </w:tc>
        <w:tc>
          <w:tcPr>
            <w:tcW w:w="152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August 2024</w:t>
            </w:r>
          </w:p>
        </w:tc>
        <w:tc>
          <w:tcPr>
            <w:tcW w:w="16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July 2026</w:t>
            </w: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540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The share repurchase activity by period was as follows:</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 and per share amounts)</w:t>
            </w: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800" w:type="dxa"/>
            <w:vAlign w:val="bottom"/>
            <w:gridSpan w:val="4"/>
            <w:vMerge w:val="continue"/>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80" w:type="dxa"/>
            <w:vAlign w:val="bottom"/>
            <w:tcBorders>
              <w:bottom w:val="single" w:sz="8" w:color="CCEEFF"/>
            </w:tcBorders>
            <w:gridSpan w:val="3"/>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15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205,331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share repurchased cost</w:t>
            </w:r>
          </w:p>
        </w:tc>
        <w:tc>
          <w:tcPr>
            <w:tcW w:w="15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total cost per repurchased share</w:t>
            </w: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Reissuances</w:t>
      </w:r>
    </w:p>
    <w:p>
      <w:pPr>
        <w:spacing w:after="0" w:line="121" w:lineRule="exact"/>
        <w:rPr>
          <w:sz w:val="20"/>
          <w:szCs w:val="20"/>
          <w:color w:val="auto"/>
        </w:rPr>
      </w:pPr>
    </w:p>
    <w:p>
      <w:pPr>
        <w:ind w:right="1000" w:firstLine="486"/>
        <w:spacing w:after="0" w:line="282" w:lineRule="auto"/>
        <w:rPr>
          <w:sz w:val="20"/>
          <w:szCs w:val="20"/>
          <w:color w:val="auto"/>
        </w:rPr>
      </w:pPr>
      <w:r>
        <w:rPr>
          <w:rFonts w:ascii="Times New Roman" w:cs="Times New Roman" w:eastAsia="Times New Roman" w:hAnsi="Times New Roman"/>
          <w:sz w:val="18"/>
          <w:szCs w:val="18"/>
          <w:color w:val="212529"/>
        </w:rPr>
        <w:t xml:space="preserve">In connection with the acquisitions of Traverse Systems and SupplyPike, the Company re-issued treasury shares as part of the purchase consideration (see </w:t>
      </w:r>
      <w:r>
        <w:rPr>
          <w:rFonts w:ascii="Times New Roman" w:cs="Times New Roman" w:eastAsia="Times New Roman" w:hAnsi="Times New Roman"/>
          <w:sz w:val="18"/>
          <w:szCs w:val="18"/>
          <w:i w:val="1"/>
          <w:iCs w:val="1"/>
          <w:color w:val="212529"/>
        </w:rPr>
        <w:t>Note B – Business Combinations</w:t>
      </w:r>
      <w:r>
        <w:rPr>
          <w:rFonts w:ascii="Times New Roman" w:cs="Times New Roman" w:eastAsia="Times New Roman" w:hAnsi="Times New Roman"/>
          <w:sz w:val="18"/>
          <w:szCs w:val="18"/>
          <w:color w:val="212529"/>
        </w:rPr>
        <w:t xml:space="preserve"> for further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K – Stock-Based Compensation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allocated in the consolidated statements of comprehensive income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 by grant type or plan was as follows: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&amp; DSUs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RSAs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401(k) stock match</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54,557</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$68.2 million of unrecognized stock-based compensation expense under our equity compensation plans, which is expected to be recognized on a primarily straight-line basis over a weighted-average period of 2.3 years. At December 31, 2024 there were 12.3 million shares available for grant under approved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132080</wp:posOffset>
            </wp:positionV>
            <wp:extent cx="240030" cy="2311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57</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Options generally vest over four years and, upon vesting, the holder is given the option to purchase shares of common stock at a specific strike price until expiration, which is generally seven years from the grant date.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stock option activity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190"/>
        </w:trPr>
        <w:tc>
          <w:tcPr>
            <w:tcW w:w="8180" w:type="dxa"/>
            <w:vAlign w:val="bottom"/>
          </w:tcPr>
          <w:p>
            <w:pPr>
              <w:spacing w:after="0"/>
              <w:rPr>
                <w:sz w:val="16"/>
                <w:szCs w:val="16"/>
                <w:color w:val="auto"/>
              </w:rPr>
            </w:pPr>
          </w:p>
        </w:tc>
        <w:tc>
          <w:tcPr>
            <w:tcW w:w="14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678,650</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44.76</w:t>
            </w: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56,430</w:t>
            </w:r>
          </w:p>
        </w:tc>
        <w:tc>
          <w:tcPr>
            <w:tcW w:w="1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122.59</w:t>
            </w: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(164,393)</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29.86</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58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92.48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562,697</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56.24</w:t>
            </w: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42,215</w:t>
            </w:r>
          </w:p>
        </w:tc>
        <w:tc>
          <w:tcPr>
            <w:tcW w:w="1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152.68</w:t>
            </w: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(254,353)</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38.75</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58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129.43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346,822</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80.02</w:t>
            </w: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38,984</w:t>
            </w:r>
          </w:p>
        </w:tc>
        <w:tc>
          <w:tcPr>
            <w:tcW w:w="1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195.76</w:t>
            </w: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(94,338)</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49.91</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58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158.63</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289,374</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104.86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Of the total outstanding options at December 31, 2024, 0.2 million were exercisable. The outstanding and exercisable options had a weighted average exercise price of $86.95 per share and a weighted average remaining contractual life of 2.9 years.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table below presents additional information related to our stock options: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vested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16,705</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Intrinsic value of options outstanding</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40,692</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share of options granted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were estimated on the date of grant using the Black-Scholes option pricing model with the following weighted-average assumptions:</w:t>
      </w:r>
    </w:p>
    <w:p>
      <w:pPr>
        <w:spacing w:after="0" w:line="101"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33655</wp:posOffset>
            </wp:positionV>
            <wp:extent cx="32315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80" w:type="dxa"/>
            <w:vAlign w:val="bottom"/>
            <w:gridSpan w:val="2"/>
          </w:tcPr>
          <w:p>
            <w:pPr>
              <w:ind w:left="68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1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(in years)</w:t>
            </w:r>
          </w:p>
        </w:tc>
        <w:tc>
          <w:tcPr>
            <w:tcW w:w="10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50"/>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37.7 %</w:t>
            </w:r>
          </w:p>
        </w:tc>
      </w:tr>
      <w:tr>
        <w:trPr>
          <w:trHeight w:val="263"/>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2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 Restricted Stock Units and Awards, and Deferred Stock Units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grant PSU awards with certain target performance levels. These awards are earned based upon our Company’s total shareholder return as compared to an indexed total shareholder return over the course of a fiscal based three-year performance period, starting in the year of grant. Earned awards vest in the quarter following the conclusion of the performance period. Expense is recognized on a straight-line basis over the performance period, regardless of whether the market condition is satisfied as the likelihood of the market condition being met is included in the fair-value measurement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136525</wp:posOffset>
            </wp:positionV>
            <wp:extent cx="240030" cy="2317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58</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8" w:name="page59"/>
    <w:bookmarkEnd w:id="58"/>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RSUs generally vest over four years and, upon vesting, the holder is entitled to receive shares of our common stock.</w:t>
      </w:r>
    </w:p>
    <w:p>
      <w:pPr>
        <w:spacing w:after="0" w:line="11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RSAs vest over one year and, upon vesting, the holder is entitled to receive shares of our common stock. In lieu of RSAs, a participant may elect to receive DSUs with one year vesting, but the participant directs delayed receipt of common shares of up to ten years after the end of service to us.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Activity for our PSUs, RSUs, RSAs, and DSUs in aggregate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r>
      <w:tr>
        <w:trPr>
          <w:trHeight w:val="162"/>
        </w:trPr>
        <w:tc>
          <w:tcPr>
            <w:tcW w:w="8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204"/>
        </w:trPr>
        <w:tc>
          <w:tcPr>
            <w:tcW w:w="8180" w:type="dxa"/>
            <w:vAlign w:val="bottom"/>
          </w:tcPr>
          <w:p>
            <w:pPr>
              <w:spacing w:after="0"/>
              <w:rPr>
                <w:sz w:val="17"/>
                <w:szCs w:val="17"/>
                <w:color w:val="auto"/>
              </w:rPr>
            </w:pPr>
          </w:p>
        </w:tc>
        <w:tc>
          <w:tcPr>
            <w:tcW w:w="14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702,160</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78.03</w:t>
            </w: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312,880</w:t>
            </w:r>
          </w:p>
        </w:tc>
        <w:tc>
          <w:tcPr>
            <w:tcW w:w="1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126.44</w:t>
            </w: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 and common stock issued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(276,872)</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64.12</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(26,010)</w:t>
            </w:r>
          </w:p>
        </w:tc>
        <w:tc>
          <w:tcPr>
            <w:tcW w:w="158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99.37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712,158</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103.93</w:t>
            </w: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416,377</w:t>
            </w:r>
          </w:p>
        </w:tc>
        <w:tc>
          <w:tcPr>
            <w:tcW w:w="1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163.55</w:t>
            </w: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 and common stock issued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(344,087)</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77.52</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(11,034)</w:t>
            </w:r>
          </w:p>
        </w:tc>
        <w:tc>
          <w:tcPr>
            <w:tcW w:w="158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122.97</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773,414</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147.50</w:t>
            </w:r>
          </w:p>
        </w:tc>
      </w:tr>
      <w:tr>
        <w:trPr>
          <w:trHeight w:val="25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413,619</w:t>
            </w:r>
          </w:p>
        </w:tc>
        <w:tc>
          <w:tcPr>
            <w:tcW w:w="1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185.54</w:t>
            </w:r>
          </w:p>
        </w:tc>
      </w:tr>
      <w:tr>
        <w:trPr>
          <w:trHeight w:val="26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 and common stock issued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(462,481)</w:t>
            </w:r>
          </w:p>
        </w:tc>
        <w:tc>
          <w:tcPr>
            <w:tcW w:w="1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130.03</w:t>
            </w:r>
          </w:p>
        </w:tc>
      </w:tr>
      <w:tr>
        <w:trPr>
          <w:trHeight w:val="25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(35,030)</w:t>
            </w:r>
          </w:p>
        </w:tc>
        <w:tc>
          <w:tcPr>
            <w:tcW w:w="158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180.59</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689,522</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180.35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number of PSUs, RSUs, RSAs, and DSUs outstanding at December 31, 2024 included less than 0.1 million units that have vested, but the shares of common stock have not yet been issued, pursuant to the terms of the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ESPP activity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for shares purchased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0" w:type="dxa"/>
            <w:vAlign w:val="bottom"/>
          </w:tcPr>
          <w:p>
            <w:pPr>
              <w:spacing w:after="0"/>
              <w:rPr>
                <w:sz w:val="1"/>
                <w:szCs w:val="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purchased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70,107</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total of 1.6 million shares of common stock are remaining for issuance under the plan at December 31, 2024.</w:t>
      </w:r>
    </w:p>
    <w:p>
      <w:pPr>
        <w:spacing w:after="0" w:line="117" w:lineRule="exact"/>
        <w:rPr>
          <w:sz w:val="20"/>
          <w:szCs w:val="20"/>
          <w:color w:val="auto"/>
        </w:rPr>
      </w:pPr>
    </w:p>
    <w:p>
      <w:pPr>
        <w:ind w:right="980" w:firstLine="486"/>
        <w:spacing w:after="0" w:line="282" w:lineRule="auto"/>
        <w:rPr>
          <w:sz w:val="20"/>
          <w:szCs w:val="20"/>
          <w:color w:val="auto"/>
        </w:rPr>
      </w:pPr>
      <w:r>
        <w:rPr>
          <w:rFonts w:ascii="Times New Roman" w:cs="Times New Roman" w:eastAsia="Times New Roman" w:hAnsi="Times New Roman"/>
          <w:sz w:val="18"/>
          <w:szCs w:val="18"/>
          <w:color w:val="auto"/>
        </w:rPr>
        <w:t>The fair value was estimated based on the market price of our common stock at the beginning of the offering period using the following assumptions: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Pr>
          <w:p>
            <w:pPr>
              <w:spacing w:after="0"/>
              <w:rPr>
                <w:sz w:val="16"/>
                <w:szCs w:val="16"/>
                <w:color w:val="auto"/>
              </w:rPr>
            </w:pPr>
          </w:p>
        </w:tc>
      </w:tr>
      <w:tr>
        <w:trPr>
          <w:trHeight w:val="23"/>
        </w:trPr>
        <w:tc>
          <w:tcPr>
            <w:tcW w:w="3520" w:type="dxa"/>
            <w:vAlign w:val="bottom"/>
          </w:tcPr>
          <w:p>
            <w:pPr>
              <w:spacing w:after="0"/>
              <w:rPr>
                <w:sz w:val="2"/>
                <w:szCs w:val="2"/>
                <w:color w:val="auto"/>
              </w:rPr>
            </w:pPr>
          </w:p>
        </w:tc>
        <w:tc>
          <w:tcPr>
            <w:tcW w:w="370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3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(in years)</w:t>
            </w:r>
          </w:p>
        </w:tc>
        <w:tc>
          <w:tcPr>
            <w:tcW w:w="27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7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789"/>
        </w:trPr>
        <w:tc>
          <w:tcPr>
            <w:tcW w:w="352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SPS COMMERCE, INC.</w:t>
            </w:r>
          </w:p>
        </w:tc>
        <w:tc>
          <w:tcPr>
            <w:tcW w:w="2720" w:type="dxa"/>
            <w:vAlign w:val="bottom"/>
          </w:tcPr>
          <w:p>
            <w:pPr>
              <w:jc w:val="right"/>
              <w:ind w:right="788"/>
              <w:spacing w:after="0"/>
              <w:rPr>
                <w:sz w:val="20"/>
                <w:szCs w:val="20"/>
                <w:color w:val="auto"/>
              </w:rPr>
            </w:pPr>
            <w:r>
              <w:rPr>
                <w:rFonts w:ascii="Times New Roman" w:cs="Times New Roman" w:eastAsia="Times New Roman" w:hAnsi="Times New Roman"/>
                <w:sz w:val="14"/>
                <w:szCs w:val="14"/>
                <w:color w:val="auto"/>
              </w:rPr>
              <w:t>59</w:t>
            </w:r>
          </w:p>
        </w:tc>
        <w:tc>
          <w:tcPr>
            <w:tcW w:w="980" w:type="dxa"/>
            <w:vAlign w:val="bottom"/>
          </w:tcPr>
          <w:p>
            <w:pPr>
              <w:spacing w:after="0"/>
              <w:rPr>
                <w:sz w:val="24"/>
                <w:szCs w:val="24"/>
                <w:color w:val="auto"/>
              </w:rPr>
            </w:pPr>
          </w:p>
        </w:tc>
        <w:tc>
          <w:tcPr>
            <w:tcW w:w="4020" w:type="dxa"/>
            <w:vAlign w:val="bottom"/>
            <w:gridSpan w:val="5"/>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Form 10-K for the Annual Period ended December 31, 2024</w:t>
            </w:r>
          </w:p>
        </w:tc>
      </w:tr>
      <w:tr>
        <w:trPr>
          <w:trHeight w:val="226"/>
        </w:trPr>
        <w:tc>
          <w:tcPr>
            <w:tcW w:w="3520" w:type="dxa"/>
            <w:vAlign w:val="bottom"/>
            <w:tcBorders>
              <w:bottom w:val="single" w:sz="8" w:color="9A9A9A"/>
            </w:tcBorders>
          </w:tcPr>
          <w:p>
            <w:pPr>
              <w:spacing w:after="0"/>
              <w:rPr>
                <w:sz w:val="19"/>
                <w:szCs w:val="19"/>
                <w:color w:val="auto"/>
              </w:rPr>
            </w:pPr>
          </w:p>
        </w:tc>
        <w:tc>
          <w:tcPr>
            <w:tcW w:w="272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-454025</wp:posOffset>
            </wp:positionV>
            <wp:extent cx="240030" cy="2317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L –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provision for income taxes was comprised of the following components: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13,881</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The percentage of domestic income before income taxes, which we define as the percentage of consolidated income before income taxes that was attributable to our subsidiaries based in the U.S., was as follows:</w:t>
      </w:r>
    </w:p>
    <w:p>
      <w:pPr>
        <w:spacing w:after="0" w:line="10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33655</wp:posOffset>
            </wp:positionV>
            <wp:extent cx="31286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360" w:type="dxa"/>
            <w:vAlign w:val="bottom"/>
            <w:gridSpan w:val="2"/>
            <w:shd w:val="clear" w:color="auto" w:fill="CCEEFF"/>
          </w:tcPr>
          <w:p>
            <w:pPr>
              <w:jc w:val="right"/>
              <w:ind w:right="4580"/>
              <w:spacing w:after="0"/>
              <w:rPr>
                <w:sz w:val="20"/>
                <w:szCs w:val="20"/>
                <w:color w:val="auto"/>
              </w:rPr>
            </w:pPr>
            <w:r>
              <w:rPr>
                <w:rFonts w:ascii="Times New Roman" w:cs="Times New Roman" w:eastAsia="Times New Roman" w:hAnsi="Times New Roman"/>
                <w:sz w:val="18"/>
                <w:szCs w:val="18"/>
                <w:color w:val="auto"/>
              </w:rPr>
              <w:t>Domestic income before income taxes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reconciles the U.S. federal statutory income tax rate with our effective tax rate: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statutory federal income tax rate</w:t>
            </w:r>
          </w:p>
        </w:tc>
        <w:tc>
          <w:tcPr>
            <w:tcW w:w="18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state income taxes, net of federal tax effect</w:t>
            </w:r>
          </w:p>
        </w:tc>
        <w:tc>
          <w:tcPr>
            <w:tcW w:w="1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5.7</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impact of stock activity</w:t>
            </w: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(4.9)</w:t>
            </w:r>
          </w:p>
        </w:tc>
        <w:tc>
          <w:tcPr>
            <w:tcW w:w="1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1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w:t>
            </w:r>
          </w:p>
        </w:tc>
        <w:tc>
          <w:tcPr>
            <w:tcW w:w="1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w:t>
            </w:r>
          </w:p>
        </w:tc>
        <w:tc>
          <w:tcPr>
            <w:tcW w:w="16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18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(1.3)</w:t>
            </w:r>
          </w:p>
        </w:tc>
        <w:tc>
          <w:tcPr>
            <w:tcW w:w="16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0.3</w:t>
            </w:r>
          </w:p>
        </w:tc>
        <w:tc>
          <w:tcPr>
            <w:tcW w:w="1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86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SPS COMMERCE, INC.</w:t>
            </w:r>
          </w:p>
        </w:tc>
        <w:tc>
          <w:tcPr>
            <w:tcW w:w="1860" w:type="dxa"/>
            <w:vAlign w:val="bottom"/>
            <w:tcBorders>
              <w:top w:val="single" w:sz="8" w:color="CCEEFF"/>
              <w:bottom w:val="single" w:sz="8" w:color="CCEEFF"/>
            </w:tcBorders>
            <w:vMerge w:val="restart"/>
          </w:tcPr>
          <w:p>
            <w:pPr>
              <w:jc w:val="right"/>
              <w:ind w:right="868"/>
              <w:spacing w:after="0"/>
              <w:rPr>
                <w:sz w:val="20"/>
                <w:szCs w:val="20"/>
                <w:color w:val="auto"/>
              </w:rPr>
            </w:pPr>
            <w:r>
              <w:rPr>
                <w:rFonts w:ascii="Times New Roman" w:cs="Times New Roman" w:eastAsia="Times New Roman" w:hAnsi="Times New Roman"/>
                <w:sz w:val="14"/>
                <w:szCs w:val="14"/>
                <w:color w:val="auto"/>
              </w:rPr>
              <w:t>60</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46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940" w:type="dxa"/>
            <w:vAlign w:val="bottom"/>
            <w:gridSpan w:val="5"/>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w w:val="99"/>
              </w:rPr>
              <w:t>Form 10-K for the Annual Period ended December 31, 2024</w:t>
            </w:r>
          </w:p>
        </w:tc>
        <w:tc>
          <w:tcPr>
            <w:tcW w:w="0" w:type="dxa"/>
            <w:vAlign w:val="bottom"/>
          </w:tcPr>
          <w:p>
            <w:pPr>
              <w:spacing w:after="0"/>
              <w:rPr>
                <w:sz w:val="1"/>
                <w:szCs w:val="1"/>
                <w:color w:val="auto"/>
              </w:rPr>
            </w:pPr>
          </w:p>
        </w:tc>
      </w:tr>
      <w:tr>
        <w:trPr>
          <w:trHeight w:val="226"/>
        </w:trPr>
        <w:tc>
          <w:tcPr>
            <w:tcW w:w="4460" w:type="dxa"/>
            <w:vAlign w:val="bottom"/>
            <w:tcBorders>
              <w:bottom w:val="single" w:sz="8" w:color="9A9A9A"/>
            </w:tcBorders>
          </w:tcPr>
          <w:p>
            <w:pPr>
              <w:spacing w:after="0"/>
              <w:rPr>
                <w:sz w:val="19"/>
                <w:szCs w:val="19"/>
                <w:color w:val="auto"/>
              </w:rPr>
            </w:pPr>
          </w:p>
        </w:tc>
        <w:tc>
          <w:tcPr>
            <w:tcW w:w="186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-454025</wp:posOffset>
            </wp:positionV>
            <wp:extent cx="240030" cy="2317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ind w:left="102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significant components of our deferred income tax assets and liabilities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and credit carryforwards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5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0" w:type="dxa"/>
            <w:vAlign w:val="bottom"/>
          </w:tcPr>
          <w:p>
            <w:pPr>
              <w:spacing w:after="0"/>
              <w:rPr>
                <w:sz w:val="1"/>
                <w:szCs w:val="1"/>
                <w:color w:val="auto"/>
              </w:rPr>
            </w:pPr>
          </w:p>
        </w:tc>
      </w:tr>
      <w:tr>
        <w:trPr>
          <w:trHeight w:val="25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capitalized</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17,007</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deferred income tax assets</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income tax assets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45,765</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deferred income tax assets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43,220</w:t>
            </w:r>
          </w:p>
        </w:tc>
        <w:tc>
          <w:tcPr>
            <w:tcW w:w="0" w:type="dxa"/>
            <w:vAlign w:val="bottom"/>
          </w:tcPr>
          <w:p>
            <w:pPr>
              <w:spacing w:after="0"/>
              <w:rPr>
                <w:sz w:val="1"/>
                <w:szCs w:val="1"/>
                <w:color w:val="auto"/>
              </w:rPr>
            </w:pPr>
          </w:p>
        </w:tc>
      </w:tr>
      <w:tr>
        <w:trPr>
          <w:trHeight w:val="257"/>
        </w:trPr>
        <w:tc>
          <w:tcPr>
            <w:tcW w:w="506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1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costs</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(20,672)</w:t>
            </w:r>
          </w:p>
        </w:tc>
        <w:tc>
          <w:tcPr>
            <w:tcW w:w="0" w:type="dxa"/>
            <w:vAlign w:val="bottom"/>
          </w:tcPr>
          <w:p>
            <w:pPr>
              <w:spacing w:after="0"/>
              <w:rPr>
                <w:sz w:val="1"/>
                <w:szCs w:val="1"/>
                <w:color w:val="auto"/>
              </w:rPr>
            </w:pPr>
          </w:p>
        </w:tc>
      </w:tr>
      <w:tr>
        <w:trPr>
          <w:trHeight w:val="25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(28,066)</w:t>
            </w:r>
          </w:p>
        </w:tc>
        <w:tc>
          <w:tcPr>
            <w:tcW w:w="0" w:type="dxa"/>
            <w:vAlign w:val="bottom"/>
          </w:tcPr>
          <w:p>
            <w:pPr>
              <w:spacing w:after="0"/>
              <w:rPr>
                <w:sz w:val="1"/>
                <w:szCs w:val="1"/>
                <w:color w:val="auto"/>
              </w:rPr>
            </w:pPr>
          </w:p>
        </w:tc>
      </w:tr>
      <w:tr>
        <w:trPr>
          <w:trHeight w:val="250"/>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deferred income tax liabilities</w:t>
            </w:r>
          </w:p>
        </w:tc>
        <w:tc>
          <w:tcPr>
            <w:tcW w:w="154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5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(51,687)</w:t>
            </w:r>
          </w:p>
        </w:tc>
        <w:tc>
          <w:tcPr>
            <w:tcW w:w="0" w:type="dxa"/>
            <w:vAlign w:val="bottom"/>
          </w:tcPr>
          <w:p>
            <w:pPr>
              <w:spacing w:after="0"/>
              <w:rPr>
                <w:sz w:val="1"/>
                <w:szCs w:val="1"/>
                <w:color w:val="auto"/>
              </w:rPr>
            </w:pPr>
          </w:p>
        </w:tc>
      </w:tr>
      <w:tr>
        <w:trPr>
          <w:trHeight w:val="24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0" w:type="dxa"/>
            <w:vAlign w:val="bottom"/>
          </w:tcPr>
          <w:p>
            <w:pPr>
              <w:spacing w:after="0"/>
              <w:rPr>
                <w:sz w:val="1"/>
                <w:szCs w:val="1"/>
                <w:color w:val="auto"/>
              </w:rPr>
            </w:pPr>
          </w:p>
        </w:tc>
      </w:tr>
      <w:tr>
        <w:trPr>
          <w:trHeight w:val="27"/>
        </w:trPr>
        <w:tc>
          <w:tcPr>
            <w:tcW w:w="66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As of December 31, 2024, we had the following tax loss carryforwards:</w:t>
            </w: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66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expiration dates)</w:t>
            </w: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9"/>
                <w:szCs w:val="19"/>
                <w:color w:val="auto"/>
              </w:rPr>
            </w:pP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Expiration Dates</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1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loss carryforwards expected to expire unused due to Section 382 limitations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operating loss carryforwards, net of Section 382 limitations</w:t>
            </w: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2025 - 2037</w:t>
            </w:r>
          </w:p>
        </w:tc>
        <w:tc>
          <w:tcPr>
            <w:tcW w:w="0" w:type="dxa"/>
            <w:vAlign w:val="bottom"/>
          </w:tcPr>
          <w:p>
            <w:pPr>
              <w:spacing w:after="0"/>
              <w:rPr>
                <w:sz w:val="1"/>
                <w:szCs w:val="1"/>
                <w:color w:val="auto"/>
              </w:rPr>
            </w:pPr>
          </w:p>
        </w:tc>
      </w:tr>
      <w:tr>
        <w:trPr>
          <w:trHeight w:val="270"/>
        </w:trPr>
        <w:tc>
          <w:tcPr>
            <w:tcW w:w="506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operating loss carryforwards</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8"/>
              </w:rPr>
              <w:t>2025 - 2044</w:t>
            </w: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loss carryforwards</w:t>
            </w:r>
          </w:p>
        </w:tc>
        <w:tc>
          <w:tcPr>
            <w:tcW w:w="154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tax loss carryforwards, net of Section 382 limitations</w:t>
            </w: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00AAE5"/>
              </w:rPr>
              <w:t>NOTE M – Other Income and Expense</w:t>
            </w:r>
          </w:p>
        </w:tc>
        <w:tc>
          <w:tcPr>
            <w:tcW w:w="1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0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income, net included the following:</w:t>
            </w: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60" w:type="dxa"/>
            <w:vAlign w:val="bottom"/>
            <w:vMerge w:val="continue"/>
          </w:tcPr>
          <w:p>
            <w:pPr>
              <w:spacing w:after="0"/>
              <w:rPr>
                <w:sz w:val="16"/>
                <w:szCs w:val="16"/>
                <w:color w:val="auto"/>
              </w:rPr>
            </w:pPr>
          </w:p>
        </w:tc>
        <w:tc>
          <w:tcPr>
            <w:tcW w:w="1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15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4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25"/>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Realized gain (loss) from investments held and foreign currency impact on cash and</w:t>
            </w: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5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5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54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40"/>
              <w:spacing w:after="0"/>
              <w:rPr>
                <w:sz w:val="20"/>
                <w:szCs w:val="20"/>
                <w:color w:val="auto"/>
              </w:rPr>
            </w:pPr>
            <w:r>
              <w:rPr>
                <w:rFonts w:ascii="Times New Roman" w:cs="Times New Roman" w:eastAsia="Times New Roman" w:hAnsi="Times New Roman"/>
                <w:sz w:val="13"/>
                <w:szCs w:val="13"/>
                <w:b w:val="1"/>
                <w:bCs w:val="1"/>
                <w:color w:val="auto"/>
              </w:rPr>
              <w:t>SPS COMMERCE, INC.</w:t>
            </w:r>
          </w:p>
        </w:tc>
        <w:tc>
          <w:tcPr>
            <w:tcW w:w="1540" w:type="dxa"/>
            <w:vAlign w:val="bottom"/>
            <w:vMerge w:val="restart"/>
          </w:tcPr>
          <w:p>
            <w:pPr>
              <w:jc w:val="right"/>
              <w:ind w:right="1148"/>
              <w:spacing w:after="0"/>
              <w:rPr>
                <w:sz w:val="20"/>
                <w:szCs w:val="20"/>
                <w:color w:val="auto"/>
              </w:rPr>
            </w:pPr>
            <w:r>
              <w:rPr>
                <w:rFonts w:ascii="Times New Roman" w:cs="Times New Roman" w:eastAsia="Times New Roman" w:hAnsi="Times New Roman"/>
                <w:sz w:val="14"/>
                <w:szCs w:val="14"/>
                <w:color w:val="auto"/>
              </w:rPr>
              <w:t>61</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8"/>
        </w:trPr>
        <w:tc>
          <w:tcPr>
            <w:tcW w:w="506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300" w:type="dxa"/>
            <w:vAlign w:val="bottom"/>
            <w:gridSpan w:val="7"/>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Form 10-K for the Annual Period ended December 31, 2024</w:t>
            </w:r>
          </w:p>
        </w:tc>
        <w:tc>
          <w:tcPr>
            <w:tcW w:w="0" w:type="dxa"/>
            <w:vAlign w:val="bottom"/>
          </w:tcPr>
          <w:p>
            <w:pPr>
              <w:spacing w:after="0"/>
              <w:rPr>
                <w:sz w:val="1"/>
                <w:szCs w:val="1"/>
                <w:color w:val="auto"/>
              </w:rPr>
            </w:pPr>
          </w:p>
        </w:tc>
      </w:tr>
      <w:tr>
        <w:trPr>
          <w:trHeight w:val="225"/>
        </w:trPr>
        <w:tc>
          <w:tcPr>
            <w:tcW w:w="5060" w:type="dxa"/>
            <w:vAlign w:val="bottom"/>
            <w:tcBorders>
              <w:bottom w:val="single" w:sz="8" w:color="9A9A9A"/>
            </w:tcBorders>
          </w:tcPr>
          <w:p>
            <w:pPr>
              <w:spacing w:after="0"/>
              <w:rPr>
                <w:sz w:val="19"/>
                <w:szCs w:val="19"/>
                <w:color w:val="auto"/>
              </w:rPr>
            </w:pPr>
          </w:p>
        </w:tc>
        <w:tc>
          <w:tcPr>
            <w:tcW w:w="15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-454025</wp:posOffset>
            </wp:positionV>
            <wp:extent cx="240030" cy="2317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N – Net Income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and computation of basic and diluted net income per share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55,134</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Options to purchase common stock and ESPP</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PSUs, RSUs, RSAs, and DSUs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82"/>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4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number of outstanding potential common shares that were excluded from the calculation of diluted net income per share as they were anti-dilutive was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shares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O – Retirement Contributions</w:t>
      </w:r>
    </w:p>
    <w:p>
      <w:pPr>
        <w:spacing w:after="0" w:line="121"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We sponsor a 401(k) retirement savings plan for our U.S. employees. Eligible employees can contribute up to 80% of their compensation, subject to the limits established by law, and we match 50% of the employee’s contribution up to the first 6% of pre-tax annual compensation. A portion of our match is in Company stock, which is purchased from the open market by our plan provider and immediately deposited into the employee’s 401(k) account. Additionally, we make statutory contributions to retirement plans as required by local foreign government regulations.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total contributions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600" w:type="dxa"/>
            <w:vAlign w:val="bottom"/>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contributions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AAE5"/>
        </w:rPr>
        <w:t>NOTE P – Related Party Transactions</w:t>
      </w:r>
    </w:p>
    <w:p>
      <w:pPr>
        <w:spacing w:after="0" w:line="12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SPS Commerce Foundation (the “Foundation”) is a Minnesota non-profit organization exempt from federal taxation under Section 501(c)(3) of the Internal Revenue Code. The Foundation was formed in 2015 to engage in, advance, support, promote and administer charitable activities. The directors of the Foundation are also our executive officers. These directors receive no compensation from the Foundation or us for the management services performed for the Foundation. The Foundation is not a subsidiary of ours and the financial results of the Foundation are not consolidated with our financial statements. We have no current legal obligations for future commitments to the Foundation. Contributions to the Foundation were recorded in general and administrative expense in our consolidated statements of comprehensive income. The activity was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Foundation contributions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00AAE5"/>
        </w:rPr>
        <w:t>Item 9.</w:t>
      </w:r>
      <w:r>
        <w:rPr>
          <w:sz w:val="20"/>
          <w:szCs w:val="20"/>
          <w:color w:val="auto"/>
        </w:rPr>
        <w:tab/>
      </w:r>
      <w:r>
        <w:rPr>
          <w:rFonts w:ascii="Times New Roman" w:cs="Times New Roman" w:eastAsia="Times New Roman" w:hAnsi="Times New Roman"/>
          <w:sz w:val="17"/>
          <w:szCs w:val="17"/>
          <w:b w:val="1"/>
          <w:bCs w:val="1"/>
          <w:color w:val="00AAE5"/>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240030" cy="2317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62</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00AAE5"/>
        </w:rPr>
        <w:t>Item 9A.</w:t>
      </w:r>
      <w:r>
        <w:rPr>
          <w:sz w:val="20"/>
          <w:szCs w:val="20"/>
          <w:color w:val="auto"/>
        </w:rPr>
        <w:tab/>
      </w:r>
      <w:r>
        <w:rPr>
          <w:rFonts w:ascii="Times New Roman" w:cs="Times New Roman" w:eastAsia="Times New Roman" w:hAnsi="Times New Roman"/>
          <w:sz w:val="17"/>
          <w:szCs w:val="17"/>
          <w:b w:val="1"/>
          <w:bCs w:val="1"/>
          <w:color w:val="00AAE5"/>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Assessment of Disclosure Controls and Procedures</w:t>
      </w:r>
    </w:p>
    <w:p>
      <w:pPr>
        <w:spacing w:after="0" w:line="12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We assessed the effectiveness of the design and operation of our disclosure controls and procedures as of December 31, 2024, the end of the period covered by this Annual Report on Form 10-K. This assessment was done under the supervision and with the participation of management, including our Chief Executive Officer and Chief Financial Officer. Disclosure controls and procedures means controls and other procedures that are designed to provide reasonable assurance that information required to be disclosed in the reports that we file or submit under the Exchange Act, such as this Annual Report on Form 10-K, is recorded, processed, summarized and reported within the time periods specified in the rules and forms of the SEC. Disclosure controls and procedures include, without limitation, controls and procedures designed such that information is accumulated and communicated to our management, including our Chief Executive Officer and Chief Financial Officer, as appropriate to allow timely decisions regarding required disclosure. Based on this assessment, our Chief Executive Officer and Chief Financial Officer have concluded that as of December 31, 2024, our disclosure controls and procedures were effective.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consolidated financial statements for external purposes in accordance with GAAP and includes those policies and procedures that:</w:t>
      </w:r>
    </w:p>
    <w:p>
      <w:pPr>
        <w:spacing w:after="0" w:line="75"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980" w:right="220" w:hanging="486"/>
        <w:spacing w:after="0" w:line="312" w:lineRule="auto"/>
        <w:tabs>
          <w:tab w:leader="none" w:pos="97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31" w:lineRule="exact"/>
        <w:rPr>
          <w:rFonts w:ascii="Times New Roman" w:cs="Times New Roman" w:eastAsia="Times New Roman" w:hAnsi="Times New Roman"/>
          <w:sz w:val="17"/>
          <w:szCs w:val="17"/>
          <w:color w:val="auto"/>
        </w:rPr>
      </w:pPr>
    </w:p>
    <w:p>
      <w:pPr>
        <w:ind w:left="980" w:right="120" w:hanging="486"/>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54"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management, including our principal executive and financial officers, we assessed our internal control over financial reporting as of December 31, 2024, based on criteria for effective internal control over financial reporting established in the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68"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Based on this assessment, management concluded that we maintained effective internal control over financial reporting as of December 31, 2024 based on the specified criteria.</w:t>
      </w:r>
    </w:p>
    <w:p>
      <w:pPr>
        <w:spacing w:after="0" w:line="5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Pursuant to the SEC’s general guidance that the assessment of a recently acquired business' internal control over financial reporting may be omitted in the year of acquisition, the scope of the assessment of our internal control over financial reporting as of December 31, 2024 excluded SupplyPike (acquired in July 2024). Our assessment of the effectiveness of internal control over financial reporting as of December 31, 2025 will include SupplyPike. Excluding net intangible assets and goodwill, SupplyPike represented less than 5% of our consolidated assets as of December 31, 2024 and less than 5% of our consolidated revenues for the year ended December 31, 2024. </w:t>
      </w:r>
    </w:p>
    <w:p>
      <w:pPr>
        <w:spacing w:after="0" w:line="75"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KPMG LLP, our independent registered public accounting firm, as stated in their report, which is included under Item 8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122555</wp:posOffset>
            </wp:positionV>
            <wp:extent cx="240030" cy="2317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63</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00AAE5"/>
        </w:rPr>
        <w:t>Item 9B.</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Adoption or Termination of Trading Arrangements</w:t>
      </w:r>
    </w:p>
    <w:p>
      <w:pPr>
        <w:spacing w:after="0" w:line="108" w:lineRule="exact"/>
        <w:rPr>
          <w:sz w:val="20"/>
          <w:szCs w:val="20"/>
          <w:color w:val="auto"/>
        </w:rPr>
      </w:pPr>
    </w:p>
    <w:p>
      <w:pPr>
        <w:ind w:right="240" w:firstLine="648"/>
        <w:spacing w:after="0" w:line="272" w:lineRule="auto"/>
        <w:rPr>
          <w:sz w:val="20"/>
          <w:szCs w:val="20"/>
          <w:color w:val="auto"/>
        </w:rPr>
      </w:pPr>
      <w:r>
        <w:rPr>
          <w:rFonts w:ascii="Times New Roman" w:cs="Times New Roman" w:eastAsia="Times New Roman" w:hAnsi="Times New Roman"/>
          <w:sz w:val="17"/>
          <w:szCs w:val="17"/>
          <w:color w:val="auto"/>
        </w:rPr>
        <w:t>During the three months ended December 31, 2024,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27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00AAE5"/>
        </w:rPr>
        <w:t>Item 9C.</w:t>
      </w:r>
      <w:r>
        <w:rPr>
          <w:sz w:val="20"/>
          <w:szCs w:val="20"/>
          <w:color w:val="auto"/>
        </w:rPr>
        <w:tab/>
      </w:r>
      <w:r>
        <w:rPr>
          <w:rFonts w:ascii="Times New Roman" w:cs="Times New Roman" w:eastAsia="Times New Roman" w:hAnsi="Times New Roman"/>
          <w:sz w:val="17"/>
          <w:szCs w:val="17"/>
          <w:b w:val="1"/>
          <w:bCs w:val="1"/>
          <w:color w:val="00AAE5"/>
        </w:rPr>
        <w:t>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240030" cy="2311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64</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PART III</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00AAE5"/>
        </w:rPr>
        <w:t>Item 10.</w:t>
        <w:tab/>
        <w:t>Directors, Executive Officers and Corporate Governance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under the captions “Election of Directors,”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Regarding the Board of Directors and Corporate Governance,” “Audit Committee Report and Payment of Fees to Our Independent Auditor,”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“Delinquent Section 16(a) Reports” and is incorporated herein by reference.</w:t>
      </w:r>
    </w:p>
    <w:p>
      <w:pPr>
        <w:spacing w:after="0" w:line="31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00AAE5"/>
        </w:rPr>
        <w:t>Item 11.</w:t>
        <w:tab/>
        <w:t>Executive Compensation</w:t>
      </w:r>
    </w:p>
    <w:p>
      <w:pPr>
        <w:spacing w:after="0" w:line="121"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under the captions “Executive Compensation,” “Director Compensation,” and “Security Ownership”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00AAE5"/>
        </w:rPr>
        <w:t>Item 12.</w:t>
      </w:r>
      <w:r>
        <w:rPr>
          <w:sz w:val="20"/>
          <w:szCs w:val="20"/>
          <w:color w:val="auto"/>
        </w:rPr>
        <w:tab/>
      </w:r>
      <w:r>
        <w:rPr>
          <w:rFonts w:ascii="Times New Roman" w:cs="Times New Roman" w:eastAsia="Times New Roman" w:hAnsi="Times New Roman"/>
          <w:sz w:val="17"/>
          <w:szCs w:val="17"/>
          <w:b w:val="1"/>
          <w:bCs w:val="1"/>
          <w:color w:val="00AAE5"/>
        </w:rPr>
        <w:t>Security Ownership of Certain Beneficial Owners and Management and Related Stockholder Matters</w:t>
      </w:r>
    </w:p>
    <w:p>
      <w:pPr>
        <w:spacing w:after="0" w:line="12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under the caption “Security Ownership” and is incorporated herein by reference.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00AAE5"/>
        </w:rPr>
        <w:t>Item 13.</w:t>
      </w:r>
      <w:r>
        <w:rPr>
          <w:sz w:val="20"/>
          <w:szCs w:val="20"/>
          <w:color w:val="auto"/>
        </w:rPr>
        <w:tab/>
      </w:r>
      <w:r>
        <w:rPr>
          <w:rFonts w:ascii="Times New Roman" w:cs="Times New Roman" w:eastAsia="Times New Roman" w:hAnsi="Times New Roman"/>
          <w:sz w:val="17"/>
          <w:szCs w:val="17"/>
          <w:b w:val="1"/>
          <w:bCs w:val="1"/>
          <w:color w:val="00AAE5"/>
        </w:rPr>
        <w:t>Certain Relationships and Related Transactions, and Director Independence</w:t>
      </w:r>
    </w:p>
    <w:p>
      <w:pPr>
        <w:spacing w:after="0" w:line="121"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under the captions “Election of Directors,” “Information Regarding the Board of Directors and Corporate Governance,” and “Certain Relationships and Related Transactions” and is incorporated herein by the reference.</w:t>
      </w:r>
    </w:p>
    <w:p>
      <w:pPr>
        <w:spacing w:after="0" w:line="2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00AAE5"/>
        </w:rPr>
        <w:t>Item 14.</w:t>
      </w:r>
      <w:r>
        <w:rPr>
          <w:sz w:val="20"/>
          <w:szCs w:val="20"/>
          <w:color w:val="auto"/>
        </w:rPr>
        <w:tab/>
      </w:r>
      <w:r>
        <w:rPr>
          <w:rFonts w:ascii="Times New Roman" w:cs="Times New Roman" w:eastAsia="Times New Roman" w:hAnsi="Times New Roman"/>
          <w:sz w:val="17"/>
          <w:szCs w:val="17"/>
          <w:b w:val="1"/>
          <w:bCs w:val="1"/>
          <w:color w:val="00AAE5"/>
        </w:rPr>
        <w:t>Principal Accountant Fees and Services</w:t>
      </w:r>
    </w:p>
    <w:p>
      <w:pPr>
        <w:spacing w:after="0" w:line="12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under the caption “Audit Committee Report and Payment of Fees to Our Independent Auditor” and is incorporated herein by reference.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PART IV</w:t>
      </w:r>
    </w:p>
    <w:p>
      <w:pPr>
        <w:spacing w:after="0" w:line="3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00AAE5"/>
        </w:rPr>
        <w:t>Item 15.</w:t>
      </w:r>
      <w:r>
        <w:rPr>
          <w:sz w:val="20"/>
          <w:szCs w:val="20"/>
          <w:color w:val="auto"/>
        </w:rPr>
        <w:tab/>
      </w:r>
      <w:r>
        <w:rPr>
          <w:rFonts w:ascii="Times New Roman" w:cs="Times New Roman" w:eastAsia="Times New Roman" w:hAnsi="Times New Roman"/>
          <w:sz w:val="17"/>
          <w:szCs w:val="17"/>
          <w:b w:val="1"/>
          <w:bCs w:val="1"/>
          <w:color w:val="00AAE5"/>
        </w:rPr>
        <w:t>Exhibits and Financial Statement Schedules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117" w:lineRule="exact"/>
        <w:rPr>
          <w:sz w:val="20"/>
          <w:szCs w:val="20"/>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financial statements filed as a part of this report are listed in Part II, Item 8.</w:t>
      </w:r>
    </w:p>
    <w:p>
      <w:pPr>
        <w:spacing w:after="0" w:line="117"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The schedules are either not applicable or the required information is presented in the consolidated financial statements or notes thereto.</w:t>
      </w:r>
    </w:p>
    <w:p>
      <w:pPr>
        <w:spacing w:after="0" w:line="53"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7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incorporated by reference or filed as a part of this Annual Report on Form 10-K are listed in the Exhibit Index prior to the signatures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122555</wp:posOffset>
            </wp:positionV>
            <wp:extent cx="240030" cy="2317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40"/>
        <w:spacing w:after="0"/>
        <w:tabs>
          <w:tab w:leader="none" w:pos="5220" w:val="left"/>
          <w:tab w:leader="none" w:pos="7400" w:val="left"/>
        </w:tabs>
        <w:rPr>
          <w:sz w:val="20"/>
          <w:szCs w:val="20"/>
          <w:color w:val="auto"/>
        </w:rPr>
      </w:pPr>
      <w:r>
        <w:rPr>
          <w:rFonts w:ascii="Times New Roman" w:cs="Times New Roman" w:eastAsia="Times New Roman" w:hAnsi="Times New Roman"/>
          <w:sz w:val="13"/>
          <w:szCs w:val="13"/>
          <w:b w:val="1"/>
          <w:bCs w:val="1"/>
          <w:color w:val="auto"/>
        </w:rPr>
        <w:t>SPS COMMERCE, INC.</w:t>
      </w:r>
      <w:r>
        <w:rPr>
          <w:sz w:val="20"/>
          <w:szCs w:val="20"/>
          <w:color w:val="auto"/>
        </w:rPr>
        <w:tab/>
      </w:r>
      <w:r>
        <w:rPr>
          <w:rFonts w:ascii="Times New Roman" w:cs="Times New Roman" w:eastAsia="Times New Roman" w:hAnsi="Times New Roman"/>
          <w:sz w:val="14"/>
          <w:szCs w:val="14"/>
          <w:color w:val="auto"/>
        </w:rPr>
        <w:t>65</w:t>
      </w:r>
      <w:r>
        <w:rPr>
          <w:sz w:val="20"/>
          <w:szCs w:val="20"/>
          <w:color w:val="auto"/>
        </w:rPr>
        <w:tab/>
      </w:r>
      <w:r>
        <w:rPr>
          <w:rFonts w:ascii="Times New Roman" w:cs="Times New Roman" w:eastAsia="Times New Roman" w:hAnsi="Times New Roman"/>
          <w:sz w:val="12"/>
          <w:szCs w:val="12"/>
          <w:b w:val="1"/>
          <w:bCs w:val="1"/>
          <w:color w:val="auto"/>
        </w:rPr>
        <w:t>Form 10-K for the Annual Period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Incorporated By Reference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6"/>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3"/>
          </w:tcPr>
          <w:p>
            <w:pPr>
              <w:jc w:val="center"/>
              <w:ind w:right="320"/>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w w:val="98"/>
              </w:rPr>
              <w:t>Date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rPr>
              <w:t>Exhibit</w:t>
            </w: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First</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8"/>
              </w:rPr>
              <w:t>Filed</w:t>
            </w:r>
          </w:p>
        </w:tc>
      </w:tr>
      <w:tr>
        <w:trPr>
          <w:trHeight w:val="206"/>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rPr>
              <w:t>Number</w:t>
            </w:r>
          </w:p>
        </w:tc>
        <w:tc>
          <w:tcPr>
            <w:tcW w:w="5080" w:type="dxa"/>
            <w:vAlign w:val="bottom"/>
            <w:gridSpan w:val="2"/>
          </w:tcPr>
          <w:p>
            <w:pPr>
              <w:ind w:left="1900"/>
              <w:spacing w:after="0"/>
              <w:rPr>
                <w:sz w:val="20"/>
                <w:szCs w:val="20"/>
                <w:color w:val="auto"/>
              </w:rPr>
            </w:pPr>
            <w:r>
              <w:rPr>
                <w:rFonts w:ascii="Times New Roman" w:cs="Times New Roman" w:eastAsia="Times New Roman" w:hAnsi="Times New Roman"/>
                <w:sz w:val="14"/>
                <w:szCs w:val="14"/>
                <w:b w:val="1"/>
                <w:bCs w:val="1"/>
                <w:i w:val="1"/>
                <w:iCs w:val="1"/>
                <w:color w:val="auto"/>
              </w:rPr>
              <w:t>Exhibit Description</w:t>
            </w:r>
          </w:p>
        </w:tc>
        <w:tc>
          <w:tcPr>
            <w:tcW w:w="10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Form</w:t>
            </w:r>
          </w:p>
        </w:tc>
        <w:tc>
          <w:tcPr>
            <w:tcW w:w="80" w:type="dxa"/>
            <w:vAlign w:val="bottom"/>
          </w:tcPr>
          <w:p>
            <w:pPr>
              <w:spacing w:after="0"/>
              <w:rPr>
                <w:sz w:val="17"/>
                <w:szCs w:val="17"/>
                <w:color w:val="auto"/>
              </w:rPr>
            </w:pPr>
          </w:p>
        </w:tc>
        <w:tc>
          <w:tcPr>
            <w:tcW w:w="16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Filing</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Number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Herewith</w:t>
            </w: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ectPr>
          <w:pgSz w:w="11900" w:h="16838" w:orient="portrait"/>
          <w:cols w:equalWidth="0" w:num="1">
            <w:col w:w="11240"/>
          </w:cols>
          <w:pgMar w:left="320" w:top="118" w:right="339" w:bottom="1440" w:gutter="0" w:footer="0" w:header="0"/>
        </w:sectPr>
      </w:pPr>
    </w:p>
    <w:p>
      <w:pPr>
        <w:ind w:left="500"/>
        <w:spacing w:after="0"/>
        <w:rPr>
          <w:sz w:val="20"/>
          <w:szCs w:val="20"/>
          <w:color w:val="auto"/>
        </w:rPr>
      </w:pPr>
      <w:r>
        <w:rPr>
          <w:rFonts w:ascii="Times New Roman" w:cs="Times New Roman" w:eastAsia="Times New Roman" w:hAnsi="Times New Roman"/>
          <w:sz w:val="18"/>
          <w:szCs w:val="18"/>
          <w:color w:val="auto"/>
        </w:rPr>
        <w:t>3.1</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4.1</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10.1</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10.2</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10.3</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10.4</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10.5</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10.6</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10.7</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10.8</w:t>
      </w:r>
    </w:p>
    <w:p>
      <w:pPr>
        <w:spacing w:after="0" w:line="3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10.9</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10.10</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10.11</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10.12</w:t>
      </w:r>
    </w:p>
    <w:p>
      <w:pPr>
        <w:spacing w:after="0" w:line="3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10.13</w:t>
      </w:r>
    </w:p>
    <w:p>
      <w:pPr>
        <w:spacing w:after="0" w:line="200" w:lineRule="exact"/>
        <w:rPr>
          <w:sz w:val="20"/>
          <w:szCs w:val="20"/>
          <w:color w:val="auto"/>
        </w:rPr>
      </w:pPr>
    </w:p>
    <w:p>
      <w:pPr>
        <w:spacing w:after="0" w:line="2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10.14</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10.15</w:t>
      </w:r>
    </w:p>
    <w:p>
      <w:pPr>
        <w:spacing w:after="0" w:line="200" w:lineRule="exact"/>
        <w:rPr>
          <w:sz w:val="20"/>
          <w:szCs w:val="20"/>
          <w:color w:val="auto"/>
        </w:rPr>
      </w:pPr>
    </w:p>
    <w:p>
      <w:pPr>
        <w:spacing w:after="0" w:line="3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10.16</w:t>
      </w:r>
    </w:p>
    <w:p>
      <w:pPr>
        <w:spacing w:after="0" w:line="20" w:lineRule="exact"/>
        <w:rPr>
          <w:sz w:val="20"/>
          <w:szCs w:val="20"/>
          <w:color w:val="auto"/>
        </w:rPr>
      </w:pPr>
      <w:r>
        <w:rPr>
          <w:sz w:val="20"/>
          <w:szCs w:val="20"/>
          <w:color w:val="auto"/>
        </w:rPr>
        <w:br w:type="column"/>
      </w:r>
    </w:p>
    <w:p>
      <w:pPr>
        <w:ind w:right="180"/>
        <w:spacing w:after="0" w:line="360" w:lineRule="auto"/>
        <w:rPr>
          <w:rFonts w:ascii="Times New Roman" w:cs="Times New Roman" w:eastAsia="Times New Roman" w:hAnsi="Times New Roman"/>
          <w:sz w:val="18"/>
          <w:szCs w:val="18"/>
          <w:u w:val="single" w:color="auto"/>
          <w:color w:val="0000EF"/>
        </w:rPr>
      </w:pPr>
      <w:hyperlink r:id="rId157">
        <w:r>
          <w:rPr>
            <w:rFonts w:ascii="Times New Roman" w:cs="Times New Roman" w:eastAsia="Times New Roman" w:hAnsi="Times New Roman"/>
            <w:sz w:val="18"/>
            <w:szCs w:val="18"/>
            <w:u w:val="single" w:color="auto"/>
            <w:color w:val="0000EF"/>
          </w:rPr>
          <w:t>Tenth Amended and Restated Certificate of Incorporation</w:t>
        </w:r>
      </w:hyperlink>
      <w:r>
        <w:rPr>
          <w:rFonts w:ascii="Times New Roman" w:cs="Times New Roman" w:eastAsia="Times New Roman" w:hAnsi="Times New Roman"/>
          <w:sz w:val="18"/>
          <w:szCs w:val="18"/>
          <w:u w:val="single" w:color="auto"/>
          <w:color w:val="0000EF"/>
        </w:rPr>
        <w:t xml:space="preserve"> </w:t>
      </w:r>
      <w:hyperlink r:id="rId158">
        <w:r>
          <w:rPr>
            <w:rFonts w:ascii="Times New Roman" w:cs="Times New Roman" w:eastAsia="Times New Roman" w:hAnsi="Times New Roman"/>
            <w:sz w:val="18"/>
            <w:szCs w:val="18"/>
            <w:u w:val="single" w:color="auto"/>
            <w:color w:val="0000FF"/>
          </w:rPr>
          <w:t>Amended and Restated Bylaws, effective as of February 17, 2023</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EF"/>
          </w:rPr>
          <w:t>Description of Capital Stock</w:t>
        </w:r>
      </w:hyperlink>
    </w:p>
    <w:p>
      <w:pPr>
        <w:ind w:right="440"/>
        <w:spacing w:after="0" w:line="266" w:lineRule="auto"/>
        <w:rPr>
          <w:rFonts w:ascii="Times New Roman" w:cs="Times New Roman" w:eastAsia="Times New Roman" w:hAnsi="Times New Roman"/>
          <w:sz w:val="18"/>
          <w:szCs w:val="18"/>
          <w:u w:val="single" w:color="auto"/>
          <w:color w:val="0000EF"/>
        </w:rPr>
      </w:pPr>
      <w:hyperlink r:id="rId160">
        <w:r>
          <w:rPr>
            <w:rFonts w:ascii="Times New Roman" w:cs="Times New Roman" w:eastAsia="Times New Roman" w:hAnsi="Times New Roman"/>
            <w:sz w:val="18"/>
            <w:szCs w:val="18"/>
            <w:u w:val="single" w:color="auto"/>
            <w:color w:val="0000EF"/>
          </w:rPr>
          <w:t>2010 Equity Incentive Plan, as amended effective October 29,</w:t>
        </w:r>
      </w:hyperlink>
      <w:r>
        <w:rPr>
          <w:rFonts w:ascii="Times New Roman" w:cs="Times New Roman" w:eastAsia="Times New Roman" w:hAnsi="Times New Roman"/>
          <w:sz w:val="18"/>
          <w:szCs w:val="18"/>
          <w:u w:val="single" w:color="auto"/>
          <w:color w:val="0000EF"/>
        </w:rPr>
        <w:t xml:space="preserve"> </w:t>
      </w:r>
      <w:hyperlink r:id="rId160">
        <w:r>
          <w:rPr>
            <w:rFonts w:ascii="Times New Roman" w:cs="Times New Roman" w:eastAsia="Times New Roman" w:hAnsi="Times New Roman"/>
            <w:sz w:val="18"/>
            <w:szCs w:val="18"/>
            <w:u w:val="single" w:color="auto"/>
            <w:color w:val="0000EF"/>
          </w:rPr>
          <w:t>2014**</w:t>
        </w:r>
      </w:hyperlink>
    </w:p>
    <w:p>
      <w:pPr>
        <w:spacing w:after="0" w:line="68" w:lineRule="exact"/>
        <w:rPr>
          <w:sz w:val="20"/>
          <w:szCs w:val="20"/>
          <w:color w:val="auto"/>
        </w:rPr>
      </w:pPr>
    </w:p>
    <w:p>
      <w:pPr>
        <w:ind w:right="380"/>
        <w:spacing w:after="0" w:line="266" w:lineRule="auto"/>
        <w:rPr>
          <w:rFonts w:ascii="Times New Roman" w:cs="Times New Roman" w:eastAsia="Times New Roman" w:hAnsi="Times New Roman"/>
          <w:sz w:val="18"/>
          <w:szCs w:val="18"/>
          <w:u w:val="single" w:color="auto"/>
          <w:color w:val="0000EF"/>
        </w:rPr>
      </w:pPr>
      <w:hyperlink r:id="rId161">
        <w:r>
          <w:rPr>
            <w:rFonts w:ascii="Times New Roman" w:cs="Times New Roman" w:eastAsia="Times New Roman" w:hAnsi="Times New Roman"/>
            <w:sz w:val="18"/>
            <w:szCs w:val="18"/>
            <w:u w:val="single" w:color="auto"/>
            <w:color w:val="0000EF"/>
          </w:rPr>
          <w:t>Form of Incentive Stock Option Agreement under 2010 Equity</w:t>
        </w:r>
      </w:hyperlink>
      <w:r>
        <w:rPr>
          <w:rFonts w:ascii="Times New Roman" w:cs="Times New Roman" w:eastAsia="Times New Roman" w:hAnsi="Times New Roman"/>
          <w:sz w:val="18"/>
          <w:szCs w:val="18"/>
          <w:u w:val="single" w:color="auto"/>
          <w:color w:val="0000EF"/>
        </w:rPr>
        <w:t xml:space="preserve"> </w:t>
      </w:r>
      <w:hyperlink r:id="rId161">
        <w:r>
          <w:rPr>
            <w:rFonts w:ascii="Times New Roman" w:cs="Times New Roman" w:eastAsia="Times New Roman" w:hAnsi="Times New Roman"/>
            <w:sz w:val="18"/>
            <w:szCs w:val="18"/>
            <w:u w:val="single" w:color="auto"/>
            <w:color w:val="0000EF"/>
          </w:rPr>
          <w:t>Incentive Plan**</w:t>
        </w:r>
      </w:hyperlink>
    </w:p>
    <w:p>
      <w:pPr>
        <w:spacing w:after="0" w:line="68" w:lineRule="exact"/>
        <w:rPr>
          <w:sz w:val="20"/>
          <w:szCs w:val="20"/>
          <w:color w:val="auto"/>
        </w:rPr>
      </w:pPr>
    </w:p>
    <w:p>
      <w:pPr>
        <w:ind w:right="60"/>
        <w:spacing w:after="0" w:line="266"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Form of Non-Statutory Stock Option Agreement (Employee) under</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2010 Equity Incentive Plan**</w:t>
        </w:r>
      </w:hyperlink>
    </w:p>
    <w:p>
      <w:pPr>
        <w:spacing w:after="0" w:line="68" w:lineRule="exact"/>
        <w:rPr>
          <w:sz w:val="20"/>
          <w:szCs w:val="20"/>
          <w:color w:val="auto"/>
        </w:rPr>
      </w:pPr>
    </w:p>
    <w:p>
      <w:pPr>
        <w:ind w:right="180"/>
        <w:spacing w:after="0" w:line="266" w:lineRule="auto"/>
        <w:rPr>
          <w:rFonts w:ascii="Times New Roman" w:cs="Times New Roman" w:eastAsia="Times New Roman" w:hAnsi="Times New Roman"/>
          <w:sz w:val="18"/>
          <w:szCs w:val="18"/>
          <w:u w:val="single" w:color="auto"/>
          <w:color w:val="0000EF"/>
        </w:rPr>
      </w:pPr>
      <w:hyperlink r:id="rId163">
        <w:r>
          <w:rPr>
            <w:rFonts w:ascii="Times New Roman" w:cs="Times New Roman" w:eastAsia="Times New Roman" w:hAnsi="Times New Roman"/>
            <w:sz w:val="18"/>
            <w:szCs w:val="18"/>
            <w:u w:val="single" w:color="auto"/>
            <w:color w:val="0000EF"/>
          </w:rPr>
          <w:t>Form of Non-Statutory Stock Option Agreement (Director) under</w:t>
        </w:r>
      </w:hyperlink>
      <w:r>
        <w:rPr>
          <w:rFonts w:ascii="Times New Roman" w:cs="Times New Roman" w:eastAsia="Times New Roman" w:hAnsi="Times New Roman"/>
          <w:sz w:val="18"/>
          <w:szCs w:val="18"/>
          <w:u w:val="single" w:color="auto"/>
          <w:color w:val="0000EF"/>
        </w:rPr>
        <w:t xml:space="preserve"> </w:t>
      </w:r>
      <w:hyperlink r:id="rId163">
        <w:r>
          <w:rPr>
            <w:rFonts w:ascii="Times New Roman" w:cs="Times New Roman" w:eastAsia="Times New Roman" w:hAnsi="Times New Roman"/>
            <w:sz w:val="18"/>
            <w:szCs w:val="18"/>
            <w:u w:val="single" w:color="auto"/>
            <w:color w:val="0000EF"/>
          </w:rPr>
          <w:t>2010 Equity Incentive Plan**</w:t>
        </w:r>
      </w:hyperlink>
    </w:p>
    <w:p>
      <w:pPr>
        <w:spacing w:after="0" w:line="68" w:lineRule="exact"/>
        <w:rPr>
          <w:sz w:val="20"/>
          <w:szCs w:val="20"/>
          <w:color w:val="auto"/>
        </w:rPr>
      </w:pPr>
    </w:p>
    <w:p>
      <w:pPr>
        <w:ind w:right="20"/>
        <w:spacing w:after="0" w:line="266" w:lineRule="auto"/>
        <w:rPr>
          <w:rFonts w:ascii="Times New Roman" w:cs="Times New Roman" w:eastAsia="Times New Roman" w:hAnsi="Times New Roman"/>
          <w:sz w:val="18"/>
          <w:szCs w:val="18"/>
          <w:u w:val="single" w:color="auto"/>
          <w:color w:val="0000EF"/>
        </w:rPr>
      </w:pPr>
      <w:hyperlink r:id="rId164">
        <w:r>
          <w:rPr>
            <w:rFonts w:ascii="Times New Roman" w:cs="Times New Roman" w:eastAsia="Times New Roman" w:hAnsi="Times New Roman"/>
            <w:sz w:val="18"/>
            <w:szCs w:val="18"/>
            <w:u w:val="single" w:color="auto"/>
            <w:color w:val="0000EF"/>
          </w:rPr>
          <w:t>Form of Restricted Stock Unit Award Agreement (Employee) under</w:t>
        </w:r>
      </w:hyperlink>
      <w:r>
        <w:rPr>
          <w:rFonts w:ascii="Times New Roman" w:cs="Times New Roman" w:eastAsia="Times New Roman" w:hAnsi="Times New Roman"/>
          <w:sz w:val="18"/>
          <w:szCs w:val="18"/>
          <w:u w:val="single" w:color="auto"/>
          <w:color w:val="0000EF"/>
        </w:rPr>
        <w:t xml:space="preserve"> </w:t>
      </w:r>
      <w:hyperlink r:id="rId164">
        <w:r>
          <w:rPr>
            <w:rFonts w:ascii="Times New Roman" w:cs="Times New Roman" w:eastAsia="Times New Roman" w:hAnsi="Times New Roman"/>
            <w:sz w:val="18"/>
            <w:szCs w:val="18"/>
            <w:u w:val="single" w:color="auto"/>
            <w:color w:val="0000EF"/>
          </w:rPr>
          <w:t>2010 Equity Incentive Plan**</w:t>
        </w:r>
      </w:hyperlink>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u w:val="single" w:color="auto"/>
          <w:color w:val="0000EF"/>
        </w:rPr>
        <w:t>Form of Restricted Stock Unit Award Agreement (Director) under 2010 Equity Incentive Plan**</w:t>
      </w:r>
    </w:p>
    <w:p>
      <w:pPr>
        <w:spacing w:after="0" w:line="68" w:lineRule="exact"/>
        <w:rPr>
          <w:sz w:val="20"/>
          <w:szCs w:val="20"/>
          <w:color w:val="auto"/>
        </w:rPr>
      </w:pPr>
    </w:p>
    <w:p>
      <w:pPr>
        <w:ind w:right="340"/>
        <w:spacing w:after="0" w:line="266" w:lineRule="auto"/>
        <w:rPr>
          <w:rFonts w:ascii="Times New Roman" w:cs="Times New Roman" w:eastAsia="Times New Roman" w:hAnsi="Times New Roman"/>
          <w:sz w:val="18"/>
          <w:szCs w:val="18"/>
          <w:u w:val="single" w:color="auto"/>
          <w:color w:val="0000EF"/>
        </w:rPr>
      </w:pPr>
      <w:hyperlink r:id="rId165">
        <w:r>
          <w:rPr>
            <w:rFonts w:ascii="Times New Roman" w:cs="Times New Roman" w:eastAsia="Times New Roman" w:hAnsi="Times New Roman"/>
            <w:sz w:val="18"/>
            <w:szCs w:val="18"/>
            <w:u w:val="single" w:color="auto"/>
            <w:color w:val="0000EF"/>
          </w:rPr>
          <w:t>Form of Restricted Stock Award Agreement under 2010 Equity</w:t>
        </w:r>
      </w:hyperlink>
      <w:r>
        <w:rPr>
          <w:rFonts w:ascii="Times New Roman" w:cs="Times New Roman" w:eastAsia="Times New Roman" w:hAnsi="Times New Roman"/>
          <w:sz w:val="18"/>
          <w:szCs w:val="18"/>
          <w:u w:val="single" w:color="auto"/>
          <w:color w:val="0000EF"/>
        </w:rPr>
        <w:t xml:space="preserve"> </w:t>
      </w:r>
      <w:hyperlink r:id="rId165">
        <w:r>
          <w:rPr>
            <w:rFonts w:ascii="Times New Roman" w:cs="Times New Roman" w:eastAsia="Times New Roman" w:hAnsi="Times New Roman"/>
            <w:sz w:val="18"/>
            <w:szCs w:val="18"/>
            <w:u w:val="single" w:color="auto"/>
            <w:color w:val="0000EF"/>
          </w:rPr>
          <w:t>Incentive Plan**</w:t>
        </w:r>
      </w:hyperlink>
    </w:p>
    <w:p>
      <w:pPr>
        <w:spacing w:after="0" w:line="68" w:lineRule="exact"/>
        <w:rPr>
          <w:sz w:val="20"/>
          <w:szCs w:val="20"/>
          <w:color w:val="auto"/>
        </w:rPr>
      </w:pPr>
    </w:p>
    <w:p>
      <w:pPr>
        <w:ind w:right="300"/>
        <w:spacing w:after="0" w:line="266" w:lineRule="auto"/>
        <w:rPr>
          <w:rFonts w:ascii="Times New Roman" w:cs="Times New Roman" w:eastAsia="Times New Roman" w:hAnsi="Times New Roman"/>
          <w:sz w:val="18"/>
          <w:szCs w:val="18"/>
          <w:u w:val="single" w:color="auto"/>
          <w:color w:val="0000EF"/>
        </w:rPr>
      </w:pPr>
      <w:hyperlink r:id="rId166">
        <w:r>
          <w:rPr>
            <w:rFonts w:ascii="Times New Roman" w:cs="Times New Roman" w:eastAsia="Times New Roman" w:hAnsi="Times New Roman"/>
            <w:sz w:val="18"/>
            <w:szCs w:val="18"/>
            <w:u w:val="single" w:color="auto"/>
            <w:color w:val="0000EF"/>
          </w:rPr>
          <w:t>Form of Performance Stock Unit Agreement under 2010 Equity</w:t>
        </w:r>
      </w:hyperlink>
      <w:r>
        <w:rPr>
          <w:rFonts w:ascii="Times New Roman" w:cs="Times New Roman" w:eastAsia="Times New Roman" w:hAnsi="Times New Roman"/>
          <w:sz w:val="18"/>
          <w:szCs w:val="18"/>
          <w:u w:val="single" w:color="auto"/>
          <w:color w:val="0000EF"/>
        </w:rPr>
        <w:t xml:space="preserve"> </w:t>
      </w:r>
      <w:hyperlink r:id="rId166">
        <w:r>
          <w:rPr>
            <w:rFonts w:ascii="Times New Roman" w:cs="Times New Roman" w:eastAsia="Times New Roman" w:hAnsi="Times New Roman"/>
            <w:sz w:val="18"/>
            <w:szCs w:val="18"/>
            <w:u w:val="single" w:color="auto"/>
            <w:color w:val="0000EF"/>
          </w:rPr>
          <w:t>Incentive Plan**</w:t>
        </w:r>
      </w:hyperlink>
    </w:p>
    <w:p>
      <w:pPr>
        <w:spacing w:after="0" w:line="68"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u w:val="single" w:color="auto"/>
          <w:color w:val="0000EF"/>
        </w:rPr>
        <w:t>Form of Deferred Stock Unit Agreement under 2010 Equity Incentive Plan</w:t>
      </w:r>
      <w:r>
        <w:rPr>
          <w:rFonts w:ascii="Times New Roman" w:cs="Times New Roman" w:eastAsia="Times New Roman" w:hAnsi="Times New Roman"/>
          <w:sz w:val="18"/>
          <w:szCs w:val="18"/>
          <w:color w:val="0000EF"/>
        </w:rPr>
        <w:t>**</w:t>
      </w:r>
    </w:p>
    <w:p>
      <w:pPr>
        <w:spacing w:after="0" w:line="68" w:lineRule="exact"/>
        <w:rPr>
          <w:sz w:val="20"/>
          <w:szCs w:val="20"/>
          <w:color w:val="auto"/>
        </w:rPr>
      </w:pPr>
    </w:p>
    <w:p>
      <w:pPr>
        <w:ind w:right="200"/>
        <w:spacing w:after="0" w:line="360" w:lineRule="auto"/>
        <w:rPr>
          <w:rFonts w:ascii="Times New Roman" w:cs="Times New Roman" w:eastAsia="Times New Roman" w:hAnsi="Times New Roman"/>
          <w:sz w:val="18"/>
          <w:szCs w:val="18"/>
          <w:u w:val="single" w:color="auto"/>
          <w:color w:val="0000EF"/>
        </w:rPr>
      </w:pPr>
      <w:hyperlink r:id="rId167">
        <w:r>
          <w:rPr>
            <w:rFonts w:ascii="Times New Roman" w:cs="Times New Roman" w:eastAsia="Times New Roman" w:hAnsi="Times New Roman"/>
            <w:sz w:val="18"/>
            <w:szCs w:val="18"/>
            <w:u w:val="single" w:color="auto"/>
            <w:color w:val="0000EF"/>
          </w:rPr>
          <w:t>Form of Indemnification Agreement for Independent Directors**</w:t>
        </w:r>
      </w:hyperlink>
      <w:r>
        <w:rPr>
          <w:rFonts w:ascii="Times New Roman" w:cs="Times New Roman" w:eastAsia="Times New Roman" w:hAnsi="Times New Roman"/>
          <w:sz w:val="18"/>
          <w:szCs w:val="18"/>
          <w:u w:val="single" w:color="auto"/>
          <w:color w:val="0000EF"/>
        </w:rPr>
        <w:t xml:space="preserve"> </w:t>
      </w:r>
      <w:hyperlink r:id="rId168">
        <w:r>
          <w:rPr>
            <w:rFonts w:ascii="Times New Roman" w:cs="Times New Roman" w:eastAsia="Times New Roman" w:hAnsi="Times New Roman"/>
            <w:sz w:val="18"/>
            <w:szCs w:val="18"/>
            <w:u w:val="single" w:color="auto"/>
            <w:color w:val="0000EF"/>
          </w:rPr>
          <w:t>Form of Indemnification Agreement for Archie C. Black**</w:t>
        </w:r>
      </w:hyperlink>
      <w:r>
        <w:rPr>
          <w:rFonts w:ascii="Times New Roman" w:cs="Times New Roman" w:eastAsia="Times New Roman" w:hAnsi="Times New Roman"/>
          <w:sz w:val="18"/>
          <w:szCs w:val="18"/>
          <w:u w:val="single" w:color="auto"/>
          <w:color w:val="0000EF"/>
        </w:rPr>
        <w:t xml:space="preserve"> </w:t>
      </w:r>
      <w:hyperlink r:id="rId169">
        <w:r>
          <w:rPr>
            <w:rFonts w:ascii="Times New Roman" w:cs="Times New Roman" w:eastAsia="Times New Roman" w:hAnsi="Times New Roman"/>
            <w:sz w:val="18"/>
            <w:szCs w:val="18"/>
            <w:u w:val="single" w:color="auto"/>
            <w:color w:val="0000EF"/>
          </w:rPr>
          <w:t>Management Incentive Plan**</w:t>
        </w:r>
      </w:hyperlink>
    </w:p>
    <w:p>
      <w:pPr>
        <w:jc w:val="both"/>
        <w:ind w:right="180"/>
        <w:spacing w:after="0" w:line="258"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Amendment to Amended and Restated Executive Severance and</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Change in Control Agreement, dated as of March 1, 2023, by and</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between Archie C. Black and SPS Commerce, Inc.**</w:t>
        </w:r>
      </w:hyperlink>
    </w:p>
    <w:p>
      <w:pPr>
        <w:spacing w:after="0" w:line="61" w:lineRule="exact"/>
        <w:rPr>
          <w:rFonts w:ascii="Times New Roman" w:cs="Times New Roman" w:eastAsia="Times New Roman" w:hAnsi="Times New Roman"/>
          <w:sz w:val="18"/>
          <w:szCs w:val="18"/>
          <w:u w:val="single" w:color="auto"/>
          <w:color w:val="0000FF"/>
        </w:rPr>
      </w:pPr>
    </w:p>
    <w:p>
      <w:pPr>
        <w:spacing w:after="0" w:line="266"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Amended and Restated Executive Severance and Change in Control</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Agreement between the Company and Archie C. Black**</w:t>
        </w:r>
      </w:hyperlink>
    </w:p>
    <w:p>
      <w:pPr>
        <w:spacing w:after="0" w:line="68" w:lineRule="exact"/>
        <w:rPr>
          <w:sz w:val="20"/>
          <w:szCs w:val="20"/>
          <w:color w:val="auto"/>
        </w:rPr>
      </w:pPr>
    </w:p>
    <w:p>
      <w:pPr>
        <w:ind w:right="440"/>
        <w:spacing w:after="0" w:line="266"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SPS Commerce, Inc. Executive Management Team Severance</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Plan**</w:t>
        </w:r>
      </w:hyperlink>
    </w:p>
    <w:p>
      <w:pPr>
        <w:spacing w:after="0" w:line="68" w:lineRule="exact"/>
        <w:rPr>
          <w:sz w:val="20"/>
          <w:szCs w:val="20"/>
          <w:color w:val="auto"/>
        </w:rPr>
      </w:pPr>
    </w:p>
    <w:p>
      <w:pPr>
        <w:ind w:right="160"/>
        <w:spacing w:after="0" w:line="250"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Agreement to Terminate Amended and Restated Executive</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Severance and Change in Control Agreement, effective as of May</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16, 2024, by and between SPS Commerce, Inc. and Kimberly</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Nelson**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05/16/2024</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7"/>
              </w:rPr>
              <w:t>3.1</w:t>
            </w: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02/21/2023</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7"/>
              </w:rPr>
              <w:t>3.2</w:t>
            </w: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02/23/2021</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7"/>
              </w:rPr>
              <w:t>4.1</w:t>
            </w:r>
          </w:p>
        </w:tc>
      </w:tr>
      <w:tr>
        <w:trPr>
          <w:trHeight w:val="4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02/20/2015</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10.6</w:t>
            </w:r>
          </w:p>
        </w:tc>
      </w:tr>
      <w:tr>
        <w:trPr>
          <w:trHeight w:val="52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02/17/2012</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10.2</w:t>
            </w:r>
          </w:p>
        </w:tc>
      </w:tr>
      <w:tr>
        <w:trPr>
          <w:trHeight w:val="52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02/21/2023</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10.3</w:t>
            </w:r>
          </w:p>
        </w:tc>
      </w:tr>
      <w:tr>
        <w:trPr>
          <w:trHeight w:val="52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02/17/2012</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10.4</w:t>
            </w:r>
          </w:p>
        </w:tc>
      </w:tr>
      <w:tr>
        <w:trPr>
          <w:trHeight w:val="52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02/21/2023</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10.5</w:t>
            </w:r>
          </w:p>
        </w:tc>
      </w:tr>
      <w:tr>
        <w:trPr>
          <w:trHeight w:val="527"/>
        </w:trPr>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6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1"/>
              </w:rPr>
              <w:t>X</w:t>
            </w:r>
          </w:p>
        </w:tc>
      </w:tr>
      <w:tr>
        <w:trPr>
          <w:trHeight w:val="52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05/08/2012</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10.6</w:t>
            </w:r>
          </w:p>
        </w:tc>
      </w:tr>
      <w:tr>
        <w:trPr>
          <w:trHeight w:val="52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02/21/2023</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10.7</w:t>
            </w:r>
          </w:p>
        </w:tc>
      </w:tr>
      <w:tr>
        <w:trPr>
          <w:trHeight w:val="527"/>
        </w:trPr>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60" w:type="dxa"/>
            <w:vAlign w:val="bottom"/>
          </w:tcPr>
          <w:p>
            <w:pPr>
              <w:ind w:left="1820"/>
              <w:spacing w:after="0"/>
              <w:rPr>
                <w:sz w:val="20"/>
                <w:szCs w:val="20"/>
                <w:color w:val="auto"/>
              </w:rPr>
            </w:pPr>
            <w:r>
              <w:rPr>
                <w:rFonts w:ascii="Times New Roman" w:cs="Times New Roman" w:eastAsia="Times New Roman" w:hAnsi="Times New Roman"/>
                <w:sz w:val="18"/>
                <w:szCs w:val="18"/>
                <w:color w:val="auto"/>
                <w:w w:val="91"/>
              </w:rPr>
              <w:t>X</w:t>
            </w:r>
          </w:p>
        </w:tc>
      </w:tr>
      <w:tr>
        <w:trPr>
          <w:trHeight w:val="41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01/11/2010</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10.18</w:t>
            </w:r>
          </w:p>
        </w:tc>
      </w:tr>
      <w:tr>
        <w:trPr>
          <w:trHeight w:val="3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01/11/2010</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10.19</w:t>
            </w:r>
          </w:p>
        </w:tc>
      </w:tr>
      <w:tr>
        <w:trPr>
          <w:trHeight w:val="31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02/03/2016</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10.2</w:t>
            </w:r>
          </w:p>
        </w:tc>
      </w:tr>
      <w:tr>
        <w:trPr>
          <w:trHeight w:val="51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03/02/2023</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10.1</w:t>
            </w:r>
          </w:p>
        </w:tc>
      </w:tr>
      <w:tr>
        <w:trPr>
          <w:trHeight w:val="6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02/18/2020</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10.1</w:t>
            </w:r>
          </w:p>
        </w:tc>
      </w:tr>
      <w:tr>
        <w:trPr>
          <w:trHeight w:val="52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05/16/2024</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10.1</w:t>
            </w:r>
          </w:p>
        </w:tc>
      </w:tr>
      <w:tr>
        <w:trPr>
          <w:trHeight w:val="729"/>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05/16/2024</w:t>
            </w:r>
          </w:p>
        </w:tc>
        <w:tc>
          <w:tcPr>
            <w:tcW w:w="1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5"/>
              </w:rPr>
              <w:t>10.2</w:t>
            </w:r>
          </w:p>
        </w:tc>
      </w:tr>
    </w:tbl>
    <w:p>
      <w:pPr>
        <w:spacing w:after="0" w:line="353"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820" w:space="520"/>
            <w:col w:w="4900" w:space="180"/>
            <w:col w:w="48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3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10.17</w:t>
            </w:r>
          </w:p>
        </w:tc>
        <w:tc>
          <w:tcPr>
            <w:tcW w:w="4920" w:type="dxa"/>
            <w:vAlign w:val="bottom"/>
            <w:tcBorders>
              <w:bottom w:val="single" w:sz="8" w:color="0000EF"/>
            </w:tcBorders>
            <w:gridSpan w:val="2"/>
          </w:tcPr>
          <w:p>
            <w:pPr>
              <w:spacing w:after="0"/>
              <w:rPr>
                <w:rFonts w:ascii="Times New Roman" w:cs="Times New Roman" w:eastAsia="Times New Roman" w:hAnsi="Times New Roman"/>
                <w:sz w:val="18"/>
                <w:szCs w:val="18"/>
                <w:color w:val="0000EF"/>
                <w:w w:val="99"/>
              </w:rPr>
            </w:pPr>
            <w:hyperlink r:id="rId174">
              <w:r>
                <w:rPr>
                  <w:rFonts w:ascii="Times New Roman" w:cs="Times New Roman" w:eastAsia="Times New Roman" w:hAnsi="Times New Roman"/>
                  <w:sz w:val="18"/>
                  <w:szCs w:val="18"/>
                  <w:color w:val="0000EF"/>
                  <w:w w:val="99"/>
                </w:rPr>
                <w:t>Form of Amended and Restated Executive Severance and Change in</w:t>
              </w:r>
            </w:hyperlink>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40" w:type="dxa"/>
            <w:vAlign w:val="bottom"/>
            <w:vMerge w:val="restart"/>
          </w:tcPr>
          <w:p>
            <w:pPr>
              <w:jc w:val="right"/>
              <w:ind w:right="404"/>
              <w:spacing w:after="0"/>
              <w:rPr>
                <w:sz w:val="20"/>
                <w:szCs w:val="20"/>
                <w:color w:val="auto"/>
              </w:rPr>
            </w:pPr>
            <w:r>
              <w:rPr>
                <w:rFonts w:ascii="Times New Roman" w:cs="Times New Roman" w:eastAsia="Times New Roman" w:hAnsi="Times New Roman"/>
                <w:sz w:val="18"/>
                <w:szCs w:val="18"/>
                <w:color w:val="auto"/>
              </w:rPr>
              <w:t>02/18/2020</w:t>
            </w:r>
          </w:p>
        </w:tc>
        <w:tc>
          <w:tcPr>
            <w:tcW w:w="244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4920" w:type="dxa"/>
            <w:vAlign w:val="bottom"/>
            <w:gridSpan w:val="2"/>
          </w:tcPr>
          <w:p>
            <w:pPr>
              <w:spacing w:after="0"/>
              <w:rPr>
                <w:sz w:val="6"/>
                <w:szCs w:val="6"/>
                <w:color w:val="auto"/>
              </w:rPr>
            </w:pPr>
          </w:p>
        </w:tc>
        <w:tc>
          <w:tcPr>
            <w:tcW w:w="800" w:type="dxa"/>
            <w:vAlign w:val="bottom"/>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2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340" w:type="dxa"/>
            <w:vAlign w:val="bottom"/>
          </w:tcPr>
          <w:p>
            <w:pPr>
              <w:spacing w:after="0"/>
              <w:rPr>
                <w:sz w:val="9"/>
                <w:szCs w:val="9"/>
                <w:color w:val="auto"/>
              </w:rPr>
            </w:pPr>
          </w:p>
        </w:tc>
        <w:tc>
          <w:tcPr>
            <w:tcW w:w="1560" w:type="dxa"/>
            <w:vAlign w:val="bottom"/>
            <w:tcBorders>
              <w:bottom w:val="single" w:sz="8" w:color="0000EF"/>
            </w:tcBorders>
          </w:tcPr>
          <w:p>
            <w:pPr>
              <w:spacing w:after="0" w:line="108" w:lineRule="exact"/>
              <w:rPr>
                <w:rFonts w:ascii="Times New Roman" w:cs="Times New Roman" w:eastAsia="Times New Roman" w:hAnsi="Times New Roman"/>
                <w:sz w:val="12"/>
                <w:szCs w:val="12"/>
                <w:color w:val="0000EF"/>
              </w:rPr>
            </w:pPr>
            <w:hyperlink r:id="rId174">
              <w:r>
                <w:rPr>
                  <w:rFonts w:ascii="Times New Roman" w:cs="Times New Roman" w:eastAsia="Times New Roman" w:hAnsi="Times New Roman"/>
                  <w:sz w:val="12"/>
                  <w:szCs w:val="12"/>
                  <w:color w:val="0000EF"/>
                </w:rPr>
                <w:t>Control Agreement**</w:t>
              </w:r>
            </w:hyperlink>
          </w:p>
        </w:tc>
        <w:tc>
          <w:tcPr>
            <w:tcW w:w="3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5"/>
        </w:trPr>
        <w:tc>
          <w:tcPr>
            <w:tcW w:w="290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SPS COMMERCE, INC.</w:t>
            </w:r>
          </w:p>
        </w:tc>
        <w:tc>
          <w:tcPr>
            <w:tcW w:w="336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66</w:t>
            </w:r>
          </w:p>
        </w:tc>
        <w:tc>
          <w:tcPr>
            <w:tcW w:w="800" w:type="dxa"/>
            <w:vAlign w:val="bottom"/>
          </w:tcPr>
          <w:p>
            <w:pPr>
              <w:spacing w:after="0"/>
              <w:rPr>
                <w:sz w:val="24"/>
                <w:szCs w:val="24"/>
                <w:color w:val="auto"/>
              </w:rPr>
            </w:pPr>
          </w:p>
        </w:tc>
        <w:tc>
          <w:tcPr>
            <w:tcW w:w="4180" w:type="dxa"/>
            <w:vAlign w:val="bottom"/>
            <w:gridSpan w:val="2"/>
          </w:tcPr>
          <w:p>
            <w:pPr>
              <w:jc w:val="right"/>
              <w:ind w:right="530"/>
              <w:spacing w:after="0"/>
              <w:rPr>
                <w:sz w:val="20"/>
                <w:szCs w:val="20"/>
                <w:color w:val="auto"/>
              </w:rPr>
            </w:pPr>
            <w:r>
              <w:rPr>
                <w:rFonts w:ascii="Times New Roman" w:cs="Times New Roman" w:eastAsia="Times New Roman" w:hAnsi="Times New Roman"/>
                <w:sz w:val="13"/>
                <w:szCs w:val="13"/>
                <w:b w:val="1"/>
                <w:bCs w:val="1"/>
                <w:color w:val="auto"/>
              </w:rPr>
              <w:t>Form 10-K for the Annual Period ended December 31, 2024</w:t>
            </w:r>
          </w:p>
        </w:tc>
        <w:tc>
          <w:tcPr>
            <w:tcW w:w="0" w:type="dxa"/>
            <w:vAlign w:val="bottom"/>
          </w:tcPr>
          <w:p>
            <w:pPr>
              <w:spacing w:after="0"/>
              <w:rPr>
                <w:sz w:val="1"/>
                <w:szCs w:val="1"/>
                <w:color w:val="auto"/>
              </w:rPr>
            </w:pPr>
          </w:p>
        </w:tc>
      </w:tr>
      <w:tr>
        <w:trPr>
          <w:trHeight w:val="225"/>
        </w:trPr>
        <w:tc>
          <w:tcPr>
            <w:tcW w:w="134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336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1740" w:type="dxa"/>
            <w:vAlign w:val="bottom"/>
            <w:tcBorders>
              <w:bottom w:val="single" w:sz="8" w:color="9A9A9A"/>
            </w:tcBorders>
          </w:tcPr>
          <w:p>
            <w:pPr>
              <w:spacing w:after="0"/>
              <w:rPr>
                <w:sz w:val="19"/>
                <w:szCs w:val="19"/>
                <w:color w:val="auto"/>
              </w:rPr>
            </w:pPr>
          </w:p>
        </w:tc>
        <w:tc>
          <w:tcPr>
            <w:tcW w:w="24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-454025</wp:posOffset>
            </wp:positionV>
            <wp:extent cx="240030" cy="2311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rPr>
              <w:t>Exhibit</w:t>
            </w: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rPr>
              <w:t>Number</w:t>
            </w:r>
          </w:p>
        </w:tc>
        <w:tc>
          <w:tcPr>
            <w:tcW w:w="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20" w:type="dxa"/>
            <w:vAlign w:val="bottom"/>
            <w:gridSpan w:val="20"/>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Exhibit Description</w:t>
            </w:r>
          </w:p>
        </w:tc>
        <w:tc>
          <w:tcPr>
            <w:tcW w:w="0" w:type="dxa"/>
            <w:vAlign w:val="bottom"/>
          </w:tcPr>
          <w:p>
            <w:pPr>
              <w:spacing w:after="0"/>
              <w:rPr>
                <w:sz w:val="1"/>
                <w:szCs w:val="1"/>
                <w:color w:val="auto"/>
              </w:rPr>
            </w:pPr>
          </w:p>
        </w:tc>
      </w:tr>
      <w:tr>
        <w:trPr>
          <w:trHeight w:val="23"/>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Form of Amendment to Amended and Restated Executive</w:t>
              </w:r>
            </w:hyperlink>
          </w:p>
        </w:tc>
        <w:tc>
          <w:tcPr>
            <w:tcW w:w="7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60" w:type="dxa"/>
            <w:vAlign w:val="bottom"/>
            <w:gridSpan w:val="10"/>
            <w:vMerge w:val="restart"/>
          </w:tcPr>
          <w:p>
            <w:pPr>
              <w:spacing w:after="0" w:line="182"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Severance and Change in Control Agreement**</w:t>
              </w:r>
            </w:hyperlink>
          </w:p>
        </w:tc>
        <w:tc>
          <w:tcPr>
            <w:tcW w:w="1500" w:type="dxa"/>
            <w:vAlign w:val="bottom"/>
            <w:gridSpan w:val="1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60" w:type="dxa"/>
            <w:vAlign w:val="bottom"/>
            <w:tcBorders>
              <w:bottom w:val="single" w:sz="8" w:color="0000FF"/>
            </w:tcBorders>
            <w:gridSpan w:val="10"/>
            <w:vMerge w:val="continue"/>
          </w:tcPr>
          <w:p>
            <w:pPr>
              <w:spacing w:after="0"/>
              <w:rPr>
                <w:sz w:val="4"/>
                <w:szCs w:val="4"/>
                <w:color w:val="auto"/>
              </w:rPr>
            </w:pPr>
          </w:p>
        </w:tc>
        <w:tc>
          <w:tcPr>
            <w:tcW w:w="1500" w:type="dxa"/>
            <w:vAlign w:val="bottom"/>
            <w:gridSpan w:val="1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Offer Letter between Chad Collins and SPS Commerce, Inc., dated</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60" w:type="dxa"/>
            <w:vAlign w:val="bottom"/>
            <w:gridSpan w:val="24"/>
            <w:vMerge w:val="restart"/>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as of July 6, 2023**</w:t>
              </w:r>
            </w:hyperlink>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96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24"/>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Executive Severance and Change in Control Agreement, effective as</w:t>
              </w:r>
            </w:hyperlink>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top w:val="single" w:sz="8" w:color="0000FF"/>
            </w:tcBorders>
            <w:gridSpan w:val="23"/>
          </w:tcPr>
          <w:p>
            <w:pPr>
              <w:spacing w:after="0" w:line="18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of October 2,2023, by and between Chad Collins and SPS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Commerce, Inc.**</w:t>
              </w:r>
            </w:hyperlink>
          </w:p>
        </w:tc>
        <w:tc>
          <w:tcPr>
            <w:tcW w:w="8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Registration Rights and Lock-Up Agreement, dated July 31, 2024</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Registration Rights and Lock-Up Agreement, dated January 2, 2025</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0000EF"/>
            </w:tcBorders>
            <w:gridSpan w:val="23"/>
          </w:tcPr>
          <w:p>
            <w:pPr>
              <w:spacing w:after="0"/>
              <w:rPr>
                <w:sz w:val="20"/>
                <w:szCs w:val="20"/>
                <w:color w:val="auto"/>
              </w:rPr>
            </w:pPr>
            <w:r>
              <w:rPr>
                <w:rFonts w:ascii="Times New Roman" w:cs="Times New Roman" w:eastAsia="Times New Roman" w:hAnsi="Times New Roman"/>
                <w:sz w:val="18"/>
                <w:szCs w:val="18"/>
                <w:color w:val="0000EF"/>
                <w:w w:val="99"/>
              </w:rPr>
              <w:t>Form of Restricted Stock Unit Award Agreement under 2010 Equity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60" w:type="dxa"/>
            <w:vAlign w:val="bottom"/>
            <w:gridSpan w:val="24"/>
            <w:vMerge w:val="restart"/>
          </w:tcPr>
          <w:p>
            <w:pPr>
              <w:spacing w:after="0" w:line="182" w:lineRule="exact"/>
              <w:rPr>
                <w:sz w:val="20"/>
                <w:szCs w:val="20"/>
                <w:color w:val="auto"/>
              </w:rPr>
            </w:pPr>
            <w:r>
              <w:rPr>
                <w:rFonts w:ascii="Times New Roman" w:cs="Times New Roman" w:eastAsia="Times New Roman" w:hAnsi="Times New Roman"/>
                <w:sz w:val="18"/>
                <w:szCs w:val="18"/>
                <w:color w:val="0000EF"/>
              </w:rPr>
              <w:t>Incentive Plan, as amended**</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96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shd w:val="clear" w:color="auto" w:fill="0000EF"/>
          </w:tcPr>
          <w:p>
            <w:pPr>
              <w:spacing w:after="0" w:line="20" w:lineRule="exact"/>
              <w:rPr>
                <w:sz w:val="1"/>
                <w:szCs w:val="1"/>
                <w:color w:val="auto"/>
              </w:rPr>
            </w:pPr>
          </w:p>
        </w:tc>
        <w:tc>
          <w:tcPr>
            <w:tcW w:w="140" w:type="dxa"/>
            <w:vAlign w:val="bottom"/>
            <w:shd w:val="clear" w:color="auto" w:fill="0000EF"/>
          </w:tcPr>
          <w:p>
            <w:pPr>
              <w:spacing w:after="0" w:line="20" w:lineRule="exact"/>
              <w:rPr>
                <w:sz w:val="1"/>
                <w:szCs w:val="1"/>
                <w:color w:val="auto"/>
              </w:rPr>
            </w:pPr>
          </w:p>
        </w:tc>
        <w:tc>
          <w:tcPr>
            <w:tcW w:w="220" w:type="dxa"/>
            <w:vAlign w:val="bottom"/>
            <w:shd w:val="clear" w:color="auto" w:fill="0000EF"/>
          </w:tcPr>
          <w:p>
            <w:pPr>
              <w:spacing w:after="0" w:line="20" w:lineRule="exact"/>
              <w:rPr>
                <w:sz w:val="1"/>
                <w:szCs w:val="1"/>
                <w:color w:val="auto"/>
              </w:rPr>
            </w:pPr>
          </w:p>
        </w:tc>
        <w:tc>
          <w:tcPr>
            <w:tcW w:w="80" w:type="dxa"/>
            <w:vAlign w:val="bottom"/>
            <w:shd w:val="clear" w:color="auto" w:fill="0000E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EF"/>
            </w:tcBorders>
            <w:gridSpan w:val="17"/>
          </w:tcPr>
          <w:p>
            <w:pPr>
              <w:spacing w:after="0"/>
              <w:rPr>
                <w:sz w:val="20"/>
                <w:szCs w:val="20"/>
                <w:color w:val="auto"/>
              </w:rPr>
            </w:pPr>
            <w:r>
              <w:rPr>
                <w:rFonts w:ascii="Times New Roman" w:cs="Times New Roman" w:eastAsia="Times New Roman" w:hAnsi="Times New Roman"/>
                <w:sz w:val="18"/>
                <w:szCs w:val="18"/>
                <w:color w:val="0000EF"/>
                <w:w w:val="99"/>
              </w:rPr>
              <w:t>Form of Performance Stock Unit Agreement under 2010 Equity</w:t>
            </w:r>
          </w:p>
        </w:tc>
        <w:tc>
          <w:tcPr>
            <w:tcW w:w="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00" w:type="dxa"/>
            <w:vAlign w:val="bottom"/>
            <w:gridSpan w:val="11"/>
            <w:vMerge w:val="restart"/>
          </w:tcPr>
          <w:p>
            <w:pPr>
              <w:spacing w:after="0" w:line="182" w:lineRule="exact"/>
              <w:rPr>
                <w:sz w:val="20"/>
                <w:szCs w:val="20"/>
                <w:color w:val="auto"/>
              </w:rPr>
            </w:pPr>
            <w:r>
              <w:rPr>
                <w:rFonts w:ascii="Times New Roman" w:cs="Times New Roman" w:eastAsia="Times New Roman" w:hAnsi="Times New Roman"/>
                <w:sz w:val="18"/>
                <w:szCs w:val="18"/>
                <w:color w:val="0000EF"/>
                <w:w w:val="99"/>
              </w:rPr>
              <w:t>Incentive Plan (for awards beginning in 2025)**</w:t>
            </w:r>
          </w:p>
        </w:tc>
        <w:tc>
          <w:tcPr>
            <w:tcW w:w="1460" w:type="dxa"/>
            <w:vAlign w:val="bottom"/>
            <w:gridSpan w:val="1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500" w:type="dxa"/>
            <w:vAlign w:val="bottom"/>
            <w:tcBorders>
              <w:bottom w:val="single" w:sz="8" w:color="0000EF"/>
            </w:tcBorders>
            <w:gridSpan w:val="11"/>
            <w:vMerge w:val="continue"/>
          </w:tcPr>
          <w:p>
            <w:pPr>
              <w:spacing w:after="0"/>
              <w:rPr>
                <w:sz w:val="4"/>
                <w:szCs w:val="4"/>
                <w:color w:val="auto"/>
              </w:rPr>
            </w:pPr>
          </w:p>
        </w:tc>
        <w:tc>
          <w:tcPr>
            <w:tcW w:w="1460" w:type="dxa"/>
            <w:vAlign w:val="bottom"/>
            <w:gridSpan w:val="1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24"/>
          </w:tcPr>
          <w:p>
            <w:pPr>
              <w:spacing w:after="0"/>
              <w:rPr>
                <w:sz w:val="20"/>
                <w:szCs w:val="20"/>
                <w:color w:val="auto"/>
              </w:rPr>
            </w:pPr>
            <w:r>
              <w:rPr>
                <w:rFonts w:ascii="Times New Roman" w:cs="Times New Roman" w:eastAsia="Times New Roman" w:hAnsi="Times New Roman"/>
                <w:sz w:val="18"/>
                <w:szCs w:val="18"/>
                <w:color w:val="0000EF"/>
              </w:rPr>
              <w:t>Non-Employee Director Compensation Summary**</w:t>
            </w:r>
          </w:p>
        </w:tc>
        <w:tc>
          <w:tcPr>
            <w:tcW w:w="0" w:type="dxa"/>
            <w:vAlign w:val="bottom"/>
          </w:tcPr>
          <w:p>
            <w:pPr>
              <w:spacing w:after="0"/>
              <w:rPr>
                <w:sz w:val="1"/>
                <w:szCs w:val="1"/>
                <w:color w:val="auto"/>
              </w:rPr>
            </w:pPr>
          </w:p>
        </w:tc>
      </w:tr>
      <w:tr>
        <w:trPr>
          <w:trHeight w:val="29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Borders>
              <w:top w:val="single" w:sz="8" w:color="0000E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SPS Commerce, Inc. Insider Trading Policy**</w:t>
            </w:r>
          </w:p>
        </w:tc>
        <w:tc>
          <w:tcPr>
            <w:tcW w:w="400" w:type="dxa"/>
            <w:vAlign w:val="bottom"/>
            <w:tcBorders>
              <w:top w:val="single" w:sz="8" w:color="0000EF"/>
            </w:tcBorders>
            <w:gridSpan w:val="4"/>
          </w:tcPr>
          <w:p>
            <w:pPr>
              <w:spacing w:after="0"/>
              <w:rPr>
                <w:sz w:val="24"/>
                <w:szCs w:val="24"/>
                <w:color w:val="auto"/>
              </w:rPr>
            </w:pPr>
          </w:p>
        </w:tc>
        <w:tc>
          <w:tcPr>
            <w:tcW w:w="12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Borders>
              <w:bottom w:val="single" w:sz="8" w:color="0000EF"/>
            </w:tcBorders>
            <w:gridSpan w:val="5"/>
          </w:tcPr>
          <w:p>
            <w:pPr>
              <w:spacing w:after="0"/>
              <w:rPr>
                <w:sz w:val="20"/>
                <w:szCs w:val="20"/>
                <w:color w:val="auto"/>
              </w:rPr>
            </w:pPr>
            <w:r>
              <w:rPr>
                <w:rFonts w:ascii="Times New Roman" w:cs="Times New Roman" w:eastAsia="Times New Roman" w:hAnsi="Times New Roman"/>
                <w:sz w:val="18"/>
                <w:szCs w:val="18"/>
                <w:color w:val="0000EF"/>
                <w:w w:val="98"/>
              </w:rPr>
              <w:t>Subsidiaries of the registrant</w:t>
            </w:r>
          </w:p>
        </w:tc>
        <w:tc>
          <w:tcPr>
            <w:tcW w:w="29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24"/>
          </w:tcPr>
          <w:p>
            <w:pPr>
              <w:spacing w:after="0"/>
              <w:rPr>
                <w:sz w:val="20"/>
                <w:szCs w:val="20"/>
                <w:color w:val="auto"/>
              </w:rPr>
            </w:pPr>
            <w:r>
              <w:rPr>
                <w:rFonts w:ascii="Times New Roman" w:cs="Times New Roman" w:eastAsia="Times New Roman" w:hAnsi="Times New Roman"/>
                <w:sz w:val="18"/>
                <w:szCs w:val="18"/>
                <w:color w:val="0000EF"/>
              </w:rPr>
              <w:t>Consent of KPMG LLP</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shd w:val="clear" w:color="auto" w:fill="0000E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EF"/>
            </w:tcBorders>
            <w:gridSpan w:val="9"/>
          </w:tcPr>
          <w:p>
            <w:pPr>
              <w:spacing w:after="0"/>
              <w:rPr>
                <w:sz w:val="20"/>
                <w:szCs w:val="20"/>
                <w:color w:val="auto"/>
              </w:rPr>
            </w:pPr>
            <w:r>
              <w:rPr>
                <w:rFonts w:ascii="Times New Roman" w:cs="Times New Roman" w:eastAsia="Times New Roman" w:hAnsi="Times New Roman"/>
                <w:sz w:val="18"/>
                <w:szCs w:val="18"/>
                <w:color w:val="0000EF"/>
                <w:w w:val="99"/>
              </w:rPr>
              <w:t>Power of Attorney (included on signature page)</w:t>
            </w:r>
          </w:p>
        </w:tc>
        <w:tc>
          <w:tcPr>
            <w:tcW w:w="15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24"/>
          </w:tcPr>
          <w:p>
            <w:pPr>
              <w:spacing w:after="0"/>
              <w:rPr>
                <w:sz w:val="20"/>
                <w:szCs w:val="20"/>
                <w:color w:val="auto"/>
              </w:rPr>
            </w:pPr>
            <w:r>
              <w:rPr>
                <w:rFonts w:ascii="Times New Roman" w:cs="Times New Roman" w:eastAsia="Times New Roman" w:hAnsi="Times New Roman"/>
                <w:sz w:val="18"/>
                <w:szCs w:val="18"/>
                <w:color w:val="0000EF"/>
              </w:rPr>
              <w:t>Certification of Principal Executive Officer pursuant to Rules 13a-</w:t>
            </w:r>
          </w:p>
        </w:tc>
        <w:tc>
          <w:tcPr>
            <w:tcW w:w="0" w:type="dxa"/>
            <w:vAlign w:val="bottom"/>
          </w:tcPr>
          <w:p>
            <w:pPr>
              <w:spacing w:after="0"/>
              <w:rPr>
                <w:sz w:val="1"/>
                <w:szCs w:val="1"/>
                <w:color w:val="auto"/>
              </w:rPr>
            </w:pPr>
          </w:p>
        </w:tc>
      </w:tr>
      <w:tr>
        <w:trPr>
          <w:trHeight w:val="129"/>
        </w:trPr>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80" w:type="dxa"/>
            <w:vAlign w:val="bottom"/>
            <w:tcBorders>
              <w:top w:val="single" w:sz="8" w:color="0000EF"/>
            </w:tcBorders>
            <w:gridSpan w:val="19"/>
            <w:vMerge w:val="restart"/>
          </w:tcPr>
          <w:p>
            <w:pPr>
              <w:spacing w:after="0" w:line="182" w:lineRule="exact"/>
              <w:rPr>
                <w:sz w:val="20"/>
                <w:szCs w:val="20"/>
                <w:color w:val="auto"/>
              </w:rPr>
            </w:pPr>
            <w:r>
              <w:rPr>
                <w:rFonts w:ascii="Times New Roman" w:cs="Times New Roman" w:eastAsia="Times New Roman" w:hAnsi="Times New Roman"/>
                <w:sz w:val="18"/>
                <w:szCs w:val="18"/>
                <w:color w:val="0000EF"/>
              </w:rPr>
              <w:t>14(a) under the Securities Exchange Act of 1934, as amended</w:t>
            </w:r>
          </w:p>
        </w:tc>
        <w:tc>
          <w:tcPr>
            <w:tcW w:w="180" w:type="dxa"/>
            <w:vAlign w:val="bottom"/>
            <w:gridSpan w:val="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780" w:type="dxa"/>
            <w:vAlign w:val="bottom"/>
            <w:gridSpan w:val="19"/>
            <w:vMerge w:val="continue"/>
          </w:tcPr>
          <w:p>
            <w:pPr>
              <w:spacing w:after="0"/>
              <w:rPr>
                <w:sz w:val="4"/>
                <w:szCs w:val="4"/>
                <w:color w:val="auto"/>
              </w:rPr>
            </w:pPr>
          </w:p>
        </w:tc>
        <w:tc>
          <w:tcPr>
            <w:tcW w:w="1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EF"/>
          </w:tcPr>
          <w:p>
            <w:pPr>
              <w:spacing w:after="0" w:line="20" w:lineRule="exact"/>
              <w:rPr>
                <w:sz w:val="1"/>
                <w:szCs w:val="1"/>
                <w:color w:val="auto"/>
              </w:rPr>
            </w:pPr>
          </w:p>
        </w:tc>
        <w:tc>
          <w:tcPr>
            <w:tcW w:w="660" w:type="dxa"/>
            <w:vAlign w:val="bottom"/>
            <w:gridSpan w:val="3"/>
            <w:shd w:val="clear" w:color="auto" w:fill="0000EF"/>
          </w:tcPr>
          <w:p>
            <w:pPr>
              <w:spacing w:after="0" w:line="20" w:lineRule="exact"/>
              <w:rPr>
                <w:sz w:val="1"/>
                <w:szCs w:val="1"/>
                <w:color w:val="auto"/>
              </w:rPr>
            </w:pPr>
          </w:p>
        </w:tc>
        <w:tc>
          <w:tcPr>
            <w:tcW w:w="1940" w:type="dxa"/>
            <w:vAlign w:val="bottom"/>
            <w:gridSpan w:val="8"/>
            <w:shd w:val="clear" w:color="auto" w:fill="0000E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0000EF"/>
            </w:tcBorders>
            <w:gridSpan w:val="18"/>
          </w:tcPr>
          <w:p>
            <w:pPr>
              <w:spacing w:after="0"/>
              <w:rPr>
                <w:sz w:val="20"/>
                <w:szCs w:val="20"/>
                <w:color w:val="auto"/>
              </w:rPr>
            </w:pPr>
            <w:r>
              <w:rPr>
                <w:rFonts w:ascii="Times New Roman" w:cs="Times New Roman" w:eastAsia="Times New Roman" w:hAnsi="Times New Roman"/>
                <w:sz w:val="18"/>
                <w:szCs w:val="18"/>
                <w:color w:val="0000EF"/>
                <w:w w:val="99"/>
              </w:rPr>
              <w:t>Certification of Principal Financial Officer pursuant to Rules 13a-</w:t>
            </w:r>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60" w:type="dxa"/>
            <w:vAlign w:val="bottom"/>
            <w:gridSpan w:val="24"/>
            <w:vMerge w:val="restart"/>
          </w:tcPr>
          <w:p>
            <w:pPr>
              <w:spacing w:after="0" w:line="182" w:lineRule="exact"/>
              <w:rPr>
                <w:sz w:val="20"/>
                <w:szCs w:val="20"/>
                <w:color w:val="auto"/>
              </w:rPr>
            </w:pPr>
            <w:r>
              <w:rPr>
                <w:rFonts w:ascii="Times New Roman" w:cs="Times New Roman" w:eastAsia="Times New Roman" w:hAnsi="Times New Roman"/>
                <w:sz w:val="18"/>
                <w:szCs w:val="18"/>
                <w:color w:val="0000EF"/>
              </w:rPr>
              <w:t>14(a) under the Securities Exchange Act of 1934, as amended</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960" w:type="dxa"/>
            <w:vAlign w:val="bottom"/>
            <w:gridSpan w:val="2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EF"/>
          </w:tcPr>
          <w:p>
            <w:pPr>
              <w:spacing w:after="0" w:line="20" w:lineRule="exact"/>
              <w:rPr>
                <w:sz w:val="1"/>
                <w:szCs w:val="1"/>
                <w:color w:val="auto"/>
              </w:rPr>
            </w:pPr>
          </w:p>
        </w:tc>
        <w:tc>
          <w:tcPr>
            <w:tcW w:w="660" w:type="dxa"/>
            <w:vAlign w:val="bottom"/>
            <w:gridSpan w:val="3"/>
            <w:shd w:val="clear" w:color="auto" w:fill="0000EF"/>
          </w:tcPr>
          <w:p>
            <w:pPr>
              <w:spacing w:after="0" w:line="20" w:lineRule="exact"/>
              <w:rPr>
                <w:sz w:val="1"/>
                <w:szCs w:val="1"/>
                <w:color w:val="auto"/>
              </w:rPr>
            </w:pPr>
          </w:p>
        </w:tc>
        <w:tc>
          <w:tcPr>
            <w:tcW w:w="1940" w:type="dxa"/>
            <w:vAlign w:val="bottom"/>
            <w:gridSpan w:val="8"/>
            <w:shd w:val="clear" w:color="auto" w:fill="0000E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24"/>
          </w:tcPr>
          <w:p>
            <w:pPr>
              <w:spacing w:after="0"/>
              <w:rPr>
                <w:sz w:val="20"/>
                <w:szCs w:val="20"/>
                <w:color w:val="auto"/>
              </w:rPr>
            </w:pPr>
            <w:r>
              <w:rPr>
                <w:rFonts w:ascii="Times New Roman" w:cs="Times New Roman" w:eastAsia="Times New Roman" w:hAnsi="Times New Roman"/>
                <w:sz w:val="18"/>
                <w:szCs w:val="18"/>
                <w:color w:val="0000EF"/>
              </w:rPr>
              <w:t>Certification of Chief Executive Officer and Chief Financial Officer</w:t>
            </w:r>
          </w:p>
        </w:tc>
        <w:tc>
          <w:tcPr>
            <w:tcW w:w="0" w:type="dxa"/>
            <w:vAlign w:val="bottom"/>
          </w:tcPr>
          <w:p>
            <w:pPr>
              <w:spacing w:after="0"/>
              <w:rPr>
                <w:sz w:val="1"/>
                <w:szCs w:val="1"/>
                <w:color w:val="auto"/>
              </w:rPr>
            </w:pPr>
          </w:p>
        </w:tc>
      </w:tr>
      <w:tr>
        <w:trPr>
          <w:trHeight w:val="183"/>
        </w:trPr>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tcBorders>
              <w:top w:val="single" w:sz="8" w:color="0000EF"/>
              <w:bottom w:val="single" w:sz="8" w:color="0000EF"/>
            </w:tcBorders>
            <w:gridSpan w:val="21"/>
          </w:tcPr>
          <w:p>
            <w:pPr>
              <w:spacing w:after="0" w:line="182" w:lineRule="exact"/>
              <w:rPr>
                <w:sz w:val="20"/>
                <w:szCs w:val="20"/>
                <w:color w:val="auto"/>
              </w:rPr>
            </w:pPr>
            <w:r>
              <w:rPr>
                <w:rFonts w:ascii="Times New Roman" w:cs="Times New Roman" w:eastAsia="Times New Roman" w:hAnsi="Times New Roman"/>
                <w:sz w:val="18"/>
                <w:szCs w:val="18"/>
                <w:color w:val="0000EF"/>
                <w:w w:val="99"/>
              </w:rPr>
              <w:t>pursuant to 18 U.S.C. Sec. 1350, as adopted pursuant to Section 906</w:t>
            </w:r>
          </w:p>
        </w:tc>
        <w:tc>
          <w:tcPr>
            <w:tcW w:w="20" w:type="dxa"/>
            <w:vAlign w:val="bottom"/>
            <w:tcBorders>
              <w:bottom w:val="single" w:sz="8" w:color="0000E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F"/>
              </w:rPr>
              <w:t>of the Sarbanes-Oxley Act of 2002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4"/>
            <w:shd w:val="clear" w:color="auto" w:fill="0000EF"/>
          </w:tcPr>
          <w:p>
            <w:pPr>
              <w:spacing w:after="0" w:line="20" w:lineRule="exact"/>
              <w:rPr>
                <w:sz w:val="1"/>
                <w:szCs w:val="1"/>
                <w:color w:val="auto"/>
              </w:rPr>
            </w:pPr>
          </w:p>
        </w:tc>
        <w:tc>
          <w:tcPr>
            <w:tcW w:w="660" w:type="dxa"/>
            <w:vAlign w:val="bottom"/>
            <w:gridSpan w:val="3"/>
            <w:shd w:val="clear" w:color="auto" w:fill="0000EF"/>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SPS Commerce, Inc. Required Compensation Recovery Policy,</w:t>
              </w:r>
            </w:hyperlink>
          </w:p>
        </w:tc>
        <w:tc>
          <w:tcPr>
            <w:tcW w:w="4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gridSpan w:val="4"/>
            <w:vMerge w:val="restart"/>
          </w:tcPr>
          <w:p>
            <w:pPr>
              <w:spacing w:after="0" w:line="182"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effective October 2, 2023</w:t>
              </w:r>
            </w:hyperlink>
          </w:p>
        </w:tc>
        <w:tc>
          <w:tcPr>
            <w:tcW w:w="3120" w:type="dxa"/>
            <w:vAlign w:val="bottom"/>
            <w:gridSpan w:val="2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40" w:type="dxa"/>
            <w:vAlign w:val="bottom"/>
            <w:tcBorders>
              <w:bottom w:val="single" w:sz="8" w:color="0000FF"/>
            </w:tcBorders>
            <w:gridSpan w:val="4"/>
            <w:vMerge w:val="continue"/>
          </w:tcPr>
          <w:p>
            <w:pPr>
              <w:spacing w:after="0"/>
              <w:rPr>
                <w:sz w:val="4"/>
                <w:szCs w:val="4"/>
                <w:color w:val="auto"/>
              </w:rPr>
            </w:pPr>
          </w:p>
        </w:tc>
        <w:tc>
          <w:tcPr>
            <w:tcW w:w="3120" w:type="dxa"/>
            <w:vAlign w:val="bottom"/>
            <w:gridSpan w:val="2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40" w:right="140" w:hanging="860"/>
        <w:spacing w:after="0" w:line="182" w:lineRule="auto"/>
        <w:tabs>
          <w:tab w:leader="none" w:pos="1340" w:val="left"/>
        </w:tabs>
        <w:numPr>
          <w:ilvl w:val="1"/>
          <w:numId w:val="29"/>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The cover page from the Annual Report on Form 10-K for the year ended December 31, 2023, formatted in Inline XBRL</w:t>
      </w:r>
    </w:p>
    <w:p>
      <w:pPr>
        <w:spacing w:after="0" w:line="103" w:lineRule="exact"/>
        <w:rPr>
          <w:rFonts w:ascii="Times New Roman" w:cs="Times New Roman" w:eastAsia="Times New Roman" w:hAnsi="Times New Roman"/>
          <w:sz w:val="33"/>
          <w:szCs w:val="33"/>
          <w:color w:val="auto"/>
          <w:vertAlign w:val="subscript"/>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32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00AAE5"/>
        </w:rPr>
        <w:t>Item 16.</w:t>
      </w:r>
      <w:r>
        <w:rPr>
          <w:sz w:val="20"/>
          <w:szCs w:val="20"/>
          <w:color w:val="auto"/>
        </w:rPr>
        <w:tab/>
      </w:r>
      <w:r>
        <w:rPr>
          <w:rFonts w:ascii="Times New Roman" w:cs="Times New Roman" w:eastAsia="Times New Roman" w:hAnsi="Times New Roman"/>
          <w:sz w:val="17"/>
          <w:szCs w:val="17"/>
          <w:b w:val="1"/>
          <w:bCs w:val="1"/>
          <w:color w:val="00AAE5"/>
        </w:rPr>
        <w:t>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240030" cy="2311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440" w:type="dxa"/>
        <w:tblCellMar>
          <w:top w:w="0" w:type="dxa"/>
          <w:left w:w="0" w:type="dxa"/>
          <w:bottom w:w="0" w:type="dxa"/>
          <w:right w:w="0" w:type="dxa"/>
        </w:tblCellMar>
      </w:tblPr>
      <w:tr>
        <w:trPr>
          <w:trHeight w:val="188"/>
        </w:trPr>
        <w:tc>
          <w:tcPr>
            <w:tcW w:w="3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SPS COMMERCE, INC.</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Incorporated By Reference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6"/>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3"/>
          </w:tcPr>
          <w:p>
            <w:pPr>
              <w:jc w:val="center"/>
              <w:ind w:right="320"/>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w w:val="98"/>
              </w:rPr>
              <w:t>Date of</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2"/>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First</w:t>
            </w: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Exhibit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8"/>
              </w:rPr>
              <w:t>Filed</w:t>
            </w:r>
          </w:p>
        </w:tc>
      </w:tr>
      <w:tr>
        <w:trPr>
          <w:trHeight w:val="206"/>
        </w:trPr>
        <w:tc>
          <w:tcPr>
            <w:tcW w:w="10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Form</w:t>
            </w:r>
          </w:p>
        </w:tc>
        <w:tc>
          <w:tcPr>
            <w:tcW w:w="80" w:type="dxa"/>
            <w:vAlign w:val="bottom"/>
          </w:tcPr>
          <w:p>
            <w:pPr>
              <w:spacing w:after="0"/>
              <w:rPr>
                <w:sz w:val="17"/>
                <w:szCs w:val="17"/>
                <w:color w:val="auto"/>
              </w:rPr>
            </w:pPr>
          </w:p>
        </w:tc>
        <w:tc>
          <w:tcPr>
            <w:tcW w:w="16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Filing</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Number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Herewith</w:t>
            </w:r>
          </w:p>
        </w:tc>
      </w:tr>
      <w:tr>
        <w:trPr>
          <w:trHeight w:val="23"/>
        </w:trPr>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4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03/02/2023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2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07/06/2023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62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07/06/2023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27"/>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08/01/2024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01/02/2025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5"/>
              </w:rPr>
              <w:t>99.1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527"/>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18"/>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311"/>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310"/>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311"/>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310"/>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19"/>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526"/>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621"/>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63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02/20/2024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9"/>
              </w:rPr>
              <w:t>97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8"/>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05"/>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Form 10-K for the Annual Period ended December 31, 2024</w:t>
      </w:r>
    </w:p>
    <w:p>
      <w:pPr>
        <w:sectPr>
          <w:pgSz w:w="11900" w:h="16838" w:orient="portrait"/>
          <w:cols w:equalWidth="0" w:num="2">
            <w:col w:w="6300" w:space="100"/>
            <w:col w:w="4840"/>
          </w:cols>
          <w:pgMar w:left="320" w:top="118"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AAE5"/>
        </w:rPr>
        <w:t>SIGNATURES</w:t>
      </w:r>
    </w:p>
    <w:p>
      <w:pPr>
        <w:spacing w:after="0" w:line="121"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February 18, 2025</w:t>
      </w:r>
      <w:r>
        <w:rPr>
          <w:sz w:val="20"/>
          <w:szCs w:val="20"/>
          <w:color w:val="auto"/>
        </w:rPr>
        <w:tab/>
      </w:r>
      <w:r>
        <w:rPr>
          <w:rFonts w:ascii="Times New Roman" w:cs="Times New Roman" w:eastAsia="Times New Roman" w:hAnsi="Times New Roman"/>
          <w:sz w:val="18"/>
          <w:szCs w:val="18"/>
          <w:b w:val="1"/>
          <w:bCs w:val="1"/>
          <w:color w:val="auto"/>
        </w:rPr>
        <w:t>SPS COMMERCE, INC.</w:t>
      </w:r>
    </w:p>
    <w:p>
      <w:pPr>
        <w:spacing w:after="0" w:line="270"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CHADWICK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Chadwick Collins</w:t>
      </w:r>
    </w:p>
    <w:p>
      <w:pPr>
        <w:spacing w:after="0" w:line="4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2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Each of the undersigned hereby appoints Chadwick Collins and Kimberly Nelson, and each of them (with full power to act alone), as attorneys and agents for the undersigned, with full power of substitution, for and in the name, place and stead of the undersigned, to sign and file with the Securities and Exchange Commission under the Securities Exchange Act of 1934, any and all amendments and exhibits to this annual report on Form 10-K and any and all applications, instruments, and other documents to be filed with the Securities and Exchange Commission pertaining to this annual report on Form 10-K or any amendments thereto, with full power and authority to do and perform any and all acts and things whatsoever requisite and necessary or desirable. Pursuant to the requirements of the Securities Exchange Act of 1934, this report has been signed below by the following persons on behalf of the registrant and in the capacities indicated on February 18, 2025.</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Signature</w:t>
            </w:r>
          </w:p>
        </w:tc>
        <w:tc>
          <w:tcPr>
            <w:tcW w:w="100" w:type="dxa"/>
            <w:vAlign w:val="bottom"/>
          </w:tcPr>
          <w:p>
            <w:pPr>
              <w:spacing w:after="0"/>
              <w:rPr>
                <w:sz w:val="16"/>
                <w:szCs w:val="16"/>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820" w:type="dxa"/>
            <w:vAlign w:val="bottom"/>
          </w:tcPr>
          <w:p>
            <w:pPr>
              <w:spacing w:after="0"/>
              <w:rPr>
                <w:sz w:val="16"/>
                <w:szCs w:val="16"/>
                <w:color w:val="auto"/>
              </w:rPr>
            </w:pPr>
          </w:p>
        </w:tc>
      </w:tr>
      <w:tr>
        <w:trPr>
          <w:trHeight w:val="23"/>
        </w:trPr>
        <w:tc>
          <w:tcPr>
            <w:tcW w:w="4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84"/>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CHADWICK COLLINS</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w w:val="98"/>
              </w:rPr>
              <w:t>Chief Executive Officer and 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Chadwick Collins</w:t>
            </w:r>
          </w:p>
        </w:tc>
        <w:tc>
          <w:tcPr>
            <w:tcW w:w="10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820" w:type="dxa"/>
            <w:vAlign w:val="bottom"/>
          </w:tcPr>
          <w:p>
            <w:pPr>
              <w:spacing w:after="0"/>
              <w:rPr>
                <w:sz w:val="21"/>
                <w:szCs w:val="21"/>
                <w:color w:val="auto"/>
              </w:rPr>
            </w:pPr>
          </w:p>
        </w:tc>
      </w:tr>
      <w:tr>
        <w:trPr>
          <w:trHeight w:val="318"/>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KIMBERLY NELSON</w:t>
            </w:r>
          </w:p>
        </w:tc>
        <w:tc>
          <w:tcPr>
            <w:tcW w:w="100" w:type="dxa"/>
            <w:vAlign w:val="bottom"/>
          </w:tcPr>
          <w:p>
            <w:pPr>
              <w:spacing w:after="0"/>
              <w:rPr>
                <w:sz w:val="24"/>
                <w:szCs w:val="24"/>
                <w:color w:val="auto"/>
              </w:rPr>
            </w:pP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Kimberly Nelson</w:t>
            </w:r>
          </w:p>
        </w:tc>
        <w:tc>
          <w:tcPr>
            <w:tcW w:w="100" w:type="dxa"/>
            <w:vAlign w:val="bottom"/>
          </w:tcPr>
          <w:p>
            <w:pPr>
              <w:spacing w:after="0"/>
              <w:rPr>
                <w:sz w:val="21"/>
                <w:szCs w:val="21"/>
                <w:color w:val="auto"/>
              </w:rPr>
            </w:pPr>
          </w:p>
        </w:tc>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317"/>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RAMSEY</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Ramsey</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317"/>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MARTY RÉAUME</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Marty Réaume</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318"/>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TAMI RELLER</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Tami Reller</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318"/>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PHILIP SORAN</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Soran</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318"/>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ANNE SEMPOWSKI WARD</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Anne Sempowski Ward</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318"/>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SVEN WEHRWEIN</w:t>
            </w:r>
          </w:p>
        </w:tc>
        <w:tc>
          <w:tcPr>
            <w:tcW w:w="100" w:type="dxa"/>
            <w:vAlign w:val="bottom"/>
          </w:tcPr>
          <w:p>
            <w:pPr>
              <w:spacing w:after="0"/>
              <w:rPr>
                <w:sz w:val="24"/>
                <w:szCs w:val="24"/>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820" w:type="dxa"/>
            <w:vAlign w:val="bottom"/>
          </w:tcPr>
          <w:p>
            <w:pPr>
              <w:spacing w:after="0"/>
              <w:rPr>
                <w:sz w:val="24"/>
                <w:szCs w:val="24"/>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Sven Wehrwein</w:t>
            </w:r>
          </w:p>
        </w:tc>
        <w:tc>
          <w:tcPr>
            <w:tcW w:w="1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820" w:type="dxa"/>
            <w:vAlign w:val="bottom"/>
          </w:tcPr>
          <w:p>
            <w:pPr>
              <w:spacing w:after="0"/>
              <w:rPr>
                <w:sz w:val="21"/>
                <w:szCs w:val="21"/>
                <w:color w:val="auto"/>
              </w:rPr>
            </w:pPr>
          </w:p>
        </w:tc>
      </w:tr>
      <w:tr>
        <w:trPr>
          <w:trHeight w:val="808"/>
        </w:trPr>
        <w:tc>
          <w:tcPr>
            <w:tcW w:w="46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SPS COMMERCE, INC.</w:t>
            </w:r>
          </w:p>
        </w:tc>
        <w:tc>
          <w:tcPr>
            <w:tcW w:w="2780" w:type="dxa"/>
            <w:vAlign w:val="bottom"/>
            <w:gridSpan w:val="2"/>
          </w:tcPr>
          <w:p>
            <w:pPr>
              <w:jc w:val="right"/>
              <w:ind w:right="1952"/>
              <w:spacing w:after="0"/>
              <w:rPr>
                <w:sz w:val="20"/>
                <w:szCs w:val="20"/>
                <w:color w:val="auto"/>
              </w:rPr>
            </w:pPr>
            <w:r>
              <w:rPr>
                <w:rFonts w:ascii="Times New Roman" w:cs="Times New Roman" w:eastAsia="Times New Roman" w:hAnsi="Times New Roman"/>
                <w:sz w:val="14"/>
                <w:szCs w:val="14"/>
                <w:color w:val="auto"/>
              </w:rPr>
              <w:t>68</w:t>
            </w:r>
          </w:p>
        </w:tc>
        <w:tc>
          <w:tcPr>
            <w:tcW w:w="3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Form 10-K for the Annual Period ended December 31,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-297815</wp:posOffset>
            </wp:positionV>
            <wp:extent cx="240030" cy="2317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240030" cy="2317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SPS COMMERCE,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2010 EQUITY INCENTIVE PLAN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Non-Employee Director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Restricted Stock Unit Award Agreement</w:t>
      </w:r>
    </w:p>
    <w:p>
      <w:pPr>
        <w:spacing w:after="0" w:line="200" w:lineRule="exact"/>
        <w:rPr>
          <w:sz w:val="20"/>
          <w:szCs w:val="20"/>
          <w:color w:val="auto"/>
        </w:rPr>
      </w:pPr>
    </w:p>
    <w:p>
      <w:pPr>
        <w:spacing w:after="0" w:line="301" w:lineRule="exact"/>
        <w:rPr>
          <w:sz w:val="20"/>
          <w:szCs w:val="20"/>
          <w:color w:val="auto"/>
        </w:rPr>
      </w:pPr>
    </w:p>
    <w:p>
      <w:pPr>
        <w:jc w:val="both"/>
        <w:ind w:firstLine="226"/>
        <w:spacing w:after="0" w:line="255" w:lineRule="auto"/>
        <w:rPr>
          <w:sz w:val="20"/>
          <w:szCs w:val="20"/>
          <w:color w:val="auto"/>
        </w:rPr>
      </w:pPr>
      <w:r>
        <w:rPr>
          <w:rFonts w:ascii="Times New Roman" w:cs="Times New Roman" w:eastAsia="Times New Roman" w:hAnsi="Times New Roman"/>
          <w:sz w:val="21"/>
          <w:szCs w:val="21"/>
          <w:color w:val="auto"/>
        </w:rPr>
        <w:t>SPS Commerce, Inc. (the “Company”), pursuant to its 2010 Equity Incentive Plan (the “Plan”), hereby grants an award of restricted stock units (“Units”) to you, the Participant named below. The terms and conditions of this restricted stock unit Award are set forth in this Restricted Stock Unit Award Agreement (the “Agreement”), consisting of this cover page and the Terms and Conditions on the following pages, and in the Plan document which is attached. To the extent any capitalized term used in this Agreement is not defined, it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098030" cy="18688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098030" cy="18688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
        <w:spacing w:after="0"/>
        <w:tabs>
          <w:tab w:leader="none" w:pos="2020" w:val="left"/>
        </w:tabs>
        <w:rPr>
          <w:sz w:val="20"/>
          <w:szCs w:val="20"/>
          <w:color w:val="auto"/>
        </w:rPr>
      </w:pPr>
      <w:r>
        <w:rPr>
          <w:rFonts w:ascii="Times New Roman" w:cs="Times New Roman" w:eastAsia="Times New Roman" w:hAnsi="Times New Roman"/>
          <w:sz w:val="21"/>
          <w:szCs w:val="21"/>
          <w:color w:val="auto"/>
        </w:rPr>
        <w:t>Name of Participant:</w:t>
      </w:r>
      <w:r>
        <w:rPr>
          <w:sz w:val="20"/>
          <w:szCs w:val="20"/>
          <w:color w:val="auto"/>
        </w:rPr>
        <w:tab/>
      </w:r>
      <w:r>
        <w:rPr>
          <w:rFonts w:ascii="Times New Roman" w:cs="Times New Roman" w:eastAsia="Times New Roman" w:hAnsi="Times New Roman"/>
          <w:sz w:val="20"/>
          <w:szCs w:val="20"/>
          <w:color w:val="auto"/>
        </w:rPr>
        <w:t>**[_______________________]</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453"/>
        </w:trPr>
        <w:tc>
          <w:tcPr>
            <w:tcW w:w="20" w:type="dxa"/>
            <w:vAlign w:val="bottom"/>
          </w:tcPr>
          <w:p>
            <w:pPr>
              <w:spacing w:after="0"/>
              <w:rPr>
                <w:sz w:val="24"/>
                <w:szCs w:val="24"/>
                <w:color w:val="auto"/>
              </w:rPr>
            </w:pPr>
          </w:p>
        </w:tc>
        <w:tc>
          <w:tcPr>
            <w:tcW w:w="558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Number of Units:  **[_______]</w:t>
            </w:r>
          </w:p>
        </w:tc>
        <w:tc>
          <w:tcPr>
            <w:tcW w:w="1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Grant Date:</w:t>
            </w:r>
          </w:p>
        </w:tc>
        <w:tc>
          <w:tcPr>
            <w:tcW w:w="2480" w:type="dxa"/>
            <w:vAlign w:val="bottom"/>
            <w:tcBorders>
              <w:top w:val="single" w:sz="8" w:color="auto"/>
            </w:tcBorders>
            <w:gridSpan w:val="2"/>
          </w:tcPr>
          <w:p>
            <w:pPr>
              <w:jc w:val="right"/>
              <w:ind w:right="617"/>
              <w:spacing w:after="0"/>
              <w:rPr>
                <w:sz w:val="20"/>
                <w:szCs w:val="20"/>
                <w:color w:val="auto"/>
              </w:rPr>
            </w:pPr>
            <w:r>
              <w:rPr>
                <w:rFonts w:ascii="Times New Roman" w:cs="Times New Roman" w:eastAsia="Times New Roman" w:hAnsi="Times New Roman"/>
                <w:sz w:val="21"/>
                <w:szCs w:val="21"/>
                <w:color w:val="auto"/>
              </w:rPr>
              <w:t>__________, 20__</w:t>
            </w:r>
          </w:p>
        </w:tc>
        <w:tc>
          <w:tcPr>
            <w:tcW w:w="1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Vesting Schedule:</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73"/>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6"/>
              </w:rPr>
              <w:t>Vesting Dates</w:t>
            </w:r>
          </w:p>
        </w:tc>
        <w:tc>
          <w:tcPr>
            <w:tcW w:w="2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6"/>
              </w:rPr>
              <w:t>Number of Units that Vest</w:t>
            </w:r>
          </w:p>
        </w:tc>
        <w:tc>
          <w:tcPr>
            <w:tcW w:w="186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By signing below, you agree to all of the terms and conditions contained in this Agreement and in the Plan document. You acknowledge that you have reviewed these documents and that they set forth the entire agreement between you and the Company regarding the grant to you of the number of Units specified in the table above.</w:t>
      </w:r>
    </w:p>
    <w:p>
      <w:pPr>
        <w:spacing w:after="0" w:line="202"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1"/>
          <w:szCs w:val="21"/>
          <w:color w:val="auto"/>
        </w:rPr>
        <w:t>PARTICIPANT:</w:t>
      </w:r>
      <w:r>
        <w:rPr>
          <w:sz w:val="20"/>
          <w:szCs w:val="20"/>
          <w:color w:val="auto"/>
        </w:rPr>
        <w:tab/>
      </w:r>
      <w:r>
        <w:rPr>
          <w:rFonts w:ascii="Times New Roman" w:cs="Times New Roman" w:eastAsia="Times New Roman" w:hAnsi="Times New Roman"/>
          <w:sz w:val="20"/>
          <w:szCs w:val="20"/>
          <w:color w:val="auto"/>
        </w:rPr>
        <w:t>SPS COMMERCE, INC.</w:t>
      </w:r>
    </w:p>
    <w:p>
      <w:pPr>
        <w:spacing w:after="0" w:line="200" w:lineRule="exact"/>
        <w:rPr>
          <w:sz w:val="20"/>
          <w:szCs w:val="20"/>
          <w:color w:val="auto"/>
        </w:rPr>
      </w:pPr>
    </w:p>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By:______________________________________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314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Title:_____________________________________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DMS_US.367321078.2</w:t>
      </w:r>
    </w:p>
    <w:p>
      <w:pPr>
        <w:sectPr>
          <w:pgSz w:w="11900" w:h="16838" w:orient="portrait"/>
          <w:cols w:equalWidth="0" w:num="1">
            <w:col w:w="11240"/>
          </w:cols>
          <w:pgMar w:left="320" w:top="114" w:right="339" w:bottom="1440" w:gutter="0" w:footer="0" w:header="0"/>
        </w:sectPr>
      </w:pPr>
    </w:p>
    <w:bookmarkStart w:id="69" w:name="page70"/>
    <w:bookmarkEnd w:id="69"/>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SPS Commerce,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2010 Equity Incentive Plan</w:t>
      </w:r>
    </w:p>
    <w:p>
      <w:pPr>
        <w:spacing w:after="0" w:line="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Non-Employee Director)</w:t>
      </w:r>
    </w:p>
    <w:p>
      <w:pPr>
        <w:spacing w:after="0" w:line="2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u w:val="single" w:color="auto"/>
          <w:color w:val="auto"/>
        </w:rPr>
        <w:t>Terms and Conditions</w:t>
      </w:r>
    </w:p>
    <w:p>
      <w:pPr>
        <w:spacing w:after="0" w:line="258" w:lineRule="exact"/>
        <w:rPr>
          <w:sz w:val="20"/>
          <w:szCs w:val="20"/>
          <w:color w:val="auto"/>
        </w:rPr>
      </w:pPr>
    </w:p>
    <w:p>
      <w:pPr>
        <w:ind w:left="652" w:hanging="652"/>
        <w:spacing w:after="0" w:line="255" w:lineRule="auto"/>
        <w:tabs>
          <w:tab w:leader="none" w:pos="39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The Company hereby grants to you, subject to the terms and conditions in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an Award of the number of Units specified on the cover page of this Agreement, each representing the right to receive one Share of the Company’s common stock. The Units granted to you will be credited to an account in your name maintained by the Company. This account shall be unfunded and maintained for book-keeping purposes only, with the Units simply representing an unfunded and unsecured obligation of the Company.</w:t>
      </w:r>
    </w:p>
    <w:p>
      <w:pPr>
        <w:spacing w:after="0" w:line="202" w:lineRule="exact"/>
        <w:rPr>
          <w:rFonts w:ascii="Times New Roman" w:cs="Times New Roman" w:eastAsia="Times New Roman" w:hAnsi="Times New Roman"/>
          <w:sz w:val="21"/>
          <w:szCs w:val="21"/>
          <w:color w:val="auto"/>
        </w:rPr>
      </w:pPr>
    </w:p>
    <w:p>
      <w:pPr>
        <w:ind w:left="652" w:hanging="652"/>
        <w:spacing w:after="0" w:line="251" w:lineRule="auto"/>
        <w:tabs>
          <w:tab w:leader="none" w:pos="379"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the Company declares and pays cash dividends with respect to its Shares while any Units subject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are outstanding, then on each dividend payment date a dividend equivalent dollar amount equal to the number of Units credited to your account pursuant to this Agreement as of the dividend record date times the dollar amount of the cash dividend per Share shall be deemed reinvested in additional Units as of the dividend payment date and such additional Units shall be credited to your account. The number of additional Units so credited shall be determined based on the Fair Market Value of a Share on the dividend payment date. Any additional Units so credited will be subject to the same terms and conditions, including the timing of vesting and settlement, applicable to the underlying Units to which the dividend equivalents relate.</w:t>
      </w:r>
    </w:p>
    <w:p>
      <w:pPr>
        <w:spacing w:after="0" w:line="207" w:lineRule="exact"/>
        <w:rPr>
          <w:rFonts w:ascii="Times New Roman" w:cs="Times New Roman" w:eastAsia="Times New Roman" w:hAnsi="Times New Roman"/>
          <w:sz w:val="21"/>
          <w:szCs w:val="21"/>
          <w:color w:val="auto"/>
        </w:rPr>
      </w:pPr>
    </w:p>
    <w:p>
      <w:pPr>
        <w:ind w:left="652" w:hanging="652"/>
        <w:spacing w:after="0" w:line="255" w:lineRule="auto"/>
        <w:tabs>
          <w:tab w:leader="none" w:pos="42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Restrictions on Units</w:t>
      </w:r>
      <w:r>
        <w:rPr>
          <w:rFonts w:ascii="Times New Roman" w:cs="Times New Roman" w:eastAsia="Times New Roman" w:hAnsi="Times New Roman"/>
          <w:sz w:val="21"/>
          <w:szCs w:val="21"/>
          <w:color w:val="auto"/>
        </w:rPr>
        <w:t>. Neither this Award nor the Units subject to this Award may be sold, assigned, transferred, exchanged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encumbered other than by will or the laws of descent and distribution. Any attempted transfer in violation of this Section 3 shall be of no effect and shall result in the forfeiture of all Units. The Units and your right to receive Shares in settlement of the Units under this Agreement shall be subject to forfeiture as provided in Section 5 until satisfaction of the vesting conditions set forth in Section 4.</w:t>
      </w:r>
    </w:p>
    <w:p>
      <w:pPr>
        <w:spacing w:after="0" w:line="202" w:lineRule="exact"/>
        <w:rPr>
          <w:rFonts w:ascii="Times New Roman" w:cs="Times New Roman" w:eastAsia="Times New Roman" w:hAnsi="Times New Roman"/>
          <w:sz w:val="21"/>
          <w:szCs w:val="21"/>
          <w:color w:val="auto"/>
        </w:rPr>
      </w:pPr>
    </w:p>
    <w:p>
      <w:pPr>
        <w:ind w:left="372" w:hanging="372"/>
        <w:spacing w:after="0"/>
        <w:tabs>
          <w:tab w:leader="none" w:pos="37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 of Units</w:t>
      </w:r>
      <w:r>
        <w:rPr>
          <w:rFonts w:ascii="Times New Roman" w:cs="Times New Roman" w:eastAsia="Times New Roman" w:hAnsi="Times New Roman"/>
          <w:sz w:val="21"/>
          <w:szCs w:val="21"/>
          <w:color w:val="auto"/>
        </w:rPr>
        <w:t>.</w:t>
      </w:r>
    </w:p>
    <w:p>
      <w:pPr>
        <w:spacing w:after="0" w:line="246" w:lineRule="exact"/>
        <w:rPr>
          <w:rFonts w:ascii="Times New Roman" w:cs="Times New Roman" w:eastAsia="Times New Roman" w:hAnsi="Times New Roman"/>
          <w:sz w:val="21"/>
          <w:szCs w:val="21"/>
          <w:color w:val="auto"/>
        </w:rPr>
      </w:pPr>
    </w:p>
    <w:p>
      <w:pPr>
        <w:jc w:val="both"/>
        <w:ind w:left="652" w:hanging="4"/>
        <w:spacing w:after="0" w:line="262" w:lineRule="auto"/>
        <w:tabs>
          <w:tab w:leader="none" w:pos="1142"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Scheduled Vesting</w:t>
      </w:r>
      <w:r>
        <w:rPr>
          <w:rFonts w:ascii="Times New Roman" w:cs="Times New Roman" w:eastAsia="Times New Roman" w:hAnsi="Times New Roman"/>
          <w:sz w:val="21"/>
          <w:szCs w:val="21"/>
          <w:color w:val="auto"/>
        </w:rPr>
        <w:t>. If you remain in Service as a Non-Employee Director of the Company continuously from the Grant Date specified on the cover page of this Agreement, then the Units will vest in the numbers and on the dates specified in the Vesting Schedule on the cover page of this Agreement.</w:t>
      </w:r>
    </w:p>
    <w:p>
      <w:pPr>
        <w:spacing w:after="0" w:line="208" w:lineRule="exact"/>
        <w:rPr>
          <w:sz w:val="20"/>
          <w:szCs w:val="20"/>
          <w:color w:val="auto"/>
        </w:rPr>
      </w:pPr>
    </w:p>
    <w:p>
      <w:pPr>
        <w:ind w:left="652" w:hanging="652"/>
        <w:spacing w:after="0" w:line="255" w:lineRule="auto"/>
        <w:tabs>
          <w:tab w:leader="none" w:pos="46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Accelerated Vesting</w:t>
      </w:r>
      <w:r>
        <w:rPr>
          <w:rFonts w:ascii="Times New Roman" w:cs="Times New Roman" w:eastAsia="Times New Roman" w:hAnsi="Times New Roman"/>
          <w:sz w:val="21"/>
          <w:szCs w:val="21"/>
          <w:color w:val="auto"/>
        </w:rPr>
        <w:t>. Notwithstanding Section 4(a), the Units will vest in full upon the occurrence of a Change in Control (within the meaning of Section 2(f)(3) of the Plan, including the last sentence thereof), so long as you have continuously provided Service to the Company between the Grant Date and the date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32"/>
          </w:cols>
          <w:pgMar w:left="328" w:top="1428" w:right="339" w:bottom="1440" w:gutter="0" w:footer="0" w:header="0"/>
        </w:sectPr>
      </w:pPr>
    </w:p>
    <w:bookmarkStart w:id="70" w:name="page71"/>
    <w:bookmarkEnd w:id="70"/>
    <w:p>
      <w:pPr>
        <w:ind w:left="660" w:hanging="652"/>
        <w:spacing w:after="0" w:line="272" w:lineRule="auto"/>
        <w:tabs>
          <w:tab w:leader="none" w:pos="44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Termination of Service</w:t>
      </w:r>
      <w:r>
        <w:rPr>
          <w:rFonts w:ascii="Times New Roman" w:cs="Times New Roman" w:eastAsia="Times New Roman" w:hAnsi="Times New Roman"/>
          <w:sz w:val="21"/>
          <w:szCs w:val="21"/>
          <w:color w:val="auto"/>
        </w:rPr>
        <w:t>. Except as otherwise provided in accordance with Section 4(b), if you cease to be a Service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Provider prior to the Vesting Date(s) specified on the cover page of this Agreement, you will forfeit all unvested Units.</w:t>
      </w:r>
    </w:p>
    <w:p>
      <w:pPr>
        <w:spacing w:after="0" w:line="195" w:lineRule="exact"/>
        <w:rPr>
          <w:rFonts w:ascii="Times New Roman" w:cs="Times New Roman" w:eastAsia="Times New Roman" w:hAnsi="Times New Roman"/>
          <w:sz w:val="21"/>
          <w:szCs w:val="21"/>
          <w:color w:val="auto"/>
        </w:rPr>
      </w:pPr>
    </w:p>
    <w:p>
      <w:pPr>
        <w:ind w:left="660" w:hanging="652"/>
        <w:spacing w:after="0" w:line="251" w:lineRule="auto"/>
        <w:tabs>
          <w:tab w:leader="none" w:pos="38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Settlement of Units</w:t>
      </w:r>
      <w:r>
        <w:rPr>
          <w:rFonts w:ascii="Times New Roman" w:cs="Times New Roman" w:eastAsia="Times New Roman" w:hAnsi="Times New Roman"/>
          <w:sz w:val="21"/>
          <w:szCs w:val="21"/>
          <w:color w:val="auto"/>
        </w:rPr>
        <w:t>. After any Units vest pursuant to Section 4, the Company shall, no later than March 15 of the year following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calendar year in which such Units vest, cause to be issued and delivered to you, or to your designated beneficiary or estate in the event of your death,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compliance with all applicable legal requirements, including compliance with the requirements of applicable federal and state securities laws, and shall be in complete satisfaction and settlement of such vested Units.</w:t>
      </w:r>
    </w:p>
    <w:p>
      <w:pPr>
        <w:spacing w:after="0" w:line="207" w:lineRule="exact"/>
        <w:rPr>
          <w:rFonts w:ascii="Times New Roman" w:cs="Times New Roman" w:eastAsia="Times New Roman" w:hAnsi="Times New Roman"/>
          <w:sz w:val="21"/>
          <w:szCs w:val="21"/>
          <w:color w:val="auto"/>
        </w:rPr>
      </w:pPr>
    </w:p>
    <w:p>
      <w:pPr>
        <w:ind w:left="660" w:hanging="652"/>
        <w:spacing w:after="0" w:line="263" w:lineRule="auto"/>
        <w:tabs>
          <w:tab w:leader="none" w:pos="46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Shareholder Rights</w:t>
      </w:r>
      <w:r>
        <w:rPr>
          <w:rFonts w:ascii="Times New Roman" w:cs="Times New Roman" w:eastAsia="Times New Roman" w:hAnsi="Times New Roman"/>
          <w:sz w:val="21"/>
          <w:szCs w:val="21"/>
          <w:color w:val="auto"/>
        </w:rPr>
        <w:t>. The Units subject to this Award do not entitle you to any rights of a shareholder of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You will not have any of the rights of a shareholder of the Company in connection with the grant of Units subject to this Agreement unless and until Shares are issued to you upon settlement of the Units as provided in Section 6.</w:t>
      </w:r>
    </w:p>
    <w:p>
      <w:pPr>
        <w:spacing w:after="0" w:line="191" w:lineRule="exact"/>
        <w:rPr>
          <w:rFonts w:ascii="Times New Roman" w:cs="Times New Roman" w:eastAsia="Times New Roman" w:hAnsi="Times New Roman"/>
          <w:sz w:val="21"/>
          <w:szCs w:val="21"/>
          <w:color w:val="auto"/>
        </w:rPr>
      </w:pPr>
    </w:p>
    <w:p>
      <w:pPr>
        <w:ind w:left="660" w:hanging="652"/>
        <w:spacing w:after="0" w:line="282" w:lineRule="auto"/>
        <w:tabs>
          <w:tab w:leader="none" w:pos="37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Plan, and to all interpretations,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rules and regulations which may, from time to time, be adopted and promulgated by the Committee pursuant to the Plan. If there is any conflict between the provisions of this Agreement and the Plan, the provisions of the Plan will govern.</w:t>
      </w:r>
    </w:p>
    <w:p>
      <w:pPr>
        <w:spacing w:after="0" w:line="174" w:lineRule="exact"/>
        <w:rPr>
          <w:rFonts w:ascii="Times New Roman" w:cs="Times New Roman" w:eastAsia="Times New Roman" w:hAnsi="Times New Roman"/>
          <w:sz w:val="20"/>
          <w:szCs w:val="20"/>
          <w:color w:val="auto"/>
        </w:rPr>
      </w:pPr>
    </w:p>
    <w:p>
      <w:pPr>
        <w:ind w:left="660" w:hanging="652"/>
        <w:spacing w:after="0" w:line="285" w:lineRule="auto"/>
        <w:tabs>
          <w:tab w:leader="none" w:pos="41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Choice of Law</w:t>
      </w:r>
      <w:r>
        <w:rPr>
          <w:rFonts w:ascii="Times New Roman" w:cs="Times New Roman" w:eastAsia="Times New Roman" w:hAnsi="Times New Roman"/>
          <w:sz w:val="21"/>
          <w:szCs w:val="21"/>
          <w:color w:val="auto"/>
        </w:rPr>
        <w:t>. This Agreement will be interpreted and enforced under the laws of the state of Minnesota (without regard to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conflicts or choice of law principles).</w:t>
      </w:r>
    </w:p>
    <w:p>
      <w:pPr>
        <w:spacing w:after="0" w:line="168" w:lineRule="exact"/>
        <w:rPr>
          <w:rFonts w:ascii="Times New Roman" w:cs="Times New Roman" w:eastAsia="Times New Roman" w:hAnsi="Times New Roman"/>
          <w:sz w:val="21"/>
          <w:szCs w:val="21"/>
          <w:color w:val="auto"/>
        </w:rPr>
      </w:pPr>
    </w:p>
    <w:p>
      <w:pPr>
        <w:ind w:left="660" w:hanging="652"/>
        <w:spacing w:after="0" w:line="272" w:lineRule="auto"/>
        <w:tabs>
          <w:tab w:leader="none" w:pos="491"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Agreement will be binding in all respects on your heirs, representatives, successors and assigns, and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successors and assigns of the Company.</w:t>
      </w:r>
    </w:p>
    <w:p>
      <w:pPr>
        <w:spacing w:after="0" w:line="195" w:lineRule="exact"/>
        <w:rPr>
          <w:rFonts w:ascii="Times New Roman" w:cs="Times New Roman" w:eastAsia="Times New Roman" w:hAnsi="Times New Roman"/>
          <w:sz w:val="21"/>
          <w:szCs w:val="21"/>
          <w:color w:val="auto"/>
        </w:rPr>
      </w:pPr>
    </w:p>
    <w:p>
      <w:pPr>
        <w:ind w:left="660" w:hanging="652"/>
        <w:spacing w:after="0" w:line="263" w:lineRule="auto"/>
        <w:tabs>
          <w:tab w:leader="none" w:pos="51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Discontinuance of Service</w:t>
      </w:r>
      <w:r>
        <w:rPr>
          <w:rFonts w:ascii="Times New Roman" w:cs="Times New Roman" w:eastAsia="Times New Roman" w:hAnsi="Times New Roman"/>
          <w:sz w:val="21"/>
          <w:szCs w:val="21"/>
          <w:color w:val="auto"/>
        </w:rPr>
        <w:t>. This Agreement does not give you a right to continued Service with the Company or any Affiliate,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Company or any such Affiliate may terminate your Service at any time and otherwise deal with you without regard to the effect it may have upon you under this Agreement.</w:t>
      </w:r>
    </w:p>
    <w:p>
      <w:pPr>
        <w:spacing w:after="0" w:line="191" w:lineRule="exact"/>
        <w:rPr>
          <w:rFonts w:ascii="Times New Roman" w:cs="Times New Roman" w:eastAsia="Times New Roman" w:hAnsi="Times New Roman"/>
          <w:sz w:val="21"/>
          <w:szCs w:val="21"/>
          <w:color w:val="auto"/>
        </w:rPr>
      </w:pPr>
    </w:p>
    <w:p>
      <w:pPr>
        <w:ind w:left="660" w:hanging="652"/>
        <w:spacing w:after="0" w:line="263" w:lineRule="auto"/>
        <w:tabs>
          <w:tab w:leader="none" w:pos="47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 of the Code</w:t>
      </w:r>
      <w:r>
        <w:rPr>
          <w:rFonts w:ascii="Times New Roman" w:cs="Times New Roman" w:eastAsia="Times New Roman" w:hAnsi="Times New Roman"/>
          <w:sz w:val="21"/>
          <w:szCs w:val="21"/>
          <w:color w:val="auto"/>
        </w:rPr>
        <w:t>. The award of Units as provided in this Agreement and any issuance of Shares or payment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are intended to be exempt from Section 409A of the Code under the short-term deferral exception specified in Treas. Reg. § 1.409A-l(b)(4).</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By signing the cover page of this Agreement, you agree to all the terms and conditions described above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SPS COMMERCE,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2010 EQUITY INCENTIVE PLAN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Non-Employee Director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Deferred Stock Unit Award Agreement</w:t>
      </w:r>
    </w:p>
    <w:p>
      <w:pPr>
        <w:spacing w:after="0" w:line="200" w:lineRule="exact"/>
        <w:rPr>
          <w:sz w:val="20"/>
          <w:szCs w:val="20"/>
          <w:color w:val="auto"/>
        </w:rPr>
      </w:pPr>
    </w:p>
    <w:p>
      <w:pPr>
        <w:spacing w:after="0" w:line="301"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21"/>
          <w:szCs w:val="21"/>
          <w:color w:val="auto"/>
        </w:rPr>
        <w:t>SPS Commerce, Inc. (the “Company”), pursuant to its 2010 Equity Incentive Plan (the “Plan”), hereby grants an award of deferred stock units (“Units”) to you, the Participant named below. The terms and conditions of this deferred stock unit Award are set forth in this Deferred Stock Unit Award Agreement (the “Agreement”), consisting of this cover page and the Terms and Conditions on the following pages, and in the Plan document which is attached. To the extent any capitalized term used in this Agreement is not defined, it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098030" cy="18688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098030" cy="18688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
        <w:spacing w:after="0"/>
        <w:tabs>
          <w:tab w:leader="none" w:pos="2020" w:val="left"/>
        </w:tabs>
        <w:rPr>
          <w:sz w:val="20"/>
          <w:szCs w:val="20"/>
          <w:color w:val="auto"/>
        </w:rPr>
      </w:pPr>
      <w:r>
        <w:rPr>
          <w:rFonts w:ascii="Times New Roman" w:cs="Times New Roman" w:eastAsia="Times New Roman" w:hAnsi="Times New Roman"/>
          <w:sz w:val="21"/>
          <w:szCs w:val="21"/>
          <w:color w:val="auto"/>
        </w:rPr>
        <w:t>Name of Participant:</w:t>
      </w:r>
      <w:r>
        <w:rPr>
          <w:sz w:val="20"/>
          <w:szCs w:val="20"/>
          <w:color w:val="auto"/>
        </w:rPr>
        <w:tab/>
      </w:r>
      <w:r>
        <w:rPr>
          <w:rFonts w:ascii="Times New Roman" w:cs="Times New Roman" w:eastAsia="Times New Roman" w:hAnsi="Times New Roman"/>
          <w:sz w:val="20"/>
          <w:szCs w:val="20"/>
          <w:color w:val="auto"/>
        </w:rPr>
        <w:t>**[_______________________]</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454"/>
        </w:trPr>
        <w:tc>
          <w:tcPr>
            <w:tcW w:w="20" w:type="dxa"/>
            <w:vAlign w:val="bottom"/>
          </w:tcPr>
          <w:p>
            <w:pPr>
              <w:spacing w:after="0"/>
              <w:rPr>
                <w:sz w:val="24"/>
                <w:szCs w:val="24"/>
                <w:color w:val="auto"/>
              </w:rPr>
            </w:pPr>
          </w:p>
        </w:tc>
        <w:tc>
          <w:tcPr>
            <w:tcW w:w="558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Number of Units:  **[_______]</w:t>
            </w:r>
          </w:p>
        </w:tc>
        <w:tc>
          <w:tcPr>
            <w:tcW w:w="1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Grant Date:</w:t>
            </w:r>
          </w:p>
        </w:tc>
        <w:tc>
          <w:tcPr>
            <w:tcW w:w="2480" w:type="dxa"/>
            <w:vAlign w:val="bottom"/>
            <w:tcBorders>
              <w:top w:val="single" w:sz="8" w:color="auto"/>
            </w:tcBorders>
            <w:gridSpan w:val="2"/>
          </w:tcPr>
          <w:p>
            <w:pPr>
              <w:jc w:val="right"/>
              <w:ind w:right="617"/>
              <w:spacing w:after="0"/>
              <w:rPr>
                <w:sz w:val="20"/>
                <w:szCs w:val="20"/>
                <w:color w:val="auto"/>
              </w:rPr>
            </w:pPr>
            <w:r>
              <w:rPr>
                <w:rFonts w:ascii="Times New Roman" w:cs="Times New Roman" w:eastAsia="Times New Roman" w:hAnsi="Times New Roman"/>
                <w:sz w:val="21"/>
                <w:szCs w:val="21"/>
                <w:color w:val="auto"/>
              </w:rPr>
              <w:t>__________, 20__</w:t>
            </w:r>
          </w:p>
        </w:tc>
        <w:tc>
          <w:tcPr>
            <w:tcW w:w="1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3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Vesting Schedule:</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73"/>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6"/>
              </w:rPr>
              <w:t>Vesting Dates</w:t>
            </w:r>
          </w:p>
        </w:tc>
        <w:tc>
          <w:tcPr>
            <w:tcW w:w="2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6"/>
              </w:rPr>
              <w:t>Number of Units that Vest</w:t>
            </w:r>
          </w:p>
        </w:tc>
        <w:tc>
          <w:tcPr>
            <w:tcW w:w="1860" w:type="dxa"/>
            <w:vAlign w:val="bottom"/>
            <w:gridSpan w:val="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By signing below, you agree to all of the terms and conditions contained in this Agreement and in the Plan document. You acknowledge that you have reviewed these documents and that they set forth the entire agreement between you and the Company regarding the grant to you of the number of Units specified in the table above.</w:t>
      </w:r>
    </w:p>
    <w:p>
      <w:pPr>
        <w:spacing w:after="0" w:line="202"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1"/>
          <w:szCs w:val="21"/>
          <w:color w:val="auto"/>
        </w:rPr>
        <w:t>PARTICIPANT:</w:t>
      </w:r>
      <w:r>
        <w:rPr>
          <w:sz w:val="20"/>
          <w:szCs w:val="20"/>
          <w:color w:val="auto"/>
        </w:rPr>
        <w:tab/>
      </w:r>
      <w:r>
        <w:rPr>
          <w:rFonts w:ascii="Times New Roman" w:cs="Times New Roman" w:eastAsia="Times New Roman" w:hAnsi="Times New Roman"/>
          <w:sz w:val="20"/>
          <w:szCs w:val="20"/>
          <w:color w:val="auto"/>
        </w:rPr>
        <w:t>SPS COMMERCE, INC.</w:t>
      </w:r>
    </w:p>
    <w:p>
      <w:pPr>
        <w:spacing w:after="0" w:line="200" w:lineRule="exact"/>
        <w:rPr>
          <w:sz w:val="20"/>
          <w:szCs w:val="20"/>
          <w:color w:val="auto"/>
        </w:rPr>
      </w:pPr>
    </w:p>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By:______________________________________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3144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Title:_____________________________________</w:t>
      </w:r>
    </w:p>
    <w:p>
      <w:pPr>
        <w:sectPr>
          <w:pgSz w:w="11900" w:h="16838" w:orient="portrait"/>
          <w:cols w:equalWidth="0" w:num="1">
            <w:col w:w="11240"/>
          </w:cols>
          <w:pgMar w:left="320" w:top="114" w:right="339" w:bottom="1440" w:gutter="0" w:footer="0" w:header="0"/>
        </w:sectPr>
      </w:pPr>
    </w:p>
    <w:bookmarkStart w:id="72" w:name="page73"/>
    <w:bookmarkEnd w:id="72"/>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SPS Commerce,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2010 Equity Incentive Plan</w:t>
      </w:r>
    </w:p>
    <w:p>
      <w:pPr>
        <w:spacing w:after="0" w:line="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Deferred Stock Unit Award Agreement</w:t>
      </w:r>
    </w:p>
    <w:p>
      <w:pPr>
        <w:spacing w:after="0" w:line="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u w:val="single" w:color="auto"/>
          <w:color w:val="auto"/>
        </w:rPr>
        <w:t>Non-Employee Director)</w:t>
      </w:r>
    </w:p>
    <w:p>
      <w:pPr>
        <w:spacing w:after="0" w:line="2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u w:val="single" w:color="auto"/>
          <w:color w:val="auto"/>
        </w:rPr>
        <w:t>Terms and Conditions</w:t>
      </w:r>
    </w:p>
    <w:p>
      <w:pPr>
        <w:spacing w:after="0" w:line="258" w:lineRule="exact"/>
        <w:rPr>
          <w:sz w:val="20"/>
          <w:szCs w:val="20"/>
          <w:color w:val="auto"/>
        </w:rPr>
      </w:pPr>
    </w:p>
    <w:p>
      <w:pPr>
        <w:ind w:left="652" w:hanging="652"/>
        <w:spacing w:after="0" w:line="255" w:lineRule="auto"/>
        <w:tabs>
          <w:tab w:leader="none" w:pos="40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Deferred Stock Units</w:t>
      </w:r>
      <w:r>
        <w:rPr>
          <w:rFonts w:ascii="Times New Roman" w:cs="Times New Roman" w:eastAsia="Times New Roman" w:hAnsi="Times New Roman"/>
          <w:sz w:val="21"/>
          <w:szCs w:val="21"/>
          <w:color w:val="auto"/>
        </w:rPr>
        <w:t>. The Company hereby grants to you, subject to the terms and conditions in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an Award of the number of Units specified on the cover page of this Agreement, each representing the right to receive one Share of the Company’s common stock. The Units granted to you will be credited to an account in your name maintained by the Company. This account shall be unfunded and maintained for book-keeping purposes only, with the Units simply representing an unfunded and unsecured obligation of the Company.</w:t>
      </w:r>
    </w:p>
    <w:p>
      <w:pPr>
        <w:spacing w:after="0" w:line="202" w:lineRule="exact"/>
        <w:rPr>
          <w:rFonts w:ascii="Times New Roman" w:cs="Times New Roman" w:eastAsia="Times New Roman" w:hAnsi="Times New Roman"/>
          <w:sz w:val="21"/>
          <w:szCs w:val="21"/>
          <w:color w:val="auto"/>
        </w:rPr>
      </w:pPr>
    </w:p>
    <w:p>
      <w:pPr>
        <w:ind w:left="652" w:hanging="652"/>
        <w:spacing w:after="0" w:line="251" w:lineRule="auto"/>
        <w:tabs>
          <w:tab w:leader="none" w:pos="37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Dividend Equivalents</w:t>
      </w:r>
      <w:r>
        <w:rPr>
          <w:rFonts w:ascii="Times New Roman" w:cs="Times New Roman" w:eastAsia="Times New Roman" w:hAnsi="Times New Roman"/>
          <w:sz w:val="21"/>
          <w:szCs w:val="21"/>
          <w:color w:val="auto"/>
        </w:rPr>
        <w:t>. If the Company declares and pays cash dividends with respect to its Shares while any Units subject 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are outstanding, then on each dividend payment date a dividend equivalent dollar amount equal to the number of Units credited to your account pursuant to this Agreement as of the dividend record date times the dollar amount of the cash dividend per Share shall be deemed reinvested in additional Units as of the dividend payment date and such additional Units shall be credited to your account. The number of additional Units so credited shall be determined based on the Fair Market Value of a Share on the dividend payment date. Any additional Units so credited will be subject to the same terms and conditions, including the timing of vesting and settlement, applicable to the underlying Units to which the dividend equivalents relate.</w:t>
      </w:r>
    </w:p>
    <w:p>
      <w:pPr>
        <w:spacing w:after="0" w:line="207" w:lineRule="exact"/>
        <w:rPr>
          <w:rFonts w:ascii="Times New Roman" w:cs="Times New Roman" w:eastAsia="Times New Roman" w:hAnsi="Times New Roman"/>
          <w:sz w:val="21"/>
          <w:szCs w:val="21"/>
          <w:color w:val="auto"/>
        </w:rPr>
      </w:pPr>
    </w:p>
    <w:p>
      <w:pPr>
        <w:ind w:left="652" w:hanging="652"/>
        <w:spacing w:after="0" w:line="255" w:lineRule="auto"/>
        <w:tabs>
          <w:tab w:leader="none" w:pos="4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Restrictions on Units</w:t>
      </w:r>
      <w:r>
        <w:rPr>
          <w:rFonts w:ascii="Times New Roman" w:cs="Times New Roman" w:eastAsia="Times New Roman" w:hAnsi="Times New Roman"/>
          <w:sz w:val="21"/>
          <w:szCs w:val="21"/>
          <w:color w:val="auto"/>
        </w:rPr>
        <w:t>. Neither this Award nor the Units subject to this Award may be sold, assigned, transferred, exchanged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encumbered other than by will or the laws of descent and distribution. Any attempted transfer in violation of this Section 3 shall be of no effect and shall result in the forfeiture of all Units. The Units and your right to receive Shares in settlement of the Units under this Agreement shall be subject to forfeiture as provided in Section 5 until satisfaction of the vesting conditions set forth in Section 4.</w:t>
      </w:r>
    </w:p>
    <w:p>
      <w:pPr>
        <w:spacing w:after="0" w:line="202" w:lineRule="exact"/>
        <w:rPr>
          <w:rFonts w:ascii="Times New Roman" w:cs="Times New Roman" w:eastAsia="Times New Roman" w:hAnsi="Times New Roman"/>
          <w:sz w:val="21"/>
          <w:szCs w:val="21"/>
          <w:color w:val="auto"/>
        </w:rPr>
      </w:pPr>
    </w:p>
    <w:p>
      <w:pPr>
        <w:ind w:left="372" w:hanging="372"/>
        <w:spacing w:after="0"/>
        <w:tabs>
          <w:tab w:leader="none" w:pos="37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 of Units</w:t>
      </w:r>
      <w:r>
        <w:rPr>
          <w:rFonts w:ascii="Times New Roman" w:cs="Times New Roman" w:eastAsia="Times New Roman" w:hAnsi="Times New Roman"/>
          <w:sz w:val="21"/>
          <w:szCs w:val="21"/>
          <w:color w:val="auto"/>
        </w:rPr>
        <w:t>.</w:t>
      </w:r>
    </w:p>
    <w:p>
      <w:pPr>
        <w:spacing w:after="0" w:line="246" w:lineRule="exact"/>
        <w:rPr>
          <w:rFonts w:ascii="Times New Roman" w:cs="Times New Roman" w:eastAsia="Times New Roman" w:hAnsi="Times New Roman"/>
          <w:sz w:val="21"/>
          <w:szCs w:val="21"/>
          <w:color w:val="auto"/>
        </w:rPr>
      </w:pPr>
    </w:p>
    <w:p>
      <w:pPr>
        <w:jc w:val="both"/>
        <w:ind w:left="652" w:hanging="4"/>
        <w:spacing w:after="0" w:line="262" w:lineRule="auto"/>
        <w:tabs>
          <w:tab w:leader="none" w:pos="1142"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Scheduled Vesting</w:t>
      </w:r>
      <w:r>
        <w:rPr>
          <w:rFonts w:ascii="Times New Roman" w:cs="Times New Roman" w:eastAsia="Times New Roman" w:hAnsi="Times New Roman"/>
          <w:sz w:val="21"/>
          <w:szCs w:val="21"/>
          <w:color w:val="auto"/>
        </w:rPr>
        <w:t>. If you remain in Service as a Non-Employee Director of the Company continuously from the Grant Date specified on the cover page of this Agreement, then the Units will vest in the numbers and on the dates specified in the Vesting Schedule on the cover page of this Agreement.</w:t>
      </w:r>
    </w:p>
    <w:p>
      <w:pPr>
        <w:spacing w:after="0" w:line="208" w:lineRule="exact"/>
        <w:rPr>
          <w:rFonts w:ascii="Times New Roman" w:cs="Times New Roman" w:eastAsia="Times New Roman" w:hAnsi="Times New Roman"/>
          <w:sz w:val="21"/>
          <w:szCs w:val="21"/>
          <w:color w:val="auto"/>
        </w:rPr>
      </w:pPr>
    </w:p>
    <w:p>
      <w:pPr>
        <w:jc w:val="both"/>
        <w:ind w:left="652" w:hanging="4"/>
        <w:spacing w:after="0" w:line="255" w:lineRule="auto"/>
        <w:tabs>
          <w:tab w:leader="none" w:pos="1114"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Accelerated Vesting</w:t>
      </w:r>
      <w:r>
        <w:rPr>
          <w:rFonts w:ascii="Times New Roman" w:cs="Times New Roman" w:eastAsia="Times New Roman" w:hAnsi="Times New Roman"/>
          <w:sz w:val="21"/>
          <w:szCs w:val="21"/>
          <w:color w:val="auto"/>
        </w:rPr>
        <w:t>. Notwithstanding Section 4(a), the Units will vest in full upon the occurrence of a Change in Control (within the meaning of Section 2(f)(3) of the Plan, including the last sentence thereof), so long as you have continuously provided Service to the Company between the Grant Date and the date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32"/>
          </w:cols>
          <w:pgMar w:left="328" w:top="1428" w:right="339" w:bottom="1440" w:gutter="0" w:footer="0" w:header="0"/>
        </w:sectPr>
      </w:pPr>
    </w:p>
    <w:bookmarkStart w:id="73" w:name="page74"/>
    <w:bookmarkEnd w:id="73"/>
    <w:p>
      <w:pPr>
        <w:ind w:left="660" w:hanging="652"/>
        <w:spacing w:after="0" w:line="272" w:lineRule="auto"/>
        <w:tabs>
          <w:tab w:leader="none" w:pos="44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Termination of Service</w:t>
      </w:r>
      <w:r>
        <w:rPr>
          <w:rFonts w:ascii="Times New Roman" w:cs="Times New Roman" w:eastAsia="Times New Roman" w:hAnsi="Times New Roman"/>
          <w:sz w:val="21"/>
          <w:szCs w:val="21"/>
          <w:color w:val="auto"/>
        </w:rPr>
        <w:t>. Except as otherwise provided in accordance with Section 4(b), if you cease to be a Service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Provider prior to the Vesting Date(s) specified on the cover page of this Agreement, you will forfeit all unvested Units.</w:t>
      </w:r>
    </w:p>
    <w:p>
      <w:pPr>
        <w:spacing w:after="0" w:line="195" w:lineRule="exact"/>
        <w:rPr>
          <w:rFonts w:ascii="Times New Roman" w:cs="Times New Roman" w:eastAsia="Times New Roman" w:hAnsi="Times New Roman"/>
          <w:sz w:val="21"/>
          <w:szCs w:val="21"/>
          <w:color w:val="auto"/>
        </w:rPr>
      </w:pPr>
    </w:p>
    <w:p>
      <w:pPr>
        <w:ind w:left="660" w:hanging="652"/>
        <w:spacing w:after="0" w:line="250" w:lineRule="auto"/>
        <w:tabs>
          <w:tab w:leader="none" w:pos="46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Settlement of Units</w:t>
      </w:r>
      <w:r>
        <w:rPr>
          <w:rFonts w:ascii="Times New Roman" w:cs="Times New Roman" w:eastAsia="Times New Roman" w:hAnsi="Times New Roman"/>
          <w:sz w:val="21"/>
          <w:szCs w:val="21"/>
          <w:color w:val="auto"/>
        </w:rPr>
        <w:t>. One Share in payment and settlement of each vested Unit shall be delivered to you (or your designated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beneficiary or estate in the event of your death) in settlement of vested Units no later than the earliest of (a) the date(s) you elect on the form of election provided by the Company; (b) December 31 of the calendar year following the calendar year in which death occurs, or (c) thirty days after the date of a Change in Control (within the meaning of Section 2(f)(3) of the Plan, including the last sentence thereof).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compliance with all applicable legal requirements, including compliance with the requirements of applicable federal and state securities laws, and shall be in complete satisfaction and settlement of such vested Units.</w:t>
      </w:r>
    </w:p>
    <w:p>
      <w:pPr>
        <w:spacing w:after="0" w:line="206" w:lineRule="exact"/>
        <w:rPr>
          <w:rFonts w:ascii="Times New Roman" w:cs="Times New Roman" w:eastAsia="Times New Roman" w:hAnsi="Times New Roman"/>
          <w:sz w:val="21"/>
          <w:szCs w:val="21"/>
          <w:color w:val="auto"/>
        </w:rPr>
      </w:pPr>
    </w:p>
    <w:p>
      <w:pPr>
        <w:ind w:left="660" w:hanging="652"/>
        <w:spacing w:after="0" w:line="263" w:lineRule="auto"/>
        <w:tabs>
          <w:tab w:leader="none" w:pos="46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Shareholder Rights</w:t>
      </w:r>
      <w:r>
        <w:rPr>
          <w:rFonts w:ascii="Times New Roman" w:cs="Times New Roman" w:eastAsia="Times New Roman" w:hAnsi="Times New Roman"/>
          <w:sz w:val="21"/>
          <w:szCs w:val="21"/>
          <w:color w:val="auto"/>
        </w:rPr>
        <w:t>. The Units subject to this Award do not entitle you to any rights of a shareholder of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You will not have any of the rights of a shareholder of the Company in connection with the grant of Units subject to this Agreement unless and until Shares are issued to you upon settlement of the Units as provided in Section 6.</w:t>
      </w:r>
    </w:p>
    <w:p>
      <w:pPr>
        <w:spacing w:after="0" w:line="191" w:lineRule="exact"/>
        <w:rPr>
          <w:rFonts w:ascii="Times New Roman" w:cs="Times New Roman" w:eastAsia="Times New Roman" w:hAnsi="Times New Roman"/>
          <w:sz w:val="21"/>
          <w:szCs w:val="21"/>
          <w:color w:val="auto"/>
        </w:rPr>
      </w:pPr>
    </w:p>
    <w:p>
      <w:pPr>
        <w:ind w:left="660" w:hanging="652"/>
        <w:spacing w:after="0" w:line="282" w:lineRule="auto"/>
        <w:tabs>
          <w:tab w:leader="none" w:pos="37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Plan, and to all interpretations,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rules and regulations which may, from time to time, be adopted and promulgated by the Committee pursuant to the Plan. If there is any conflict between the provisions of this Agreement and the Plan, the provisions of the Plan will govern.</w:t>
      </w:r>
    </w:p>
    <w:p>
      <w:pPr>
        <w:spacing w:after="0" w:line="188" w:lineRule="exact"/>
        <w:rPr>
          <w:rFonts w:ascii="Times New Roman" w:cs="Times New Roman" w:eastAsia="Times New Roman" w:hAnsi="Times New Roman"/>
          <w:sz w:val="20"/>
          <w:szCs w:val="20"/>
          <w:color w:val="auto"/>
        </w:rPr>
      </w:pPr>
    </w:p>
    <w:p>
      <w:pPr>
        <w:ind w:left="660" w:hanging="652"/>
        <w:spacing w:after="0" w:line="272" w:lineRule="auto"/>
        <w:tabs>
          <w:tab w:leader="none" w:pos="41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Choice of Law</w:t>
      </w:r>
      <w:r>
        <w:rPr>
          <w:rFonts w:ascii="Times New Roman" w:cs="Times New Roman" w:eastAsia="Times New Roman" w:hAnsi="Times New Roman"/>
          <w:sz w:val="21"/>
          <w:szCs w:val="21"/>
          <w:color w:val="auto"/>
        </w:rPr>
        <w:t>. This Agreement will be interpreted and enforced under the laws of the state of Minnesota (without regard to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conflicts or choice of law principles).</w:t>
      </w:r>
    </w:p>
    <w:p>
      <w:pPr>
        <w:spacing w:after="0" w:line="181" w:lineRule="exact"/>
        <w:rPr>
          <w:rFonts w:ascii="Times New Roman" w:cs="Times New Roman" w:eastAsia="Times New Roman" w:hAnsi="Times New Roman"/>
          <w:sz w:val="21"/>
          <w:szCs w:val="21"/>
          <w:color w:val="auto"/>
        </w:rPr>
      </w:pPr>
    </w:p>
    <w:p>
      <w:pPr>
        <w:ind w:left="660" w:hanging="652"/>
        <w:spacing w:after="0" w:line="285" w:lineRule="auto"/>
        <w:tabs>
          <w:tab w:leader="none" w:pos="49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Agreement will be binding in all respects on your heirs, representatives, successors and assigns, and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successors and assigns of the Company.</w:t>
      </w:r>
    </w:p>
    <w:p>
      <w:pPr>
        <w:spacing w:after="0" w:line="168" w:lineRule="exact"/>
        <w:rPr>
          <w:rFonts w:ascii="Times New Roman" w:cs="Times New Roman" w:eastAsia="Times New Roman" w:hAnsi="Times New Roman"/>
          <w:sz w:val="21"/>
          <w:szCs w:val="21"/>
          <w:color w:val="auto"/>
        </w:rPr>
      </w:pPr>
    </w:p>
    <w:p>
      <w:pPr>
        <w:ind w:left="660" w:hanging="652"/>
        <w:spacing w:after="0" w:line="263" w:lineRule="auto"/>
        <w:tabs>
          <w:tab w:leader="none" w:pos="51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Discontinuance of Service</w:t>
      </w:r>
      <w:r>
        <w:rPr>
          <w:rFonts w:ascii="Times New Roman" w:cs="Times New Roman" w:eastAsia="Times New Roman" w:hAnsi="Times New Roman"/>
          <w:sz w:val="21"/>
          <w:szCs w:val="21"/>
          <w:color w:val="auto"/>
        </w:rPr>
        <w:t>. This Agreement does not give you a right to continued Service with the Company or any Affiliate,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Company or any such Affiliate may terminate your Service at any time and otherwise deal with you without regard to the effect it may have upon you under this Agreement.</w:t>
      </w:r>
    </w:p>
    <w:p>
      <w:pPr>
        <w:spacing w:after="0" w:line="191" w:lineRule="exact"/>
        <w:rPr>
          <w:rFonts w:ascii="Times New Roman" w:cs="Times New Roman" w:eastAsia="Times New Roman" w:hAnsi="Times New Roman"/>
          <w:sz w:val="21"/>
          <w:szCs w:val="21"/>
          <w:color w:val="auto"/>
        </w:rPr>
      </w:pPr>
    </w:p>
    <w:p>
      <w:pPr>
        <w:ind w:left="660" w:hanging="652"/>
        <w:spacing w:after="0" w:line="253" w:lineRule="auto"/>
        <w:tabs>
          <w:tab w:leader="none" w:pos="47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 of the Code</w:t>
      </w:r>
      <w:r>
        <w:rPr>
          <w:rFonts w:ascii="Times New Roman" w:cs="Times New Roman" w:eastAsia="Times New Roman" w:hAnsi="Times New Roman"/>
          <w:sz w:val="21"/>
          <w:szCs w:val="21"/>
          <w:color w:val="auto"/>
        </w:rPr>
        <w:t>. The award of Units as provided in this Agreement and any issuance of Shares or payment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are intended to comply with Section 409A of the Code, and shall be limited, construed, and interpreted in accordance with such intent. Any payment in settlement of the Units that is triggered by a termination of Service will occur only at such time as you have had a “separation from service” within the meaning of Treasury Regulation Section 1.409A-1(h). Each amount to be paid or benefit to be provided under this Agreement shall be construed as a separate and distinct payment for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4" w:right="339" w:bottom="1440" w:gutter="0" w:footer="0" w:header="0"/>
        </w:sectPr>
      </w:pPr>
    </w:p>
    <w:bookmarkStart w:id="74" w:name="page75"/>
    <w:bookmarkEnd w:id="74"/>
    <w:p>
      <w:pPr>
        <w:jc w:val="both"/>
        <w:ind w:left="660"/>
        <w:spacing w:after="0" w:line="255" w:lineRule="auto"/>
        <w:rPr>
          <w:sz w:val="20"/>
          <w:szCs w:val="20"/>
          <w:color w:val="auto"/>
        </w:rPr>
      </w:pPr>
      <w:r>
        <w:rPr>
          <w:rFonts w:ascii="Times New Roman" w:cs="Times New Roman" w:eastAsia="Times New Roman" w:hAnsi="Times New Roman"/>
          <w:sz w:val="21"/>
          <w:szCs w:val="21"/>
          <w:color w:val="auto"/>
        </w:rPr>
        <w:t>purposes of Section 409A. Notwithstanding the foregoing, the Company and its Affiliates make no representations that the Units provided under this Agreement are compliant with Code Section 409A and in no event shall the Company or any Affiliate be liable for all or any portion of any taxes, penalties, interest or other expenses that may be incurred by you on account of non-compliance with Code Section 409A.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By signing the cover page of this Agreement, you agree to all the terms and conditions described above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6"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b w:val="1"/>
          <w:bCs w:val="1"/>
          <w:color w:val="auto"/>
        </w:rPr>
        <w:t>SPS COMMERCE,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2010 EQUITY INCENTIVE PLAN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Restricted Stock Unit Award Agreement</w:t>
      </w:r>
    </w:p>
    <w:p>
      <w:pPr>
        <w:spacing w:after="0" w:line="200" w:lineRule="exact"/>
        <w:rPr>
          <w:sz w:val="20"/>
          <w:szCs w:val="20"/>
          <w:color w:val="auto"/>
        </w:rPr>
      </w:pPr>
    </w:p>
    <w:p>
      <w:pPr>
        <w:spacing w:after="0" w:line="303" w:lineRule="exact"/>
        <w:rPr>
          <w:sz w:val="20"/>
          <w:szCs w:val="20"/>
          <w:color w:val="auto"/>
        </w:rPr>
      </w:pPr>
    </w:p>
    <w:p>
      <w:pPr>
        <w:jc w:val="both"/>
        <w:ind w:firstLine="226"/>
        <w:spacing w:after="0" w:line="255" w:lineRule="auto"/>
        <w:rPr>
          <w:sz w:val="20"/>
          <w:szCs w:val="20"/>
          <w:color w:val="auto"/>
        </w:rPr>
      </w:pPr>
      <w:r>
        <w:rPr>
          <w:rFonts w:ascii="Times New Roman" w:cs="Times New Roman" w:eastAsia="Times New Roman" w:hAnsi="Times New Roman"/>
          <w:sz w:val="21"/>
          <w:szCs w:val="21"/>
          <w:color w:val="auto"/>
        </w:rPr>
        <w:t>SPS Commerce, Inc. (the “Company”), pursuant to its 2010 Equity Incentive Plan (the “Plan”), hereby grants an award of restricted stock units (“Units”) to you. The terms and conditions of this restricted stock unit Award are set forth in this Restricted Stock Unit Award Agreement (the “Agreement”), consisting of this cover page and the Terms and Conditions on the following pages, and in the Plan document which is attached. To the extent any capitalized term used in this Agreement is not defined, it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57720" cy="17145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157720" cy="171450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00"/>
        <w:spacing w:after="0"/>
        <w:tabs>
          <w:tab w:leader="none" w:pos="2020" w:val="left"/>
        </w:tabs>
        <w:rPr>
          <w:sz w:val="20"/>
          <w:szCs w:val="20"/>
          <w:color w:val="auto"/>
        </w:rPr>
      </w:pPr>
      <w:r>
        <w:rPr>
          <w:rFonts w:ascii="Times New Roman" w:cs="Times New Roman" w:eastAsia="Times New Roman" w:hAnsi="Times New Roman"/>
          <w:sz w:val="21"/>
          <w:szCs w:val="21"/>
          <w:color w:val="auto"/>
        </w:rPr>
        <w:t>Name of Participant:</w:t>
      </w:r>
      <w:r>
        <w:rPr>
          <w:sz w:val="20"/>
          <w:szCs w:val="20"/>
          <w:color w:val="auto"/>
        </w:rPr>
        <w:tab/>
      </w:r>
      <w:r>
        <w:rPr>
          <w:rFonts w:ascii="Times New Roman" w:cs="Times New Roman" w:eastAsia="Times New Roman" w:hAnsi="Times New Roman"/>
          <w:sz w:val="20"/>
          <w:szCs w:val="20"/>
          <w:color w:val="auto"/>
        </w:rPr>
        <w:t>**[_______________________]</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454"/>
        </w:trPr>
        <w:tc>
          <w:tcPr>
            <w:tcW w:w="20" w:type="dxa"/>
            <w:vAlign w:val="bottom"/>
          </w:tcPr>
          <w:p>
            <w:pPr>
              <w:spacing w:after="0"/>
              <w:rPr>
                <w:sz w:val="24"/>
                <w:szCs w:val="24"/>
                <w:color w:val="auto"/>
              </w:rPr>
            </w:pPr>
          </w:p>
        </w:tc>
        <w:tc>
          <w:tcPr>
            <w:tcW w:w="558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1"/>
                <w:szCs w:val="21"/>
                <w:color w:val="auto"/>
              </w:rPr>
              <w:t>Number of Units:  **[_______]</w:t>
            </w:r>
          </w:p>
        </w:tc>
        <w:tc>
          <w:tcPr>
            <w:tcW w:w="1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Grant Date:</w:t>
            </w:r>
          </w:p>
        </w:tc>
        <w:tc>
          <w:tcPr>
            <w:tcW w:w="2520" w:type="dxa"/>
            <w:vAlign w:val="bottom"/>
            <w:tcBorders>
              <w:top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21"/>
                <w:szCs w:val="21"/>
                <w:color w:val="auto"/>
              </w:rPr>
              <w:t>__________, 20__</w:t>
            </w:r>
          </w:p>
        </w:tc>
        <w:tc>
          <w:tcPr>
            <w:tcW w:w="1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Vesting Schedule:</w:t>
            </w: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73"/>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Scheduled Vesting Dates</w:t>
            </w:r>
          </w:p>
        </w:tc>
        <w:tc>
          <w:tcPr>
            <w:tcW w:w="1240" w:type="dxa"/>
            <w:vAlign w:val="bottom"/>
          </w:tcPr>
          <w:p>
            <w:pPr>
              <w:spacing w:after="0"/>
              <w:rPr>
                <w:sz w:val="24"/>
                <w:szCs w:val="24"/>
                <w:color w:val="auto"/>
              </w:rPr>
            </w:pPr>
          </w:p>
        </w:tc>
        <w:tc>
          <w:tcPr>
            <w:tcW w:w="4340" w:type="dxa"/>
            <w:vAlign w:val="bottom"/>
            <w:gridSpan w:val="4"/>
          </w:tcPr>
          <w:p>
            <w:pPr>
              <w:ind w:left="360"/>
              <w:spacing w:after="0"/>
              <w:rPr>
                <w:sz w:val="20"/>
                <w:szCs w:val="20"/>
                <w:color w:val="auto"/>
              </w:rPr>
            </w:pPr>
            <w:r>
              <w:rPr>
                <w:rFonts w:ascii="Times New Roman" w:cs="Times New Roman" w:eastAsia="Times New Roman" w:hAnsi="Times New Roman"/>
                <w:sz w:val="21"/>
                <w:szCs w:val="21"/>
                <w:color w:val="auto"/>
              </w:rPr>
              <w:t>Number of Units that Vest</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1"/>
          <w:szCs w:val="21"/>
          <w:color w:val="auto"/>
        </w:rPr>
        <w:t>By accepting this Award through the Company’s [broker] online grant acceptance, you agree to all of the terms and conditions contained in this Agreement and in the Plan document. You acknowledge that you have reviewed these documents and that they set forth the entire agreement between you and the Company regarding the grant to you of the number of Units specified in [the table above][in your [broker] online account].</w:t>
      </w:r>
    </w:p>
    <w:p>
      <w:pPr>
        <w:spacing w:after="0" w:line="208"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1"/>
          <w:szCs w:val="21"/>
          <w:color w:val="auto"/>
        </w:rPr>
        <w:t>PARTICIPANT:</w:t>
      </w:r>
      <w:r>
        <w:rPr>
          <w:sz w:val="20"/>
          <w:szCs w:val="20"/>
          <w:color w:val="auto"/>
        </w:rPr>
        <w:tab/>
      </w:r>
      <w:r>
        <w:rPr>
          <w:rFonts w:ascii="Times New Roman" w:cs="Times New Roman" w:eastAsia="Times New Roman" w:hAnsi="Times New Roman"/>
          <w:sz w:val="20"/>
          <w:szCs w:val="20"/>
          <w:color w:val="auto"/>
        </w:rPr>
        <w:t>SPS COMMERCE, INC.</w:t>
      </w:r>
    </w:p>
    <w:p>
      <w:pPr>
        <w:spacing w:after="0" w:line="200" w:lineRule="exact"/>
        <w:rPr>
          <w:sz w:val="20"/>
          <w:szCs w:val="20"/>
          <w:color w:val="auto"/>
        </w:rPr>
      </w:pPr>
    </w:p>
    <w:p>
      <w:pPr>
        <w:spacing w:after="0" w:line="3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By:______________________________________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314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Title:_____________________________________</w:t>
      </w:r>
    </w:p>
    <w:p>
      <w:pPr>
        <w:sectPr>
          <w:pgSz w:w="11900" w:h="16838" w:orient="portrait"/>
          <w:cols w:equalWidth="0" w:num="1">
            <w:col w:w="11240"/>
          </w:cols>
          <w:pgMar w:left="320" w:top="122" w:right="339" w:bottom="1440" w:gutter="0" w:footer="0" w:header="0"/>
        </w:sectPr>
      </w:pPr>
    </w:p>
    <w:bookmarkStart w:id="76" w:name="page77"/>
    <w:bookmarkEnd w:id="76"/>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SPS Commerce, Inc.</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2010 Equity Incentive Plan</w:t>
      </w:r>
    </w:p>
    <w:p>
      <w:pPr>
        <w:spacing w:after="0" w:line="2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26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1"/>
          <w:szCs w:val="21"/>
          <w:b w:val="1"/>
          <w:bCs w:val="1"/>
          <w:u w:val="single" w:color="auto"/>
          <w:color w:val="auto"/>
        </w:rPr>
        <w:t>Terms and Conditions</w:t>
      </w:r>
    </w:p>
    <w:p>
      <w:pPr>
        <w:spacing w:after="0" w:line="258" w:lineRule="exact"/>
        <w:rPr>
          <w:sz w:val="20"/>
          <w:szCs w:val="20"/>
          <w:color w:val="auto"/>
        </w:rPr>
      </w:pPr>
    </w:p>
    <w:p>
      <w:pPr>
        <w:ind w:left="652" w:hanging="652"/>
        <w:spacing w:after="0" w:line="255" w:lineRule="auto"/>
        <w:tabs>
          <w:tab w:leader="none" w:pos="393"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The Company hereby grants to you, subject to the terms and conditions in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Plan, an Award of the number of Units specified [on the cover page of this Agreement][in your [broker] online account], each representing the right to receive one Share of the Company’s common stock. The Units granted to you will be credited to an account in your name maintained by the Company. This account shall be unfunded and maintained for book-keeping purposes only, with the Units simply representing an unfunded and unsecured obligation of the Company.</w:t>
      </w:r>
    </w:p>
    <w:p>
      <w:pPr>
        <w:spacing w:after="0" w:line="202" w:lineRule="exact"/>
        <w:rPr>
          <w:rFonts w:ascii="Times New Roman" w:cs="Times New Roman" w:eastAsia="Times New Roman" w:hAnsi="Times New Roman"/>
          <w:sz w:val="21"/>
          <w:szCs w:val="21"/>
          <w:color w:val="auto"/>
        </w:rPr>
      </w:pPr>
    </w:p>
    <w:p>
      <w:pPr>
        <w:ind w:left="652" w:hanging="652"/>
        <w:spacing w:after="0" w:line="255" w:lineRule="auto"/>
        <w:tabs>
          <w:tab w:leader="none" w:pos="4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Restrictions on Units</w:t>
      </w:r>
      <w:r>
        <w:rPr>
          <w:rFonts w:ascii="Times New Roman" w:cs="Times New Roman" w:eastAsia="Times New Roman" w:hAnsi="Times New Roman"/>
          <w:sz w:val="21"/>
          <w:szCs w:val="21"/>
          <w:color w:val="auto"/>
        </w:rPr>
        <w:t>. Neither this Award nor the Units subject to this Award may be sold, assigned, transferred, exchanged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encumbered other than by will or the laws of descent and distribution. Any attempted transfer in violation of this Section 2 shall be of no effect and shall result in the forfeiture of all Units. The Units and your right to receive Shares in settlement of the Units under this Agreement shall be subject to forfeiture as provided in Section 4 until satisfaction of the vesting conditions set forth in Section 3.</w:t>
      </w:r>
    </w:p>
    <w:p>
      <w:pPr>
        <w:spacing w:after="0" w:line="202" w:lineRule="exact"/>
        <w:rPr>
          <w:rFonts w:ascii="Times New Roman" w:cs="Times New Roman" w:eastAsia="Times New Roman" w:hAnsi="Times New Roman"/>
          <w:sz w:val="21"/>
          <w:szCs w:val="21"/>
          <w:color w:val="auto"/>
        </w:rPr>
      </w:pPr>
    </w:p>
    <w:p>
      <w:pPr>
        <w:ind w:left="652" w:hanging="652"/>
        <w:spacing w:after="0" w:line="263" w:lineRule="auto"/>
        <w:tabs>
          <w:tab w:leader="none" w:pos="501"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Vesting of Units</w:t>
      </w:r>
      <w:r>
        <w:rPr>
          <w:rFonts w:ascii="Times New Roman" w:cs="Times New Roman" w:eastAsia="Times New Roman" w:hAnsi="Times New Roman"/>
          <w:sz w:val="21"/>
          <w:szCs w:val="21"/>
          <w:color w:val="auto"/>
        </w:rPr>
        <w:t>. For purposes of this Agreement, “Vesting Date” means any date, including the Scheduled Vesting Dates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specified in the Vesting Schedule [on the cover page of this Agreement][in your [broker] online account], on which Units subject to this Agreement vest as provided in this Section 3.</w:t>
      </w:r>
    </w:p>
    <w:p>
      <w:pPr>
        <w:spacing w:after="0" w:line="193" w:lineRule="exact"/>
        <w:rPr>
          <w:rFonts w:ascii="Times New Roman" w:cs="Times New Roman" w:eastAsia="Times New Roman" w:hAnsi="Times New Roman"/>
          <w:sz w:val="21"/>
          <w:szCs w:val="21"/>
          <w:color w:val="auto"/>
        </w:rPr>
      </w:pPr>
    </w:p>
    <w:p>
      <w:pPr>
        <w:jc w:val="both"/>
        <w:ind w:left="652" w:hanging="4"/>
        <w:spacing w:after="0" w:line="262" w:lineRule="auto"/>
        <w:tabs>
          <w:tab w:leader="none" w:pos="130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Scheduled Vesting</w:t>
      </w:r>
      <w:r>
        <w:rPr>
          <w:rFonts w:ascii="Times New Roman" w:cs="Times New Roman" w:eastAsia="Times New Roman" w:hAnsi="Times New Roman"/>
          <w:sz w:val="21"/>
          <w:szCs w:val="21"/>
          <w:color w:val="auto"/>
        </w:rPr>
        <w:t>. If you remain a Service Provider to the Company or any of its Affiliates continuously from the Grant Date specified [on the cover page of this Agreement][in your [broker] online account], then the Units will vest on the Scheduled Vesting Dates specified [on the cover page of this Agreement][in your [broker] online account].</w:t>
      </w:r>
    </w:p>
    <w:p>
      <w:pPr>
        <w:spacing w:after="0" w:line="194" w:lineRule="exact"/>
        <w:rPr>
          <w:rFonts w:ascii="Times New Roman" w:cs="Times New Roman" w:eastAsia="Times New Roman" w:hAnsi="Times New Roman"/>
          <w:sz w:val="21"/>
          <w:szCs w:val="21"/>
          <w:color w:val="auto"/>
        </w:rPr>
      </w:pPr>
    </w:p>
    <w:p>
      <w:pPr>
        <w:ind w:left="1292" w:hanging="644"/>
        <w:spacing w:after="0"/>
        <w:tabs>
          <w:tab w:leader="none" w:pos="1292"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Accelerated Vesting</w:t>
      </w:r>
      <w:r>
        <w:rPr>
          <w:rFonts w:ascii="Times New Roman" w:cs="Times New Roman" w:eastAsia="Times New Roman" w:hAnsi="Times New Roman"/>
          <w:sz w:val="21"/>
          <w:szCs w:val="21"/>
          <w:color w:val="auto"/>
        </w:rPr>
        <w:t>.</w:t>
      </w:r>
    </w:p>
    <w:p>
      <w:pPr>
        <w:spacing w:after="0" w:line="258" w:lineRule="exact"/>
        <w:rPr>
          <w:rFonts w:ascii="Times New Roman" w:cs="Times New Roman" w:eastAsia="Times New Roman" w:hAnsi="Times New Roman"/>
          <w:sz w:val="21"/>
          <w:szCs w:val="21"/>
          <w:color w:val="auto"/>
        </w:rPr>
      </w:pPr>
    </w:p>
    <w:p>
      <w:pPr>
        <w:ind w:left="1612" w:hanging="316"/>
        <w:spacing w:after="0" w:line="270" w:lineRule="auto"/>
        <w:tabs>
          <w:tab w:leader="none" w:pos="1609"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in Control. If a Change in Control occurs while you continue to be a Service Provider and prior to the final Scheduled Vesting Date, the following provisions shall apply:</w:t>
      </w:r>
    </w:p>
    <w:p>
      <w:pPr>
        <w:spacing w:after="0" w:line="185" w:lineRule="exact"/>
        <w:rPr>
          <w:rFonts w:ascii="Times New Roman" w:cs="Times New Roman" w:eastAsia="Times New Roman" w:hAnsi="Times New Roman"/>
          <w:sz w:val="21"/>
          <w:szCs w:val="21"/>
          <w:color w:val="auto"/>
        </w:rPr>
      </w:pPr>
    </w:p>
    <w:p>
      <w:pPr>
        <w:jc w:val="both"/>
        <w:ind w:left="2272" w:hanging="166"/>
        <w:spacing w:after="0" w:line="260" w:lineRule="auto"/>
        <w:tabs>
          <w:tab w:leader="none" w:pos="2260" w:val="left"/>
        </w:tabs>
        <w:numPr>
          <w:ilvl w:val="3"/>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to the extent this Award is continued, assumed or replaced in connection with a Change in Control, and if within one year after the Change in Control you experience an involuntary termination of Service for reasons other than Cause or a resignation for Good Reason (as defined in Section (3)(b)(1)(iv), then all unvested Units this Award shall immediately become vested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32"/>
          </w:cols>
          <w:pgMar w:left="328" w:top="1428" w:right="339" w:bottom="1440" w:gutter="0" w:footer="0" w:header="0"/>
        </w:sectPr>
      </w:pPr>
    </w:p>
    <w:bookmarkStart w:id="77" w:name="page78"/>
    <w:bookmarkEnd w:id="77"/>
    <w:p>
      <w:pPr>
        <w:ind w:left="1160" w:right="20" w:hanging="166"/>
        <w:spacing w:after="0" w:line="270" w:lineRule="auto"/>
        <w:tabs>
          <w:tab w:leader="none" w:pos="147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this Award is not continued, assumed or replaced in connection with a Change in Control, then all unvested Units shall immediately vest in full upon the occurrence of the Change in Control.</w:t>
      </w:r>
    </w:p>
    <w:p>
      <w:pPr>
        <w:spacing w:after="0" w:line="199" w:lineRule="exact"/>
        <w:rPr>
          <w:rFonts w:ascii="Times New Roman" w:cs="Times New Roman" w:eastAsia="Times New Roman" w:hAnsi="Times New Roman"/>
          <w:sz w:val="21"/>
          <w:szCs w:val="21"/>
          <w:color w:val="auto"/>
        </w:rPr>
      </w:pPr>
    </w:p>
    <w:p>
      <w:pPr>
        <w:ind w:left="1160" w:right="20" w:hanging="166"/>
        <w:spacing w:after="0" w:line="270" w:lineRule="auto"/>
        <w:tabs>
          <w:tab w:leader="none" w:pos="1479"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3(b)(1), this Award will be considered assumed or replaced under the circumstances specified in Section 12(b)(1) of the Plan.</w:t>
      </w:r>
    </w:p>
    <w:p>
      <w:pPr>
        <w:spacing w:after="0" w:line="199" w:lineRule="exact"/>
        <w:rPr>
          <w:rFonts w:ascii="Times New Roman" w:cs="Times New Roman" w:eastAsia="Times New Roman" w:hAnsi="Times New Roman"/>
          <w:sz w:val="21"/>
          <w:szCs w:val="21"/>
          <w:color w:val="auto"/>
        </w:rPr>
      </w:pPr>
    </w:p>
    <w:p>
      <w:pPr>
        <w:jc w:val="both"/>
        <w:ind w:left="1160" w:hanging="166"/>
        <w:spacing w:after="0" w:line="248" w:lineRule="auto"/>
        <w:tabs>
          <w:tab w:leader="none" w:pos="1467"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Agreement, “Good Reason” means the existence of one or more of the following conditions without your consent, so long as you provided written notice to the Company of the existence of the condition not later than 90 days after the existence of the condition, the condition has not been fully remedied by the Company within 30 days after its receipt of such notice, and your employment termination occurs within 180 days of the expiration of the Company’s 30-day remedy period: (A) any material diminution in your duties, responsibilities, or authority; (B) any material diminution in the authority, duties, or responsibilities of your supervisor, including a requirement that you report to any supervisor below the C-Suite level; (C) a material reduction in any component of your compensation (base salary, cash bonus opportunity or equity award) or your total compensation opportunity; (D) a geographical relocation of your principal work location by more than 30 miles; or (E) any action by the Company that constitutes a material breach by the Company of any contractual agreement with you.</w:t>
      </w:r>
    </w:p>
    <w:p>
      <w:pPr>
        <w:spacing w:after="0" w:line="225" w:lineRule="exact"/>
        <w:rPr>
          <w:sz w:val="20"/>
          <w:szCs w:val="20"/>
          <w:color w:val="auto"/>
        </w:rPr>
      </w:pPr>
    </w:p>
    <w:p>
      <w:pPr>
        <w:jc w:val="both"/>
        <w:ind w:left="1160" w:hanging="161"/>
        <w:spacing w:after="0" w:line="262" w:lineRule="auto"/>
        <w:rPr>
          <w:sz w:val="20"/>
          <w:szCs w:val="20"/>
          <w:color w:val="auto"/>
        </w:rPr>
      </w:pPr>
      <w:r>
        <w:rPr>
          <w:rFonts w:ascii="Times New Roman" w:cs="Times New Roman" w:eastAsia="Times New Roman" w:hAnsi="Times New Roman"/>
          <w:sz w:val="21"/>
          <w:szCs w:val="21"/>
          <w:color w:val="auto"/>
        </w:rPr>
        <w:t>v.Vesting of the Units may be accelerated during the term of the Award under the circumstances described in Section 12(c) of the Plan, or at the discretion of the Committee in accordance with Section 3(b)(2) of the Plan.</w:t>
      </w:r>
    </w:p>
    <w:p>
      <w:pPr>
        <w:spacing w:after="0" w:line="195" w:lineRule="exact"/>
        <w:rPr>
          <w:sz w:val="20"/>
          <w:szCs w:val="20"/>
          <w:color w:val="auto"/>
        </w:rPr>
      </w:pPr>
    </w:p>
    <w:p>
      <w:pPr>
        <w:ind w:left="500" w:hanging="316"/>
        <w:spacing w:after="0"/>
        <w:tabs>
          <w:tab w:leader="none" w:pos="50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Retirement.</w:t>
      </w:r>
    </w:p>
    <w:p>
      <w:pPr>
        <w:spacing w:after="0" w:line="244" w:lineRule="exact"/>
        <w:rPr>
          <w:rFonts w:ascii="Times New Roman" w:cs="Times New Roman" w:eastAsia="Times New Roman" w:hAnsi="Times New Roman"/>
          <w:sz w:val="21"/>
          <w:szCs w:val="21"/>
          <w:color w:val="auto"/>
        </w:rPr>
      </w:pPr>
    </w:p>
    <w:p>
      <w:pPr>
        <w:jc w:val="both"/>
        <w:ind w:left="1160" w:hanging="166"/>
        <w:spacing w:after="0" w:line="260" w:lineRule="auto"/>
        <w:tabs>
          <w:tab w:leader="none" w:pos="1148"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Units not yet vested shall become 100% vested, effective as of the date of your Retirement, in the event that (A) your continuous Service terminates by reason of your Retirement and (B) the Company does not provide you with written notice on or before the anticipated Retirement date that the Company intends or has grounds to terminate your continuous Service for Cause.</w:t>
      </w:r>
    </w:p>
    <w:p>
      <w:pPr>
        <w:spacing w:after="0" w:line="195" w:lineRule="exact"/>
        <w:rPr>
          <w:rFonts w:ascii="Times New Roman" w:cs="Times New Roman" w:eastAsia="Times New Roman" w:hAnsi="Times New Roman"/>
          <w:sz w:val="21"/>
          <w:szCs w:val="21"/>
          <w:color w:val="auto"/>
        </w:rPr>
      </w:pPr>
    </w:p>
    <w:p>
      <w:pPr>
        <w:ind w:left="1480" w:hanging="486"/>
        <w:spacing w:after="0"/>
        <w:tabs>
          <w:tab w:leader="none" w:pos="1480"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accelerated vesting of Units under this Section 3(b)(2) upon your Retirement will be conditioned on</w:t>
      </w:r>
    </w:p>
    <w:p>
      <w:pPr>
        <w:spacing w:after="0" w:line="37" w:lineRule="exact"/>
        <w:rPr>
          <w:rFonts w:ascii="Times New Roman" w:cs="Times New Roman" w:eastAsia="Times New Roman" w:hAnsi="Times New Roman"/>
          <w:sz w:val="20"/>
          <w:szCs w:val="20"/>
          <w:color w:val="auto"/>
        </w:rPr>
      </w:pPr>
    </w:p>
    <w:p>
      <w:pPr>
        <w:jc w:val="both"/>
        <w:ind w:left="1160" w:hanging="4"/>
        <w:spacing w:after="0" w:line="249" w:lineRule="auto"/>
        <w:tabs>
          <w:tab w:leader="none" w:pos="1507" w:val="left"/>
        </w:tabs>
        <w:numPr>
          <w:ilvl w:val="2"/>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timely execution (and non-rescission) of a Release, and (B) your continued compliance with your obligations under the Confidentiality Agreement. Notwithstanding anything to the contrary in this Agreement, if you breach any provision of the Confidentiality Agreement, whether before or after your Retirement, then (A) you shall immediately forfeit all outstanding Units and any right to receive shares thereunder, and (B) with respect to Shares that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20"/>
          </w:cols>
          <w:pgMar w:left="1440" w:top="1416" w:right="339" w:bottom="1440" w:gutter="0" w:footer="0" w:header="0"/>
        </w:sectPr>
      </w:pPr>
    </w:p>
    <w:bookmarkStart w:id="78" w:name="page79"/>
    <w:bookmarkEnd w:id="78"/>
    <w:p>
      <w:pPr>
        <w:jc w:val="both"/>
        <w:ind w:left="2280"/>
        <w:spacing w:after="0" w:line="262" w:lineRule="auto"/>
        <w:rPr>
          <w:sz w:val="20"/>
          <w:szCs w:val="20"/>
          <w:color w:val="auto"/>
        </w:rPr>
      </w:pPr>
      <w:r>
        <w:rPr>
          <w:rFonts w:ascii="Times New Roman" w:cs="Times New Roman" w:eastAsia="Times New Roman" w:hAnsi="Times New Roman"/>
          <w:sz w:val="21"/>
          <w:szCs w:val="21"/>
          <w:color w:val="auto"/>
        </w:rPr>
        <w:t>been issued pursuant to this Award, you shall either (A) return such Shares to the Company or (B) pay to the Company in cash an amount equal to the fair market value of the shares as of the date that the receipt of such shares became taxable to you.</w:t>
      </w:r>
    </w:p>
    <w:p>
      <w:pPr>
        <w:spacing w:after="0" w:line="195" w:lineRule="exact"/>
        <w:rPr>
          <w:sz w:val="20"/>
          <w:szCs w:val="20"/>
          <w:color w:val="auto"/>
        </w:rPr>
      </w:pPr>
    </w:p>
    <w:p>
      <w:pPr>
        <w:ind w:left="2640" w:hanging="526"/>
        <w:spacing w:after="0"/>
        <w:tabs>
          <w:tab w:leader="none" w:pos="264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Definitions.</w:t>
      </w:r>
    </w:p>
    <w:p>
      <w:pPr>
        <w:spacing w:after="0" w:line="258" w:lineRule="exact"/>
        <w:rPr>
          <w:rFonts w:ascii="Times New Roman" w:cs="Times New Roman" w:eastAsia="Times New Roman" w:hAnsi="Times New Roman"/>
          <w:sz w:val="21"/>
          <w:szCs w:val="21"/>
          <w:color w:val="auto"/>
        </w:rPr>
      </w:pPr>
    </w:p>
    <w:p>
      <w:pPr>
        <w:ind w:left="2920" w:hanging="320"/>
        <w:spacing w:after="0" w:line="270" w:lineRule="auto"/>
        <w:tabs>
          <w:tab w:leader="none" w:pos="2919"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“Confidentiality Agreement” means the At Will/ Confidentiality Agreement Regarding Certain Terms and Conditions of Employment.</w:t>
      </w:r>
    </w:p>
    <w:p>
      <w:pPr>
        <w:spacing w:after="0" w:line="186" w:lineRule="exact"/>
        <w:rPr>
          <w:sz w:val="20"/>
          <w:szCs w:val="20"/>
          <w:color w:val="auto"/>
        </w:rPr>
      </w:pPr>
    </w:p>
    <w:p>
      <w:pPr>
        <w:jc w:val="both"/>
        <w:ind w:left="2920" w:hanging="320"/>
        <w:spacing w:after="0" w:line="255" w:lineRule="auto"/>
        <w:tabs>
          <w:tab w:leader="none" w:pos="290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means a standard release of claims in the form provided by the Company at the time of Retirement, which must be executed and become irrevocable within forty-five (45) days following the date of Retirement. If you do not timely execute and deliver the Release to the Company, or if you subsequently revoke the Release, then you will automatically forfeit the unvested Units covered by this Award effective as of the date of Retirement.</w:t>
      </w:r>
    </w:p>
    <w:p>
      <w:pPr>
        <w:spacing w:after="0" w:line="202" w:lineRule="exact"/>
        <w:rPr>
          <w:sz w:val="20"/>
          <w:szCs w:val="20"/>
          <w:color w:val="auto"/>
        </w:rPr>
      </w:pPr>
    </w:p>
    <w:p>
      <w:pPr>
        <w:jc w:val="both"/>
        <w:ind w:left="2920" w:hanging="320"/>
        <w:spacing w:after="0" w:line="263" w:lineRule="auto"/>
        <w:tabs>
          <w:tab w:leader="none" w:pos="2908"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be considered to incur a “Retirement” if you voluntarily terminate Service and meet all of the following requirements at the time or such termination: (A) you are at least fifty-eight (58) years old and have completed ten (10) years of continuous Service with the Company or you are at least sixty-five (65) years old (without regard to years of Service); (B) you have provided the Company not less than six (6) months prior written notice of your intent to retire; (C) you continue to perform full-time Service for the Company (I) materially consistent with your full-time responsibilities and services, performed prior to the date on which you provided written notice of your Retirement, or</w:t>
      </w:r>
    </w:p>
    <w:p>
      <w:pPr>
        <w:spacing w:after="0" w:line="1" w:lineRule="exact"/>
        <w:rPr>
          <w:rFonts w:ascii="Times New Roman" w:cs="Times New Roman" w:eastAsia="Times New Roman" w:hAnsi="Times New Roman"/>
          <w:sz w:val="20"/>
          <w:szCs w:val="20"/>
          <w:color w:val="auto"/>
        </w:rPr>
      </w:pPr>
    </w:p>
    <w:p>
      <w:pPr>
        <w:jc w:val="both"/>
        <w:ind w:left="2920" w:firstLine="4"/>
        <w:spacing w:after="0" w:line="247" w:lineRule="auto"/>
        <w:tabs>
          <w:tab w:leader="none" w:pos="3270"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substantive services as agreed upon between you and the Company, in either case through the date of your termination of Service; (D) the date of your termination of Service occurs on the retirement date that you have previously identified (and such termination date is no less than six (6) months after the date on which you provided written notice of Retirement); provided, however, the Company may in its sole discretion designate a termination of Service date that is after the date on which you provide written notice of your intent to retire to the Company and prior to the retirement date identified by you; and (E) the Company does not provide you with written notice on or before the anticipated Retirement date that the Company intends or has grounds to terminate your continuous Service for Cause.</w:t>
      </w:r>
    </w:p>
    <w:p>
      <w:pPr>
        <w:spacing w:after="0" w:line="221" w:lineRule="exact"/>
        <w:rPr>
          <w:rFonts w:ascii="Times New Roman" w:cs="Times New Roman" w:eastAsia="Times New Roman" w:hAnsi="Times New Roman"/>
          <w:sz w:val="21"/>
          <w:szCs w:val="21"/>
          <w:color w:val="auto"/>
        </w:rPr>
      </w:pPr>
    </w:p>
    <w:p>
      <w:pPr>
        <w:ind w:left="660" w:right="20" w:hanging="652"/>
        <w:spacing w:after="0" w:line="272" w:lineRule="auto"/>
        <w:tabs>
          <w:tab w:leader="none" w:pos="48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Termination of Employment</w:t>
      </w:r>
      <w:r>
        <w:rPr>
          <w:rFonts w:ascii="Times New Roman" w:cs="Times New Roman" w:eastAsia="Times New Roman" w:hAnsi="Times New Roman"/>
          <w:sz w:val="21"/>
          <w:szCs w:val="21"/>
          <w:color w:val="auto"/>
        </w:rPr>
        <w:t>. Except as otherwise provided in accordance with Section 3(b), if you cease to be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Service Provider prior to a Scheduled Vesting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6" w:right="339" w:bottom="1440" w:gutter="0" w:footer="0" w:header="0"/>
        </w:sectPr>
      </w:pPr>
    </w:p>
    <w:bookmarkStart w:id="79" w:name="page80"/>
    <w:bookmarkEnd w:id="79"/>
    <w:p>
      <w:pPr>
        <w:ind w:left="660"/>
        <w:spacing w:after="0"/>
        <w:rPr>
          <w:sz w:val="20"/>
          <w:szCs w:val="20"/>
          <w:color w:val="auto"/>
        </w:rPr>
      </w:pPr>
      <w:r>
        <w:rPr>
          <w:rFonts w:ascii="Times New Roman" w:cs="Times New Roman" w:eastAsia="Times New Roman" w:hAnsi="Times New Roman"/>
          <w:sz w:val="21"/>
          <w:szCs w:val="21"/>
          <w:color w:val="auto"/>
        </w:rPr>
        <w:t>specified [on the cover page of this Agreement][in your [broker] online account], you will forfeit all unvested Units.</w:t>
      </w:r>
    </w:p>
    <w:p>
      <w:pPr>
        <w:spacing w:after="0" w:line="243" w:lineRule="exact"/>
        <w:rPr>
          <w:sz w:val="20"/>
          <w:szCs w:val="20"/>
          <w:color w:val="auto"/>
        </w:rPr>
      </w:pPr>
    </w:p>
    <w:p>
      <w:pPr>
        <w:ind w:left="660" w:hanging="652"/>
        <w:spacing w:after="0" w:line="263" w:lineRule="auto"/>
        <w:tabs>
          <w:tab w:leader="none" w:pos="37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Units</w:t>
      </w:r>
      <w:r>
        <w:rPr>
          <w:rFonts w:ascii="Times New Roman" w:cs="Times New Roman" w:eastAsia="Times New Roman" w:hAnsi="Times New Roman"/>
          <w:sz w:val="20"/>
          <w:szCs w:val="20"/>
          <w:color w:val="auto"/>
        </w:rPr>
        <w:t>. After any Units vest pursuant to Section 3(a) or (b)(1), the Company shall, no later than March 15 of the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the calendar year in which such Units vest, cause to be issued and delivered to you, or to your designated beneficiary or estate in the event of your death, one Share in payment and settlement of each vested Unit. After any Units vest pursuant to Section 3(b)(2), and subject to Section (3)(b)(2)(ii), the Company shall, on or prior to the later of (i) March 15 of the year following the calendar year of your Retirement, or (ii) sixty (60) days following the date of your Retirement, cause to be issued and delivered to you, or to your designated beneficiary or estate in the event of your death, one Share in payment and settlement of each vested Unit.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6 and compliance with all applicable legal requirements, including compliance with the requirements of applicable federal and state securities laws, and shall be in complete satisfaction and settlement of such vested Units.</w:t>
      </w:r>
    </w:p>
    <w:p>
      <w:pPr>
        <w:spacing w:after="0" w:line="211" w:lineRule="exact"/>
        <w:rPr>
          <w:rFonts w:ascii="Times New Roman" w:cs="Times New Roman" w:eastAsia="Times New Roman" w:hAnsi="Times New Roman"/>
          <w:sz w:val="20"/>
          <w:szCs w:val="20"/>
          <w:color w:val="auto"/>
        </w:rPr>
      </w:pPr>
    </w:p>
    <w:p>
      <w:pPr>
        <w:ind w:left="660" w:hanging="652"/>
        <w:spacing w:after="0" w:line="249" w:lineRule="auto"/>
        <w:tabs>
          <w:tab w:leader="none" w:pos="46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Tax Consequences and Withholding</w:t>
      </w:r>
      <w:r>
        <w:rPr>
          <w:rFonts w:ascii="Times New Roman" w:cs="Times New Roman" w:eastAsia="Times New Roman" w:hAnsi="Times New Roman"/>
          <w:sz w:val="21"/>
          <w:szCs w:val="21"/>
          <w:color w:val="auto"/>
        </w:rPr>
        <w:t>. As a condition precedent to the delivery of Shares in settlement of the Units, you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required to pay to the Company, in accordance with Section 14 of the Plan, the amount of any required domestic or foreign tax withholding obligations, including any social security or social insurance obligation (“Tax Withholding Obligations”). You hereby authorize the Company to withhold from payroll or other amounts payable to you any sums required to satisfy such Tax Withholding Obligations. Prior to each Vesting Date, you must make arrangements acceptable to the Company for payment of any Tax Withholding Obligations, which may include to the extent permitted by the Company (i) delivering Shares you already own or having the Company retain a portion of the Shares that would otherwise be delivered to you, in either case with an aggregate Fair Market Value equal to the minimum required amount of Tax Withholding Obligations, or (ii) the establishment of a “10b5-1 Plan” pursuant to which a brokerage firm acceptable to the Company is authorized to sell on your behalf in the open market at the then prevailing market price(s) as soon as practicable on or after the applicable Unit vesting date the minimum whole number of Shares from the Shares issuable to you in settlement of the vested Units as is determined to be sufficient to generate cash proceeds adequate to satisfy such Tax Withholding Obligations.</w:t>
      </w:r>
    </w:p>
    <w:p>
      <w:pPr>
        <w:spacing w:after="0" w:line="206" w:lineRule="exact"/>
        <w:rPr>
          <w:rFonts w:ascii="Times New Roman" w:cs="Times New Roman" w:eastAsia="Times New Roman" w:hAnsi="Times New Roman"/>
          <w:sz w:val="21"/>
          <w:szCs w:val="21"/>
          <w:color w:val="auto"/>
        </w:rPr>
      </w:pPr>
    </w:p>
    <w:p>
      <w:pPr>
        <w:ind w:left="660" w:hanging="652"/>
        <w:spacing w:after="0" w:line="263" w:lineRule="auto"/>
        <w:tabs>
          <w:tab w:leader="none" w:pos="468"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Shareholder Rights</w:t>
      </w:r>
      <w:r>
        <w:rPr>
          <w:rFonts w:ascii="Times New Roman" w:cs="Times New Roman" w:eastAsia="Times New Roman" w:hAnsi="Times New Roman"/>
          <w:sz w:val="21"/>
          <w:szCs w:val="21"/>
          <w:color w:val="auto"/>
        </w:rPr>
        <w:t>. The Units subject to this Award do not entitle you to any rights of a shareholder of the Company’s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You will not have any of the rights of a shareholder of the Company in connection with the grant of Units subject to this Agreement unless and until Shares are issued to you upon settlement of the Units as provided in Section 5.</w:t>
      </w:r>
    </w:p>
    <w:p>
      <w:pPr>
        <w:spacing w:after="0" w:line="205" w:lineRule="exact"/>
        <w:rPr>
          <w:rFonts w:ascii="Times New Roman" w:cs="Times New Roman" w:eastAsia="Times New Roman" w:hAnsi="Times New Roman"/>
          <w:sz w:val="21"/>
          <w:szCs w:val="21"/>
          <w:color w:val="auto"/>
        </w:rPr>
      </w:pPr>
    </w:p>
    <w:p>
      <w:pPr>
        <w:ind w:left="660" w:hanging="652"/>
        <w:spacing w:after="0" w:line="256" w:lineRule="auto"/>
        <w:tabs>
          <w:tab w:leader="none" w:pos="37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Plan Document</w:t>
      </w:r>
      <w:r>
        <w:rPr>
          <w:rFonts w:ascii="Times New Roman" w:cs="Times New Roman" w:eastAsia="Times New Roman" w:hAnsi="Times New Roman"/>
          <w:sz w:val="21"/>
          <w:szCs w:val="21"/>
          <w:color w:val="auto"/>
        </w:rPr>
        <w:t>. This Agreement and the Award are subject to all the provisions of the Plan, and to all interpretations,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rules and regulations which may, from time to time, be adopted and promulgated by the Committee pursuant to the Plan. If there is any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6"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21"/>
          <w:szCs w:val="21"/>
          <w:color w:val="auto"/>
        </w:rPr>
        <w:t>between the provisions of this Agreement and the Plan, the provisions of the Plan will govern.</w:t>
      </w:r>
    </w:p>
    <w:p>
      <w:pPr>
        <w:spacing w:after="0" w:line="243" w:lineRule="exact"/>
        <w:rPr>
          <w:sz w:val="20"/>
          <w:szCs w:val="20"/>
          <w:color w:val="auto"/>
        </w:rPr>
      </w:pPr>
    </w:p>
    <w:p>
      <w:pPr>
        <w:ind w:left="660" w:hanging="652"/>
        <w:spacing w:after="0" w:line="263" w:lineRule="auto"/>
        <w:tabs>
          <w:tab w:leader="none" w:pos="46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Choice of Law and Jurisdiction</w:t>
      </w:r>
      <w:r>
        <w:rPr>
          <w:rFonts w:ascii="Times New Roman" w:cs="Times New Roman" w:eastAsia="Times New Roman" w:hAnsi="Times New Roman"/>
          <w:sz w:val="21"/>
          <w:szCs w:val="21"/>
          <w:color w:val="auto"/>
        </w:rPr>
        <w:t>. This Agreement will be interpreted and enforced under the laws of the state of Minnesota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regard to its conflicts or choice of law principles) and the parties hereby agree that any such interpretation or enforcement will be submitted to the exclusive jurisdiction of the courts of the State of Minnesota.</w:t>
      </w:r>
    </w:p>
    <w:p>
      <w:pPr>
        <w:spacing w:after="0" w:line="205" w:lineRule="exact"/>
        <w:rPr>
          <w:rFonts w:ascii="Times New Roman" w:cs="Times New Roman" w:eastAsia="Times New Roman" w:hAnsi="Times New Roman"/>
          <w:sz w:val="21"/>
          <w:szCs w:val="21"/>
          <w:color w:val="auto"/>
        </w:rPr>
      </w:pPr>
    </w:p>
    <w:p>
      <w:pPr>
        <w:ind w:left="660" w:hanging="652"/>
        <w:spacing w:after="0" w:line="272" w:lineRule="auto"/>
        <w:tabs>
          <w:tab w:leader="none" w:pos="47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This Agreement will be binding in all respects on you, your heirs, representatives, successors and assigns, and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successors and assigns of the Company.</w:t>
      </w:r>
    </w:p>
    <w:p>
      <w:pPr>
        <w:spacing w:after="0" w:line="181" w:lineRule="exact"/>
        <w:rPr>
          <w:rFonts w:ascii="Times New Roman" w:cs="Times New Roman" w:eastAsia="Times New Roman" w:hAnsi="Times New Roman"/>
          <w:sz w:val="21"/>
          <w:szCs w:val="21"/>
          <w:color w:val="auto"/>
        </w:rPr>
      </w:pPr>
    </w:p>
    <w:p>
      <w:pPr>
        <w:ind w:left="660" w:hanging="652"/>
        <w:spacing w:after="0" w:line="263" w:lineRule="auto"/>
        <w:tabs>
          <w:tab w:leader="none" w:pos="51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Discontinuance of Service</w:t>
      </w:r>
      <w:r>
        <w:rPr>
          <w:rFonts w:ascii="Times New Roman" w:cs="Times New Roman" w:eastAsia="Times New Roman" w:hAnsi="Times New Roman"/>
          <w:sz w:val="21"/>
          <w:szCs w:val="21"/>
          <w:color w:val="auto"/>
        </w:rPr>
        <w:t>. This Agreement does not give you a right to continued Service with the Company or any Affiliate,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the Company or any such Affiliate may terminate your Service at any time and otherwise deal with you without regard to the effect it may have upon you under this Agreement.</w:t>
      </w:r>
    </w:p>
    <w:p>
      <w:pPr>
        <w:spacing w:after="0" w:line="205" w:lineRule="exact"/>
        <w:rPr>
          <w:rFonts w:ascii="Times New Roman" w:cs="Times New Roman" w:eastAsia="Times New Roman" w:hAnsi="Times New Roman"/>
          <w:sz w:val="21"/>
          <w:szCs w:val="21"/>
          <w:color w:val="auto"/>
        </w:rPr>
      </w:pPr>
    </w:p>
    <w:p>
      <w:pPr>
        <w:ind w:left="660" w:hanging="652"/>
        <w:spacing w:after="0" w:line="256" w:lineRule="auto"/>
        <w:tabs>
          <w:tab w:leader="none" w:pos="478"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 of the Code</w:t>
      </w:r>
      <w:r>
        <w:rPr>
          <w:rFonts w:ascii="Times New Roman" w:cs="Times New Roman" w:eastAsia="Times New Roman" w:hAnsi="Times New Roman"/>
          <w:sz w:val="21"/>
          <w:szCs w:val="21"/>
          <w:color w:val="auto"/>
        </w:rPr>
        <w:t>. The award of Units as provided in this Agreement and any issuance of Shares or payment pursuant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are intended to be exempt from Section 409A of the Code under the short-term deferral exception specified in Treas. Reg. § 1.409A-l(b)(4).</w:t>
      </w:r>
    </w:p>
    <w:p>
      <w:pPr>
        <w:spacing w:after="0" w:line="212" w:lineRule="exact"/>
        <w:rPr>
          <w:rFonts w:ascii="Times New Roman" w:cs="Times New Roman" w:eastAsia="Times New Roman" w:hAnsi="Times New Roman"/>
          <w:sz w:val="21"/>
          <w:szCs w:val="21"/>
          <w:color w:val="auto"/>
        </w:rPr>
      </w:pPr>
    </w:p>
    <w:p>
      <w:pPr>
        <w:ind w:left="660" w:hanging="652"/>
        <w:spacing w:after="0" w:line="249" w:lineRule="auto"/>
        <w:tabs>
          <w:tab w:leader="none" w:pos="505"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Compensation Recovery Policy</w:t>
      </w:r>
      <w:r>
        <w:rPr>
          <w:rFonts w:ascii="Times New Roman" w:cs="Times New Roman" w:eastAsia="Times New Roman" w:hAnsi="Times New Roman"/>
          <w:sz w:val="21"/>
          <w:szCs w:val="21"/>
          <w:color w:val="auto"/>
        </w:rPr>
        <w:t>. To the extent that any compensation paid or payable pursuant to this Agreement is considered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“incentive-based compensation” within the meaning and subject to the requirements of Section 10D of the Exchange Act, such compensation shall be subject to potential forfeiture or recovery by the Company in accordance with any compensation recovery policy adopted by the Board of Directors of the Company or any committee thereof, including but not limited to in response to the requirements of Section 10D of the Exchange Act and any implementing rules and regulations thereunder adopted by the Securities and Exchange Commission or any national securities exchange on which the Company’s common stock is then listed. This Agreement will be automatically unilaterally amended to comply with any such compensation recovery policy.</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1"/>
          <w:szCs w:val="21"/>
          <w:b w:val="1"/>
          <w:bCs w:val="1"/>
          <w:i w:val="1"/>
          <w:iCs w:val="1"/>
          <w:color w:val="auto"/>
        </w:rPr>
        <w:t>By accepting the award through [broker] online acceptance, you agree to all the terms and conditions described above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6"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SPS COMMERCE, INC.</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2010 EQUITY INCENTIVE PLAN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Stock Unit Agreement</w:t>
      </w:r>
    </w:p>
    <w:p>
      <w:pPr>
        <w:spacing w:after="0" w:line="26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SPS Commerce,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2010 Equity Incentive Plan, as amended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you</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the Participant named below, </w:t>
      </w:r>
      <w:r>
        <w:rPr>
          <w:rFonts w:ascii="Times New Roman" w:cs="Times New Roman" w:eastAsia="Times New Roman" w:hAnsi="Times New Roman"/>
          <w:sz w:val="19"/>
          <w:szCs w:val="19"/>
          <w:color w:val="auto"/>
        </w:rPr>
        <w:t>an award of Performance Stock Units (the “</w:t>
      </w:r>
      <w:r>
        <w:rPr>
          <w:rFonts w:ascii="Times New Roman" w:cs="Times New Roman" w:eastAsia="Times New Roman" w:hAnsi="Times New Roman"/>
          <w:sz w:val="19"/>
          <w:szCs w:val="19"/>
          <w:u w:val="single" w:color="auto"/>
          <w:color w:val="auto"/>
        </w:rPr>
        <w:t>PSUs</w:t>
      </w:r>
      <w:r>
        <w:rPr>
          <w:rFonts w:ascii="Times New Roman" w:cs="Times New Roman" w:eastAsia="Times New Roman" w:hAnsi="Times New Roman"/>
          <w:sz w:val="19"/>
          <w:szCs w:val="19"/>
          <w:color w:val="auto"/>
        </w:rPr>
        <w:t>”). The terms and conditions of this Performance Stock Unit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Award (this “</w:t>
      </w:r>
      <w:r>
        <w:rPr>
          <w:rFonts w:ascii="Times New Roman" w:cs="Times New Roman" w:eastAsia="Times New Roman" w:hAnsi="Times New Roman"/>
          <w:sz w:val="19"/>
          <w:szCs w:val="19"/>
          <w:u w:val="single" w:color="auto"/>
          <w:color w:val="auto"/>
        </w:rPr>
        <w:t>Award</w:t>
      </w:r>
      <w:r>
        <w:rPr>
          <w:rFonts w:ascii="Times New Roman" w:cs="Times New Roman" w:eastAsia="Times New Roman" w:hAnsi="Times New Roman"/>
          <w:sz w:val="19"/>
          <w:szCs w:val="19"/>
          <w:color w:val="auto"/>
        </w:rPr>
        <w:t>”) are set forth in this Performance Stock Unit Agreement (the “</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xml:space="preserve">”), consisting of this cover page, the Award Terms and Conditions on the following pages and the attached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and in the Plan document, a copy of which has been provided to you. To the extent any capitalized term used in this Agreement is not defined, it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154305</wp:posOffset>
            </wp:positionV>
            <wp:extent cx="7098030" cy="29921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098030" cy="2992120"/>
                    </a:xfrm>
                    <a:prstGeom prst="rect">
                      <a:avLst/>
                    </a:prstGeom>
                    <a:noFill/>
                  </pic:spPr>
                </pic:pic>
              </a:graphicData>
            </a:graphic>
          </wp:anchor>
        </w:drawing>
      </w:r>
    </w:p>
    <w:p>
      <w:pPr>
        <w:spacing w:after="0" w:line="390" w:lineRule="exact"/>
        <w:rPr>
          <w:sz w:val="20"/>
          <w:szCs w:val="20"/>
          <w:color w:val="auto"/>
        </w:rPr>
      </w:pPr>
    </w:p>
    <w:tbl>
      <w:tblPr>
        <w:tblLayout w:type="fixed"/>
        <w:tblInd w:w="220" w:type="dxa"/>
        <w:tblCellMar>
          <w:top w:w="0" w:type="dxa"/>
          <w:left w:w="0" w:type="dxa"/>
          <w:bottom w:w="0" w:type="dxa"/>
          <w:right w:w="0" w:type="dxa"/>
        </w:tblCellMar>
      </w:tblPr>
      <w:tr>
        <w:trPr>
          <w:trHeight w:val="258"/>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Name of Participant:</w:t>
            </w: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513"/>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Target Number of PSUs:</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5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Maximum Number of PSUs:</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59"/>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Grant Date:</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513"/>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Performance Period:</w:t>
            </w:r>
          </w:p>
        </w:tc>
        <w:tc>
          <w:tcPr>
            <w:tcW w:w="774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January 1, 20__ – December 31, 20__</w:t>
            </w:r>
          </w:p>
        </w:tc>
      </w:tr>
      <w:tr>
        <w:trPr>
          <w:trHeight w:val="466"/>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Scheduled Vesting Date:</w:t>
            </w:r>
          </w:p>
        </w:tc>
        <w:tc>
          <w:tcPr>
            <w:tcW w:w="774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w w:val="98"/>
              </w:rPr>
              <w:t>The number of PSUs determined in accordance with Exhibit A to have been earned as of</w:t>
            </w:r>
          </w:p>
        </w:tc>
      </w:tr>
      <w:tr>
        <w:trPr>
          <w:trHeight w:val="20"/>
        </w:trPr>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54"/>
        </w:trPr>
        <w:tc>
          <w:tcPr>
            <w:tcW w:w="3000" w:type="dxa"/>
            <w:vAlign w:val="bottom"/>
          </w:tcPr>
          <w:p>
            <w:pPr>
              <w:spacing w:after="0"/>
              <w:rPr>
                <w:sz w:val="22"/>
                <w:szCs w:val="22"/>
                <w:color w:val="auto"/>
              </w:rPr>
            </w:pPr>
          </w:p>
        </w:tc>
        <w:tc>
          <w:tcPr>
            <w:tcW w:w="774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the end of the Performance Period will vest* on the date the Company’s Compensation</w:t>
            </w:r>
          </w:p>
        </w:tc>
      </w:tr>
      <w:tr>
        <w:trPr>
          <w:trHeight w:val="229"/>
        </w:trPr>
        <w:tc>
          <w:tcPr>
            <w:tcW w:w="3000" w:type="dxa"/>
            <w:vAlign w:val="bottom"/>
          </w:tcPr>
          <w:p>
            <w:pPr>
              <w:spacing w:after="0"/>
              <w:rPr>
                <w:sz w:val="19"/>
                <w:szCs w:val="19"/>
                <w:color w:val="auto"/>
              </w:rPr>
            </w:pPr>
          </w:p>
        </w:tc>
        <w:tc>
          <w:tcPr>
            <w:tcW w:w="774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Committee certifies such performance results, which shall be no later than March 15,</w:t>
            </w:r>
          </w:p>
        </w:tc>
      </w:tr>
      <w:tr>
        <w:trPr>
          <w:trHeight w:val="258"/>
        </w:trPr>
        <w:tc>
          <w:tcPr>
            <w:tcW w:w="3000" w:type="dxa"/>
            <w:vAlign w:val="bottom"/>
          </w:tcPr>
          <w:p>
            <w:pPr>
              <w:spacing w:after="0"/>
              <w:rPr>
                <w:sz w:val="22"/>
                <w:szCs w:val="22"/>
                <w:color w:val="auto"/>
              </w:rPr>
            </w:pPr>
          </w:p>
        </w:tc>
        <w:tc>
          <w:tcPr>
            <w:tcW w:w="182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20__.</w:t>
            </w:r>
          </w:p>
        </w:tc>
        <w:tc>
          <w:tcPr>
            <w:tcW w:w="3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453"/>
        </w:trPr>
        <w:tc>
          <w:tcPr>
            <w:tcW w:w="3000" w:type="dxa"/>
            <w:vAlign w:val="bottom"/>
          </w:tcPr>
          <w:p>
            <w:pPr>
              <w:spacing w:after="0"/>
              <w:rPr>
                <w:sz w:val="20"/>
                <w:szCs w:val="20"/>
                <w:color w:val="auto"/>
              </w:rPr>
            </w:pPr>
            <w:r>
              <w:rPr>
                <w:rFonts w:ascii="Times New Roman" w:cs="Times New Roman" w:eastAsia="Times New Roman" w:hAnsi="Times New Roman"/>
                <w:sz w:val="20"/>
                <w:szCs w:val="20"/>
                <w:color w:val="auto"/>
              </w:rPr>
              <w:t>Performance Goals:</w:t>
            </w:r>
          </w:p>
        </w:tc>
        <w:tc>
          <w:tcPr>
            <w:tcW w:w="7740" w:type="dxa"/>
            <w:vAlign w:val="bottom"/>
            <w:gridSpan w:val="5"/>
          </w:tcPr>
          <w:p>
            <w:pPr>
              <w:ind w:left="720"/>
              <w:spacing w:after="0"/>
              <w:rPr>
                <w:sz w:val="20"/>
                <w:szCs w:val="20"/>
                <w:color w:val="auto"/>
              </w:rPr>
            </w:pPr>
            <w:r>
              <w:rPr>
                <w:rFonts w:ascii="Times New Roman" w:cs="Times New Roman" w:eastAsia="Times New Roman" w:hAnsi="Times New Roman"/>
                <w:sz w:val="20"/>
                <w:szCs w:val="20"/>
                <w:color w:val="auto"/>
              </w:rPr>
              <w:t>See Exhibit A</w:t>
            </w:r>
          </w:p>
        </w:tc>
      </w:tr>
      <w:tr>
        <w:trPr>
          <w:trHeight w:val="20"/>
        </w:trPr>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6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 Assumes your Service has been continuous from the Grant Date to the Vesting Date.</w:t>
      </w:r>
    </w:p>
    <w:p>
      <w:pPr>
        <w:spacing w:after="0" w:line="200" w:lineRule="exact"/>
        <w:rPr>
          <w:sz w:val="20"/>
          <w:szCs w:val="20"/>
          <w:color w:val="auto"/>
        </w:rPr>
      </w:pPr>
    </w:p>
    <w:p>
      <w:pPr>
        <w:spacing w:after="0" w:line="272" w:lineRule="exact"/>
        <w:rPr>
          <w:sz w:val="20"/>
          <w:szCs w:val="20"/>
          <w:color w:val="auto"/>
        </w:rPr>
      </w:pPr>
    </w:p>
    <w:p>
      <w:pPr>
        <w:jc w:val="both"/>
        <w:ind w:right="60" w:firstLine="198"/>
        <w:spacing w:after="0" w:line="261" w:lineRule="auto"/>
        <w:rPr>
          <w:sz w:val="20"/>
          <w:szCs w:val="20"/>
          <w:color w:val="auto"/>
        </w:rPr>
      </w:pPr>
      <w:r>
        <w:rPr>
          <w:rFonts w:ascii="Times New Roman" w:cs="Times New Roman" w:eastAsia="Times New Roman" w:hAnsi="Times New Roman"/>
          <w:sz w:val="20"/>
          <w:szCs w:val="20"/>
          <w:color w:val="auto"/>
        </w:rPr>
        <w:t>By accepting this Award through the company’s [broker] online grant acceptance, you agree to all of the terms and conditions contained in this Agreement and in the Plan document. You acknowledge that you have received and reviewed these documents and that they set forth the entire agreement between you and the Company regarding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DMS_US.369288146.1</w:t>
      </w:r>
    </w:p>
    <w:p>
      <w:pPr>
        <w:sectPr>
          <w:pgSz w:w="11900" w:h="16838" w:orient="portrait"/>
          <w:cols w:equalWidth="0" w:num="1">
            <w:col w:w="11240"/>
          </w:cols>
          <w:pgMar w:left="320" w:top="122" w:right="339" w:bottom="1440" w:gutter="0" w:footer="0" w:header="0"/>
        </w:sectPr>
      </w:pPr>
    </w:p>
    <w:bookmarkStart w:id="82" w:name="page83"/>
    <w:bookmarkEnd w:id="82"/>
    <w:p>
      <w:pPr>
        <w:ind w:left="4760"/>
        <w:spacing w:after="0"/>
        <w:rPr>
          <w:sz w:val="20"/>
          <w:szCs w:val="20"/>
          <w:color w:val="auto"/>
        </w:rPr>
      </w:pPr>
      <w:r>
        <w:rPr>
          <w:rFonts w:ascii="Times New Roman" w:cs="Times New Roman" w:eastAsia="Times New Roman" w:hAnsi="Times New Roman"/>
          <w:sz w:val="20"/>
          <w:szCs w:val="20"/>
          <w:b w:val="1"/>
          <w:bCs w:val="1"/>
          <w:color w:val="auto"/>
        </w:rPr>
        <w:t>SPS Commerce, Inc.</w:t>
      </w:r>
    </w:p>
    <w:p>
      <w:pPr>
        <w:spacing w:after="0" w:line="3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2010 Equity Incentive Plan, as amended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Agreement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Award Terms and Conditions</w:t>
      </w:r>
    </w:p>
    <w:p>
      <w:pPr>
        <w:spacing w:after="0" w:line="243" w:lineRule="exact"/>
        <w:rPr>
          <w:sz w:val="20"/>
          <w:szCs w:val="20"/>
          <w:color w:val="auto"/>
        </w:rPr>
      </w:pPr>
    </w:p>
    <w:p>
      <w:pPr>
        <w:jc w:val="both"/>
        <w:ind w:firstLine="8"/>
        <w:spacing w:after="0" w:line="252" w:lineRule="auto"/>
        <w:tabs>
          <w:tab w:leader="none" w:pos="64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Award of Performance Stock Units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hereby confirms the grant to you, as of the Grant Date and subject to the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conditions of this Agreement and the Plan, of an award of Performance Stock Units in an amount initially equal to the Target Number of PSUs specified [on the cover page of this Agreement][in your [broker] online account]. The number of PSUs that may actually be earned and become eligible to vest pursuant to this Award can be between 0% and 200% of the Target Number of PSUs, but may not under any circumstances exceed the Maximum Number of PSUs specified [on the cover page of this Agreement][in your broker online account]. Each PSU that is earned as a result of the performance goals specified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Agreement having been satisfied and which thereafter vests represents the right to receive one Share of the Company’s common stock. Prior to their settlement or forfeiture in accordance with the terms of this Agreement, the PSUs granted to you will be credited to an account in your name maintained by the Company. This account will be unfunded and maintained for book-keeping purposes only, with the PSUs simply representing an unfunded and unsecured contingent obligation of the Company.</w:t>
      </w:r>
    </w:p>
    <w:p>
      <w:pPr>
        <w:spacing w:after="0" w:line="204" w:lineRule="exact"/>
        <w:rPr>
          <w:rFonts w:ascii="Times New Roman" w:cs="Times New Roman" w:eastAsia="Times New Roman" w:hAnsi="Times New Roman"/>
          <w:sz w:val="20"/>
          <w:szCs w:val="20"/>
          <w:color w:val="auto"/>
        </w:rPr>
      </w:pPr>
    </w:p>
    <w:p>
      <w:pPr>
        <w:jc w:val="both"/>
        <w:ind w:firstLine="8"/>
        <w:spacing w:after="0" w:line="254" w:lineRule="auto"/>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Restrictions Applicable to PSUs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Neither this Award nor the PSUs subject to this Award may be sold, assigned, transferred, exchanged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encumbered, voluntarily or involuntarily, other than a transfer upon your death in accordance with your will, by the laws of descent and distribution or pursuant to a beneficiary designation submitted in accordance with Section 6(d) of the Plan. Following any such transfer, the PSUs shall continue to be subject to the same terms and conditions that were applicable to the PSUs immediately prior to their transfer. Any attempted transfer in violation of this Section 2 shall be void and ineffective. The PSUs and your right to receive Shares in settlement of any PSUs under this Agreement shall be subject to forfeiture except to the extent the PSUs have been earned and thereafter vest as provided in Section 4.</w:t>
      </w:r>
    </w:p>
    <w:p>
      <w:pPr>
        <w:spacing w:after="0" w:line="199" w:lineRule="exact"/>
        <w:rPr>
          <w:rFonts w:ascii="Times New Roman" w:cs="Times New Roman" w:eastAsia="Times New Roman" w:hAnsi="Times New Roman"/>
          <w:sz w:val="20"/>
          <w:szCs w:val="20"/>
          <w:color w:val="auto"/>
        </w:rPr>
      </w:pPr>
    </w:p>
    <w:p>
      <w:pPr>
        <w:jc w:val="both"/>
        <w:ind w:firstLine="8"/>
        <w:spacing w:after="0" w:line="270" w:lineRule="auto"/>
        <w:tabs>
          <w:tab w:leader="none" w:pos="38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Shareholder Rights</w:t>
      </w:r>
      <w:r>
        <w:rPr>
          <w:rFonts w:ascii="Times New Roman" w:cs="Times New Roman" w:eastAsia="Times New Roman" w:hAnsi="Times New Roman"/>
          <w:sz w:val="20"/>
          <w:szCs w:val="20"/>
          <w:color w:val="auto"/>
        </w:rPr>
        <w:t>. The PSUs subject to this Award do not entitle you to any rights of a shareholder of the Company’s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You will not have any of the rights of a shareholder of the Company in connection with any PSUs granted or earned pursuant to this Agreement unless and until Shares are issued to you in settlement of earned and vested PSUs as provided in Section 6.</w:t>
      </w:r>
    </w:p>
    <w:p>
      <w:pPr>
        <w:spacing w:after="0" w:line="182" w:lineRule="exact"/>
        <w:rPr>
          <w:rFonts w:ascii="Times New Roman" w:cs="Times New Roman" w:eastAsia="Times New Roman" w:hAnsi="Times New Roman"/>
          <w:sz w:val="20"/>
          <w:szCs w:val="20"/>
          <w:color w:val="auto"/>
        </w:rPr>
      </w:pPr>
    </w:p>
    <w:p>
      <w:pPr>
        <w:jc w:val="both"/>
        <w:ind w:firstLine="8"/>
        <w:spacing w:after="0" w:line="263" w:lineRule="auto"/>
        <w:tabs>
          <w:tab w:leader="none" w:pos="3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 and Forfeiture of PSUs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PSUs shall vest at the earliest of the following times and to the degree specified. For purposes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“Vesting Date” means any date, including the Scheduled Vesting Date specified on the cover page of this Agreement, on which PSUs subject to this Agreement vest as provided in this Section 4.</w:t>
      </w:r>
    </w:p>
    <w:p>
      <w:pPr>
        <w:spacing w:after="0" w:line="202" w:lineRule="exact"/>
        <w:rPr>
          <w:rFonts w:ascii="Times New Roman" w:cs="Times New Roman" w:eastAsia="Times New Roman" w:hAnsi="Times New Roman"/>
          <w:sz w:val="20"/>
          <w:szCs w:val="20"/>
          <w:color w:val="auto"/>
        </w:rPr>
      </w:pPr>
    </w:p>
    <w:p>
      <w:pPr>
        <w:jc w:val="both"/>
        <w:ind w:left="660" w:hanging="4"/>
        <w:spacing w:after="0" w:line="254" w:lineRule="auto"/>
        <w:tabs>
          <w:tab w:leader="none" w:pos="129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Scheduled Vesting</w:t>
      </w:r>
      <w:r>
        <w:rPr>
          <w:rFonts w:ascii="Times New Roman" w:cs="Times New Roman" w:eastAsia="Times New Roman" w:hAnsi="Times New Roman"/>
          <w:sz w:val="20"/>
          <w:szCs w:val="20"/>
          <w:color w:val="auto"/>
        </w:rPr>
        <w:t>. The number of PSUs that have been earned during the Performance Period, as determined by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Committee in accordance with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will vest on the Scheduled Vesting Date, so long as your Service has been continuous from the Grant Date to the Scheduled Vesting Date. For these purposes, the “Scheduled Vesting Date” means the date following the end of the Performance Period set forth on the cover page to this Agreement that the Committee certifies (i) the degree to which the performance goal for the Performance Period has been satisfied, and (ii) the number of PSUs that have been earned during the Performance Period as determined in accordance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which certification shall occur no later than March 15 of the calendar year immediately following the calendar year during which the Performance Period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DMS_US.369288146.1</w:t>
      </w:r>
    </w:p>
    <w:p>
      <w:pPr>
        <w:sectPr>
          <w:pgSz w:w="11900" w:h="16838" w:orient="portrait"/>
          <w:cols w:equalWidth="0" w:num="1">
            <w:col w:w="11240"/>
          </w:cols>
          <w:pgMar w:left="320" w:top="1409" w:right="339" w:bottom="1440" w:gutter="0" w:footer="0" w:header="0"/>
        </w:sectPr>
      </w:pPr>
    </w:p>
    <w:bookmarkStart w:id="83" w:name="page84"/>
    <w:bookmarkEnd w:id="83"/>
    <w:p>
      <w:pPr>
        <w:ind w:left="660" w:right="20" w:hanging="4"/>
        <w:spacing w:after="0" w:line="287" w:lineRule="auto"/>
        <w:tabs>
          <w:tab w:leader="none" w:pos="129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Change in Control</w:t>
      </w:r>
      <w:r>
        <w:rPr>
          <w:rFonts w:ascii="Times New Roman" w:cs="Times New Roman" w:eastAsia="Times New Roman" w:hAnsi="Times New Roman"/>
          <w:sz w:val="20"/>
          <w:szCs w:val="20"/>
          <w:color w:val="auto"/>
        </w:rPr>
        <w:t>. If a Change in Control occurs after the Grant Date but before the Scheduled Vesting Date and your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 continues to the date of the Change in Control, the following provisions shall apply:</w:t>
      </w:r>
    </w:p>
    <w:p>
      <w:pPr>
        <w:spacing w:after="0" w:line="169" w:lineRule="exact"/>
        <w:rPr>
          <w:rFonts w:ascii="Times New Roman" w:cs="Times New Roman" w:eastAsia="Times New Roman" w:hAnsi="Times New Roman"/>
          <w:sz w:val="20"/>
          <w:szCs w:val="20"/>
          <w:color w:val="auto"/>
        </w:rPr>
      </w:pPr>
    </w:p>
    <w:p>
      <w:pPr>
        <w:jc w:val="both"/>
        <w:ind w:left="2280" w:hanging="166"/>
        <w:spacing w:after="0" w:line="250" w:lineRule="auto"/>
        <w:tabs>
          <w:tab w:leader="none" w:pos="227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and to the extent this Award is continued, assumed or replaced in connection with a Change in Control, then the Performance Period will be truncated and will end as of the last day of the Company’s most recently completed fiscal quarter prior to the date of the Change in Control, and (A) a number of PSUs that is equal to the greater of (1) the number of PSUs that are determined to have been earned based on actual performance against the performance goal specified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over the truncated Performance Period and (2) the Target Number of PSUs, shall be deemed to be achieved as of the date of the Change in Control (the greater of which will be the “Deemed Achieved PSUs”), and (B) this Award (or a replacement award) shall continue with respect to the Deemed Achieved PSUs and the Deemed Achieved PSUs under this Award or the replacement Award, as the case may be, shall be subject to a continuing Service requirement (except as set forth in the remainder of this subsection) until the last day of the original Performance Period (not truncated), which shall become the Vesting Date for the Deemed Achieved PSUs;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if within one year after the Change in Control you experience an involuntary termination of Service for reasons other than Cause or a resignation for Good Reason (as defined in Section 4(b)(1)(iv)), then all unvested Deemed Achieved PSUs shall immediately become vested in full.</w:t>
      </w:r>
    </w:p>
    <w:p>
      <w:pPr>
        <w:spacing w:after="0" w:line="224" w:lineRule="exact"/>
        <w:rPr>
          <w:sz w:val="20"/>
          <w:szCs w:val="20"/>
          <w:color w:val="auto"/>
        </w:rPr>
      </w:pPr>
    </w:p>
    <w:p>
      <w:pPr>
        <w:ind w:left="2280" w:hanging="161"/>
        <w:spacing w:after="0" w:line="269" w:lineRule="auto"/>
        <w:rPr>
          <w:sz w:val="20"/>
          <w:szCs w:val="20"/>
          <w:color w:val="auto"/>
        </w:rPr>
      </w:pPr>
      <w:r>
        <w:rPr>
          <w:rFonts w:ascii="Times New Roman" w:cs="Times New Roman" w:eastAsia="Times New Roman" w:hAnsi="Times New Roman"/>
          <w:sz w:val="20"/>
          <w:szCs w:val="20"/>
          <w:color w:val="auto"/>
        </w:rPr>
        <w:t>ii.If this Award is not continued, assumed or replaced in connection with a Change in Control, then all unvested PSUs shall immediately vest in full upon the occurrence of the Change in Control.</w:t>
      </w:r>
    </w:p>
    <w:p>
      <w:pPr>
        <w:spacing w:after="0" w:line="200" w:lineRule="exact"/>
        <w:rPr>
          <w:sz w:val="20"/>
          <w:szCs w:val="20"/>
          <w:color w:val="auto"/>
        </w:rPr>
      </w:pPr>
    </w:p>
    <w:p>
      <w:pPr>
        <w:ind w:left="2280" w:right="20" w:hanging="166"/>
        <w:spacing w:after="0" w:line="269" w:lineRule="auto"/>
        <w:tabs>
          <w:tab w:leader="none" w:pos="260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4(b), this Award will be considered assumed or replaced under the circumstances specified in Section 12(b)(1) of the Plan.</w:t>
      </w:r>
    </w:p>
    <w:p>
      <w:pPr>
        <w:spacing w:after="0" w:line="203" w:lineRule="exact"/>
        <w:rPr>
          <w:rFonts w:ascii="Times New Roman" w:cs="Times New Roman" w:eastAsia="Times New Roman" w:hAnsi="Times New Roman"/>
          <w:sz w:val="20"/>
          <w:szCs w:val="20"/>
          <w:color w:val="auto"/>
        </w:rPr>
      </w:pPr>
    </w:p>
    <w:p>
      <w:pPr>
        <w:jc w:val="both"/>
        <w:ind w:left="2280" w:hanging="166"/>
        <w:spacing w:after="0" w:line="249" w:lineRule="auto"/>
        <w:tabs>
          <w:tab w:leader="none" w:pos="257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For purposes of this Agreement, “Good Reason” means the existence of one or more of the following conditions without your consent, so long as you provided written notice to the Company of the existence of the condition not later than 90 days after the existence of the condition, the condition has not been fully remedied by the Company within 30 days after its receipt of such notice, and your employment termination occurs within 180 days of the expiration of the Company’s 30-day remedy period: (A) any material diminution in your duties, responsibilities, or authority; (B) any material diminution in the authority, duties, or responsibilities of your supervisor, including a requirement that you report to any supervisor below the C-Suite level; (C) a material reduction in any component of your compensation (base salary, cash bonus opportunity or equity award) or your total compensation opportunity; (D) a geographical relocation of your principal work location by more than 30 miles; or (E) any action by the Company that constitutes a material breach by the Company of any contractual agreement with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DMS_US.369288146.1</w:t>
      </w:r>
    </w:p>
    <w:p>
      <w:pPr>
        <w:sectPr>
          <w:pgSz w:w="11900" w:h="16838" w:orient="portrait"/>
          <w:cols w:equalWidth="0" w:num="1">
            <w:col w:w="11240"/>
          </w:cols>
          <w:pgMar w:left="320" w:top="1409" w:right="339" w:bottom="1440" w:gutter="0" w:footer="0" w:header="0"/>
        </w:sectPr>
      </w:pPr>
    </w:p>
    <w:bookmarkStart w:id="84" w:name="page85"/>
    <w:bookmarkEnd w:id="84"/>
    <w:p>
      <w:pPr>
        <w:jc w:val="both"/>
        <w:ind w:left="2280" w:hanging="161"/>
        <w:spacing w:after="0" w:line="255" w:lineRule="auto"/>
        <w:rPr>
          <w:sz w:val="20"/>
          <w:szCs w:val="20"/>
          <w:color w:val="auto"/>
        </w:rPr>
      </w:pPr>
      <w:r>
        <w:rPr>
          <w:rFonts w:ascii="Times New Roman" w:cs="Times New Roman" w:eastAsia="Times New Roman" w:hAnsi="Times New Roman"/>
          <w:sz w:val="21"/>
          <w:szCs w:val="21"/>
          <w:color w:val="auto"/>
        </w:rPr>
        <w:t xml:space="preserve">v.Vesting of the PSUs may be accelerated during the term of the Award under the circumstances described in Section 12(c) of the Plan, or at the discretion of the Committee in accordance with Section 3(b)(2) of the Plan, and if accelerated, the number PSUs accelerated shall be </w:t>
      </w:r>
      <w:r>
        <w:rPr>
          <w:rFonts w:ascii="Times New Roman" w:cs="Times New Roman" w:eastAsia="Times New Roman" w:hAnsi="Times New Roman"/>
          <w:sz w:val="19"/>
          <w:szCs w:val="19"/>
          <w:color w:val="auto"/>
        </w:rPr>
        <w:t>equal to the greater of (1) the number of PSUs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that are determined to have been earned based on actual performance against the performance goal specified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over the truncated Performance Period and (2) the Target Number of PSUs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0" w:lineRule="exact"/>
        <w:rPr>
          <w:sz w:val="20"/>
          <w:szCs w:val="20"/>
          <w:color w:val="auto"/>
        </w:rPr>
      </w:pPr>
    </w:p>
    <w:p>
      <w:pPr>
        <w:ind w:left="1300" w:hanging="644"/>
        <w:spacing w:after="0"/>
        <w:tabs>
          <w:tab w:leader="none" w:pos="130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Retirement</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color w:val="auto"/>
        </w:rPr>
      </w:pPr>
    </w:p>
    <w:p>
      <w:pPr>
        <w:ind w:left="1300" w:hanging="1088"/>
        <w:spacing w:after="0" w:line="258" w:lineRule="auto"/>
        <w:tabs>
          <w:tab w:leader="none" w:pos="51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your employment terminates prior to the Scheduled Vesting Date due to Retirement, the requirement for continuous Service set forth in Section 4(a) shall be deemed satisfied through the Scheduled Vesting Date. You will be entitled to have vest, on the Scheduled Vesting Date, the number of PSUs that are determined to have been earned based on actual performance against the performance goal specified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over the Performance Period.</w:t>
      </w:r>
    </w:p>
    <w:p>
      <w:pPr>
        <w:spacing w:after="0" w:line="212" w:lineRule="exact"/>
        <w:rPr>
          <w:rFonts w:ascii="Times New Roman" w:cs="Times New Roman" w:eastAsia="Times New Roman" w:hAnsi="Times New Roman"/>
          <w:sz w:val="20"/>
          <w:szCs w:val="20"/>
          <w:color w:val="auto"/>
        </w:rPr>
      </w:pPr>
    </w:p>
    <w:p>
      <w:pPr>
        <w:ind w:left="1300" w:hanging="1014"/>
        <w:spacing w:after="0" w:line="251" w:lineRule="auto"/>
        <w:tabs>
          <w:tab w:leader="none" w:pos="716"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accelerated vesting of PSUs under this Section 4(c) upon your Retirement will be conditioned on (A) your timely execution (and non-rescission) of a Release, and (B) your continued compliance with your obligations under the Confidentiality Agreement. Notwithstanding anything to the contrary in this Agreement, if you breach any provision of the Confidentiality Agreement, whether before or after your Retirement, then (A) you shall immediately forfeit all outstanding PSUs and any right to receive shares thereunder, and (B) with respect to Shares that have been issued pursuant to this Award, you shall either (A) return such Shares to the Company or (B) pay to the Company in cash an amount equal to the fair market value of the shares as of the date that the receipt of such shares became taxable to you.</w:t>
      </w:r>
    </w:p>
    <w:p>
      <w:pPr>
        <w:spacing w:after="0" w:line="220" w:lineRule="exact"/>
        <w:rPr>
          <w:sz w:val="20"/>
          <w:szCs w:val="20"/>
          <w:color w:val="auto"/>
        </w:rPr>
      </w:pPr>
    </w:p>
    <w:p>
      <w:pPr>
        <w:ind w:left="200"/>
        <w:spacing w:after="0"/>
        <w:tabs>
          <w:tab w:leader="none" w:pos="600" w:val="left"/>
        </w:tabs>
        <w:rPr>
          <w:sz w:val="20"/>
          <w:szCs w:val="20"/>
          <w:color w:val="auto"/>
        </w:rPr>
      </w:pPr>
      <w:r>
        <w:rPr>
          <w:rFonts w:ascii="Times New Roman" w:cs="Times New Roman" w:eastAsia="Times New Roman" w:hAnsi="Times New Roman"/>
          <w:sz w:val="20"/>
          <w:szCs w:val="20"/>
          <w:color w:val="auto"/>
        </w:rPr>
        <w:t>iii.</w:t>
      </w:r>
      <w:r>
        <w:rPr>
          <w:sz w:val="20"/>
          <w:szCs w:val="20"/>
          <w:color w:val="auto"/>
        </w:rPr>
        <w:tab/>
      </w:r>
      <w:r>
        <w:rPr>
          <w:rFonts w:ascii="Times New Roman" w:cs="Times New Roman" w:eastAsia="Times New Roman" w:hAnsi="Times New Roman"/>
          <w:sz w:val="19"/>
          <w:szCs w:val="19"/>
          <w:color w:val="auto"/>
        </w:rPr>
        <w:t>Definitions.</w:t>
      </w:r>
    </w:p>
    <w:p>
      <w:pPr>
        <w:spacing w:after="0" w:line="243" w:lineRule="exact"/>
        <w:rPr>
          <w:sz w:val="20"/>
          <w:szCs w:val="20"/>
          <w:color w:val="auto"/>
        </w:rPr>
      </w:pPr>
    </w:p>
    <w:p>
      <w:pPr>
        <w:ind w:left="2920" w:hanging="320"/>
        <w:spacing w:after="0" w:line="283" w:lineRule="auto"/>
        <w:tabs>
          <w:tab w:leader="none" w:pos="29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“Confidentiality Agreement” means the At Will/ Confidentiality Agreement Regarding Certain Terms and Conditions of Employment.</w:t>
      </w:r>
    </w:p>
    <w:p>
      <w:pPr>
        <w:spacing w:after="0" w:line="173" w:lineRule="exact"/>
        <w:rPr>
          <w:rFonts w:ascii="Times New Roman" w:cs="Times New Roman" w:eastAsia="Times New Roman" w:hAnsi="Times New Roman"/>
          <w:sz w:val="20"/>
          <w:szCs w:val="20"/>
          <w:color w:val="auto"/>
        </w:rPr>
      </w:pPr>
    </w:p>
    <w:p>
      <w:pPr>
        <w:jc w:val="both"/>
        <w:ind w:left="2920" w:hanging="320"/>
        <w:spacing w:after="0" w:line="257" w:lineRule="auto"/>
        <w:tabs>
          <w:tab w:leader="none" w:pos="29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means a standard release of claims in the form provided by the Company at the time of Retirement, which must be executed and become irrevocable within forty-five (45) days following the date of Retirement. If you do not timely execute and deliver the Release to the Company, or if you subsequently revoke the Release, then you will automatically forfeit all PSUs covered by this Award which otherwise would have bested pursuant to this Section 4(c) effective as of the date of Retirement.</w:t>
      </w:r>
    </w:p>
    <w:p>
      <w:pPr>
        <w:spacing w:after="0" w:line="199" w:lineRule="exact"/>
        <w:rPr>
          <w:rFonts w:ascii="Times New Roman" w:cs="Times New Roman" w:eastAsia="Times New Roman" w:hAnsi="Times New Roman"/>
          <w:sz w:val="20"/>
          <w:szCs w:val="20"/>
          <w:color w:val="auto"/>
        </w:rPr>
      </w:pPr>
    </w:p>
    <w:p>
      <w:pPr>
        <w:jc w:val="both"/>
        <w:ind w:left="2920" w:hanging="320"/>
        <w:spacing w:after="0" w:line="276" w:lineRule="auto"/>
        <w:tabs>
          <w:tab w:leader="none" w:pos="29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will be considered to incur a “Retirement” if you voluntarily terminate Service and meet all of the following requirements at the time or such termination: (A) you are at least fifty-eight (58) years old and have completed ten (10) years of continuous Service with the Company or you are at least sixty-five (65) years old (without regard to years of Service); (B) you have provided the Company not less than six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DMS_US.369288146.1</w:t>
      </w:r>
    </w:p>
    <w:p>
      <w:pPr>
        <w:sectPr>
          <w:pgSz w:w="11900" w:h="16838" w:orient="portrait"/>
          <w:cols w:equalWidth="0" w:num="1">
            <w:col w:w="11240"/>
          </w:cols>
          <w:pgMar w:left="320" w:top="1416" w:right="339" w:bottom="1440" w:gutter="0" w:footer="0" w:header="0"/>
        </w:sectPr>
      </w:pPr>
    </w:p>
    <w:bookmarkStart w:id="85" w:name="page86"/>
    <w:bookmarkEnd w:id="85"/>
    <w:p>
      <w:pPr>
        <w:jc w:val="both"/>
        <w:ind w:left="2920"/>
        <w:spacing w:after="0" w:line="250" w:lineRule="auto"/>
        <w:rPr>
          <w:sz w:val="20"/>
          <w:szCs w:val="20"/>
          <w:color w:val="auto"/>
        </w:rPr>
      </w:pPr>
      <w:r>
        <w:rPr>
          <w:rFonts w:ascii="Times New Roman" w:cs="Times New Roman" w:eastAsia="Times New Roman" w:hAnsi="Times New Roman"/>
          <w:sz w:val="20"/>
          <w:szCs w:val="20"/>
          <w:color w:val="auto"/>
        </w:rPr>
        <w:t>months prior written notice of your intent to retire; (C) you continue to perform full-time Service for the Company (I) materially consistent with your full-time responsibilities and services, performed prior to the date on which you provided written notice of your Retirement, or (II) such other substantive services as agreed upon between you and the Company, in either case through the date of your termination of Service; (D) the date of your termination of Service occurs on the retirement date that you have previously identified (and such termination date is no less than six (6) months after the date on which you provided written notice of Retirement); provided, however, the Company may in its sole discretion designate a termination of Service date that is after the date on which you provide written notice of your intent to retire to the Company and prior to the retirement date identified by you; and (E) the Company does not provide you with written notice on or before the anticipated Retirement date that the Company intends or has grounds to terminate your continuous Service for Cause.</w:t>
      </w:r>
    </w:p>
    <w:p>
      <w:pPr>
        <w:spacing w:after="0" w:line="223" w:lineRule="exact"/>
        <w:rPr>
          <w:sz w:val="20"/>
          <w:szCs w:val="20"/>
          <w:color w:val="auto"/>
        </w:rPr>
      </w:pPr>
    </w:p>
    <w:p>
      <w:pPr>
        <w:ind w:left="660" w:hanging="4"/>
        <w:spacing w:after="0" w:line="273" w:lineRule="auto"/>
        <w:tabs>
          <w:tab w:leader="none" w:pos="129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Forfeiture of Unvested PSUs</w:t>
      </w:r>
      <w:r>
        <w:rPr>
          <w:rFonts w:ascii="Times New Roman" w:cs="Times New Roman" w:eastAsia="Times New Roman" w:hAnsi="Times New Roman"/>
          <w:sz w:val="20"/>
          <w:szCs w:val="20"/>
          <w:color w:val="auto"/>
        </w:rPr>
        <w:t>. Any PSUs that do not vest on the applicable Vesting Date as provided herein shall immediately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forfeited.</w:t>
      </w:r>
    </w:p>
    <w:p>
      <w:pPr>
        <w:spacing w:after="0" w:line="192" w:lineRule="exact"/>
        <w:rPr>
          <w:rFonts w:ascii="Times New Roman" w:cs="Times New Roman" w:eastAsia="Times New Roman" w:hAnsi="Times New Roman"/>
          <w:sz w:val="20"/>
          <w:szCs w:val="20"/>
          <w:color w:val="auto"/>
        </w:rPr>
      </w:pPr>
    </w:p>
    <w:p>
      <w:pPr>
        <w:jc w:val="both"/>
        <w:ind w:firstLine="8"/>
        <w:spacing w:after="0" w:line="252" w:lineRule="auto"/>
        <w:tabs>
          <w:tab w:leader="none" w:pos="37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PSUs</w:t>
      </w:r>
      <w:r>
        <w:rPr>
          <w:rFonts w:ascii="Times New Roman" w:cs="Times New Roman" w:eastAsia="Times New Roman" w:hAnsi="Times New Roman"/>
          <w:sz w:val="20"/>
          <w:szCs w:val="20"/>
          <w:color w:val="auto"/>
        </w:rPr>
        <w:t>. As soon as practicable after the Vesting Date, but no later than 75 days thereafter, the Company shall cause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issued to you (or your beneficiary or personal representative) one Share in payment and settlement of each vested PSU. Delivery of the Shares shall be effected by the issuance of a stock certificate to you, by an appropriate entry in the stock register maintained by the Company’s transfer agent with a notice of issuance provided to you, or by the electronic delivery of the shares to a brokerage account you designate, and shall be subject to the tax withholding provisions of Section 6 and compliance with all applicable legal requirements, including compliance with the requirements of applicable federal and state securities laws, and shall be in complete satisfaction and settlement of such vested PSUs.</w:t>
      </w:r>
    </w:p>
    <w:p>
      <w:pPr>
        <w:spacing w:after="0" w:line="213" w:lineRule="exact"/>
        <w:rPr>
          <w:rFonts w:ascii="Times New Roman" w:cs="Times New Roman" w:eastAsia="Times New Roman" w:hAnsi="Times New Roman"/>
          <w:sz w:val="20"/>
          <w:szCs w:val="20"/>
          <w:color w:val="auto"/>
        </w:rPr>
      </w:pPr>
    </w:p>
    <w:p>
      <w:pPr>
        <w:jc w:val="both"/>
        <w:ind w:firstLine="8"/>
        <w:spacing w:after="0" w:line="265" w:lineRule="auto"/>
        <w:tabs>
          <w:tab w:leader="none" w:pos="3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Tax Consequences and Withholding</w:t>
      </w:r>
      <w:r>
        <w:rPr>
          <w:rFonts w:ascii="Times New Roman" w:cs="Times New Roman" w:eastAsia="Times New Roman" w:hAnsi="Times New Roman"/>
          <w:sz w:val="19"/>
          <w:szCs w:val="19"/>
          <w:color w:val="auto"/>
        </w:rPr>
        <w:t>. As a condition precedent to the delivery of Shares in settlement of the PSUs, you are required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pay to the Company, in accordance with Section 14 of the Plan, the amount of any required domestic or foreign tax withholding obligations, including any social security or social insurance obligations (“</w:t>
      </w:r>
      <w:r>
        <w:rPr>
          <w:rFonts w:ascii="Times New Roman" w:cs="Times New Roman" w:eastAsia="Times New Roman" w:hAnsi="Times New Roman"/>
          <w:sz w:val="19"/>
          <w:szCs w:val="19"/>
          <w:u w:val="single" w:color="auto"/>
          <w:color w:val="auto"/>
        </w:rPr>
        <w:t>Tax Withholding Obligations</w:t>
      </w:r>
      <w:r>
        <w:rPr>
          <w:rFonts w:ascii="Times New Roman" w:cs="Times New Roman" w:eastAsia="Times New Roman" w:hAnsi="Times New Roman"/>
          <w:sz w:val="19"/>
          <w:szCs w:val="19"/>
          <w:color w:val="auto"/>
        </w:rPr>
        <w:t>”). You hereby authorize the Company to withhold from payroll or other amounts payable to you any sums required to satisfy such Tax Withholding Obligations. Prior to the Vesting Date, you must make arrangements acceptable to the Company for payment of any Tax Withholding Obligations, which may include</w:t>
      </w:r>
    </w:p>
    <w:p>
      <w:pPr>
        <w:spacing w:after="0" w:line="1" w:lineRule="exact"/>
        <w:rPr>
          <w:rFonts w:ascii="Times New Roman" w:cs="Times New Roman" w:eastAsia="Times New Roman" w:hAnsi="Times New Roman"/>
          <w:sz w:val="19"/>
          <w:szCs w:val="19"/>
          <w:color w:val="auto"/>
        </w:rPr>
      </w:pPr>
    </w:p>
    <w:p>
      <w:pPr>
        <w:jc w:val="both"/>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 delivering Shares you already own or having the Company retain a portion of the Shares that would otherwise be delivered to you, in either case with an aggregate Fair Market Value equal to the required amount of the Tax Withholding Obligations, or (ii) establishing a “10b5-1 Plan” pursuant to which a brokerage firm acceptable to the Company is authorized to sell on your behalf in the open market at the then prevailing market price(s) as soon as practicable on or after the Vesting Date the minimum whole number of Shares from the Shares issuable to you in settlement of the vested PSUs as is determined to be sufficient to generate cash proceeds adequate to satisfy such Tax Withholding Obligations.</w:t>
      </w:r>
    </w:p>
    <w:p>
      <w:pPr>
        <w:spacing w:after="0" w:line="203" w:lineRule="exact"/>
        <w:rPr>
          <w:rFonts w:ascii="Times New Roman" w:cs="Times New Roman" w:eastAsia="Times New Roman" w:hAnsi="Times New Roman"/>
          <w:sz w:val="19"/>
          <w:szCs w:val="19"/>
          <w:color w:val="auto"/>
        </w:rPr>
      </w:pPr>
    </w:p>
    <w:p>
      <w:pPr>
        <w:jc w:val="both"/>
        <w:ind w:firstLine="8"/>
        <w:spacing w:after="0" w:line="260" w:lineRule="auto"/>
        <w:tabs>
          <w:tab w:leader="none" w:pos="37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Discontinuance of Service</w:t>
      </w:r>
      <w:r>
        <w:rPr>
          <w:rFonts w:ascii="Times New Roman" w:cs="Times New Roman" w:eastAsia="Times New Roman" w:hAnsi="Times New Roman"/>
          <w:sz w:val="20"/>
          <w:szCs w:val="20"/>
          <w:color w:val="auto"/>
        </w:rPr>
        <w:t>. This Agreement does not give you a right to continued Service with the Company or any Affiliate,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such Affiliate may terminate your Service at any time and otherwise deal with you without regard to the effect it may have upon you under this Agreement. Nothing in this Agreement is intended to, or does, constitute a contract of employment between you and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DMS_US.369288146.1</w:t>
      </w:r>
    </w:p>
    <w:p>
      <w:pPr>
        <w:sectPr>
          <w:pgSz w:w="11900" w:h="16838" w:orient="portrait"/>
          <w:cols w:equalWidth="0" w:num="1">
            <w:col w:w="11240"/>
          </w:cols>
          <w:pgMar w:left="320" w:top="1413" w:right="339" w:bottom="1440" w:gutter="0" w:footer="0" w:header="0"/>
        </w:sectPr>
      </w:pPr>
    </w:p>
    <w:bookmarkStart w:id="86" w:name="page87"/>
    <w:bookmarkEnd w:id="86"/>
    <w:p>
      <w:pPr>
        <w:spacing w:after="0" w:line="212" w:lineRule="exact"/>
        <w:rPr>
          <w:sz w:val="20"/>
          <w:szCs w:val="20"/>
          <w:color w:val="auto"/>
        </w:rPr>
      </w:pPr>
    </w:p>
    <w:p>
      <w:pPr>
        <w:jc w:val="both"/>
        <w:ind w:firstLine="8"/>
        <w:spacing w:after="0" w:line="263" w:lineRule="auto"/>
        <w:tabs>
          <w:tab w:leader="none" w:pos="3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Plan Document</w:t>
      </w:r>
      <w:r>
        <w:rPr>
          <w:rFonts w:ascii="Times New Roman" w:cs="Times New Roman" w:eastAsia="Times New Roman" w:hAnsi="Times New Roman"/>
          <w:sz w:val="20"/>
          <w:szCs w:val="20"/>
          <w:color w:val="auto"/>
        </w:rPr>
        <w:t>. This Agreement and the Award are subject to all the provisions of the Plan, and to all interpretations, rules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regulations which may, from time to time, be adopted and promulgated by the Committee pursuant to the Plan. If there is any conflict between the provisions of this Agreement and the Plan, the provisions of the Plan will govern.</w:t>
      </w:r>
    </w:p>
    <w:p>
      <w:pPr>
        <w:spacing w:after="0" w:line="202" w:lineRule="exact"/>
        <w:rPr>
          <w:rFonts w:ascii="Times New Roman" w:cs="Times New Roman" w:eastAsia="Times New Roman" w:hAnsi="Times New Roman"/>
          <w:sz w:val="20"/>
          <w:szCs w:val="20"/>
          <w:color w:val="auto"/>
        </w:rPr>
      </w:pPr>
    </w:p>
    <w:p>
      <w:pPr>
        <w:ind w:firstLine="8"/>
        <w:spacing w:after="0" w:line="273" w:lineRule="auto"/>
        <w:tabs>
          <w:tab w:leader="none" w:pos="3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Choice of Law</w:t>
      </w:r>
      <w:r>
        <w:rPr>
          <w:rFonts w:ascii="Times New Roman" w:cs="Times New Roman" w:eastAsia="Times New Roman" w:hAnsi="Times New Roman"/>
          <w:sz w:val="20"/>
          <w:szCs w:val="20"/>
          <w:color w:val="auto"/>
        </w:rPr>
        <w:t>. This Agreement will be interpreted and enforced under the laws of the state of Delaware (without regard to its conflicts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choice of law principles).</w:t>
      </w:r>
    </w:p>
    <w:p>
      <w:pPr>
        <w:spacing w:after="0" w:line="192" w:lineRule="exact"/>
        <w:rPr>
          <w:rFonts w:ascii="Times New Roman" w:cs="Times New Roman" w:eastAsia="Times New Roman" w:hAnsi="Times New Roman"/>
          <w:sz w:val="20"/>
          <w:szCs w:val="20"/>
          <w:color w:val="auto"/>
        </w:rPr>
      </w:pPr>
    </w:p>
    <w:p>
      <w:pPr>
        <w:ind w:right="20" w:firstLine="8"/>
        <w:spacing w:after="0" w:line="287" w:lineRule="auto"/>
        <w:tabs>
          <w:tab w:leader="none" w:pos="5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Agreement will be binding in all respects on your heirs, representatives, successors and assigns, and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and assigns of the Company.</w:t>
      </w:r>
    </w:p>
    <w:p>
      <w:pPr>
        <w:spacing w:after="0" w:line="165" w:lineRule="exact"/>
        <w:rPr>
          <w:rFonts w:ascii="Times New Roman" w:cs="Times New Roman" w:eastAsia="Times New Roman" w:hAnsi="Times New Roman"/>
          <w:sz w:val="20"/>
          <w:szCs w:val="20"/>
          <w:color w:val="auto"/>
        </w:rPr>
      </w:pPr>
    </w:p>
    <w:p>
      <w:pPr>
        <w:jc w:val="both"/>
        <w:ind w:firstLine="8"/>
        <w:spacing w:after="0" w:line="263" w:lineRule="auto"/>
        <w:tabs>
          <w:tab w:leader="none" w:pos="47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If any term or provision in this Agreement shall be held to any extent to be unlawful, void or unenforceable under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enactment or rule of law, that term or provision shall, to that extent, be deemed not to be part of this Agreement and the validity and enforceability of the remainder of this Agreement shall not be affected.</w:t>
      </w:r>
    </w:p>
    <w:p>
      <w:pPr>
        <w:spacing w:after="0" w:line="202" w:lineRule="exact"/>
        <w:rPr>
          <w:rFonts w:ascii="Times New Roman" w:cs="Times New Roman" w:eastAsia="Times New Roman" w:hAnsi="Times New Roman"/>
          <w:sz w:val="20"/>
          <w:szCs w:val="20"/>
          <w:color w:val="auto"/>
        </w:rPr>
      </w:pPr>
    </w:p>
    <w:p>
      <w:pPr>
        <w:jc w:val="both"/>
        <w:ind w:firstLine="8"/>
        <w:spacing w:after="0" w:line="263" w:lineRule="auto"/>
        <w:tabs>
          <w:tab w:leader="none" w:pos="47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 of the Code</w:t>
      </w:r>
      <w:r>
        <w:rPr>
          <w:rFonts w:ascii="Times New Roman" w:cs="Times New Roman" w:eastAsia="Times New Roman" w:hAnsi="Times New Roman"/>
          <w:sz w:val="20"/>
          <w:szCs w:val="20"/>
          <w:color w:val="auto"/>
        </w:rPr>
        <w:t>. The award of PSUs as provided in this Agreement and any issuance of Shares or payment pursuant 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are intended to be exempt from Section 409A of the Code under the short-term deferral exception specified in Treas. Reg. § 1.409A-l(b)(4).</w:t>
      </w:r>
    </w:p>
    <w:p>
      <w:pPr>
        <w:spacing w:after="0" w:line="202" w:lineRule="exact"/>
        <w:rPr>
          <w:rFonts w:ascii="Times New Roman" w:cs="Times New Roman" w:eastAsia="Times New Roman" w:hAnsi="Times New Roman"/>
          <w:sz w:val="20"/>
          <w:szCs w:val="20"/>
          <w:color w:val="auto"/>
        </w:rPr>
      </w:pPr>
    </w:p>
    <w:p>
      <w:pPr>
        <w:jc w:val="both"/>
        <w:ind w:firstLine="8"/>
        <w:spacing w:after="0" w:line="267" w:lineRule="auto"/>
        <w:tabs>
          <w:tab w:leader="none" w:pos="56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Compensation Recovery Policy</w:t>
      </w:r>
      <w:r>
        <w:rPr>
          <w:rFonts w:ascii="Times New Roman" w:cs="Times New Roman" w:eastAsia="Times New Roman" w:hAnsi="Times New Roman"/>
          <w:sz w:val="19"/>
          <w:szCs w:val="19"/>
          <w:color w:val="auto"/>
        </w:rPr>
        <w:t>. To the extent that any compensation paid or payable pursuant to this Agreement is considered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“incentive-based compensation” within the meaning and subject to the requirements of Section 10D of the Exchange Act, such compensation shall be subject to potential forfeiture or recovery by the Company in accordance with the Company’s current compensation recovery policy and any amended or subsequently adopted compensation recovery policy adopted by the Board or any committee thereof, including but not limited to in response to the requirements of Section 10D of the Exchange Act and any implementing rules and regulations thereunder adopted by the Securities and Exchange Commission or any national securities exchange on which the Company’s common stock is then listed. This Agreement will be automatically unilaterally amended to comply with any such compensation recovery policy.</w:t>
      </w:r>
    </w:p>
    <w:p>
      <w:pPr>
        <w:spacing w:after="0" w:line="202"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By accepting the award through [broker] online acceptance, you agree to all the terms and conditions described above and in the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DMS_US.369288146.1</w:t>
      </w:r>
    </w:p>
    <w:p>
      <w:pPr>
        <w:sectPr>
          <w:pgSz w:w="11900" w:h="16838" w:orient="portrait"/>
          <w:cols w:equalWidth="0" w:num="1">
            <w:col w:w="11240"/>
          </w:cols>
          <w:pgMar w:left="320" w:top="1440"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57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57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SPS COMMERCE, INC.</w:t>
            </w:r>
          </w:p>
        </w:tc>
      </w:tr>
      <w:tr>
        <w:trPr>
          <w:trHeight w:val="238"/>
        </w:trPr>
        <w:tc>
          <w:tcPr>
            <w:tcW w:w="1340" w:type="dxa"/>
            <w:vAlign w:val="bottom"/>
          </w:tcPr>
          <w:p>
            <w:pPr>
              <w:spacing w:after="0"/>
              <w:rPr>
                <w:sz w:val="20"/>
                <w:szCs w:val="20"/>
                <w:color w:val="auto"/>
              </w:rPr>
            </w:pPr>
          </w:p>
        </w:tc>
        <w:tc>
          <w:tcPr>
            <w:tcW w:w="57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NON-EMPLOYEE DIRECTOR COMPENSATION SUMMARY</w:t>
            </w:r>
          </w:p>
        </w:tc>
      </w:tr>
      <w:tr>
        <w:trPr>
          <w:trHeight w:val="248"/>
        </w:trPr>
        <w:tc>
          <w:tcPr>
            <w:tcW w:w="1340" w:type="dxa"/>
            <w:vAlign w:val="bottom"/>
            <w:tcBorders>
              <w:bottom w:val="single" w:sz="8" w:color="BFBFBF"/>
            </w:tcBorders>
          </w:tcPr>
          <w:p>
            <w:pPr>
              <w:spacing w:after="0"/>
              <w:rPr>
                <w:sz w:val="21"/>
                <w:szCs w:val="21"/>
                <w:color w:val="auto"/>
              </w:rPr>
            </w:pPr>
          </w:p>
        </w:tc>
        <w:tc>
          <w:tcPr>
            <w:tcW w:w="5740" w:type="dxa"/>
            <w:vAlign w:val="bottom"/>
            <w:tcBorders>
              <w:bottom w:val="single" w:sz="8" w:color="BFBFBF"/>
            </w:tcBorders>
          </w:tcPr>
          <w:p>
            <w:pPr>
              <w:spacing w:after="0"/>
              <w:rPr>
                <w:sz w:val="21"/>
                <w:szCs w:val="21"/>
                <w:color w:val="auto"/>
              </w:rPr>
            </w:pPr>
          </w:p>
        </w:tc>
      </w:tr>
      <w:tr>
        <w:trPr>
          <w:trHeight w:val="223"/>
        </w:trPr>
        <w:tc>
          <w:tcPr>
            <w:tcW w:w="1340" w:type="dxa"/>
            <w:vAlign w:val="bottom"/>
            <w:tcBorders>
              <w:left w:val="single" w:sz="8" w:color="BFBFBF"/>
              <w:bottom w:val="single" w:sz="8" w:color="BFBFBF"/>
              <w:right w:val="single" w:sz="8" w:color="BFBFBF"/>
            </w:tcBorders>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Adopted</w:t>
            </w:r>
            <w:r>
              <w:rPr>
                <w:rFonts w:ascii="Times New Roman" w:cs="Times New Roman" w:eastAsia="Times New Roman" w:hAnsi="Times New Roman"/>
                <w:sz w:val="18"/>
                <w:szCs w:val="18"/>
                <w:color w:val="auto"/>
              </w:rPr>
              <w:t>:</w:t>
            </w:r>
          </w:p>
        </w:tc>
        <w:tc>
          <w:tcPr>
            <w:tcW w:w="5740" w:type="dxa"/>
            <w:vAlign w:val="bottom"/>
            <w:tcBorders>
              <w:bottom w:val="single" w:sz="8" w:color="BFBFBF"/>
              <w:right w:val="single" w:sz="8" w:color="BFBFBF"/>
            </w:tcBorders>
          </w:tcPr>
          <w:p>
            <w:pPr>
              <w:ind w:left="520"/>
              <w:spacing w:after="0"/>
              <w:rPr>
                <w:sz w:val="20"/>
                <w:szCs w:val="20"/>
                <w:color w:val="auto"/>
              </w:rPr>
            </w:pPr>
            <w:r>
              <w:rPr>
                <w:rFonts w:ascii="Times New Roman" w:cs="Times New Roman" w:eastAsia="Times New Roman" w:hAnsi="Times New Roman"/>
                <w:sz w:val="18"/>
                <w:szCs w:val="18"/>
                <w:color w:val="auto"/>
              </w:rPr>
              <w:t>29 October 2024</w:t>
            </w:r>
          </w:p>
        </w:tc>
      </w:tr>
      <w:tr>
        <w:trPr>
          <w:trHeight w:val="223"/>
        </w:trPr>
        <w:tc>
          <w:tcPr>
            <w:tcW w:w="1340" w:type="dxa"/>
            <w:vAlign w:val="bottom"/>
            <w:tcBorders>
              <w:left w:val="single" w:sz="8" w:color="BFBFBF"/>
              <w:bottom w:val="single" w:sz="8" w:color="BFBFBF"/>
              <w:right w:val="single" w:sz="8" w:color="BFBFBF"/>
            </w:tcBorders>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Effective</w:t>
            </w:r>
            <w:r>
              <w:rPr>
                <w:rFonts w:ascii="Times New Roman" w:cs="Times New Roman" w:eastAsia="Times New Roman" w:hAnsi="Times New Roman"/>
                <w:sz w:val="18"/>
                <w:szCs w:val="18"/>
                <w:color w:val="auto"/>
              </w:rPr>
              <w:t>:</w:t>
            </w:r>
          </w:p>
        </w:tc>
        <w:tc>
          <w:tcPr>
            <w:tcW w:w="5740" w:type="dxa"/>
            <w:vAlign w:val="bottom"/>
            <w:tcBorders>
              <w:bottom w:val="single" w:sz="8" w:color="BFBFBF"/>
              <w:right w:val="single" w:sz="8" w:color="BFBFBF"/>
            </w:tcBorders>
          </w:tcPr>
          <w:p>
            <w:pPr>
              <w:ind w:left="520"/>
              <w:spacing w:after="0"/>
              <w:rPr>
                <w:sz w:val="20"/>
                <w:szCs w:val="20"/>
                <w:color w:val="auto"/>
              </w:rPr>
            </w:pPr>
            <w:r>
              <w:rPr>
                <w:rFonts w:ascii="Times New Roman" w:cs="Times New Roman" w:eastAsia="Times New Roman" w:hAnsi="Times New Roman"/>
                <w:sz w:val="18"/>
                <w:szCs w:val="18"/>
                <w:color w:val="auto"/>
              </w:rPr>
              <w:t>Immediately prior to 2025 Annual Meeting of Stockholders</w:t>
            </w: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annual retainer</w:t>
      </w:r>
      <w:r>
        <w:rPr>
          <w:rFonts w:ascii="Times New Roman" w:cs="Times New Roman" w:eastAsia="Times New Roman" w:hAnsi="Times New Roman"/>
          <w:sz w:val="18"/>
          <w:szCs w:val="18"/>
          <w:color w:val="auto"/>
        </w:rPr>
        <w:t>: Annual retainer, payable in cash, of $35,000 per director except for the chairperson who shall receive $85,000.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 chairs annual retainer</w:t>
      </w:r>
      <w:r>
        <w:rPr>
          <w:rFonts w:ascii="Times New Roman" w:cs="Times New Roman" w:eastAsia="Times New Roman" w:hAnsi="Times New Roman"/>
          <w:sz w:val="18"/>
          <w:szCs w:val="18"/>
          <w:color w:val="auto"/>
        </w:rPr>
        <w:t>: Annual retainers, payable in cash, of: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Audit Committee: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$ 20,000</w:t>
            </w:r>
          </w:p>
        </w:tc>
      </w:tr>
      <w:tr>
        <w:trPr>
          <w:trHeight w:val="297"/>
        </w:trPr>
        <w:tc>
          <w:tcPr>
            <w:tcW w:w="5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Compensation Committee: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97"/>
        </w:trPr>
        <w:tc>
          <w:tcPr>
            <w:tcW w:w="5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Finance and Strategy Committee: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97"/>
        </w:trPr>
        <w:tc>
          <w:tcPr>
            <w:tcW w:w="5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Governance and Nominating Committee: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338"/>
        </w:trPr>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Committee member annual retainer</w:t>
            </w:r>
            <w:r>
              <w:rPr>
                <w:rFonts w:ascii="Times New Roman" w:cs="Times New Roman" w:eastAsia="Times New Roman" w:hAnsi="Times New Roman"/>
                <w:sz w:val="18"/>
                <w:szCs w:val="18"/>
                <w:color w:val="auto"/>
              </w:rPr>
              <w:t>: Annual retainers, payable in cash, of:</w:t>
            </w:r>
          </w:p>
        </w:tc>
        <w:tc>
          <w:tcPr>
            <w:tcW w:w="1240" w:type="dxa"/>
            <w:vAlign w:val="bottom"/>
          </w:tcPr>
          <w:p>
            <w:pPr>
              <w:spacing w:after="0"/>
              <w:rPr>
                <w:sz w:val="24"/>
                <w:szCs w:val="24"/>
                <w:color w:val="auto"/>
              </w:rPr>
            </w:pPr>
          </w:p>
        </w:tc>
      </w:tr>
      <w:tr>
        <w:trPr>
          <w:trHeight w:val="364"/>
        </w:trPr>
        <w:tc>
          <w:tcPr>
            <w:tcW w:w="5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Audit Committee: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$ 10,000</w:t>
            </w:r>
          </w:p>
        </w:tc>
      </w:tr>
      <w:tr>
        <w:trPr>
          <w:trHeight w:val="297"/>
        </w:trPr>
        <w:tc>
          <w:tcPr>
            <w:tcW w:w="5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Compensation Committee: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97"/>
        </w:trPr>
        <w:tc>
          <w:tcPr>
            <w:tcW w:w="5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Finance and Strategy Committee: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97"/>
        </w:trPr>
        <w:tc>
          <w:tcPr>
            <w:tcW w:w="596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Governance and Nominating Committee: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restricted stock unit and/or deferred stock unit grants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660" w:right="180" w:hanging="328"/>
        <w:spacing w:after="0" w:line="23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$200,000 of restricted stock units or deferred stock units, or some combination of the two, at the director’s election, calculated by dividing $200,000 by the closing sale price for a share of the Company’s common stock on the Company’s primary stock exchange on the date of the Company’s annual meeting of stockholders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directors who are elected to the board at the annual meeting of stockholders</w:t>
      </w:r>
    </w:p>
    <w:p>
      <w:pPr>
        <w:spacing w:after="0" w:line="76" w:lineRule="exact"/>
        <w:rPr>
          <w:rFonts w:ascii="Times New Roman" w:cs="Times New Roman" w:eastAsia="Times New Roman" w:hAnsi="Times New Roman"/>
          <w:sz w:val="18"/>
          <w:szCs w:val="18"/>
          <w:color w:val="auto"/>
        </w:rPr>
      </w:pPr>
    </w:p>
    <w:p>
      <w:pPr>
        <w:ind w:left="660" w:right="200" w:hanging="328"/>
        <w:spacing w:after="0" w:line="231"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in four equal installments on the last day of each fiscal quarter with the first vesting occurring on the fiscal quarter end next following the date of the annual meeting of stockholders, with full vesting no later than the day before the following annual meeting of stockholders, provided the recipient remains a member of the board as of an applicable vesting date</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deferred stock units shall be settled for an equal number of shares of the Company’s common stock</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will be settled shortly after vesting dates</w:t>
      </w:r>
    </w:p>
    <w:p>
      <w:pPr>
        <w:spacing w:after="0" w:line="76" w:lineRule="exact"/>
        <w:rPr>
          <w:rFonts w:ascii="Times New Roman" w:cs="Times New Roman" w:eastAsia="Times New Roman" w:hAnsi="Times New Roman"/>
          <w:sz w:val="18"/>
          <w:szCs w:val="18"/>
          <w:color w:val="auto"/>
        </w:rPr>
      </w:pPr>
    </w:p>
    <w:p>
      <w:pPr>
        <w:ind w:left="660" w:right="260" w:hanging="328"/>
        <w:spacing w:after="0" w:line="237" w:lineRule="auto"/>
        <w:tabs>
          <w:tab w:leader="none" w:pos="6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stock units must be retained until completion of the director’s service on the board, and are settled after termination of such service. A director may defer receipt of the shares for up to ten years after completion of service.</w:t>
      </w:r>
    </w:p>
    <w:p>
      <w:pPr>
        <w:spacing w:after="0" w:line="62"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8"/>
          <w:szCs w:val="18"/>
          <w:i w:val="1"/>
          <w:iCs w:val="1"/>
          <w:color w:val="auto"/>
        </w:rPr>
        <w:t>Reimbursement of expenses</w:t>
      </w:r>
      <w:r>
        <w:rPr>
          <w:rFonts w:ascii="Times New Roman" w:cs="Times New Roman" w:eastAsia="Times New Roman" w:hAnsi="Times New Roman"/>
          <w:sz w:val="18"/>
          <w:szCs w:val="18"/>
          <w:color w:val="auto"/>
        </w:rPr>
        <w:t>: The Company shall reimburse directors for reasonable expenses incurred in connection with attending board and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w:t>
      </w:r>
    </w:p>
    <w:p>
      <w:pPr>
        <w:spacing w:after="0" w:line="75"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i w:val="1"/>
          <w:iCs w:val="1"/>
          <w:color w:val="auto"/>
        </w:rPr>
        <w:t>Proration for appointment between annual meetings of stockholders</w:t>
      </w:r>
      <w:r>
        <w:rPr>
          <w:rFonts w:ascii="Times New Roman" w:cs="Times New Roman" w:eastAsia="Times New Roman" w:hAnsi="Times New Roman"/>
          <w:sz w:val="18"/>
          <w:szCs w:val="18"/>
          <w:color w:val="auto"/>
        </w:rPr>
        <w:t>: In the event a director is elected or appointed to the board or a committee on a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the annual meeting of stockholders, the director shall receive the cash retainer compensation set forth above pro rated based on the days subsequent to the most recent annual meeting, but shall not receive the equity compensation awards set forth above.</w:t>
      </w:r>
    </w:p>
    <w:p>
      <w:pPr>
        <w:spacing w:after="0" w:line="4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7"/>
          <w:szCs w:val="17"/>
          <w:i w:val="1"/>
          <w:iCs w:val="1"/>
          <w:color w:val="auto"/>
        </w:rPr>
        <w:t>Initial restricted stock unit grants</w:t>
      </w:r>
      <w:r>
        <w:rPr>
          <w:rFonts w:ascii="Times New Roman" w:cs="Times New Roman" w:eastAsia="Times New Roman" w:hAnsi="Times New Roman"/>
          <w:sz w:val="17"/>
          <w:szCs w:val="17"/>
          <w:color w:val="auto"/>
        </w:rPr>
        <w:t>: Each director, who is initially appointed or elected to the board receives a restricted stock unit grant valued at $200,000,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number of shares calculated by dividing $200,000 by the closing sale price for a share of the Company’s common stock on the Company’s primary</w:t>
      </w:r>
    </w:p>
    <w:p>
      <w:pPr>
        <w:ind w:right="140"/>
        <w:spacing w:after="0" w:line="219" w:lineRule="auto"/>
        <w:rPr>
          <w:sz w:val="20"/>
          <w:szCs w:val="20"/>
          <w:color w:val="auto"/>
        </w:rPr>
      </w:pPr>
      <w:r>
        <w:rPr>
          <w:rFonts w:ascii="Times New Roman" w:cs="Times New Roman" w:eastAsia="Times New Roman" w:hAnsi="Times New Roman"/>
          <w:sz w:val="18"/>
          <w:szCs w:val="18"/>
          <w:color w:val="auto"/>
        </w:rPr>
        <w:t>stock exchange on the grant date, which is the fifth trading day following the Company’s first earnings release following the date of initial appointment or election to the board (the “</w:t>
      </w:r>
      <w:r>
        <w:rPr>
          <w:rFonts w:ascii="Times New Roman" w:cs="Times New Roman" w:eastAsia="Times New Roman" w:hAnsi="Times New Roman"/>
          <w:sz w:val="18"/>
          <w:szCs w:val="18"/>
          <w:i w:val="1"/>
          <w:iCs w:val="1"/>
          <w:color w:val="auto"/>
        </w:rPr>
        <w:t>Initial RSU Grant Date</w:t>
      </w:r>
      <w:r>
        <w:rPr>
          <w:rFonts w:ascii="Times New Roman" w:cs="Times New Roman" w:eastAsia="Times New Roman" w:hAnsi="Times New Roman"/>
          <w:sz w:val="18"/>
          <w:szCs w:val="18"/>
          <w:color w:val="auto"/>
        </w:rPr>
        <w:t>”). Vest in equal monthly installments over three years commencing on the first day of the calendar</w:t>
      </w:r>
    </w:p>
    <w:p>
      <w:pPr>
        <w:ind w:right="300"/>
        <w:spacing w:after="0" w:line="233" w:lineRule="auto"/>
        <w:rPr>
          <w:sz w:val="20"/>
          <w:szCs w:val="20"/>
          <w:color w:val="auto"/>
        </w:rPr>
      </w:pPr>
      <w:r>
        <w:rPr>
          <w:rFonts w:ascii="Times New Roman" w:cs="Times New Roman" w:eastAsia="Times New Roman" w:hAnsi="Times New Roman"/>
          <w:sz w:val="18"/>
          <w:szCs w:val="18"/>
          <w:color w:val="auto"/>
        </w:rPr>
        <w:t>month following the initial appointment or election to the board, provided the recipient remains a member of the board as of the vesting date. Restricted stock units shall be settled for an equal number of shares of the Company’s common stock and be settled shortly after vesting dates.</w:t>
      </w:r>
    </w:p>
    <w:p>
      <w:pPr>
        <w:sectPr>
          <w:pgSz w:w="11900" w:h="16838" w:orient="portrait"/>
          <w:cols w:equalWidth="0" w:num="1">
            <w:col w:w="11240"/>
          </w:cols>
          <w:pgMar w:left="320" w:top="94" w:right="339" w:bottom="1440" w:gutter="0" w:footer="0" w:header="0"/>
        </w:sectPr>
      </w:pPr>
    </w:p>
    <w:bookmarkStart w:id="88" w:name="page89"/>
    <w:bookmarkEnd w:id="88"/>
    <w:p>
      <w:pPr>
        <w:jc w:val="right"/>
        <w:ind w:right="430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883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814070" cy="488315"/>
                    </a:xfrm>
                    <a:prstGeom prst="rect">
                      <a:avLst/>
                    </a:prstGeom>
                    <a:noFill/>
                  </pic:spPr>
                </pic:pic>
              </a:graphicData>
            </a:graphic>
          </wp:anchor>
        </w:drawing>
        <w:t>Exhibit 19.1</w:t>
      </w:r>
    </w:p>
    <w:p>
      <w:pPr>
        <w:spacing w:after="0" w:line="63" w:lineRule="exact"/>
        <w:rPr>
          <w:sz w:val="20"/>
          <w:szCs w:val="20"/>
          <w:color w:val="auto"/>
        </w:rPr>
      </w:pPr>
    </w:p>
    <w:p>
      <w:pPr>
        <w:jc w:val="right"/>
        <w:ind w:right="4300"/>
        <w:spacing w:after="0"/>
        <w:rPr>
          <w:sz w:val="20"/>
          <w:szCs w:val="20"/>
          <w:color w:val="auto"/>
        </w:rPr>
      </w:pPr>
      <w:r>
        <w:rPr>
          <w:rFonts w:ascii="Arial" w:cs="Arial" w:eastAsia="Arial" w:hAnsi="Arial"/>
          <w:sz w:val="20"/>
          <w:szCs w:val="20"/>
          <w:b w:val="1"/>
          <w:bCs w:val="1"/>
          <w:color w:val="auto"/>
        </w:rPr>
        <w:t>POLICY |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Federal and state securities laws prohibit individuals from trading in the securities of a company while they are aware of material information about that company that is not generally known or available to the public. Such trading is often referred to as “insider trading.” The purpose of this Insider Trading Policy is to prevent insider trading or allegations of insider trading, and to protect the reputation for integrity and ethical conduct of SPS Commerce, Inc. (“</w:t>
      </w:r>
      <w:r>
        <w:rPr>
          <w:rFonts w:ascii="Arial" w:cs="Arial" w:eastAsia="Arial" w:hAnsi="Arial"/>
          <w:sz w:val="17"/>
          <w:szCs w:val="17"/>
          <w:i w:val="1"/>
          <w:iCs w:val="1"/>
          <w:color w:val="auto"/>
        </w:rPr>
        <w:t>SPS</w:t>
      </w:r>
      <w:r>
        <w:rPr>
          <w:rFonts w:ascii="Arial" w:cs="Arial" w:eastAsia="Arial" w:hAnsi="Arial"/>
          <w:sz w:val="17"/>
          <w:szCs w:val="17"/>
          <w:color w:val="auto"/>
        </w:rPr>
        <w: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APPLICABILITY OF POLICY</w:t>
      </w:r>
    </w:p>
    <w:p>
      <w:pPr>
        <w:spacing w:after="0" w:line="142" w:lineRule="exact"/>
        <w:rPr>
          <w:sz w:val="20"/>
          <w:szCs w:val="20"/>
          <w:color w:val="auto"/>
        </w:rPr>
      </w:pPr>
    </w:p>
    <w:p>
      <w:pPr>
        <w:ind w:right="320" w:firstLine="645"/>
        <w:spacing w:after="0" w:line="260" w:lineRule="auto"/>
        <w:tabs>
          <w:tab w:leader="none" w:pos="1204" w:val="left"/>
        </w:tabs>
        <w:numPr>
          <w:ilvl w:val="0"/>
          <w:numId w:val="54"/>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Material Nonpublic Information </w:t>
      </w:r>
      <w:r>
        <w:rPr>
          <w:rFonts w:ascii="Arial" w:cs="Arial" w:eastAsia="Arial" w:hAnsi="Arial"/>
          <w:sz w:val="17"/>
          <w:szCs w:val="17"/>
          <w:color w:val="auto"/>
        </w:rPr>
        <w:t>means material information (described below) that has either not been disclosed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generally or has been disclosed so recently that sufficient time has not yet passed to allow the information to become widely available among investors and the financial community.</w:t>
      </w:r>
    </w:p>
    <w:p>
      <w:pPr>
        <w:spacing w:after="0" w:line="69" w:lineRule="exact"/>
        <w:rPr>
          <w:rFonts w:ascii="Times New Roman" w:cs="Times New Roman" w:eastAsia="Times New Roman" w:hAnsi="Times New Roman"/>
          <w:sz w:val="20"/>
          <w:szCs w:val="20"/>
          <w:b w:val="1"/>
          <w:bCs w:val="1"/>
          <w:color w:val="auto"/>
        </w:rPr>
      </w:pPr>
    </w:p>
    <w:p>
      <w:pPr>
        <w:ind w:right="260" w:firstLine="645"/>
        <w:spacing w:after="0" w:line="260" w:lineRule="auto"/>
        <w:tabs>
          <w:tab w:leader="none" w:pos="1193" w:val="left"/>
        </w:tabs>
        <w:numPr>
          <w:ilvl w:val="0"/>
          <w:numId w:val="54"/>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Material Information </w:t>
      </w:r>
      <w:r>
        <w:rPr>
          <w:rFonts w:ascii="Arial" w:cs="Arial" w:eastAsia="Arial" w:hAnsi="Arial"/>
          <w:sz w:val="17"/>
          <w:szCs w:val="17"/>
          <w:color w:val="auto"/>
        </w:rPr>
        <w:t>means information about a company that would be expected to affect the investment or voting decision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 reasonable investor, or information that could reasonably be expected to have an effect on the price of that company’s securities. Examples of what might be considered material information are listed later in this Policy.</w:t>
      </w:r>
    </w:p>
    <w:p>
      <w:pPr>
        <w:spacing w:after="0" w:line="96" w:lineRule="exact"/>
        <w:rPr>
          <w:rFonts w:ascii="Times New Roman" w:cs="Times New Roman" w:eastAsia="Times New Roman" w:hAnsi="Times New Roman"/>
          <w:sz w:val="20"/>
          <w:szCs w:val="20"/>
          <w:b w:val="1"/>
          <w:bCs w:val="1"/>
          <w:color w:val="auto"/>
        </w:rPr>
      </w:pPr>
    </w:p>
    <w:p>
      <w:pPr>
        <w:ind w:left="1280" w:hanging="634"/>
        <w:spacing w:after="0"/>
        <w:tabs>
          <w:tab w:leader="none" w:pos="1280" w:val="left"/>
        </w:tabs>
        <w:numPr>
          <w:ilvl w:val="0"/>
          <w:numId w:val="54"/>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Covered Persons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Policy applies to:</w:t>
      </w:r>
    </w:p>
    <w:p>
      <w:pPr>
        <w:spacing w:after="0" w:line="94" w:lineRule="exact"/>
        <w:rPr>
          <w:rFonts w:ascii="Times New Roman" w:cs="Times New Roman" w:eastAsia="Times New Roman" w:hAnsi="Times New Roman"/>
          <w:sz w:val="20"/>
          <w:szCs w:val="20"/>
          <w:b w:val="1"/>
          <w:bCs w:val="1"/>
          <w:color w:val="auto"/>
        </w:rPr>
      </w:pPr>
    </w:p>
    <w:p>
      <w:pPr>
        <w:ind w:left="640" w:right="680" w:firstLine="656"/>
        <w:spacing w:after="0" w:line="242" w:lineRule="auto"/>
        <w:tabs>
          <w:tab w:leader="none" w:pos="1841" w:val="left"/>
        </w:tabs>
        <w:numPr>
          <w:ilvl w:val="1"/>
          <w:numId w:val="54"/>
        </w:numPr>
        <w:rPr>
          <w:rFonts w:ascii="Times New Roman" w:cs="Times New Roman" w:eastAsia="Times New Roman" w:hAnsi="Times New Roman"/>
          <w:sz w:val="20"/>
          <w:szCs w:val="20"/>
          <w:color w:val="auto"/>
        </w:rPr>
      </w:pPr>
      <w:r>
        <w:rPr>
          <w:rFonts w:ascii="Arial" w:cs="Arial" w:eastAsia="Arial" w:hAnsi="Arial"/>
          <w:sz w:val="17"/>
          <w:szCs w:val="17"/>
          <w:i w:val="1"/>
          <w:iCs w:val="1"/>
          <w:color w:val="auto"/>
        </w:rPr>
        <w:t xml:space="preserve">SPS Personnel. </w:t>
      </w:r>
      <w:r>
        <w:rPr>
          <w:rFonts w:ascii="Arial" w:cs="Arial" w:eastAsia="Arial" w:hAnsi="Arial"/>
          <w:sz w:val="17"/>
          <w:szCs w:val="17"/>
          <w:color w:val="auto"/>
        </w:rPr>
        <w:t>All directors, officers and employees of SPS and its subsidiaries (“</w:t>
      </w:r>
      <w:r>
        <w:rPr>
          <w:rFonts w:ascii="Arial" w:cs="Arial" w:eastAsia="Arial" w:hAnsi="Arial"/>
          <w:sz w:val="17"/>
          <w:szCs w:val="17"/>
          <w:i w:val="1"/>
          <w:iCs w:val="1"/>
          <w:color w:val="auto"/>
        </w:rPr>
        <w:t>SPS Personnel</w:t>
      </w:r>
      <w:r>
        <w:rPr>
          <w:rFonts w:ascii="Arial" w:cs="Arial" w:eastAsia="Arial" w:hAnsi="Arial"/>
          <w:sz w:val="17"/>
          <w:szCs w:val="17"/>
          <w:color w:val="auto"/>
        </w:rPr>
        <w:t>”),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their immediate families and others living in the same household.</w:t>
      </w:r>
    </w:p>
    <w:p>
      <w:pPr>
        <w:spacing w:after="0" w:line="97" w:lineRule="exact"/>
        <w:rPr>
          <w:rFonts w:ascii="Times New Roman" w:cs="Times New Roman" w:eastAsia="Times New Roman" w:hAnsi="Times New Roman"/>
          <w:sz w:val="20"/>
          <w:szCs w:val="20"/>
          <w:color w:val="auto"/>
        </w:rPr>
      </w:pPr>
    </w:p>
    <w:p>
      <w:pPr>
        <w:ind w:left="640" w:right="700" w:firstLine="656"/>
        <w:spacing w:after="0" w:line="258" w:lineRule="auto"/>
        <w:tabs>
          <w:tab w:leader="none" w:pos="1841" w:val="left"/>
        </w:tabs>
        <w:numPr>
          <w:ilvl w:val="1"/>
          <w:numId w:val="54"/>
        </w:numPr>
        <w:rPr>
          <w:rFonts w:ascii="Times New Roman" w:cs="Times New Roman" w:eastAsia="Times New Roman" w:hAnsi="Times New Roman"/>
          <w:sz w:val="20"/>
          <w:szCs w:val="20"/>
          <w:color w:val="auto"/>
        </w:rPr>
      </w:pPr>
      <w:r>
        <w:rPr>
          <w:rFonts w:ascii="Arial" w:cs="Arial" w:eastAsia="Arial" w:hAnsi="Arial"/>
          <w:sz w:val="17"/>
          <w:szCs w:val="17"/>
          <w:i w:val="1"/>
          <w:iCs w:val="1"/>
          <w:color w:val="auto"/>
        </w:rPr>
        <w:t xml:space="preserve">Consultants and Advisors. </w:t>
      </w:r>
      <w:r>
        <w:rPr>
          <w:rFonts w:ascii="Arial" w:cs="Arial" w:eastAsia="Arial" w:hAnsi="Arial"/>
          <w:sz w:val="17"/>
          <w:szCs w:val="17"/>
          <w:color w:val="auto"/>
        </w:rPr>
        <w:t>All consultants and advisors to SPS and its subsidiaries whose work for SPS brings</w:t>
      </w:r>
      <w:r>
        <w:rPr>
          <w:rFonts w:ascii="Arial" w:cs="Arial" w:eastAsia="Arial" w:hAnsi="Arial"/>
          <w:sz w:val="17"/>
          <w:szCs w:val="17"/>
          <w:i w:val="1"/>
          <w:iCs w:val="1"/>
          <w:color w:val="auto"/>
        </w:rPr>
        <w:t xml:space="preserve"> </w:t>
      </w:r>
      <w:r>
        <w:rPr>
          <w:rFonts w:ascii="Arial" w:cs="Arial" w:eastAsia="Arial" w:hAnsi="Arial"/>
          <w:sz w:val="17"/>
          <w:szCs w:val="17"/>
          <w:color w:val="auto"/>
        </w:rPr>
        <w:t>them into contact with material nonpublic information.</w:t>
      </w:r>
    </w:p>
    <w:p>
      <w:pPr>
        <w:spacing w:after="0" w:line="82" w:lineRule="exact"/>
        <w:rPr>
          <w:rFonts w:ascii="Times New Roman" w:cs="Times New Roman" w:eastAsia="Times New Roman" w:hAnsi="Times New Roman"/>
          <w:sz w:val="20"/>
          <w:szCs w:val="20"/>
          <w:color w:val="auto"/>
        </w:rPr>
      </w:pPr>
    </w:p>
    <w:p>
      <w:pPr>
        <w:ind w:left="640" w:firstLine="656"/>
        <w:spacing w:after="0" w:line="252" w:lineRule="auto"/>
        <w:tabs>
          <w:tab w:leader="none" w:pos="1841" w:val="left"/>
        </w:tabs>
        <w:numPr>
          <w:ilvl w:val="1"/>
          <w:numId w:val="54"/>
        </w:numPr>
        <w:rPr>
          <w:rFonts w:ascii="Times New Roman" w:cs="Times New Roman" w:eastAsia="Times New Roman" w:hAnsi="Times New Roman"/>
          <w:sz w:val="20"/>
          <w:szCs w:val="20"/>
          <w:color w:val="auto"/>
        </w:rPr>
      </w:pPr>
      <w:r>
        <w:rPr>
          <w:rFonts w:ascii="Arial" w:cs="Arial" w:eastAsia="Arial" w:hAnsi="Arial"/>
          <w:sz w:val="17"/>
          <w:szCs w:val="17"/>
          <w:i w:val="1"/>
          <w:iCs w:val="1"/>
          <w:color w:val="auto"/>
        </w:rPr>
        <w:t xml:space="preserve">Related Parties. </w:t>
      </w:r>
      <w:r>
        <w:rPr>
          <w:rFonts w:ascii="Arial" w:cs="Arial" w:eastAsia="Arial" w:hAnsi="Arial"/>
          <w:sz w:val="17"/>
          <w:szCs w:val="17"/>
          <w:color w:val="auto"/>
        </w:rPr>
        <w:t>Any other person or entity, including a trust, corporation, partnership or other association, whose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in SPS securities are directed by any person covered by paragraph C(1) or C(2) or are subject to that person’s influence or control.</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individuals and entities described in paragraphs C(1), C(2) and C(3) are “</w:t>
      </w:r>
      <w:r>
        <w:rPr>
          <w:rFonts w:ascii="Arial" w:cs="Arial" w:eastAsia="Arial" w:hAnsi="Arial"/>
          <w:sz w:val="17"/>
          <w:szCs w:val="17"/>
          <w:i w:val="1"/>
          <w:iCs w:val="1"/>
          <w:color w:val="auto"/>
        </w:rPr>
        <w:t>Covered Persons</w:t>
      </w:r>
      <w:r>
        <w:rPr>
          <w:rFonts w:ascii="Arial" w:cs="Arial" w:eastAsia="Arial" w:hAnsi="Arial"/>
          <w:sz w:val="17"/>
          <w:szCs w:val="17"/>
          <w:color w:val="auto"/>
        </w:rPr>
        <w:t>.”</w:t>
      </w:r>
    </w:p>
    <w:p>
      <w:pPr>
        <w:spacing w:after="0" w:line="142" w:lineRule="exact"/>
        <w:rPr>
          <w:sz w:val="20"/>
          <w:szCs w:val="20"/>
          <w:color w:val="auto"/>
        </w:rPr>
      </w:pPr>
    </w:p>
    <w:p>
      <w:pPr>
        <w:ind w:left="1280" w:hanging="634"/>
        <w:spacing w:after="0"/>
        <w:tabs>
          <w:tab w:leader="none" w:pos="1280" w:val="left"/>
        </w:tabs>
        <w:numPr>
          <w:ilvl w:val="0"/>
          <w:numId w:val="55"/>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Covered Companies. </w:t>
      </w:r>
      <w:r>
        <w:rPr>
          <w:rFonts w:ascii="Arial" w:cs="Arial" w:eastAsia="Arial" w:hAnsi="Arial"/>
          <w:sz w:val="17"/>
          <w:szCs w:val="17"/>
          <w:color w:val="auto"/>
        </w:rPr>
        <w:t>This Policy applies to trading in the securities of:</w:t>
      </w:r>
    </w:p>
    <w:p>
      <w:pPr>
        <w:spacing w:after="0" w:line="102" w:lineRule="exact"/>
        <w:rPr>
          <w:rFonts w:ascii="Times New Roman" w:cs="Times New Roman" w:eastAsia="Times New Roman" w:hAnsi="Times New Roman"/>
          <w:sz w:val="20"/>
          <w:szCs w:val="20"/>
          <w:b w:val="1"/>
          <w:bCs w:val="1"/>
          <w:color w:val="auto"/>
        </w:rPr>
      </w:pPr>
    </w:p>
    <w:p>
      <w:pPr>
        <w:ind w:left="1940" w:hanging="646"/>
        <w:spacing w:after="0"/>
        <w:tabs>
          <w:tab w:leader="none" w:pos="1940" w:val="left"/>
        </w:tabs>
        <w:numPr>
          <w:ilvl w:val="1"/>
          <w:numId w:val="55"/>
        </w:numPr>
        <w:rPr>
          <w:rFonts w:ascii="Times New Roman" w:cs="Times New Roman" w:eastAsia="Times New Roman" w:hAnsi="Times New Roman"/>
          <w:sz w:val="20"/>
          <w:szCs w:val="20"/>
          <w:color w:val="auto"/>
        </w:rPr>
      </w:pPr>
      <w:r>
        <w:rPr>
          <w:rFonts w:ascii="Arial" w:cs="Arial" w:eastAsia="Arial" w:hAnsi="Arial"/>
          <w:sz w:val="17"/>
          <w:szCs w:val="17"/>
          <w:color w:val="auto"/>
        </w:rPr>
        <w:t>SPS; and</w:t>
      </w:r>
    </w:p>
    <w:p>
      <w:pPr>
        <w:spacing w:after="0" w:line="112" w:lineRule="exact"/>
        <w:rPr>
          <w:rFonts w:ascii="Times New Roman" w:cs="Times New Roman" w:eastAsia="Times New Roman" w:hAnsi="Times New Roman"/>
          <w:sz w:val="20"/>
          <w:szCs w:val="20"/>
          <w:color w:val="auto"/>
        </w:rPr>
      </w:pPr>
    </w:p>
    <w:p>
      <w:pPr>
        <w:ind w:left="640" w:right="520" w:firstLine="656"/>
        <w:spacing w:after="0" w:line="242" w:lineRule="auto"/>
        <w:tabs>
          <w:tab w:leader="none" w:pos="1843" w:val="left"/>
        </w:tabs>
        <w:numPr>
          <w:ilvl w:val="1"/>
          <w:numId w:val="55"/>
        </w:numPr>
        <w:rPr>
          <w:rFonts w:ascii="Times New Roman" w:cs="Times New Roman" w:eastAsia="Times New Roman" w:hAnsi="Times New Roman"/>
          <w:sz w:val="20"/>
          <w:szCs w:val="20"/>
          <w:color w:val="auto"/>
        </w:rPr>
      </w:pPr>
      <w:r>
        <w:rPr>
          <w:rFonts w:ascii="Arial" w:cs="Arial" w:eastAsia="Arial" w:hAnsi="Arial"/>
          <w:sz w:val="17"/>
          <w:szCs w:val="17"/>
          <w:color w:val="auto"/>
        </w:rPr>
        <w:t>any other company with which SPS or any of its subsidiaries is or may be doing business, such as customers, suppliers or companies with which a major transaction such as a merger, acquisition or divestiture may be or is being negotiated.</w:t>
      </w:r>
    </w:p>
    <w:p>
      <w:pPr>
        <w:spacing w:after="0" w:line="97" w:lineRule="exact"/>
        <w:rPr>
          <w:rFonts w:ascii="Times New Roman" w:cs="Times New Roman" w:eastAsia="Times New Roman" w:hAnsi="Times New Roman"/>
          <w:sz w:val="20"/>
          <w:szCs w:val="20"/>
          <w:color w:val="auto"/>
        </w:rPr>
      </w:pPr>
    </w:p>
    <w:p>
      <w:pPr>
        <w:ind w:right="180" w:firstLine="645"/>
        <w:spacing w:after="0" w:line="251" w:lineRule="auto"/>
        <w:tabs>
          <w:tab w:leader="none" w:pos="1193" w:val="left"/>
        </w:tabs>
        <w:numPr>
          <w:ilvl w:val="0"/>
          <w:numId w:val="55"/>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Covered Transactions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securities trading that this Policy covers includes purchases and sales of common stock,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acquire common stock and any other securities SPS may issue from time to time, such as preferred stock, warrants and convertible debentures, and purchases and sales of derivative securities relating to SPS’s stock, whether or not issued by SPS, such as exchange-traded options. Trading covered by this Policy may or may not include transactions under SPS sponsored plans as follows:</w:t>
      </w:r>
    </w:p>
    <w:p>
      <w:pPr>
        <w:spacing w:after="0" w:line="91" w:lineRule="exact"/>
        <w:rPr>
          <w:rFonts w:ascii="Times New Roman" w:cs="Times New Roman" w:eastAsia="Times New Roman" w:hAnsi="Times New Roman"/>
          <w:sz w:val="20"/>
          <w:szCs w:val="20"/>
          <w:b w:val="1"/>
          <w:bCs w:val="1"/>
          <w:color w:val="auto"/>
        </w:rPr>
      </w:pPr>
    </w:p>
    <w:p>
      <w:pPr>
        <w:ind w:left="640" w:right="660" w:firstLine="656"/>
        <w:spacing w:after="0" w:line="252" w:lineRule="auto"/>
        <w:tabs>
          <w:tab w:leader="none" w:pos="1841" w:val="left"/>
        </w:tabs>
        <w:numPr>
          <w:ilvl w:val="2"/>
          <w:numId w:val="55"/>
        </w:numPr>
        <w:rPr>
          <w:rFonts w:ascii="Times New Roman" w:cs="Times New Roman" w:eastAsia="Times New Roman" w:hAnsi="Times New Roman"/>
          <w:sz w:val="20"/>
          <w:szCs w:val="20"/>
          <w:color w:val="auto"/>
        </w:rPr>
      </w:pPr>
      <w:r>
        <w:rPr>
          <w:rFonts w:ascii="Arial" w:cs="Arial" w:eastAsia="Arial" w:hAnsi="Arial"/>
          <w:sz w:val="17"/>
          <w:szCs w:val="17"/>
          <w:i w:val="1"/>
          <w:iCs w:val="1"/>
          <w:color w:val="auto"/>
        </w:rPr>
        <w:t xml:space="preserve">Stock Option Exercises. </w:t>
      </w:r>
      <w:r>
        <w:rPr>
          <w:rFonts w:ascii="Arial" w:cs="Arial" w:eastAsia="Arial" w:hAnsi="Arial"/>
          <w:sz w:val="17"/>
          <w:szCs w:val="17"/>
          <w:color w:val="auto"/>
        </w:rPr>
        <w:t>The Policy’s trading restrictions do not apply to the purchase of SPS stock through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of stock options granted by SPS. The trading restrictions do apply to any subsequent sale of SPS stock acquired through an option exercise.</w:t>
      </w:r>
    </w:p>
    <w:p>
      <w:pPr>
        <w:spacing w:after="0" w:line="90" w:lineRule="exact"/>
        <w:rPr>
          <w:rFonts w:ascii="Times New Roman" w:cs="Times New Roman" w:eastAsia="Times New Roman" w:hAnsi="Times New Roman"/>
          <w:sz w:val="20"/>
          <w:szCs w:val="20"/>
          <w:color w:val="auto"/>
        </w:rPr>
      </w:pPr>
    </w:p>
    <w:p>
      <w:pPr>
        <w:ind w:left="640" w:right="280" w:firstLine="656"/>
        <w:spacing w:after="0" w:line="251" w:lineRule="auto"/>
        <w:tabs>
          <w:tab w:leader="none" w:pos="1841" w:val="left"/>
        </w:tabs>
        <w:numPr>
          <w:ilvl w:val="2"/>
          <w:numId w:val="55"/>
        </w:numPr>
        <w:rPr>
          <w:rFonts w:ascii="Times New Roman" w:cs="Times New Roman" w:eastAsia="Times New Roman" w:hAnsi="Times New Roman"/>
          <w:sz w:val="20"/>
          <w:szCs w:val="20"/>
          <w:color w:val="auto"/>
        </w:rPr>
      </w:pPr>
      <w:r>
        <w:rPr>
          <w:rFonts w:ascii="Arial" w:cs="Arial" w:eastAsia="Arial" w:hAnsi="Arial"/>
          <w:sz w:val="17"/>
          <w:szCs w:val="17"/>
          <w:i w:val="1"/>
          <w:iCs w:val="1"/>
          <w:color w:val="auto"/>
        </w:rPr>
        <w:t>Employee Stock Purchase Plan Purchases</w:t>
      </w:r>
      <w:r>
        <w:rPr>
          <w:rFonts w:ascii="Arial" w:cs="Arial" w:eastAsia="Arial" w:hAnsi="Arial"/>
          <w:sz w:val="17"/>
          <w:szCs w:val="17"/>
          <w:color w:val="auto"/>
        </w:rPr>
        <w:t>. The Policy’s trading restrictions do not apply to the purchase of SPS</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through any Employee Stock Purchase Plan SPS may maintain from time to time (but the Policy’s trading restrictions do apply to any election to participate in such plan, any election to change the level of participation in such plan or the sale of any shares acquired under such plan).</w:t>
      </w:r>
    </w:p>
    <w:p>
      <w:pPr>
        <w:spacing w:after="0" w:line="99" w:lineRule="exact"/>
        <w:rPr>
          <w:rFonts w:ascii="Times New Roman" w:cs="Times New Roman" w:eastAsia="Times New Roman" w:hAnsi="Times New Roman"/>
          <w:sz w:val="20"/>
          <w:szCs w:val="20"/>
          <w:color w:val="auto"/>
        </w:rPr>
      </w:pPr>
    </w:p>
    <w:p>
      <w:pPr>
        <w:ind w:left="1940" w:hanging="646"/>
        <w:spacing w:after="0"/>
        <w:tabs>
          <w:tab w:leader="none" w:pos="1940" w:val="left"/>
        </w:tabs>
        <w:numPr>
          <w:ilvl w:val="2"/>
          <w:numId w:val="55"/>
        </w:numPr>
        <w:rPr>
          <w:rFonts w:ascii="Times New Roman" w:cs="Times New Roman" w:eastAsia="Times New Roman" w:hAnsi="Times New Roman"/>
          <w:sz w:val="20"/>
          <w:szCs w:val="20"/>
          <w:color w:val="auto"/>
        </w:rPr>
      </w:pPr>
      <w:r>
        <w:rPr>
          <w:rFonts w:ascii="Arial" w:cs="Arial" w:eastAsia="Arial" w:hAnsi="Arial"/>
          <w:sz w:val="17"/>
          <w:szCs w:val="17"/>
          <w:i w:val="1"/>
          <w:iCs w:val="1"/>
          <w:color w:val="auto"/>
        </w:rPr>
        <w:t>Restricted Stock/Unit and Performance Stock/Unit Awards</w:t>
      </w:r>
      <w:r>
        <w:rPr>
          <w:rFonts w:ascii="Arial" w:cs="Arial" w:eastAsia="Arial" w:hAnsi="Arial"/>
          <w:sz w:val="17"/>
          <w:szCs w:val="17"/>
          <w:color w:val="auto"/>
        </w:rPr>
        <w:t>. The Policy’s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4240" w:val="left"/>
        </w:tabs>
        <w:rPr>
          <w:sz w:val="20"/>
          <w:szCs w:val="20"/>
          <w:color w:val="auto"/>
        </w:rPr>
      </w:pPr>
      <w:r>
        <w:rPr>
          <w:rFonts w:ascii="Arial" w:cs="Arial" w:eastAsia="Arial" w:hAnsi="Arial"/>
          <w:sz w:val="14"/>
          <w:szCs w:val="14"/>
          <w:color w:val="6D6D6D"/>
        </w:rPr>
        <w:t>Insider Trading Policy © 2023 SPS Commerce, Inc.</w:t>
      </w:r>
      <w:r>
        <w:rPr>
          <w:sz w:val="20"/>
          <w:szCs w:val="20"/>
          <w:color w:val="auto"/>
        </w:rPr>
        <w:tab/>
      </w:r>
      <w:r>
        <w:rPr>
          <w:rFonts w:ascii="Arial" w:cs="Arial" w:eastAsia="Arial" w:hAnsi="Arial"/>
          <w:sz w:val="14"/>
          <w:szCs w:val="14"/>
          <w:color w:val="6D6D6D"/>
        </w:rPr>
        <w:t>Revised: 02/17/2023</w:t>
      </w:r>
    </w:p>
    <w:p>
      <w:pPr>
        <w:sectPr>
          <w:pgSz w:w="11900" w:h="16838" w:orient="portrait"/>
          <w:cols w:equalWidth="0" w:num="1">
            <w:col w:w="10880"/>
          </w:cols>
          <w:pgMar w:left="420" w:top="321" w:right="599" w:bottom="1440" w:gutter="0" w:footer="0" w:header="0"/>
        </w:sectPr>
      </w:pPr>
    </w:p>
    <w:bookmarkStart w:id="89" w:name="page90"/>
    <w:bookmarkEnd w:id="89"/>
    <w:p>
      <w:pPr>
        <w:jc w:val="right"/>
        <w:ind w:right="436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883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814070" cy="488315"/>
                    </a:xfrm>
                    <a:prstGeom prst="rect">
                      <a:avLst/>
                    </a:prstGeom>
                    <a:noFill/>
                  </pic:spPr>
                </pic:pic>
              </a:graphicData>
            </a:graphic>
          </wp:anchor>
        </w:drawing>
        <w:t>Exhibit 19.1</w:t>
      </w:r>
    </w:p>
    <w:p>
      <w:pPr>
        <w:spacing w:after="0" w:line="63" w:lineRule="exact"/>
        <w:rPr>
          <w:sz w:val="20"/>
          <w:szCs w:val="20"/>
          <w:color w:val="auto"/>
        </w:rPr>
      </w:pPr>
    </w:p>
    <w:p>
      <w:pPr>
        <w:jc w:val="right"/>
        <w:ind w:right="4360"/>
        <w:spacing w:after="0"/>
        <w:rPr>
          <w:sz w:val="20"/>
          <w:szCs w:val="20"/>
          <w:color w:val="auto"/>
        </w:rPr>
      </w:pPr>
      <w:r>
        <w:rPr>
          <w:rFonts w:ascii="Arial" w:cs="Arial" w:eastAsia="Arial" w:hAnsi="Arial"/>
          <w:sz w:val="20"/>
          <w:szCs w:val="20"/>
          <w:b w:val="1"/>
          <w:bCs w:val="1"/>
          <w:color w:val="auto"/>
        </w:rPr>
        <w:t>POLICY |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40" w:right="280"/>
        <w:spacing w:after="0" w:line="274" w:lineRule="auto"/>
        <w:rPr>
          <w:sz w:val="20"/>
          <w:szCs w:val="20"/>
          <w:color w:val="auto"/>
        </w:rPr>
      </w:pPr>
      <w:r>
        <w:rPr>
          <w:rFonts w:ascii="Arial" w:cs="Arial" w:eastAsia="Arial" w:hAnsi="Arial"/>
          <w:sz w:val="17"/>
          <w:szCs w:val="17"/>
          <w:color w:val="auto"/>
        </w:rPr>
        <w:t>restrictions do not apply to the vesting of restricted stock/units or performance stock/units, or to the exercise of a tax withholding right pursuant to which the person elects to have SPS withhold shares of stock to satisfy tax withholding requirements upon vesting. The trading restrictions do apply to any market sales of shares.</w:t>
      </w:r>
    </w:p>
    <w:p>
      <w:pPr>
        <w:spacing w:after="0" w:line="87" w:lineRule="exact"/>
        <w:rPr>
          <w:sz w:val="20"/>
          <w:szCs w:val="20"/>
          <w:color w:val="auto"/>
        </w:rPr>
      </w:pPr>
    </w:p>
    <w:p>
      <w:pPr>
        <w:ind w:left="640" w:right="940" w:firstLine="656"/>
        <w:spacing w:after="0" w:line="242" w:lineRule="auto"/>
        <w:tabs>
          <w:tab w:leader="none" w:pos="1841" w:val="left"/>
        </w:tabs>
        <w:numPr>
          <w:ilvl w:val="1"/>
          <w:numId w:val="56"/>
        </w:numPr>
        <w:rPr>
          <w:rFonts w:ascii="Times New Roman" w:cs="Times New Roman" w:eastAsia="Times New Roman" w:hAnsi="Times New Roman"/>
          <w:sz w:val="20"/>
          <w:szCs w:val="20"/>
          <w:color w:val="auto"/>
        </w:rPr>
      </w:pPr>
      <w:r>
        <w:rPr>
          <w:rFonts w:ascii="Arial" w:cs="Arial" w:eastAsia="Arial" w:hAnsi="Arial"/>
          <w:sz w:val="17"/>
          <w:szCs w:val="17"/>
          <w:i w:val="1"/>
          <w:iCs w:val="1"/>
          <w:color w:val="auto"/>
        </w:rPr>
        <w:t>401(k) Plan</w:t>
      </w:r>
      <w:r>
        <w:rPr>
          <w:rFonts w:ascii="Arial" w:cs="Arial" w:eastAsia="Arial" w:hAnsi="Arial"/>
          <w:sz w:val="17"/>
          <w:szCs w:val="17"/>
          <w:color w:val="auto"/>
        </w:rPr>
        <w:t>. The Policy’s trading restrictions do not apply to the acquisition of stock under SPS’ 401(k)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trading restrictions do apply to any market sales of shares.</w:t>
      </w:r>
    </w:p>
    <w:p>
      <w:pPr>
        <w:spacing w:after="0" w:line="92" w:lineRule="exact"/>
        <w:rPr>
          <w:rFonts w:ascii="Times New Roman" w:cs="Times New Roman" w:eastAsia="Times New Roman" w:hAnsi="Times New Roman"/>
          <w:sz w:val="20"/>
          <w:szCs w:val="20"/>
          <w:color w:val="auto"/>
        </w:rPr>
      </w:pPr>
    </w:p>
    <w:p>
      <w:pPr>
        <w:ind w:left="1840" w:hanging="544"/>
        <w:spacing w:after="0"/>
        <w:tabs>
          <w:tab w:leader="none" w:pos="1840" w:val="left"/>
        </w:tabs>
        <w:numPr>
          <w:ilvl w:val="1"/>
          <w:numId w:val="56"/>
        </w:numPr>
        <w:rPr>
          <w:rFonts w:ascii="Times New Roman" w:cs="Times New Roman" w:eastAsia="Times New Roman" w:hAnsi="Times New Roman"/>
          <w:sz w:val="20"/>
          <w:szCs w:val="20"/>
          <w:color w:val="auto"/>
        </w:rPr>
      </w:pPr>
      <w:r>
        <w:rPr>
          <w:rFonts w:ascii="Arial" w:cs="Arial" w:eastAsia="Arial" w:hAnsi="Arial"/>
          <w:sz w:val="17"/>
          <w:szCs w:val="17"/>
          <w:i w:val="1"/>
          <w:iCs w:val="1"/>
          <w:color w:val="auto"/>
        </w:rPr>
        <w:t xml:space="preserve">Certain Gifts. </w:t>
      </w:r>
      <w:r>
        <w:rPr>
          <w:rFonts w:ascii="Arial" w:cs="Arial" w:eastAsia="Arial" w:hAnsi="Arial"/>
          <w:sz w:val="17"/>
          <w:szCs w:val="17"/>
          <w:color w:val="auto"/>
        </w:rPr>
        <w:t>The Policy’s trading restrictions do not apply to a bona fide gift of Company stock so long as either</w:t>
      </w:r>
    </w:p>
    <w:p>
      <w:pPr>
        <w:spacing w:after="0" w:line="5" w:lineRule="exact"/>
        <w:rPr>
          <w:rFonts w:ascii="Times New Roman" w:cs="Times New Roman" w:eastAsia="Times New Roman" w:hAnsi="Times New Roman"/>
          <w:sz w:val="20"/>
          <w:szCs w:val="20"/>
          <w:color w:val="auto"/>
        </w:rPr>
      </w:pPr>
    </w:p>
    <w:p>
      <w:pPr>
        <w:ind w:left="640" w:right="520" w:firstLine="8"/>
        <w:spacing w:after="0" w:line="265" w:lineRule="auto"/>
        <w:tabs>
          <w:tab w:leader="none" w:pos="839"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recipient of the gift is subject to the same trading restrictions under this Policy as are applicable to you, or (ii) you otherwise have no reason to believe that the recipient intends to sell the securities immediately or during a period when you would not be permitted to trade pursuant to the terms of this Policy.</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POLICY</w:t>
      </w:r>
    </w:p>
    <w:p>
      <w:pPr>
        <w:spacing w:after="0" w:line="102" w:lineRule="exact"/>
        <w:rPr>
          <w:sz w:val="20"/>
          <w:szCs w:val="20"/>
          <w:color w:val="auto"/>
        </w:rPr>
      </w:pPr>
    </w:p>
    <w:p>
      <w:pPr>
        <w:jc w:val="both"/>
        <w:ind w:right="260"/>
        <w:spacing w:after="0" w:line="283" w:lineRule="auto"/>
        <w:rPr>
          <w:sz w:val="20"/>
          <w:szCs w:val="20"/>
          <w:color w:val="auto"/>
        </w:rPr>
      </w:pPr>
      <w:r>
        <w:rPr>
          <w:rFonts w:ascii="Arial" w:cs="Arial" w:eastAsia="Arial" w:hAnsi="Arial"/>
          <w:sz w:val="17"/>
          <w:szCs w:val="17"/>
          <w:color w:val="auto"/>
        </w:rPr>
        <w:t xml:space="preserve">Insider trading involves trading at any time when the person making the purchase or sale </w:t>
      </w:r>
      <w:r>
        <w:rPr>
          <w:rFonts w:ascii="Arial" w:cs="Arial" w:eastAsia="Arial" w:hAnsi="Arial"/>
          <w:sz w:val="17"/>
          <w:szCs w:val="17"/>
          <w:i w:val="1"/>
          <w:iCs w:val="1"/>
          <w:color w:val="auto"/>
        </w:rPr>
        <w:t>is aware</w:t>
      </w:r>
      <w:r>
        <w:rPr>
          <w:rFonts w:ascii="Arial" w:cs="Arial" w:eastAsia="Arial" w:hAnsi="Arial"/>
          <w:sz w:val="17"/>
          <w:szCs w:val="17"/>
          <w:color w:val="auto"/>
        </w:rPr>
        <w:t xml:space="preserve"> of material nonpublic information regarding the company whose securities are being traded. If you have a doubt or question about whether you are aware of or in possession of material nonpublic information concerning SPS or another company, you should contact SPS’s Chief Financial Officer or General Counsel.</w:t>
      </w:r>
    </w:p>
    <w:p>
      <w:pPr>
        <w:spacing w:after="0" w:line="78" w:lineRule="exact"/>
        <w:rPr>
          <w:sz w:val="20"/>
          <w:szCs w:val="20"/>
          <w:color w:val="auto"/>
        </w:rPr>
      </w:pPr>
    </w:p>
    <w:p>
      <w:pPr>
        <w:ind w:left="1280" w:hanging="634"/>
        <w:spacing w:after="0"/>
        <w:tabs>
          <w:tab w:leader="none" w:pos="1280" w:val="left"/>
        </w:tabs>
        <w:numPr>
          <w:ilvl w:val="0"/>
          <w:numId w:val="58"/>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No Trading on Material Nonpublic Information</w:t>
      </w:r>
    </w:p>
    <w:p>
      <w:pPr>
        <w:spacing w:after="0" w:line="94" w:lineRule="exact"/>
        <w:rPr>
          <w:rFonts w:ascii="Times New Roman" w:cs="Times New Roman" w:eastAsia="Times New Roman" w:hAnsi="Times New Roman"/>
          <w:sz w:val="20"/>
          <w:szCs w:val="20"/>
          <w:b w:val="1"/>
          <w:bCs w:val="1"/>
          <w:color w:val="auto"/>
        </w:rPr>
      </w:pPr>
    </w:p>
    <w:p>
      <w:pPr>
        <w:ind w:left="640" w:right="140" w:firstLine="656"/>
        <w:spacing w:after="0" w:line="242" w:lineRule="auto"/>
        <w:tabs>
          <w:tab w:leader="none" w:pos="1841" w:val="left"/>
        </w:tabs>
        <w:numPr>
          <w:ilvl w:val="1"/>
          <w:numId w:val="58"/>
        </w:numPr>
        <w:rPr>
          <w:rFonts w:ascii="Times New Roman" w:cs="Times New Roman" w:eastAsia="Times New Roman" w:hAnsi="Times New Roman"/>
          <w:sz w:val="20"/>
          <w:szCs w:val="20"/>
          <w:color w:val="auto"/>
        </w:rPr>
      </w:pPr>
      <w:r>
        <w:rPr>
          <w:rFonts w:ascii="Arial" w:cs="Arial" w:eastAsia="Arial" w:hAnsi="Arial"/>
          <w:sz w:val="17"/>
          <w:szCs w:val="17"/>
          <w:i w:val="1"/>
          <w:iCs w:val="1"/>
          <w:color w:val="auto"/>
        </w:rPr>
        <w:t>SPS Securities</w:t>
      </w:r>
      <w:r>
        <w:rPr>
          <w:rFonts w:ascii="Arial" w:cs="Arial" w:eastAsia="Arial" w:hAnsi="Arial"/>
          <w:sz w:val="17"/>
          <w:szCs w:val="17"/>
          <w:color w:val="auto"/>
        </w:rPr>
        <w:t>. If you are a Covered Person, you must not purchase or sell any SPS securities, or otherwise advise or</w:t>
      </w:r>
      <w:r>
        <w:rPr>
          <w:rFonts w:ascii="Arial" w:cs="Arial" w:eastAsia="Arial" w:hAnsi="Arial"/>
          <w:sz w:val="17"/>
          <w:szCs w:val="17"/>
          <w:i w:val="1"/>
          <w:iCs w:val="1"/>
          <w:color w:val="auto"/>
        </w:rPr>
        <w:t xml:space="preserve"> </w:t>
      </w:r>
      <w:r>
        <w:rPr>
          <w:rFonts w:ascii="Arial" w:cs="Arial" w:eastAsia="Arial" w:hAnsi="Arial"/>
          <w:sz w:val="17"/>
          <w:szCs w:val="17"/>
          <w:color w:val="auto"/>
        </w:rPr>
        <w:t>assist any third-party trading SPS securities, while you are aware of material nonpublic information regarding SPS.</w:t>
      </w:r>
    </w:p>
    <w:p>
      <w:pPr>
        <w:spacing w:after="0" w:line="97" w:lineRule="exact"/>
        <w:rPr>
          <w:rFonts w:ascii="Times New Roman" w:cs="Times New Roman" w:eastAsia="Times New Roman" w:hAnsi="Times New Roman"/>
          <w:sz w:val="20"/>
          <w:szCs w:val="20"/>
          <w:color w:val="auto"/>
        </w:rPr>
      </w:pPr>
    </w:p>
    <w:p>
      <w:pPr>
        <w:ind w:left="640" w:right="260" w:firstLine="656"/>
        <w:spacing w:after="0" w:line="252" w:lineRule="auto"/>
        <w:tabs>
          <w:tab w:leader="none" w:pos="1841" w:val="left"/>
        </w:tabs>
        <w:numPr>
          <w:ilvl w:val="1"/>
          <w:numId w:val="58"/>
        </w:numPr>
        <w:rPr>
          <w:rFonts w:ascii="Times New Roman" w:cs="Times New Roman" w:eastAsia="Times New Roman" w:hAnsi="Times New Roman"/>
          <w:sz w:val="20"/>
          <w:szCs w:val="20"/>
          <w:color w:val="auto"/>
        </w:rPr>
      </w:pPr>
      <w:r>
        <w:rPr>
          <w:rFonts w:ascii="Arial" w:cs="Arial" w:eastAsia="Arial" w:hAnsi="Arial"/>
          <w:sz w:val="17"/>
          <w:szCs w:val="17"/>
          <w:i w:val="1"/>
          <w:iCs w:val="1"/>
          <w:color w:val="auto"/>
        </w:rPr>
        <w:t>Other Companies’ Securities</w:t>
      </w:r>
      <w:r>
        <w:rPr>
          <w:rFonts w:ascii="Arial" w:cs="Arial" w:eastAsia="Arial" w:hAnsi="Arial"/>
          <w:sz w:val="17"/>
          <w:szCs w:val="17"/>
          <w:color w:val="auto"/>
        </w:rPr>
        <w:t>. If you are a Covered Person and you obtain material nonpublic information about any</w:t>
      </w:r>
      <w:r>
        <w:rPr>
          <w:rFonts w:ascii="Arial" w:cs="Arial" w:eastAsia="Arial" w:hAnsi="Arial"/>
          <w:sz w:val="17"/>
          <w:szCs w:val="17"/>
          <w:i w:val="1"/>
          <w:iCs w:val="1"/>
          <w:color w:val="auto"/>
        </w:rPr>
        <w:t xml:space="preserve"> </w:t>
      </w:r>
      <w:r>
        <w:rPr>
          <w:rFonts w:ascii="Arial" w:cs="Arial" w:eastAsia="Arial" w:hAnsi="Arial"/>
          <w:sz w:val="17"/>
          <w:szCs w:val="17"/>
          <w:color w:val="auto"/>
        </w:rPr>
        <w:t>other publicly-held company as a result of your work on behalf of SPS or any of its subsidiaries, you must not trade in that company’s securities.</w:t>
      </w:r>
    </w:p>
    <w:p>
      <w:pPr>
        <w:spacing w:after="0" w:line="90" w:lineRule="exact"/>
        <w:rPr>
          <w:rFonts w:ascii="Times New Roman" w:cs="Times New Roman" w:eastAsia="Times New Roman" w:hAnsi="Times New Roman"/>
          <w:sz w:val="20"/>
          <w:szCs w:val="20"/>
          <w:color w:val="auto"/>
        </w:rPr>
      </w:pPr>
    </w:p>
    <w:p>
      <w:pPr>
        <w:ind w:right="160" w:firstLine="645"/>
        <w:spacing w:after="0" w:line="250" w:lineRule="auto"/>
        <w:tabs>
          <w:tab w:leader="none" w:pos="1193" w:val="left"/>
        </w:tabs>
        <w:numPr>
          <w:ilvl w:val="0"/>
          <w:numId w:val="58"/>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No Disclosure to Others Who Might Trade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you are a Covered Person, you must not communicate material nonpublic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to any person who does not need that information for a legitimate business purpose, or recommend to anyone the purchase or sale of securities when you are aware of material nonpublic information about the company involved. This practice, known as “tipping,” also violates the securities laws and can result in the same civil and criminal penalties that apply to insider trading, even though you did not actually trade and did not benefit from another’s trading.</w:t>
      </w:r>
    </w:p>
    <w:p>
      <w:pPr>
        <w:spacing w:after="0" w:line="93" w:lineRule="exact"/>
        <w:rPr>
          <w:rFonts w:ascii="Times New Roman" w:cs="Times New Roman" w:eastAsia="Times New Roman" w:hAnsi="Times New Roman"/>
          <w:sz w:val="20"/>
          <w:szCs w:val="20"/>
          <w:b w:val="1"/>
          <w:bCs w:val="1"/>
          <w:color w:val="auto"/>
        </w:rPr>
      </w:pPr>
    </w:p>
    <w:p>
      <w:pPr>
        <w:ind w:right="880" w:firstLine="645"/>
        <w:spacing w:after="0" w:line="258" w:lineRule="auto"/>
        <w:tabs>
          <w:tab w:leader="none" w:pos="1204" w:val="left"/>
        </w:tabs>
        <w:numPr>
          <w:ilvl w:val="0"/>
          <w:numId w:val="58"/>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Protect Material Nonpublic Information. </w:t>
      </w:r>
      <w:r>
        <w:rPr>
          <w:rFonts w:ascii="Arial" w:cs="Arial" w:eastAsia="Arial" w:hAnsi="Arial"/>
          <w:sz w:val="17"/>
          <w:szCs w:val="17"/>
          <w:color w:val="auto"/>
        </w:rPr>
        <w:t>In order to reduce the possibility that material nonpublic information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inadvertently disclosed:</w:t>
      </w:r>
    </w:p>
    <w:p>
      <w:pPr>
        <w:spacing w:after="0" w:line="83" w:lineRule="exact"/>
        <w:rPr>
          <w:sz w:val="20"/>
          <w:szCs w:val="20"/>
          <w:color w:val="auto"/>
        </w:rPr>
      </w:pPr>
    </w:p>
    <w:p>
      <w:pPr>
        <w:jc w:val="both"/>
        <w:ind w:left="640" w:right="320" w:firstLine="656"/>
        <w:spacing w:after="0" w:line="252" w:lineRule="auto"/>
        <w:tabs>
          <w:tab w:leader="none" w:pos="1843" w:val="left"/>
        </w:tabs>
        <w:numPr>
          <w:ilvl w:val="1"/>
          <w:numId w:val="59"/>
        </w:numPr>
        <w:rPr>
          <w:rFonts w:ascii="Times New Roman" w:cs="Times New Roman" w:eastAsia="Times New Roman" w:hAnsi="Times New Roman"/>
          <w:sz w:val="20"/>
          <w:szCs w:val="20"/>
          <w:color w:val="auto"/>
        </w:rPr>
      </w:pPr>
      <w:r>
        <w:rPr>
          <w:rFonts w:ascii="Arial" w:cs="Arial" w:eastAsia="Arial" w:hAnsi="Arial"/>
          <w:sz w:val="17"/>
          <w:szCs w:val="17"/>
          <w:color w:val="auto"/>
        </w:rPr>
        <w:t>You must treat material nonpublic information as confidential, exercise the utmost caution in preserving the confidentiality of that information, and should not discuss it with any other person who does not need to know it for a legitimate business purpose.</w:t>
      </w:r>
    </w:p>
    <w:p>
      <w:pPr>
        <w:spacing w:after="0" w:line="77" w:lineRule="exact"/>
        <w:rPr>
          <w:rFonts w:ascii="Times New Roman" w:cs="Times New Roman" w:eastAsia="Times New Roman" w:hAnsi="Times New Roman"/>
          <w:sz w:val="20"/>
          <w:szCs w:val="20"/>
          <w:color w:val="auto"/>
        </w:rPr>
      </w:pPr>
    </w:p>
    <w:p>
      <w:pPr>
        <w:ind w:left="640" w:right="140" w:firstLine="656"/>
        <w:spacing w:after="0" w:line="242" w:lineRule="auto"/>
        <w:tabs>
          <w:tab w:leader="none" w:pos="1843" w:val="left"/>
        </w:tabs>
        <w:numPr>
          <w:ilvl w:val="1"/>
          <w:numId w:val="59"/>
        </w:numPr>
        <w:rPr>
          <w:rFonts w:ascii="Times New Roman" w:cs="Times New Roman" w:eastAsia="Times New Roman" w:hAnsi="Times New Roman"/>
          <w:sz w:val="20"/>
          <w:szCs w:val="20"/>
          <w:color w:val="auto"/>
        </w:rPr>
      </w:pPr>
      <w:r>
        <w:rPr>
          <w:rFonts w:ascii="Arial" w:cs="Arial" w:eastAsia="Arial" w:hAnsi="Arial"/>
          <w:sz w:val="17"/>
          <w:szCs w:val="17"/>
          <w:color w:val="auto"/>
        </w:rPr>
        <w:t>You should refrain from discussing material nonpublic information relating to SPS or any public company in public places where such discussions can be overheard.</w:t>
      </w:r>
    </w:p>
    <w:p>
      <w:pPr>
        <w:spacing w:after="0" w:line="111" w:lineRule="exact"/>
        <w:rPr>
          <w:rFonts w:ascii="Times New Roman" w:cs="Times New Roman" w:eastAsia="Times New Roman" w:hAnsi="Times New Roman"/>
          <w:sz w:val="20"/>
          <w:szCs w:val="20"/>
          <w:color w:val="auto"/>
        </w:rPr>
      </w:pPr>
    </w:p>
    <w:p>
      <w:pPr>
        <w:ind w:left="640" w:right="20" w:firstLine="656"/>
        <w:spacing w:after="0" w:line="258" w:lineRule="auto"/>
        <w:tabs>
          <w:tab w:leader="none" w:pos="1843" w:val="left"/>
        </w:tabs>
        <w:numPr>
          <w:ilvl w:val="1"/>
          <w:numId w:val="59"/>
        </w:numPr>
        <w:rPr>
          <w:rFonts w:ascii="Times New Roman" w:cs="Times New Roman" w:eastAsia="Times New Roman" w:hAnsi="Times New Roman"/>
          <w:sz w:val="20"/>
          <w:szCs w:val="20"/>
          <w:color w:val="auto"/>
        </w:rPr>
      </w:pPr>
      <w:r>
        <w:rPr>
          <w:rFonts w:ascii="Arial" w:cs="Arial" w:eastAsia="Arial" w:hAnsi="Arial"/>
          <w:sz w:val="17"/>
          <w:szCs w:val="17"/>
          <w:color w:val="auto"/>
        </w:rPr>
        <w:t>If you become aware of any unauthorized disclosure of material nonpublic information, whether inadvertent or otherwise, you should report such disclosure immediately to SPS’s Chief Financial Officer or General Counsel.</w:t>
      </w:r>
    </w:p>
    <w:p>
      <w:pPr>
        <w:spacing w:after="0" w:line="69" w:lineRule="exact"/>
        <w:rPr>
          <w:rFonts w:ascii="Times New Roman" w:cs="Times New Roman" w:eastAsia="Times New Roman" w:hAnsi="Times New Roman"/>
          <w:sz w:val="20"/>
          <w:szCs w:val="20"/>
          <w:color w:val="auto"/>
        </w:rPr>
      </w:pPr>
    </w:p>
    <w:p>
      <w:pPr>
        <w:jc w:val="both"/>
        <w:ind w:firstLine="645"/>
        <w:spacing w:after="0" w:line="252" w:lineRule="auto"/>
        <w:tabs>
          <w:tab w:leader="none" w:pos="1204" w:val="left"/>
        </w:tabs>
        <w:numPr>
          <w:ilvl w:val="0"/>
          <w:numId w:val="59"/>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Specific Material Developments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time to time, material developments known only to a limited number of SPS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occur and cause SPS to impose on an appropriate group of SPS Personnel additional restrictions on trading. You will be notified if you become part of such a group, and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4240" w:val="left"/>
        </w:tabs>
        <w:rPr>
          <w:sz w:val="20"/>
          <w:szCs w:val="20"/>
          <w:color w:val="auto"/>
        </w:rPr>
      </w:pPr>
      <w:r>
        <w:rPr>
          <w:rFonts w:ascii="Arial" w:cs="Arial" w:eastAsia="Arial" w:hAnsi="Arial"/>
          <w:sz w:val="14"/>
          <w:szCs w:val="14"/>
          <w:color w:val="6D6D6D"/>
        </w:rPr>
        <w:t>Insider Trading Policy © 2023 SPS Commerce, Inc.</w:t>
      </w:r>
      <w:r>
        <w:rPr>
          <w:sz w:val="20"/>
          <w:szCs w:val="20"/>
          <w:color w:val="auto"/>
        </w:rPr>
        <w:tab/>
      </w:r>
      <w:r>
        <w:rPr>
          <w:rFonts w:ascii="Arial" w:cs="Arial" w:eastAsia="Arial" w:hAnsi="Arial"/>
          <w:sz w:val="14"/>
          <w:szCs w:val="14"/>
          <w:color w:val="6D6D6D"/>
        </w:rPr>
        <w:t>Revised: 02/17/2023</w:t>
      </w:r>
    </w:p>
    <w:p>
      <w:pPr>
        <w:sectPr>
          <w:pgSz w:w="11900" w:h="16838" w:orient="portrait"/>
          <w:cols w:equalWidth="0" w:num="1">
            <w:col w:w="10940"/>
          </w:cols>
          <w:pgMar w:left="420" w:top="321" w:right="539" w:bottom="1440" w:gutter="0" w:footer="0" w:header="0"/>
        </w:sectPr>
      </w:pPr>
    </w:p>
    <w:bookmarkStart w:id="90" w:name="page91"/>
    <w:bookmarkEnd w:id="90"/>
    <w:p>
      <w:pPr>
        <w:jc w:val="right"/>
        <w:ind w:right="440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883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814070" cy="488315"/>
                    </a:xfrm>
                    <a:prstGeom prst="rect">
                      <a:avLst/>
                    </a:prstGeom>
                    <a:noFill/>
                  </pic:spPr>
                </pic:pic>
              </a:graphicData>
            </a:graphic>
          </wp:anchor>
        </w:drawing>
        <w:t>Exhibit 19.1</w:t>
      </w:r>
    </w:p>
    <w:p>
      <w:pPr>
        <w:spacing w:after="0" w:line="63" w:lineRule="exact"/>
        <w:rPr>
          <w:sz w:val="20"/>
          <w:szCs w:val="20"/>
          <w:color w:val="auto"/>
        </w:rPr>
      </w:pPr>
    </w:p>
    <w:p>
      <w:pPr>
        <w:jc w:val="right"/>
        <w:ind w:right="4400"/>
        <w:spacing w:after="0"/>
        <w:rPr>
          <w:sz w:val="20"/>
          <w:szCs w:val="20"/>
          <w:color w:val="auto"/>
        </w:rPr>
      </w:pPr>
      <w:r>
        <w:rPr>
          <w:rFonts w:ascii="Arial" w:cs="Arial" w:eastAsia="Arial" w:hAnsi="Arial"/>
          <w:sz w:val="20"/>
          <w:szCs w:val="20"/>
          <w:b w:val="1"/>
          <w:bCs w:val="1"/>
          <w:color w:val="auto"/>
        </w:rPr>
        <w:t>POLICY |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should not disclose to others the fact that you have been so notified or that additional restrictions on your trading have been imposed.</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PLANS</w:t>
      </w:r>
    </w:p>
    <w:p>
      <w:pPr>
        <w:spacing w:after="0" w:line="345" w:lineRule="exact"/>
        <w:rPr>
          <w:sz w:val="20"/>
          <w:szCs w:val="20"/>
          <w:color w:val="auto"/>
        </w:rPr>
      </w:pPr>
    </w:p>
    <w:p>
      <w:pPr>
        <w:ind w:right="460"/>
        <w:spacing w:after="0" w:line="283" w:lineRule="auto"/>
        <w:rPr>
          <w:sz w:val="20"/>
          <w:szCs w:val="20"/>
          <w:color w:val="auto"/>
        </w:rPr>
      </w:pPr>
      <w:r>
        <w:rPr>
          <w:rFonts w:ascii="Arial" w:cs="Arial" w:eastAsia="Arial" w:hAnsi="Arial"/>
          <w:sz w:val="17"/>
          <w:szCs w:val="17"/>
          <w:color w:val="auto"/>
        </w:rPr>
        <w:t>Transactions in SPS securities that are executed pursuant to a 10b5 -1 plan (or modifications thereto) approved in writing in advance by the Chief Financial Officer or General Counsel are not subject to prohibition on trading on the basis of material nonpublic information or the restrictions in the attached Addendum relating to the pre-clearance approval process or window periods.</w:t>
      </w:r>
    </w:p>
    <w:p>
      <w:pPr>
        <w:spacing w:after="0" w:line="38" w:lineRule="exact"/>
        <w:rPr>
          <w:sz w:val="20"/>
          <w:szCs w:val="20"/>
          <w:color w:val="auto"/>
        </w:rPr>
      </w:pPr>
    </w:p>
    <w:p>
      <w:pPr>
        <w:jc w:val="both"/>
        <w:ind w:right="300"/>
        <w:spacing w:after="0" w:line="274" w:lineRule="auto"/>
        <w:rPr>
          <w:sz w:val="20"/>
          <w:szCs w:val="20"/>
          <w:color w:val="auto"/>
        </w:rPr>
      </w:pPr>
      <w:r>
        <w:rPr>
          <w:rFonts w:ascii="Arial" w:cs="Arial" w:eastAsia="Arial" w:hAnsi="Arial"/>
          <w:sz w:val="17"/>
          <w:szCs w:val="17"/>
          <w:color w:val="auto"/>
        </w:rPr>
        <w:t>Rule 10b5-1 provides an affirmative defense from insider trading liability under the federal securities laws for trading plans that meet certain requirements. In general, a 10b5-1 plan must be entered into (or modified) in good faith, not as part of a plan or scheme to evade the prohibitions of the insider trading rules and during a time when you are not aware of material nonpublic information.</w:t>
      </w:r>
    </w:p>
    <w:p>
      <w:pPr>
        <w:spacing w:after="0" w:line="6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Once the plan is adopted, you must not exercise any influence over the securities subject to the plan, including the amount of securities to be traded, the price at which they are traded or the date of the trade. The plan must either specify (including by formula) the amount, pricing and timing of the transactions in advance or delegate discretion on those matters to an independent party. The plan must also provide for a cooling-off period for at least the minimum period required under, and must comply with all other applicable provisions of, Rule 10b5-1(c) of the Securities Exchange Act of 1934, as amended.</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ANTI-HEDGING RESTRICTIONS</w:t>
      </w:r>
    </w:p>
    <w:p>
      <w:pPr>
        <w:spacing w:after="0" w:line="115" w:lineRule="exact"/>
        <w:rPr>
          <w:sz w:val="20"/>
          <w:szCs w:val="20"/>
          <w:color w:val="auto"/>
        </w:rPr>
      </w:pPr>
    </w:p>
    <w:p>
      <w:pPr>
        <w:ind w:right="680"/>
        <w:spacing w:after="0" w:line="301" w:lineRule="auto"/>
        <w:rPr>
          <w:sz w:val="20"/>
          <w:szCs w:val="20"/>
          <w:color w:val="auto"/>
        </w:rPr>
      </w:pPr>
      <w:r>
        <w:rPr>
          <w:rFonts w:ascii="Arial" w:cs="Arial" w:eastAsia="Arial" w:hAnsi="Arial"/>
          <w:sz w:val="17"/>
          <w:szCs w:val="17"/>
          <w:color w:val="auto"/>
        </w:rPr>
        <w:t>SPS Personnel, as well as family members and anyone designated to engage in securities transactions on behalf of SPS Personnel, are prohibited at all times from engaging in the following transactions with respect to SPS securities:</w:t>
      </w:r>
    </w:p>
    <w:p>
      <w:pPr>
        <w:spacing w:after="0" w:line="44" w:lineRule="exact"/>
        <w:rPr>
          <w:sz w:val="20"/>
          <w:szCs w:val="20"/>
          <w:color w:val="auto"/>
        </w:rPr>
      </w:pPr>
    </w:p>
    <w:p>
      <w:pPr>
        <w:ind w:left="1860" w:hanging="564"/>
        <w:spacing w:after="0"/>
        <w:tabs>
          <w:tab w:leader="none" w:pos="1860" w:val="left"/>
        </w:tabs>
        <w:numPr>
          <w:ilvl w:val="0"/>
          <w:numId w:val="60"/>
        </w:numPr>
        <w:rPr>
          <w:rFonts w:ascii="Times New Roman" w:cs="Times New Roman" w:eastAsia="Times New Roman" w:hAnsi="Times New Roman"/>
          <w:sz w:val="20"/>
          <w:szCs w:val="20"/>
          <w:color w:val="auto"/>
        </w:rPr>
      </w:pPr>
      <w:r>
        <w:rPr>
          <w:rFonts w:ascii="Arial" w:cs="Arial" w:eastAsia="Arial" w:hAnsi="Arial"/>
          <w:sz w:val="17"/>
          <w:szCs w:val="17"/>
          <w:color w:val="auto"/>
        </w:rPr>
        <w:t>holding any SPS securities in a margin account or pledging SPS securities as collateral for a loan;</w:t>
      </w:r>
    </w:p>
    <w:p>
      <w:pPr>
        <w:spacing w:after="0" w:line="94" w:lineRule="exact"/>
        <w:rPr>
          <w:rFonts w:ascii="Times New Roman" w:cs="Times New Roman" w:eastAsia="Times New Roman" w:hAnsi="Times New Roman"/>
          <w:sz w:val="20"/>
          <w:szCs w:val="20"/>
          <w:color w:val="auto"/>
        </w:rPr>
      </w:pPr>
    </w:p>
    <w:p>
      <w:pPr>
        <w:ind w:left="1860" w:hanging="564"/>
        <w:spacing w:after="0"/>
        <w:tabs>
          <w:tab w:leader="none" w:pos="1860" w:val="left"/>
        </w:tabs>
        <w:numPr>
          <w:ilvl w:val="0"/>
          <w:numId w:val="60"/>
        </w:numPr>
        <w:rPr>
          <w:rFonts w:ascii="Times New Roman" w:cs="Times New Roman" w:eastAsia="Times New Roman" w:hAnsi="Times New Roman"/>
          <w:sz w:val="20"/>
          <w:szCs w:val="20"/>
          <w:color w:val="auto"/>
        </w:rPr>
      </w:pPr>
      <w:r>
        <w:rPr>
          <w:rFonts w:ascii="Arial" w:cs="Arial" w:eastAsia="Arial" w:hAnsi="Arial"/>
          <w:sz w:val="17"/>
          <w:szCs w:val="17"/>
          <w:color w:val="auto"/>
        </w:rPr>
        <w:t>engaging in transactions in puts, calls, or other derivative transactions relating to SPS securities;</w:t>
      </w:r>
    </w:p>
    <w:p>
      <w:pPr>
        <w:spacing w:after="0" w:line="121" w:lineRule="exact"/>
        <w:rPr>
          <w:rFonts w:ascii="Times New Roman" w:cs="Times New Roman" w:eastAsia="Times New Roman" w:hAnsi="Times New Roman"/>
          <w:sz w:val="20"/>
          <w:szCs w:val="20"/>
          <w:color w:val="auto"/>
        </w:rPr>
      </w:pPr>
    </w:p>
    <w:p>
      <w:pPr>
        <w:ind w:left="1940" w:hanging="646"/>
        <w:spacing w:after="0"/>
        <w:tabs>
          <w:tab w:leader="none" w:pos="1940" w:val="left"/>
        </w:tabs>
        <w:numPr>
          <w:ilvl w:val="0"/>
          <w:numId w:val="60"/>
        </w:numPr>
        <w:rPr>
          <w:rFonts w:ascii="Times New Roman" w:cs="Times New Roman" w:eastAsia="Times New Roman" w:hAnsi="Times New Roman"/>
          <w:sz w:val="20"/>
          <w:szCs w:val="20"/>
          <w:color w:val="auto"/>
        </w:rPr>
      </w:pPr>
      <w:r>
        <w:rPr>
          <w:rFonts w:ascii="Arial" w:cs="Arial" w:eastAsia="Arial" w:hAnsi="Arial"/>
          <w:sz w:val="17"/>
          <w:szCs w:val="17"/>
          <w:color w:val="auto"/>
        </w:rPr>
        <w:t>short sales of SPS securities (selling securities not owned at the time of sale);</w:t>
      </w:r>
    </w:p>
    <w:p>
      <w:pPr>
        <w:spacing w:after="0" w:line="99" w:lineRule="exact"/>
        <w:rPr>
          <w:rFonts w:ascii="Times New Roman" w:cs="Times New Roman" w:eastAsia="Times New Roman" w:hAnsi="Times New Roman"/>
          <w:sz w:val="20"/>
          <w:szCs w:val="20"/>
          <w:color w:val="auto"/>
        </w:rPr>
      </w:pPr>
    </w:p>
    <w:p>
      <w:pPr>
        <w:ind w:left="640" w:right="1100" w:firstLine="656"/>
        <w:spacing w:after="0" w:line="258" w:lineRule="auto"/>
        <w:tabs>
          <w:tab w:leader="none" w:pos="1843" w:val="left"/>
        </w:tabs>
        <w:numPr>
          <w:ilvl w:val="0"/>
          <w:numId w:val="60"/>
        </w:numPr>
        <w:rPr>
          <w:rFonts w:ascii="Times New Roman" w:cs="Times New Roman" w:eastAsia="Times New Roman" w:hAnsi="Times New Roman"/>
          <w:sz w:val="20"/>
          <w:szCs w:val="20"/>
          <w:color w:val="auto"/>
        </w:rPr>
      </w:pPr>
      <w:r>
        <w:rPr>
          <w:rFonts w:ascii="Arial" w:cs="Arial" w:eastAsia="Arial" w:hAnsi="Arial"/>
          <w:sz w:val="17"/>
          <w:szCs w:val="17"/>
          <w:color w:val="auto"/>
        </w:rPr>
        <w:t>purchasing any financial instruments (including prepaid variable forward contracts, equity swaps, zero cost collars and exchange funds) that are designed to hedge or offset any decrease in the market value of SPS securities; and</w:t>
      </w:r>
    </w:p>
    <w:p>
      <w:pPr>
        <w:spacing w:after="0" w:line="82" w:lineRule="exact"/>
        <w:rPr>
          <w:rFonts w:ascii="Times New Roman" w:cs="Times New Roman" w:eastAsia="Times New Roman" w:hAnsi="Times New Roman"/>
          <w:sz w:val="20"/>
          <w:szCs w:val="20"/>
          <w:color w:val="auto"/>
        </w:rPr>
      </w:pPr>
    </w:p>
    <w:p>
      <w:pPr>
        <w:ind w:left="640" w:right="1280" w:firstLine="656"/>
        <w:spacing w:after="0" w:line="242" w:lineRule="auto"/>
        <w:tabs>
          <w:tab w:leader="none" w:pos="1843" w:val="left"/>
        </w:tabs>
        <w:numPr>
          <w:ilvl w:val="0"/>
          <w:numId w:val="60"/>
        </w:numPr>
        <w:rPr>
          <w:rFonts w:ascii="Times New Roman" w:cs="Times New Roman" w:eastAsia="Times New Roman" w:hAnsi="Times New Roman"/>
          <w:sz w:val="20"/>
          <w:szCs w:val="20"/>
          <w:color w:val="auto"/>
        </w:rPr>
      </w:pPr>
      <w:r>
        <w:rPr>
          <w:rFonts w:ascii="Arial" w:cs="Arial" w:eastAsia="Arial" w:hAnsi="Arial"/>
          <w:sz w:val="17"/>
          <w:szCs w:val="17"/>
          <w:color w:val="auto"/>
        </w:rPr>
        <w:t>engaging in limit orders or other pre-arranged transactions that execute automatically, except for “same-day” limit orders and approved 10b5-1 plans.</w:t>
      </w:r>
    </w:p>
    <w:p>
      <w:pPr>
        <w:spacing w:after="0" w:line="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These restrictions apply to all SPS securities owned directly or indirectly by SPS Personnel, including SPS securities owned by family members where the SPS Personnel is deemed to beneficially own such securities, and their respective designees. However, the restrictions do not prevent any SPS Personnel or their family members or their designees from engaging in general portfolio diversification or investing in broad-based index funds.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RESTRICTIONS ON CORPORATE INSIDERS</w:t>
      </w:r>
    </w:p>
    <w:p>
      <w:pPr>
        <w:spacing w:after="0" w:line="115" w:lineRule="exact"/>
        <w:rPr>
          <w:sz w:val="20"/>
          <w:szCs w:val="20"/>
          <w:color w:val="auto"/>
        </w:rPr>
      </w:pPr>
    </w:p>
    <w:p>
      <w:pPr>
        <w:ind w:right="240" w:firstLine="647"/>
        <w:spacing w:after="0" w:line="270" w:lineRule="auto"/>
        <w:rPr>
          <w:sz w:val="20"/>
          <w:szCs w:val="20"/>
          <w:color w:val="auto"/>
        </w:rPr>
      </w:pPr>
      <w:r>
        <w:rPr>
          <w:rFonts w:ascii="Arial" w:cs="Arial" w:eastAsia="Arial" w:hAnsi="Arial"/>
          <w:sz w:val="17"/>
          <w:szCs w:val="17"/>
          <w:color w:val="auto"/>
        </w:rPr>
        <w:t xml:space="preserve">Directors and Section 16 officers of SPS and other officers and key employees of SPS and its subsidiaries who have been designated as “Corporate Insiders” by the Chief Financial Officer, as well as related parties of such individuals, are subject to additional restrictions on trading SPS securities as set out in the attached </w:t>
      </w:r>
      <w:r>
        <w:rPr>
          <w:rFonts w:ascii="Arial" w:cs="Arial" w:eastAsia="Arial" w:hAnsi="Arial"/>
          <w:sz w:val="17"/>
          <w:szCs w:val="17"/>
          <w:b w:val="1"/>
          <w:bCs w:val="1"/>
          <w:u w:val="single" w:color="auto"/>
          <w:color w:val="auto"/>
        </w:rPr>
        <w:t>Addendum</w:t>
      </w:r>
      <w:r>
        <w:rPr>
          <w:rFonts w:ascii="Arial" w:cs="Arial" w:eastAsia="Arial" w:hAnsi="Arial"/>
          <w:sz w:val="17"/>
          <w:szCs w:val="17"/>
          <w:color w:val="auto"/>
        </w:rPr>
        <w:t>. SPS may also, from time to time, impose on all or an appropriate group of Covered Persons additional restrictions on trading SPS securities when circumstances warrant. These additional Covered Persons restrictions will be communicated by the Chief Financial Officer or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4240" w:val="left"/>
        </w:tabs>
        <w:rPr>
          <w:sz w:val="20"/>
          <w:szCs w:val="20"/>
          <w:color w:val="auto"/>
        </w:rPr>
      </w:pPr>
      <w:r>
        <w:rPr>
          <w:rFonts w:ascii="Arial" w:cs="Arial" w:eastAsia="Arial" w:hAnsi="Arial"/>
          <w:sz w:val="14"/>
          <w:szCs w:val="14"/>
          <w:color w:val="6D6D6D"/>
        </w:rPr>
        <w:t>Insider Trading Policy © 2023 SPS Commerce, Inc.</w:t>
      </w:r>
      <w:r>
        <w:rPr>
          <w:sz w:val="20"/>
          <w:szCs w:val="20"/>
          <w:color w:val="auto"/>
        </w:rPr>
        <w:tab/>
      </w:r>
      <w:r>
        <w:rPr>
          <w:rFonts w:ascii="Arial" w:cs="Arial" w:eastAsia="Arial" w:hAnsi="Arial"/>
          <w:sz w:val="14"/>
          <w:szCs w:val="14"/>
          <w:color w:val="6D6D6D"/>
        </w:rPr>
        <w:t>Revised: 02/17/2023</w:t>
      </w:r>
    </w:p>
    <w:p>
      <w:pPr>
        <w:sectPr>
          <w:pgSz w:w="11900" w:h="16838" w:orient="portrait"/>
          <w:cols w:equalWidth="0" w:num="1">
            <w:col w:w="10980"/>
          </w:cols>
          <w:pgMar w:left="420" w:top="321" w:right="499" w:bottom="1440" w:gutter="0" w:footer="0" w:header="0"/>
        </w:sectPr>
      </w:pPr>
    </w:p>
    <w:bookmarkStart w:id="91" w:name="page92"/>
    <w:bookmarkEnd w:id="91"/>
    <w:p>
      <w:pPr>
        <w:jc w:val="right"/>
        <w:ind w:right="416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883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814070" cy="488315"/>
                    </a:xfrm>
                    <a:prstGeom prst="rect">
                      <a:avLst/>
                    </a:prstGeom>
                    <a:noFill/>
                  </pic:spPr>
                </pic:pic>
              </a:graphicData>
            </a:graphic>
          </wp:anchor>
        </w:drawing>
        <w:t>Exhibit 19.1</w:t>
      </w:r>
    </w:p>
    <w:p>
      <w:pPr>
        <w:spacing w:after="0" w:line="63" w:lineRule="exact"/>
        <w:rPr>
          <w:sz w:val="20"/>
          <w:szCs w:val="20"/>
          <w:color w:val="auto"/>
        </w:rPr>
      </w:pPr>
    </w:p>
    <w:p>
      <w:pPr>
        <w:jc w:val="right"/>
        <w:ind w:right="4160"/>
        <w:spacing w:after="0"/>
        <w:rPr>
          <w:sz w:val="20"/>
          <w:szCs w:val="20"/>
          <w:color w:val="auto"/>
        </w:rPr>
      </w:pPr>
      <w:r>
        <w:rPr>
          <w:rFonts w:ascii="Arial" w:cs="Arial" w:eastAsia="Arial" w:hAnsi="Arial"/>
          <w:sz w:val="20"/>
          <w:szCs w:val="20"/>
          <w:b w:val="1"/>
          <w:bCs w:val="1"/>
          <w:color w:val="auto"/>
        </w:rPr>
        <w:t>POLICY |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DISCIPLINARY ACTION AND POTENTIAL CIVIL AND CRIMINAL PENALTIES</w:t>
      </w:r>
    </w:p>
    <w:p>
      <w:pPr>
        <w:spacing w:after="0" w:line="358" w:lineRule="exact"/>
        <w:rPr>
          <w:sz w:val="20"/>
          <w:szCs w:val="20"/>
          <w:color w:val="auto"/>
        </w:rPr>
      </w:pPr>
    </w:p>
    <w:p>
      <w:pPr>
        <w:ind w:right="280" w:firstLine="645"/>
        <w:spacing w:after="0" w:line="242" w:lineRule="auto"/>
        <w:tabs>
          <w:tab w:leader="none" w:pos="1204" w:val="left"/>
        </w:tabs>
        <w:numPr>
          <w:ilvl w:val="0"/>
          <w:numId w:val="61"/>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Disciplinary Action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SPS Personnel who fail to comply with this Policy will be subject to appropriate disciplinary 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may include, among other consequences, the ineligibility to participate in SPS’s equity incentive plans or termination of employment.</w:t>
      </w:r>
    </w:p>
    <w:p>
      <w:pPr>
        <w:spacing w:after="0" w:line="111" w:lineRule="exact"/>
        <w:rPr>
          <w:rFonts w:ascii="Times New Roman" w:cs="Times New Roman" w:eastAsia="Times New Roman" w:hAnsi="Times New Roman"/>
          <w:sz w:val="20"/>
          <w:szCs w:val="20"/>
          <w:b w:val="1"/>
          <w:bCs w:val="1"/>
          <w:color w:val="auto"/>
        </w:rPr>
      </w:pPr>
    </w:p>
    <w:p>
      <w:pPr>
        <w:ind w:right="80" w:firstLine="645"/>
        <w:spacing w:after="0" w:line="251" w:lineRule="auto"/>
        <w:tabs>
          <w:tab w:leader="none" w:pos="1193" w:val="left"/>
        </w:tabs>
        <w:numPr>
          <w:ilvl w:val="0"/>
          <w:numId w:val="61"/>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Civil and Criminal Penalties. </w:t>
      </w:r>
      <w:r>
        <w:rPr>
          <w:rFonts w:ascii="Arial" w:cs="Arial" w:eastAsia="Arial" w:hAnsi="Arial"/>
          <w:sz w:val="17"/>
          <w:szCs w:val="17"/>
          <w:color w:val="auto"/>
        </w:rPr>
        <w:t>Under federal securities laws, the penalties for violating insider trading laws are severe. If you</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trade on (or tip) material nonpublic information, you are subject to civil penalties of up to three times the profit gained or loss avoided, criminal fines of up to $5,000,000 and up to 20 years imprisonment. If SPS fails to take appropriate steps to prevent insider trading, SPS and its directors, officers and other supervisory Personnel may be subject to “controlling person” liability and potential civil and criminal penalties.</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MATERIAL INFORMATION</w:t>
      </w:r>
    </w:p>
    <w:p>
      <w:pPr>
        <w:spacing w:after="0" w:line="115" w:lineRule="exact"/>
        <w:rPr>
          <w:sz w:val="20"/>
          <w:szCs w:val="20"/>
          <w:color w:val="auto"/>
        </w:rPr>
      </w:pPr>
    </w:p>
    <w:p>
      <w:pPr>
        <w:ind w:right="100" w:firstLine="647"/>
        <w:spacing w:after="0" w:line="314" w:lineRule="auto"/>
        <w:rPr>
          <w:sz w:val="20"/>
          <w:szCs w:val="20"/>
          <w:color w:val="auto"/>
        </w:rPr>
      </w:pPr>
      <w:r>
        <w:rPr>
          <w:rFonts w:ascii="Arial" w:cs="Arial" w:eastAsia="Arial" w:hAnsi="Arial"/>
          <w:sz w:val="17"/>
          <w:szCs w:val="17"/>
          <w:color w:val="auto"/>
        </w:rPr>
        <w:t>There are various categories of information that are particularly sensitive and, as a general rule, should presumptively be considered material. Examples of such information include:</w:t>
      </w:r>
    </w:p>
    <w:p>
      <w:pPr>
        <w:spacing w:after="0" w:line="23" w:lineRule="exact"/>
        <w:rPr>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Financial results or financial condition</w:t>
      </w:r>
    </w:p>
    <w:p>
      <w:pPr>
        <w:spacing w:after="0" w:line="107"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Projections of future earnings or losses</w:t>
      </w:r>
    </w:p>
    <w:p>
      <w:pPr>
        <w:spacing w:after="0" w:line="107"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News of a pending or proposed merger, or significant divestiture or acquisition</w:t>
      </w:r>
    </w:p>
    <w:p>
      <w:pPr>
        <w:spacing w:after="0" w:line="94"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Default under a significant financing arrangement, or financial liquidity problems</w:t>
      </w:r>
    </w:p>
    <w:p>
      <w:pPr>
        <w:spacing w:after="0" w:line="107"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Gain or loss of a material customer or vendor relationship</w:t>
      </w:r>
    </w:p>
    <w:p>
      <w:pPr>
        <w:spacing w:after="0" w:line="107"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New product announcements of a significant nature</w:t>
      </w:r>
    </w:p>
    <w:p>
      <w:pPr>
        <w:spacing w:after="0" w:line="107"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Significant product modifications</w:t>
      </w:r>
    </w:p>
    <w:p>
      <w:pPr>
        <w:spacing w:after="0" w:line="94"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Significant pricing changes</w:t>
      </w:r>
    </w:p>
    <w:p>
      <w:pPr>
        <w:spacing w:after="0" w:line="107"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New equity or debt offerings</w:t>
      </w:r>
    </w:p>
    <w:p>
      <w:pPr>
        <w:spacing w:after="0" w:line="107"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Significant litigation exposure due to actual or threatened litigation</w:t>
      </w:r>
    </w:p>
    <w:p>
      <w:pPr>
        <w:spacing w:after="0" w:line="94" w:lineRule="exact"/>
        <w:rPr>
          <w:rFonts w:ascii="Times New Roman" w:cs="Times New Roman" w:eastAsia="Times New Roman" w:hAnsi="Times New Roman"/>
          <w:sz w:val="20"/>
          <w:szCs w:val="20"/>
          <w:color w:val="auto"/>
        </w:rPr>
      </w:pPr>
    </w:p>
    <w:p>
      <w:pPr>
        <w:ind w:left="1200" w:hanging="555"/>
        <w:spacing w:after="0"/>
        <w:tabs>
          <w:tab w:leader="none" w:pos="120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Significant regulatory exposure due to actual or threatened action by state or federal regulators</w:t>
      </w:r>
    </w:p>
    <w:p>
      <w:pPr>
        <w:spacing w:after="0" w:line="121"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Major management changes or changes in control of the company</w:t>
      </w:r>
    </w:p>
    <w:p>
      <w:pPr>
        <w:spacing w:after="0" w:line="107"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Major restructuring actions or asset impairments</w:t>
      </w:r>
    </w:p>
    <w:p>
      <w:pPr>
        <w:spacing w:after="0" w:line="94" w:lineRule="exact"/>
        <w:rPr>
          <w:rFonts w:ascii="Times New Roman" w:cs="Times New Roman" w:eastAsia="Times New Roman" w:hAnsi="Times New Roman"/>
          <w:sz w:val="20"/>
          <w:szCs w:val="20"/>
          <w:color w:val="auto"/>
        </w:rPr>
      </w:pPr>
    </w:p>
    <w:p>
      <w:pPr>
        <w:ind w:left="1420" w:hanging="774"/>
        <w:spacing w:after="0"/>
        <w:tabs>
          <w:tab w:leader="none" w:pos="142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Changes in auditors</w:t>
      </w:r>
    </w:p>
    <w:p>
      <w:pPr>
        <w:spacing w:after="0" w:line="94" w:lineRule="exact"/>
        <w:rPr>
          <w:rFonts w:ascii="Times New Roman" w:cs="Times New Roman" w:eastAsia="Times New Roman" w:hAnsi="Times New Roman"/>
          <w:sz w:val="20"/>
          <w:szCs w:val="20"/>
          <w:color w:val="auto"/>
        </w:rPr>
      </w:pPr>
    </w:p>
    <w:p>
      <w:pPr>
        <w:ind w:left="1200" w:hanging="555"/>
        <w:spacing w:after="0"/>
        <w:tabs>
          <w:tab w:leader="none" w:pos="1200" w:val="left"/>
        </w:tabs>
        <w:numPr>
          <w:ilvl w:val="0"/>
          <w:numId w:val="62"/>
        </w:numPr>
        <w:rPr>
          <w:rFonts w:ascii="Times New Roman" w:cs="Times New Roman" w:eastAsia="Times New Roman" w:hAnsi="Times New Roman"/>
          <w:sz w:val="20"/>
          <w:szCs w:val="20"/>
          <w:color w:val="auto"/>
        </w:rPr>
      </w:pPr>
      <w:r>
        <w:rPr>
          <w:rFonts w:ascii="Arial" w:cs="Arial" w:eastAsia="Arial" w:hAnsi="Arial"/>
          <w:sz w:val="17"/>
          <w:szCs w:val="17"/>
          <w:color w:val="auto"/>
        </w:rPr>
        <w:t>Major events regarding a company’s securities (such as defaults, redemptions, stock splits, repurchase plans, changes</w:t>
      </w:r>
    </w:p>
    <w:p>
      <w:pPr>
        <w:spacing w:after="0" w:line="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Arial" w:cs="Arial" w:eastAsia="Arial" w:hAnsi="Arial"/>
          <w:sz w:val="17"/>
          <w:szCs w:val="17"/>
          <w:color w:val="auto"/>
        </w:rPr>
        <w:t>in dividends)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QUESTIONS</w:t>
      </w:r>
    </w:p>
    <w:p>
      <w:pPr>
        <w:spacing w:after="0" w:line="129" w:lineRule="exact"/>
        <w:rPr>
          <w:sz w:val="20"/>
          <w:szCs w:val="20"/>
          <w:color w:val="auto"/>
        </w:rPr>
      </w:pPr>
    </w:p>
    <w:p>
      <w:pPr>
        <w:ind w:firstLine="647"/>
        <w:spacing w:after="0" w:line="317" w:lineRule="auto"/>
        <w:rPr>
          <w:sz w:val="20"/>
          <w:szCs w:val="20"/>
          <w:color w:val="auto"/>
        </w:rPr>
      </w:pPr>
      <w:r>
        <w:rPr>
          <w:rFonts w:ascii="Arial" w:cs="Arial" w:eastAsia="Arial" w:hAnsi="Arial"/>
          <w:sz w:val="17"/>
          <w:szCs w:val="17"/>
          <w:color w:val="auto"/>
        </w:rPr>
        <w:t>Questions regarding any of the provisions or procedures of this Insider Trading Policy should be directed to the Chief Financial Officer or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4240" w:val="left"/>
        </w:tabs>
        <w:rPr>
          <w:sz w:val="20"/>
          <w:szCs w:val="20"/>
          <w:color w:val="auto"/>
        </w:rPr>
      </w:pPr>
      <w:r>
        <w:rPr>
          <w:rFonts w:ascii="Arial" w:cs="Arial" w:eastAsia="Arial" w:hAnsi="Arial"/>
          <w:sz w:val="14"/>
          <w:szCs w:val="14"/>
          <w:color w:val="6D6D6D"/>
        </w:rPr>
        <w:t>Insider Trading Policy © 2023 SPS Commerce, Inc.</w:t>
      </w:r>
      <w:r>
        <w:rPr>
          <w:sz w:val="20"/>
          <w:szCs w:val="20"/>
          <w:color w:val="auto"/>
        </w:rPr>
        <w:tab/>
      </w:r>
      <w:r>
        <w:rPr>
          <w:rFonts w:ascii="Arial" w:cs="Arial" w:eastAsia="Arial" w:hAnsi="Arial"/>
          <w:sz w:val="14"/>
          <w:szCs w:val="14"/>
          <w:color w:val="6D6D6D"/>
        </w:rPr>
        <w:t>Revised: 02/17/2023</w:t>
      </w:r>
    </w:p>
    <w:p>
      <w:pPr>
        <w:sectPr>
          <w:pgSz w:w="11900" w:h="16838" w:orient="portrait"/>
          <w:cols w:equalWidth="0" w:num="1">
            <w:col w:w="10740"/>
          </w:cols>
          <w:pgMar w:left="420" w:top="321" w:right="739" w:bottom="1440" w:gutter="0" w:footer="0" w:header="0"/>
        </w:sectPr>
      </w:pPr>
    </w:p>
    <w:bookmarkStart w:id="92" w:name="page93"/>
    <w:bookmarkEnd w:id="92"/>
    <w:p>
      <w:pPr>
        <w:jc w:val="right"/>
        <w:ind w:right="426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883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814070" cy="488315"/>
                    </a:xfrm>
                    <a:prstGeom prst="rect">
                      <a:avLst/>
                    </a:prstGeom>
                    <a:noFill/>
                  </pic:spPr>
                </pic:pic>
              </a:graphicData>
            </a:graphic>
          </wp:anchor>
        </w:drawing>
        <w:t>Exhibit 19.1</w:t>
      </w:r>
    </w:p>
    <w:p>
      <w:pPr>
        <w:spacing w:after="0" w:line="63" w:lineRule="exact"/>
        <w:rPr>
          <w:sz w:val="20"/>
          <w:szCs w:val="20"/>
          <w:color w:val="auto"/>
        </w:rPr>
      </w:pPr>
    </w:p>
    <w:p>
      <w:pPr>
        <w:jc w:val="right"/>
        <w:ind w:right="4260"/>
        <w:spacing w:after="0"/>
        <w:rPr>
          <w:sz w:val="20"/>
          <w:szCs w:val="20"/>
          <w:color w:val="auto"/>
        </w:rPr>
      </w:pPr>
      <w:r>
        <w:rPr>
          <w:rFonts w:ascii="Arial" w:cs="Arial" w:eastAsia="Arial" w:hAnsi="Arial"/>
          <w:sz w:val="20"/>
          <w:szCs w:val="20"/>
          <w:b w:val="1"/>
          <w:bCs w:val="1"/>
          <w:color w:val="auto"/>
        </w:rPr>
        <w:t>POLICY |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21"/>
        <w:spacing w:after="0"/>
        <w:rPr>
          <w:sz w:val="20"/>
          <w:szCs w:val="20"/>
          <w:color w:val="auto"/>
        </w:rPr>
      </w:pPr>
      <w:r>
        <w:rPr>
          <w:rFonts w:ascii="Arial" w:cs="Arial" w:eastAsia="Arial" w:hAnsi="Arial"/>
          <w:sz w:val="17"/>
          <w:szCs w:val="17"/>
          <w:b w:val="1"/>
          <w:bCs w:val="1"/>
          <w:u w:val="single" w:color="auto"/>
          <w:color w:val="auto"/>
        </w:rPr>
        <w:t>ADDENDUM</w:t>
      </w:r>
    </w:p>
    <w:p>
      <w:pPr>
        <w:spacing w:after="0" w:line="129" w:lineRule="exact"/>
        <w:rPr>
          <w:sz w:val="20"/>
          <w:szCs w:val="20"/>
          <w:color w:val="auto"/>
        </w:rPr>
      </w:pPr>
    </w:p>
    <w:p>
      <w:pPr>
        <w:jc w:val="center"/>
        <w:ind w:right="-221"/>
        <w:spacing w:after="0"/>
        <w:rPr>
          <w:sz w:val="20"/>
          <w:szCs w:val="20"/>
          <w:color w:val="auto"/>
        </w:rPr>
      </w:pPr>
      <w:r>
        <w:rPr>
          <w:rFonts w:ascii="Arial" w:cs="Arial" w:eastAsia="Arial" w:hAnsi="Arial"/>
          <w:sz w:val="17"/>
          <w:szCs w:val="17"/>
          <w:b w:val="1"/>
          <w:bCs w:val="1"/>
          <w:color w:val="auto"/>
        </w:rPr>
        <w:t>ADDITIONAL REQUIREMENTS AND RESPONSIBILITIES FOR CORPORATE INSIDERS</w:t>
      </w:r>
    </w:p>
    <w:p>
      <w:pPr>
        <w:spacing w:after="0" w:line="142" w:lineRule="exact"/>
        <w:rPr>
          <w:sz w:val="20"/>
          <w:szCs w:val="20"/>
          <w:color w:val="auto"/>
        </w:rPr>
      </w:pPr>
    </w:p>
    <w:p>
      <w:pPr>
        <w:ind w:left="2" w:right="440" w:hanging="2"/>
        <w:spacing w:after="0" w:line="256" w:lineRule="auto"/>
        <w:tabs>
          <w:tab w:leader="none" w:pos="559" w:val="left"/>
        </w:tabs>
        <w:numPr>
          <w:ilvl w:val="0"/>
          <w:numId w:val="63"/>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color w:val="auto"/>
        </w:rPr>
        <w:t xml:space="preserve">Purpose. </w:t>
      </w:r>
      <w:r>
        <w:rPr>
          <w:rFonts w:ascii="Arial" w:cs="Arial" w:eastAsia="Arial" w:hAnsi="Arial"/>
          <w:sz w:val="17"/>
          <w:szCs w:val="17"/>
          <w:color w:val="auto"/>
        </w:rPr>
        <w:t>This Addendum supplements the SPS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Insider Trading Policy</w:t>
      </w:r>
      <w:r>
        <w:rPr>
          <w:rFonts w:ascii="Arial" w:cs="Arial" w:eastAsia="Arial" w:hAnsi="Arial"/>
          <w:sz w:val="17"/>
          <w:szCs w:val="17"/>
          <w:b w:val="1"/>
          <w:bCs w:val="1"/>
          <w:color w:val="auto"/>
        </w:rPr>
        <w:t xml:space="preserve"> </w:t>
      </w:r>
      <w:r>
        <w:rPr>
          <w:rFonts w:ascii="Arial" w:cs="Arial" w:eastAsia="Arial" w:hAnsi="Arial"/>
          <w:sz w:val="17"/>
          <w:szCs w:val="17"/>
          <w:color w:val="auto"/>
        </w:rPr>
        <w:t>and applies to Corporate Insiders, as defined below.</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Insiders are subject to both the requirements of the Insider Trading Policy as well as to additional procedures and requirements described below to help prevent inadvertent violations of federal securities laws, to avoid even the appearance of impermissible insider trading, and to facilitate their compliance with certain legal requirements not applicable to SPS Personnel generally.</w:t>
      </w:r>
    </w:p>
    <w:p>
      <w:pPr>
        <w:spacing w:after="0" w:line="74" w:lineRule="exact"/>
        <w:rPr>
          <w:rFonts w:ascii="Times New Roman" w:cs="Times New Roman" w:eastAsia="Times New Roman" w:hAnsi="Times New Roman"/>
          <w:sz w:val="20"/>
          <w:szCs w:val="20"/>
          <w:b w:val="1"/>
          <w:bCs w:val="1"/>
          <w:color w:val="auto"/>
        </w:rPr>
      </w:pPr>
    </w:p>
    <w:p>
      <w:pPr>
        <w:ind w:left="642" w:hanging="642"/>
        <w:spacing w:after="0"/>
        <w:tabs>
          <w:tab w:leader="none" w:pos="642" w:val="left"/>
        </w:tabs>
        <w:numPr>
          <w:ilvl w:val="0"/>
          <w:numId w:val="63"/>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color w:val="auto"/>
        </w:rPr>
        <w:t>Persons Covered.</w:t>
      </w:r>
    </w:p>
    <w:p>
      <w:pPr>
        <w:spacing w:after="0" w:line="121" w:lineRule="exact"/>
        <w:rPr>
          <w:rFonts w:ascii="Times New Roman" w:cs="Times New Roman" w:eastAsia="Times New Roman" w:hAnsi="Times New Roman"/>
          <w:sz w:val="20"/>
          <w:szCs w:val="20"/>
          <w:b w:val="1"/>
          <w:bCs w:val="1"/>
          <w:color w:val="auto"/>
        </w:rPr>
      </w:pPr>
    </w:p>
    <w:p>
      <w:pPr>
        <w:ind w:left="2" w:right="540" w:firstLine="645"/>
        <w:spacing w:after="0" w:line="242" w:lineRule="auto"/>
        <w:tabs>
          <w:tab w:leader="none" w:pos="1206" w:val="left"/>
        </w:tabs>
        <w:numPr>
          <w:ilvl w:val="1"/>
          <w:numId w:val="63"/>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Directors and Section 16 Officers. </w:t>
      </w:r>
      <w:r>
        <w:rPr>
          <w:rFonts w:ascii="Arial" w:cs="Arial" w:eastAsia="Arial" w:hAnsi="Arial"/>
          <w:sz w:val="17"/>
          <w:szCs w:val="17"/>
          <w:color w:val="auto"/>
        </w:rPr>
        <w:t>All provisions of this Addendum apply to the directors and officers of SPS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16 of the Securities Exchange Act (referred to herein as “</w:t>
      </w:r>
      <w:r>
        <w:rPr>
          <w:rFonts w:ascii="Arial" w:cs="Arial" w:eastAsia="Arial" w:hAnsi="Arial"/>
          <w:sz w:val="17"/>
          <w:szCs w:val="17"/>
          <w:i w:val="1"/>
          <w:iCs w:val="1"/>
          <w:color w:val="auto"/>
        </w:rPr>
        <w:t>Section 16 Officers</w:t>
      </w:r>
      <w:r>
        <w:rPr>
          <w:rFonts w:ascii="Arial" w:cs="Arial" w:eastAsia="Arial" w:hAnsi="Arial"/>
          <w:sz w:val="17"/>
          <w:szCs w:val="17"/>
          <w:color w:val="auto"/>
        </w:rPr>
        <w:t>”).</w:t>
      </w:r>
    </w:p>
    <w:p>
      <w:pPr>
        <w:spacing w:after="0" w:line="111" w:lineRule="exact"/>
        <w:rPr>
          <w:rFonts w:ascii="Times New Roman" w:cs="Times New Roman" w:eastAsia="Times New Roman" w:hAnsi="Times New Roman"/>
          <w:sz w:val="20"/>
          <w:szCs w:val="20"/>
          <w:b w:val="1"/>
          <w:bCs w:val="1"/>
          <w:color w:val="auto"/>
        </w:rPr>
      </w:pPr>
    </w:p>
    <w:p>
      <w:pPr>
        <w:ind w:left="2" w:right="720" w:firstLine="645"/>
        <w:spacing w:after="0" w:line="244" w:lineRule="auto"/>
        <w:tabs>
          <w:tab w:leader="none" w:pos="1195" w:val="left"/>
        </w:tabs>
        <w:numPr>
          <w:ilvl w:val="1"/>
          <w:numId w:val="63"/>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Other Officers and Key Employees. </w:t>
      </w:r>
      <w:r>
        <w:rPr>
          <w:rFonts w:ascii="Arial" w:cs="Arial" w:eastAsia="Arial" w:hAnsi="Arial"/>
          <w:sz w:val="17"/>
          <w:szCs w:val="17"/>
          <w:color w:val="auto"/>
        </w:rPr>
        <w:t>Designated provisions of this Addendum apply to certain other officers and key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of SPS and its subsidiaries. These other officers and key employees, whose duties cause them to regularly have access to material nonpublic information about SPS, will be notified by the Chief Financial Officer that they are subject to this Addendum.</w:t>
      </w:r>
    </w:p>
    <w:p>
      <w:pPr>
        <w:spacing w:after="0" w:line="97" w:lineRule="exact"/>
        <w:rPr>
          <w:rFonts w:ascii="Times New Roman" w:cs="Times New Roman" w:eastAsia="Times New Roman" w:hAnsi="Times New Roman"/>
          <w:sz w:val="20"/>
          <w:szCs w:val="20"/>
          <w:b w:val="1"/>
          <w:bCs w:val="1"/>
          <w:color w:val="auto"/>
        </w:rPr>
      </w:pPr>
    </w:p>
    <w:p>
      <w:pPr>
        <w:ind w:left="2" w:right="300" w:firstLine="645"/>
        <w:spacing w:after="0" w:line="248" w:lineRule="auto"/>
        <w:tabs>
          <w:tab w:leader="none" w:pos="1206" w:val="left"/>
        </w:tabs>
        <w:numPr>
          <w:ilvl w:val="1"/>
          <w:numId w:val="63"/>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Related Parties. </w:t>
      </w:r>
      <w:r>
        <w:rPr>
          <w:rFonts w:ascii="Arial" w:cs="Arial" w:eastAsia="Arial" w:hAnsi="Arial"/>
          <w:sz w:val="17"/>
          <w:szCs w:val="17"/>
          <w:color w:val="auto"/>
        </w:rPr>
        <w:t>If you are covered by paragraph B.1 or B.2, then this Addendum also applies to the same extent to your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immediate family members and other individuals living in your household (“</w:t>
      </w:r>
      <w:r>
        <w:rPr>
          <w:rFonts w:ascii="Arial" w:cs="Arial" w:eastAsia="Arial" w:hAnsi="Arial"/>
          <w:sz w:val="17"/>
          <w:szCs w:val="17"/>
          <w:i w:val="1"/>
          <w:iCs w:val="1"/>
          <w:color w:val="auto"/>
        </w:rPr>
        <w:t>Family Members</w:t>
      </w:r>
      <w:r>
        <w:rPr>
          <w:rFonts w:ascii="Arial" w:cs="Arial" w:eastAsia="Arial" w:hAnsi="Arial"/>
          <w:sz w:val="17"/>
          <w:szCs w:val="17"/>
          <w:color w:val="auto"/>
        </w:rPr>
        <w:t>”), and to any other person or entity, including a trust, corporation, partnership or other association, whose transactions in SPS securities are directed by you or your Family Members or are subject to the influence or control of you or your Family Members. Also, you are responsible for informing all Family Members and such related parties of the requirements of this</w:t>
      </w:r>
    </w:p>
    <w:p>
      <w:pPr>
        <w:spacing w:after="0" w:line="2" w:lineRule="exact"/>
        <w:rPr>
          <w:rFonts w:ascii="Times New Roman" w:cs="Times New Roman" w:eastAsia="Times New Roman" w:hAnsi="Times New Roman"/>
          <w:sz w:val="20"/>
          <w:szCs w:val="20"/>
          <w:b w:val="1"/>
          <w:bCs w:val="1"/>
          <w:color w:val="auto"/>
        </w:rPr>
      </w:pPr>
    </w:p>
    <w:p>
      <w:pPr>
        <w:ind w:left="2"/>
        <w:spacing w:after="0"/>
        <w:rPr>
          <w:rFonts w:ascii="Times New Roman" w:cs="Times New Roman" w:eastAsia="Times New Roman" w:hAnsi="Times New Roman"/>
          <w:sz w:val="20"/>
          <w:szCs w:val="20"/>
          <w:b w:val="1"/>
          <w:bCs w:val="1"/>
          <w:color w:val="auto"/>
        </w:rPr>
      </w:pPr>
      <w:r>
        <w:rPr>
          <w:rFonts w:ascii="Arial" w:cs="Arial" w:eastAsia="Arial" w:hAnsi="Arial"/>
          <w:sz w:val="17"/>
          <w:szCs w:val="17"/>
          <w:color w:val="auto"/>
        </w:rPr>
        <w:t>Addendum.</w:t>
      </w:r>
    </w:p>
    <w:p>
      <w:pPr>
        <w:spacing w:after="0" w:line="120"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individuals and entities described in paragraphs B.1, B.2 and B.3 are “</w:t>
      </w:r>
      <w:r>
        <w:rPr>
          <w:rFonts w:ascii="Arial" w:cs="Arial" w:eastAsia="Arial" w:hAnsi="Arial"/>
          <w:sz w:val="17"/>
          <w:szCs w:val="17"/>
          <w:i w:val="1"/>
          <w:iCs w:val="1"/>
          <w:color w:val="auto"/>
        </w:rPr>
        <w:t>Corporate Insiders</w:t>
      </w:r>
      <w:r>
        <w:rPr>
          <w:rFonts w:ascii="Arial" w:cs="Arial" w:eastAsia="Arial" w:hAnsi="Arial"/>
          <w:sz w:val="17"/>
          <w:szCs w:val="17"/>
          <w:color w:val="auto"/>
        </w:rPr>
        <w:t>.”</w:t>
      </w:r>
    </w:p>
    <w:p>
      <w:pPr>
        <w:spacing w:after="0" w:line="142" w:lineRule="exact"/>
        <w:rPr>
          <w:sz w:val="20"/>
          <w:szCs w:val="20"/>
          <w:color w:val="auto"/>
        </w:rPr>
      </w:pPr>
    </w:p>
    <w:p>
      <w:pPr>
        <w:ind w:left="642" w:hanging="642"/>
        <w:spacing w:after="0"/>
        <w:tabs>
          <w:tab w:leader="none" w:pos="642" w:val="left"/>
        </w:tabs>
        <w:numPr>
          <w:ilvl w:val="0"/>
          <w:numId w:val="64"/>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color w:val="auto"/>
        </w:rPr>
        <w:t>Blackout Periods for all Corporate Insiders</w:t>
      </w:r>
    </w:p>
    <w:p>
      <w:pPr>
        <w:spacing w:after="0" w:line="94" w:lineRule="exact"/>
        <w:rPr>
          <w:rFonts w:ascii="Times New Roman" w:cs="Times New Roman" w:eastAsia="Times New Roman" w:hAnsi="Times New Roman"/>
          <w:sz w:val="20"/>
          <w:szCs w:val="20"/>
          <w:b w:val="1"/>
          <w:bCs w:val="1"/>
          <w:color w:val="auto"/>
        </w:rPr>
      </w:pPr>
    </w:p>
    <w:p>
      <w:pPr>
        <w:ind w:left="2" w:right="160" w:firstLine="645"/>
        <w:spacing w:after="0" w:line="226" w:lineRule="auto"/>
        <w:tabs>
          <w:tab w:leader="none" w:pos="1206" w:val="left"/>
        </w:tabs>
        <w:numPr>
          <w:ilvl w:val="1"/>
          <w:numId w:val="64"/>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Trading Not Permitted During Blackout Periods. </w:t>
      </w:r>
      <w:r>
        <w:rPr>
          <w:rFonts w:ascii="Arial" w:cs="Arial" w:eastAsia="Arial" w:hAnsi="Arial"/>
          <w:sz w:val="17"/>
          <w:szCs w:val="17"/>
          <w:color w:val="auto"/>
        </w:rPr>
        <w:t>If you are a Corporate Insider, you may not purchase, sell or otherwise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trade SPS securities during the period beginning on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the last calendar month of each fiscal quarter (effectively, 12:01 a.m. Central time on the 15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such calendar month) and continuing through the second trading day following the public release of SPS’s financial results for that fiscal quarter (each such period being a “blackout period”). If a Corporate Insider wishes to trade outside of a blackout period, the person may do so only if he or she is not then aware of any material nonpublic information and has complied with the notification and pre-clearance procedures described below.</w:t>
      </w:r>
    </w:p>
    <w:p>
      <w:pPr>
        <w:spacing w:after="0" w:line="91" w:lineRule="exact"/>
        <w:rPr>
          <w:rFonts w:ascii="Times New Roman" w:cs="Times New Roman" w:eastAsia="Times New Roman" w:hAnsi="Times New Roman"/>
          <w:sz w:val="20"/>
          <w:szCs w:val="20"/>
          <w:b w:val="1"/>
          <w:bCs w:val="1"/>
          <w:color w:val="auto"/>
        </w:rPr>
      </w:pPr>
    </w:p>
    <w:p>
      <w:pPr>
        <w:ind w:left="1202" w:hanging="555"/>
        <w:spacing w:after="0"/>
        <w:tabs>
          <w:tab w:leader="none" w:pos="1202" w:val="left"/>
        </w:tabs>
        <w:numPr>
          <w:ilvl w:val="1"/>
          <w:numId w:val="64"/>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Illustration – Blackout Period: </w:t>
      </w:r>
      <w:r>
        <w:rPr>
          <w:rFonts w:ascii="Arial" w:cs="Arial" w:eastAsia="Arial" w:hAnsi="Arial"/>
          <w:sz w:val="17"/>
          <w:szCs w:val="17"/>
          <w:color w:val="auto"/>
        </w:rPr>
        <w:t>If financial results for the quarter ended March 31 are released after the stock market</w:t>
      </w:r>
    </w:p>
    <w:p>
      <w:pPr>
        <w:spacing w:after="0" w:line="2" w:lineRule="exact"/>
        <w:rPr>
          <w:sz w:val="20"/>
          <w:szCs w:val="20"/>
          <w:color w:val="auto"/>
        </w:rPr>
      </w:pPr>
    </w:p>
    <w:p>
      <w:pPr>
        <w:ind w:left="2" w:right="300"/>
        <w:spacing w:after="0" w:line="265" w:lineRule="auto"/>
        <w:rPr>
          <w:sz w:val="20"/>
          <w:szCs w:val="20"/>
          <w:color w:val="auto"/>
        </w:rPr>
      </w:pPr>
      <w:r>
        <w:rPr>
          <w:rFonts w:ascii="Arial" w:cs="Arial" w:eastAsia="Arial" w:hAnsi="Arial"/>
          <w:sz w:val="17"/>
          <w:szCs w:val="17"/>
          <w:color w:val="auto"/>
        </w:rPr>
        <w:t>closes on April 26, then Corporate Insiders are prohibited from trading from March 15 through April 28, but could trade from April 29 through June 14, assuming that April 27 and 28 are trading days on the Nasdaq Stock Market and unless they are aware of material nonpublic information or have not complied with the notification and preclearance procedures below.</w:t>
      </w:r>
    </w:p>
    <w:p>
      <w:pPr>
        <w:spacing w:after="0" w:line="79" w:lineRule="exact"/>
        <w:rPr>
          <w:sz w:val="20"/>
          <w:szCs w:val="20"/>
          <w:color w:val="auto"/>
        </w:rPr>
      </w:pPr>
    </w:p>
    <w:p>
      <w:pPr>
        <w:ind w:left="642" w:hanging="642"/>
        <w:spacing w:after="0"/>
        <w:tabs>
          <w:tab w:leader="none" w:pos="642" w:val="left"/>
        </w:tabs>
        <w:numPr>
          <w:ilvl w:val="0"/>
          <w:numId w:val="65"/>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color w:val="auto"/>
        </w:rPr>
        <w:t>Required Preclearance of Trades Outside Blackout Periods.</w:t>
      </w:r>
    </w:p>
    <w:p>
      <w:pPr>
        <w:spacing w:after="0" w:line="62" w:lineRule="exact"/>
        <w:rPr>
          <w:rFonts w:ascii="Times New Roman" w:cs="Times New Roman" w:eastAsia="Times New Roman" w:hAnsi="Times New Roman"/>
          <w:sz w:val="20"/>
          <w:szCs w:val="20"/>
          <w:b w:val="1"/>
          <w:bCs w:val="1"/>
          <w:color w:val="auto"/>
        </w:rPr>
      </w:pPr>
    </w:p>
    <w:p>
      <w:pPr>
        <w:ind w:left="2" w:firstLine="647"/>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 </w:t>
      </w:r>
      <w:r>
        <w:rPr>
          <w:rFonts w:ascii="Arial" w:cs="Arial" w:eastAsia="Arial" w:hAnsi="Arial"/>
          <w:sz w:val="17"/>
          <w:szCs w:val="17"/>
          <w:b w:val="1"/>
          <w:bCs w:val="1"/>
          <w:i w:val="1"/>
          <w:iCs w:val="1"/>
          <w:color w:val="auto"/>
        </w:rPr>
        <w:t>Notices of Intended Transaction and Requests for Approval.</w:t>
      </w:r>
      <w:r>
        <w:rPr>
          <w:rFonts w:ascii="Times New Roman" w:cs="Times New Roman" w:eastAsia="Times New Roman" w:hAnsi="Times New Roman"/>
          <w:sz w:val="20"/>
          <w:szCs w:val="20"/>
          <w:b w:val="1"/>
          <w:bCs w:val="1"/>
          <w:color w:val="auto"/>
        </w:rPr>
        <w:t xml:space="preserve"> </w:t>
      </w:r>
      <w:r>
        <w:rPr>
          <w:rFonts w:ascii="Arial" w:cs="Arial" w:eastAsia="Arial" w:hAnsi="Arial"/>
          <w:sz w:val="17"/>
          <w:szCs w:val="17"/>
          <w:color w:val="auto"/>
        </w:rPr>
        <w:t>If you are a Corporate Insider, you may not engage in any</w:t>
      </w:r>
      <w:r>
        <w:rPr>
          <w:rFonts w:ascii="Times New Roman" w:cs="Times New Roman" w:eastAsia="Times New Roman" w:hAnsi="Times New Roman"/>
          <w:sz w:val="20"/>
          <w:szCs w:val="20"/>
          <w:b w:val="1"/>
          <w:bCs w:val="1"/>
          <w:color w:val="auto"/>
        </w:rPr>
        <w:t xml:space="preserve"> </w:t>
      </w:r>
      <w:r>
        <w:rPr>
          <w:rFonts w:ascii="Arial" w:cs="Arial" w:eastAsia="Arial" w:hAnsi="Arial"/>
          <w:sz w:val="17"/>
          <w:szCs w:val="17"/>
          <w:color w:val="auto"/>
        </w:rPr>
        <w:t xml:space="preserve">transaction involving SPS securities outside blackout periods without first obtaining pre-clearance of that transaction from SPS’s Chief Financial Officer or General Counsel. Prior to initiating any transaction in SPS securities outside a blackout period, you must deliver to the Chief Financial Officer or General Counsel an electronic notice in the form specified in the attached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during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
        <w:spacing w:after="0"/>
        <w:tabs>
          <w:tab w:leader="none" w:pos="4242" w:val="left"/>
        </w:tabs>
        <w:rPr>
          <w:sz w:val="20"/>
          <w:szCs w:val="20"/>
          <w:color w:val="auto"/>
        </w:rPr>
      </w:pPr>
      <w:r>
        <w:rPr>
          <w:rFonts w:ascii="Arial" w:cs="Arial" w:eastAsia="Arial" w:hAnsi="Arial"/>
          <w:sz w:val="14"/>
          <w:szCs w:val="14"/>
          <w:color w:val="6D6D6D"/>
        </w:rPr>
        <w:t>Insider Trading Policy © 2023 SPS Commerce, Inc.</w:t>
      </w:r>
      <w:r>
        <w:rPr>
          <w:sz w:val="20"/>
          <w:szCs w:val="20"/>
          <w:color w:val="auto"/>
        </w:rPr>
        <w:tab/>
      </w:r>
      <w:r>
        <w:rPr>
          <w:rFonts w:ascii="Arial" w:cs="Arial" w:eastAsia="Arial" w:hAnsi="Arial"/>
          <w:sz w:val="14"/>
          <w:szCs w:val="14"/>
          <w:color w:val="6D6D6D"/>
        </w:rPr>
        <w:t>Revised: 02/17/2023</w:t>
      </w:r>
    </w:p>
    <w:p>
      <w:pPr>
        <w:sectPr>
          <w:pgSz w:w="11900" w:h="16838" w:orient="portrait"/>
          <w:cols w:equalWidth="0" w:num="1">
            <w:col w:w="10842"/>
          </w:cols>
          <w:pgMar w:left="418" w:top="321" w:right="639" w:bottom="1440" w:gutter="0" w:footer="0" w:header="0"/>
        </w:sectPr>
      </w:pPr>
    </w:p>
    <w:bookmarkStart w:id="93" w:name="page94"/>
    <w:bookmarkEnd w:id="93"/>
    <w:p>
      <w:pPr>
        <w:jc w:val="right"/>
        <w:ind w:right="434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883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814070" cy="488315"/>
                    </a:xfrm>
                    <a:prstGeom prst="rect">
                      <a:avLst/>
                    </a:prstGeom>
                    <a:noFill/>
                  </pic:spPr>
                </pic:pic>
              </a:graphicData>
            </a:graphic>
          </wp:anchor>
        </w:drawing>
        <w:t>Exhibit 19.1</w:t>
      </w:r>
    </w:p>
    <w:p>
      <w:pPr>
        <w:spacing w:after="0" w:line="63" w:lineRule="exact"/>
        <w:rPr>
          <w:sz w:val="20"/>
          <w:szCs w:val="20"/>
          <w:color w:val="auto"/>
        </w:rPr>
      </w:pPr>
    </w:p>
    <w:p>
      <w:pPr>
        <w:jc w:val="right"/>
        <w:ind w:right="4340"/>
        <w:spacing w:after="0"/>
        <w:rPr>
          <w:sz w:val="20"/>
          <w:szCs w:val="20"/>
          <w:color w:val="auto"/>
        </w:rPr>
      </w:pPr>
      <w:r>
        <w:rPr>
          <w:rFonts w:ascii="Arial" w:cs="Arial" w:eastAsia="Arial" w:hAnsi="Arial"/>
          <w:sz w:val="20"/>
          <w:szCs w:val="20"/>
          <w:b w:val="1"/>
          <w:bCs w:val="1"/>
          <w:color w:val="auto"/>
        </w:rPr>
        <w:t>POLICY |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 w:right="680"/>
        <w:spacing w:after="0" w:line="301" w:lineRule="auto"/>
        <w:rPr>
          <w:sz w:val="20"/>
          <w:szCs w:val="20"/>
          <w:color w:val="auto"/>
        </w:rPr>
      </w:pPr>
      <w:r>
        <w:rPr>
          <w:rFonts w:ascii="Arial" w:cs="Arial" w:eastAsia="Arial" w:hAnsi="Arial"/>
          <w:sz w:val="17"/>
          <w:szCs w:val="17"/>
          <w:color w:val="auto"/>
        </w:rPr>
        <w:t>permitted trading period requesting clearance to trade. The Chief Financial Officer may approve modifications to this notice process and preclearance notice form.</w:t>
      </w:r>
    </w:p>
    <w:p>
      <w:pPr>
        <w:spacing w:after="0" w:line="117" w:lineRule="exact"/>
        <w:rPr>
          <w:sz w:val="20"/>
          <w:szCs w:val="20"/>
          <w:color w:val="auto"/>
        </w:rPr>
      </w:pPr>
    </w:p>
    <w:p>
      <w:pPr>
        <w:ind w:left="2" w:right="500" w:firstLine="645"/>
        <w:spacing w:after="0" w:line="250" w:lineRule="auto"/>
        <w:tabs>
          <w:tab w:leader="none" w:pos="1195" w:val="left"/>
        </w:tabs>
        <w:numPr>
          <w:ilvl w:val="1"/>
          <w:numId w:val="66"/>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Clearance to Proceed with a Transaction. </w:t>
      </w:r>
      <w:r>
        <w:rPr>
          <w:rFonts w:ascii="Arial" w:cs="Arial" w:eastAsia="Arial" w:hAnsi="Arial"/>
          <w:sz w:val="17"/>
          <w:szCs w:val="17"/>
          <w:color w:val="auto"/>
        </w:rPr>
        <w:t>No preclearance notice will be an effective clearance to a trade unless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until the Chief Financial Officer or General Counsel responds to the notice with his or her approval in writing. Any such approval will generally be valid until the end of the current permitted trading period, unless an earlier deadline is imposed by the Chief Financial Officer or General Counsel. However, the overarching prohibition on trading when you are aware of material nonpublic information regarding SPS remains in effect.</w:t>
      </w:r>
    </w:p>
    <w:p>
      <w:pPr>
        <w:spacing w:after="0" w:line="106" w:lineRule="exact"/>
        <w:rPr>
          <w:rFonts w:ascii="Times New Roman" w:cs="Times New Roman" w:eastAsia="Times New Roman" w:hAnsi="Times New Roman"/>
          <w:sz w:val="20"/>
          <w:szCs w:val="20"/>
          <w:b w:val="1"/>
          <w:bCs w:val="1"/>
          <w:color w:val="auto"/>
        </w:rPr>
      </w:pPr>
    </w:p>
    <w:p>
      <w:pPr>
        <w:ind w:left="642" w:hanging="642"/>
        <w:spacing w:after="0"/>
        <w:tabs>
          <w:tab w:leader="none" w:pos="642" w:val="left"/>
        </w:tabs>
        <w:numPr>
          <w:ilvl w:val="0"/>
          <w:numId w:val="67"/>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color w:val="auto"/>
        </w:rPr>
        <w:t>Additional Restrictions on Trading by Directors and Section 16 Officers</w:t>
      </w:r>
    </w:p>
    <w:p>
      <w:pPr>
        <w:spacing w:after="0" w:line="107" w:lineRule="exact"/>
        <w:rPr>
          <w:rFonts w:ascii="Times New Roman" w:cs="Times New Roman" w:eastAsia="Times New Roman" w:hAnsi="Times New Roman"/>
          <w:sz w:val="20"/>
          <w:szCs w:val="20"/>
          <w:b w:val="1"/>
          <w:bCs w:val="1"/>
          <w:color w:val="auto"/>
        </w:rPr>
      </w:pPr>
    </w:p>
    <w:p>
      <w:pPr>
        <w:ind w:left="2" w:firstLine="645"/>
        <w:spacing w:after="0" w:line="250" w:lineRule="auto"/>
        <w:tabs>
          <w:tab w:leader="none" w:pos="1206" w:val="left"/>
        </w:tabs>
        <w:numPr>
          <w:ilvl w:val="1"/>
          <w:numId w:val="67"/>
        </w:numPr>
        <w:rPr>
          <w:rFonts w:ascii="Times New Roman" w:cs="Times New Roman" w:eastAsia="Times New Roman" w:hAnsi="Times New Roman"/>
          <w:sz w:val="20"/>
          <w:szCs w:val="20"/>
          <w:b w:val="1"/>
          <w:bCs w:val="1"/>
          <w:color w:val="auto"/>
        </w:rPr>
      </w:pPr>
      <w:r>
        <w:rPr>
          <w:rFonts w:ascii="Arial" w:cs="Arial" w:eastAsia="Arial" w:hAnsi="Arial"/>
          <w:sz w:val="17"/>
          <w:szCs w:val="17"/>
          <w:b w:val="1"/>
          <w:bCs w:val="1"/>
          <w:i w:val="1"/>
          <w:iCs w:val="1"/>
          <w:color w:val="auto"/>
        </w:rPr>
        <w:t xml:space="preserve">Short-swing Trading Restrictions. </w:t>
      </w:r>
      <w:r>
        <w:rPr>
          <w:rFonts w:ascii="Arial" w:cs="Arial" w:eastAsia="Arial" w:hAnsi="Arial"/>
          <w:sz w:val="17"/>
          <w:szCs w:val="17"/>
          <w:color w:val="auto"/>
        </w:rPr>
        <w:t>Directors and Section 16 officers of SPS must also comply with the reporting obligations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limitations on short-swing trading transactions imposed by Section 16 of the Securities Exchange Act of 1934. Among other things, Section 16 requires directors and Section 16 officers to pay over to SPS any profit realized from any purchase and sale (in either order) of SPS securities that occur within six months of each other. Section 16 and its related rules are very complex, and SPS will provide to each director and Section 16 officer a separate memorandum discussing compliance with Section 16 and its related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
        <w:spacing w:after="0"/>
        <w:tabs>
          <w:tab w:leader="none" w:pos="4242" w:val="left"/>
        </w:tabs>
        <w:rPr>
          <w:sz w:val="20"/>
          <w:szCs w:val="20"/>
          <w:color w:val="auto"/>
        </w:rPr>
      </w:pPr>
      <w:r>
        <w:rPr>
          <w:rFonts w:ascii="Arial" w:cs="Arial" w:eastAsia="Arial" w:hAnsi="Arial"/>
          <w:sz w:val="14"/>
          <w:szCs w:val="14"/>
          <w:color w:val="6D6D6D"/>
        </w:rPr>
        <w:t>Insider Trading Policy © 2023 SPS Commerce, Inc.</w:t>
      </w:r>
      <w:r>
        <w:rPr>
          <w:sz w:val="20"/>
          <w:szCs w:val="20"/>
          <w:color w:val="auto"/>
        </w:rPr>
        <w:tab/>
      </w:r>
      <w:r>
        <w:rPr>
          <w:rFonts w:ascii="Arial" w:cs="Arial" w:eastAsia="Arial" w:hAnsi="Arial"/>
          <w:sz w:val="14"/>
          <w:szCs w:val="14"/>
          <w:color w:val="6D6D6D"/>
        </w:rPr>
        <w:t>Revised: 02/17/2023</w:t>
      </w:r>
    </w:p>
    <w:p>
      <w:pPr>
        <w:sectPr>
          <w:pgSz w:w="11900" w:h="16838" w:orient="portrait"/>
          <w:cols w:equalWidth="0" w:num="1">
            <w:col w:w="10922"/>
          </w:cols>
          <w:pgMar w:left="418" w:top="321" w:right="559" w:bottom="1440" w:gutter="0" w:footer="0" w:header="0"/>
        </w:sectPr>
      </w:pPr>
    </w:p>
    <w:bookmarkStart w:id="94" w:name="page95"/>
    <w:bookmarkEnd w:id="94"/>
    <w:p>
      <w:pPr>
        <w:jc w:val="right"/>
        <w:ind w:right="4020"/>
        <w:spacing w:after="0"/>
        <w:rPr>
          <w:sz w:val="20"/>
          <w:szCs w:val="20"/>
          <w:color w:val="auto"/>
        </w:rPr>
      </w:pPr>
      <w:r>
        <w:rPr>
          <w:rFonts w:ascii="Calibri" w:cs="Calibri" w:eastAsia="Calibri" w:hAnsi="Calibri"/>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14070" cy="4883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814070" cy="488315"/>
                    </a:xfrm>
                    <a:prstGeom prst="rect">
                      <a:avLst/>
                    </a:prstGeom>
                    <a:noFill/>
                  </pic:spPr>
                </pic:pic>
              </a:graphicData>
            </a:graphic>
          </wp:anchor>
        </w:drawing>
        <w:t>Exhibit 19.1</w:t>
      </w:r>
    </w:p>
    <w:p>
      <w:pPr>
        <w:spacing w:after="0" w:line="63" w:lineRule="exact"/>
        <w:rPr>
          <w:sz w:val="20"/>
          <w:szCs w:val="20"/>
          <w:color w:val="auto"/>
        </w:rPr>
      </w:pPr>
    </w:p>
    <w:p>
      <w:pPr>
        <w:jc w:val="right"/>
        <w:ind w:right="4020"/>
        <w:spacing w:after="0"/>
        <w:rPr>
          <w:sz w:val="20"/>
          <w:szCs w:val="20"/>
          <w:color w:val="auto"/>
        </w:rPr>
      </w:pPr>
      <w:r>
        <w:rPr>
          <w:rFonts w:ascii="Arial" w:cs="Arial" w:eastAsia="Arial" w:hAnsi="Arial"/>
          <w:sz w:val="20"/>
          <w:szCs w:val="20"/>
          <w:b w:val="1"/>
          <w:bCs w:val="1"/>
          <w:color w:val="auto"/>
        </w:rPr>
        <w:t>POLICY | INSIDER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100"/>
        <w:spacing w:after="0"/>
        <w:rPr>
          <w:sz w:val="20"/>
          <w:szCs w:val="20"/>
          <w:color w:val="auto"/>
        </w:rPr>
      </w:pPr>
      <w:r>
        <w:rPr>
          <w:rFonts w:ascii="Arial" w:cs="Arial" w:eastAsia="Arial" w:hAnsi="Arial"/>
          <w:sz w:val="17"/>
          <w:szCs w:val="17"/>
          <w:b w:val="1"/>
          <w:bCs w:val="1"/>
          <w:u w:val="single" w:color="auto"/>
          <w:color w:val="auto"/>
        </w:rPr>
        <w:t>EXHIBIT A</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OF CORPORATE INSIDER REQUEST FOR APPROVAL TO TRADE</w:t>
      </w:r>
    </w:p>
    <w:p>
      <w:pPr>
        <w:spacing w:after="0" w:line="129" w:lineRule="exact"/>
        <w:rPr>
          <w:sz w:val="20"/>
          <w:szCs w:val="20"/>
          <w:color w:val="auto"/>
        </w:rPr>
      </w:pPr>
    </w:p>
    <w:p>
      <w:pPr>
        <w:ind w:left="640" w:hanging="318"/>
        <w:spacing w:after="0"/>
        <w:tabs>
          <w:tab w:leader="none" w:pos="64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I certify I do not have any material, non-public information;</w:t>
      </w:r>
    </w:p>
    <w:p>
      <w:pPr>
        <w:spacing w:after="0" w:line="114" w:lineRule="exact"/>
        <w:rPr>
          <w:rFonts w:ascii="Times New Roman" w:cs="Times New Roman" w:eastAsia="Times New Roman" w:hAnsi="Times New Roman"/>
          <w:sz w:val="17"/>
          <w:szCs w:val="17"/>
          <w:color w:val="auto"/>
        </w:rPr>
      </w:pPr>
    </w:p>
    <w:p>
      <w:pPr>
        <w:ind w:left="640" w:hanging="319"/>
        <w:spacing w:after="0" w:line="300" w:lineRule="auto"/>
        <w:tabs>
          <w:tab w:leader="none" w:pos="63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In connection with my proposed trade, I certify that, in making this request, I am complying with the applicable provisions of the SPS Commerce Insider Trading Policy;</w:t>
      </w:r>
    </w:p>
    <w:p>
      <w:pPr>
        <w:spacing w:after="0" w:line="36" w:lineRule="exact"/>
        <w:rPr>
          <w:rFonts w:ascii="Times New Roman" w:cs="Times New Roman" w:eastAsia="Times New Roman" w:hAnsi="Times New Roman"/>
          <w:sz w:val="17"/>
          <w:szCs w:val="17"/>
          <w:color w:val="auto"/>
        </w:rPr>
      </w:pPr>
    </w:p>
    <w:p>
      <w:pPr>
        <w:ind w:left="640" w:right="200" w:hanging="319"/>
        <w:spacing w:after="0" w:line="300" w:lineRule="auto"/>
        <w:tabs>
          <w:tab w:leader="none" w:pos="63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I understand that clearance for the transaction(s), if granted, will be valid only until the earlier of the trade occurring or the Trading Window closing; and</w:t>
      </w:r>
    </w:p>
    <w:p>
      <w:pPr>
        <w:spacing w:after="0" w:line="23" w:lineRule="exact"/>
        <w:rPr>
          <w:rFonts w:ascii="Times New Roman" w:cs="Times New Roman" w:eastAsia="Times New Roman" w:hAnsi="Times New Roman"/>
          <w:sz w:val="17"/>
          <w:szCs w:val="17"/>
          <w:color w:val="auto"/>
        </w:rPr>
      </w:pPr>
    </w:p>
    <w:p>
      <w:pPr>
        <w:ind w:left="640" w:hanging="319"/>
        <w:spacing w:after="0"/>
        <w:tabs>
          <w:tab w:leader="none" w:pos="640" w:val="left"/>
        </w:tabs>
        <w:numPr>
          <w:ilvl w:val="0"/>
          <w:numId w:val="68"/>
        </w:numPr>
        <w:rPr>
          <w:rFonts w:ascii="Times New Roman" w:cs="Times New Roman" w:eastAsia="Times New Roman" w:hAnsi="Times New Roman"/>
          <w:sz w:val="17"/>
          <w:szCs w:val="17"/>
          <w:color w:val="auto"/>
        </w:rPr>
      </w:pPr>
      <w:r>
        <w:rPr>
          <w:rFonts w:ascii="Arial" w:cs="Arial" w:eastAsia="Arial" w:hAnsi="Arial"/>
          <w:sz w:val="17"/>
          <w:szCs w:val="17"/>
          <w:color w:val="auto"/>
        </w:rPr>
        <w:t>If I become aware of any material non-public information prior to the trade occurring, I will not execute the trade.</w:t>
      </w:r>
    </w:p>
    <w:p>
      <w:pPr>
        <w:spacing w:after="0" w:line="386" w:lineRule="exact"/>
        <w:rPr>
          <w:sz w:val="20"/>
          <w:szCs w:val="20"/>
          <w:color w:val="auto"/>
        </w:rPr>
      </w:pPr>
    </w:p>
    <w:p>
      <w:pPr>
        <w:ind w:left="2820"/>
        <w:spacing w:after="0"/>
        <w:rPr>
          <w:sz w:val="20"/>
          <w:szCs w:val="20"/>
          <w:color w:val="auto"/>
        </w:rPr>
      </w:pPr>
      <w:r>
        <w:rPr>
          <w:rFonts w:ascii="Arial" w:cs="Arial" w:eastAsia="Arial" w:hAnsi="Arial"/>
          <w:sz w:val="17"/>
          <w:szCs w:val="17"/>
          <w:i w:val="1"/>
          <w:iCs w:val="1"/>
          <w:color w:val="auto"/>
        </w:rPr>
        <w:t>If you are submitting a 10b-5 plan, you may omit the last two bullets above.</w:t>
      </w:r>
    </w:p>
    <w:p>
      <w:pPr>
        <w:spacing w:after="0" w:line="200" w:lineRule="exact"/>
        <w:rPr>
          <w:sz w:val="20"/>
          <w:szCs w:val="20"/>
          <w:color w:val="auto"/>
        </w:rPr>
      </w:pPr>
    </w:p>
    <w:p>
      <w:pPr>
        <w:spacing w:after="0" w:line="332" w:lineRule="exact"/>
        <w:rPr>
          <w:sz w:val="20"/>
          <w:szCs w:val="20"/>
          <w:color w:val="auto"/>
        </w:rPr>
      </w:pPr>
    </w:p>
    <w:p>
      <w:pPr>
        <w:ind w:left="5140"/>
        <w:spacing w:after="0"/>
        <w:rPr>
          <w:sz w:val="20"/>
          <w:szCs w:val="20"/>
          <w:color w:val="auto"/>
        </w:rPr>
      </w:pPr>
      <w:r>
        <w:rPr>
          <w:rFonts w:ascii="Arial" w:cs="Arial" w:eastAsia="Arial" w:hAnsi="Arial"/>
          <w:sz w:val="17"/>
          <w:szCs w:val="17"/>
          <w:b w:val="1"/>
          <w:bCs w:val="1"/>
          <w:u w:val="single" w:color="auto"/>
          <w:color w:val="auto"/>
        </w:rPr>
        <w:t>Corporate Insider Acknowledgment Form</w:t>
      </w:r>
    </w:p>
    <w:p>
      <w:pPr>
        <w:spacing w:after="0" w:line="200" w:lineRule="exact"/>
        <w:rPr>
          <w:sz w:val="20"/>
          <w:szCs w:val="20"/>
          <w:color w:val="auto"/>
        </w:rPr>
      </w:pPr>
    </w:p>
    <w:p>
      <w:pPr>
        <w:spacing w:after="0" w:line="320"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I have read SPS Commerce, Inc., Insider Trading Policy and understand its contents outlined</w:t>
      </w:r>
    </w:p>
    <w:p>
      <w:pPr>
        <w:spacing w:after="0" w:line="48"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above.</w:t>
      </w:r>
    </w:p>
    <w:p>
      <w:pPr>
        <w:spacing w:after="0" w:line="200" w:lineRule="exact"/>
        <w:rPr>
          <w:sz w:val="20"/>
          <w:szCs w:val="20"/>
          <w:color w:val="auto"/>
        </w:rPr>
      </w:pPr>
    </w:p>
    <w:p>
      <w:pPr>
        <w:spacing w:after="0" w:line="32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-6350</wp:posOffset>
            </wp:positionV>
            <wp:extent cx="1206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12065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-6350</wp:posOffset>
            </wp:positionV>
            <wp:extent cx="1206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12065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-6350</wp:posOffset>
            </wp:positionV>
            <wp:extent cx="1206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120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4240" w:val="left"/>
        </w:tabs>
        <w:rPr>
          <w:sz w:val="20"/>
          <w:szCs w:val="20"/>
          <w:color w:val="auto"/>
        </w:rPr>
      </w:pPr>
      <w:r>
        <w:rPr>
          <w:rFonts w:ascii="Arial" w:cs="Arial" w:eastAsia="Arial" w:hAnsi="Arial"/>
          <w:sz w:val="14"/>
          <w:szCs w:val="14"/>
          <w:color w:val="6D6D6D"/>
        </w:rPr>
        <w:t>Insider Trading Policy © 2023 SPS Commerce, Inc.</w:t>
      </w:r>
      <w:r>
        <w:rPr>
          <w:sz w:val="20"/>
          <w:szCs w:val="20"/>
          <w:color w:val="auto"/>
        </w:rPr>
        <w:tab/>
      </w:r>
      <w:r>
        <w:rPr>
          <w:rFonts w:ascii="Arial" w:cs="Arial" w:eastAsia="Arial" w:hAnsi="Arial"/>
          <w:sz w:val="14"/>
          <w:szCs w:val="14"/>
          <w:color w:val="6D6D6D"/>
        </w:rPr>
        <w:t>Revised: 02/17/2023</w:t>
      </w:r>
    </w:p>
    <w:p>
      <w:pPr>
        <w:sectPr>
          <w:pgSz w:w="11900" w:h="16838" w:orient="portrait"/>
          <w:cols w:equalWidth="0" w:num="1">
            <w:col w:w="10600"/>
          </w:cols>
          <w:pgMar w:left="420" w:top="321" w:right="87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44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List of SPS Commerce, Inc. Subsidiaries</w:t>
            </w:r>
          </w:p>
        </w:tc>
        <w:tc>
          <w:tcPr>
            <w:tcW w:w="0" w:type="dxa"/>
            <w:vAlign w:val="bottom"/>
          </w:tcPr>
          <w:p>
            <w:pPr>
              <w:spacing w:after="0"/>
              <w:rPr>
                <w:sz w:val="1"/>
                <w:szCs w:val="1"/>
                <w:color w:val="auto"/>
              </w:rPr>
            </w:pPr>
          </w:p>
        </w:tc>
      </w:tr>
      <w:tr>
        <w:trPr>
          <w:trHeight w:val="432"/>
        </w:trPr>
        <w:tc>
          <w:tcPr>
            <w:tcW w:w="3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0" w:type="dxa"/>
            <w:vAlign w:val="bottom"/>
          </w:tcPr>
          <w:p>
            <w:pPr>
              <w:spacing w:after="0"/>
              <w:rPr>
                <w:sz w:val="1"/>
                <w:szCs w:val="1"/>
                <w:color w:val="auto"/>
              </w:rPr>
            </w:pPr>
          </w:p>
        </w:tc>
      </w:tr>
      <w:tr>
        <w:trPr>
          <w:trHeight w:val="243"/>
        </w:trPr>
        <w:tc>
          <w:tcPr>
            <w:tcW w:w="3460" w:type="dxa"/>
            <w:vAlign w:val="bottom"/>
            <w:vMerge w:val="continue"/>
          </w:tcPr>
          <w:p>
            <w:pPr>
              <w:spacing w:after="0"/>
              <w:rPr>
                <w:sz w:val="21"/>
                <w:szCs w:val="21"/>
                <w:color w:val="auto"/>
              </w:rPr>
            </w:pP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Incorporation/Organization</w:t>
            </w:r>
          </w:p>
        </w:tc>
        <w:tc>
          <w:tcPr>
            <w:tcW w:w="0" w:type="dxa"/>
            <w:vAlign w:val="bottom"/>
          </w:tcPr>
          <w:p>
            <w:pPr>
              <w:spacing w:after="0"/>
              <w:rPr>
                <w:sz w:val="1"/>
                <w:szCs w:val="1"/>
                <w:color w:val="auto"/>
              </w:rPr>
            </w:pPr>
          </w:p>
        </w:tc>
      </w:tr>
      <w:tr>
        <w:trPr>
          <w:trHeight w:val="44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SPS International, Inc.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SPS Commerce Australia Pty Ltd</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SPS Commerce Canada, Ltd.</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3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Intertrade Systems, Inc.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SPS Commerce Netherlands B.V.</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SPS Europe Limited</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Great Britain</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SPS Ukraine LLC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Ukraine</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SPS Commerce Philippines Inc.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SPS Commerce Poland sp. z o.o.</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Poland</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 Masons Software, LLC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Florida</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Genius Central Systems LLC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GCommerce, Inc.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AutoSoez Commerce, Inc.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GCommerce Data Cloud, Inc.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GCommerce Fulfillment Cloud, LLC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SPS Hong Kong Limited</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TIE Commerce, Inc.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Massachusetts</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SupplyPike, Inc.</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SPS Commerce Holding B.V.</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TIE Nederland B.V.</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TIE Product Development B.V.</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TIE MamboFive B.V.</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TIE Kinetix Europe B.V.</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Pingli B.V.</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TIE Kinetix SAS</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TIE Kinetix DACH GmbH</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Performance Analytics GmbH</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TIE Kinetix, Ltd.</w:t>
            </w:r>
          </w:p>
        </w:tc>
        <w:tc>
          <w:tcPr>
            <w:tcW w:w="44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Great Britain</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0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60"/>
        <w:spacing w:after="0" w:line="229"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S-3 (Nos. 333-281619, 333-192392, 333-182097 and 333-174026) and on Form S-8 (Nos. 333-236671, 333-229838, 333-222438, 333-222435, 333-216288, 333-209721, 333-201673, 333-193544, 333-185972, 333-182007, 333-179236, 333-172073, 333-167315 and 333-167314) of our reports dated February 18, 2025, with respect to the consolidated financial statements of</w:t>
      </w:r>
    </w:p>
    <w:p>
      <w:pPr>
        <w:spacing w:after="0"/>
        <w:rPr>
          <w:sz w:val="20"/>
          <w:szCs w:val="20"/>
          <w:color w:val="auto"/>
        </w:rPr>
      </w:pPr>
      <w:r>
        <w:rPr>
          <w:rFonts w:ascii="Times New Roman" w:cs="Times New Roman" w:eastAsia="Times New Roman" w:hAnsi="Times New Roman"/>
          <w:sz w:val="18"/>
          <w:szCs w:val="18"/>
          <w:color w:val="auto"/>
        </w:rPr>
        <w:t>SPS Commerce, Inc. and subsidiaries and the effectiveness of internal control over financial reporting.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ectPr>
          <w:pgSz w:w="11900" w:h="16838" w:orient="portrait"/>
          <w:cols w:equalWidth="0" w:num="1">
            <w:col w:w="11240"/>
          </w:cols>
          <w:pgMar w:left="320" w:top="140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Chadwick Collins, certify that:</w:t>
      </w:r>
    </w:p>
    <w:p>
      <w:pPr>
        <w:spacing w:after="0" w:line="225" w:lineRule="exact"/>
        <w:rPr>
          <w:sz w:val="20"/>
          <w:szCs w:val="20"/>
          <w:color w:val="auto"/>
        </w:rPr>
      </w:pPr>
    </w:p>
    <w:p>
      <w:pPr>
        <w:ind w:left="980" w:hanging="648"/>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SPS Commerce, Inc.;</w:t>
      </w:r>
    </w:p>
    <w:p>
      <w:pPr>
        <w:spacing w:after="0" w:line="225"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960" w:right="20" w:hanging="980"/>
        <w:spacing w:after="0" w:line="266" w:lineRule="auto"/>
        <w:tabs>
          <w:tab w:leader="none" w:pos="195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980"/>
        <w:spacing w:after="0" w:line="266" w:lineRule="auto"/>
        <w:tabs>
          <w:tab w:leader="none" w:pos="195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200" w:hanging="980"/>
        <w:spacing w:after="0" w:line="266"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right="80" w:hanging="648"/>
        <w:spacing w:after="0" w:line="312" w:lineRule="auto"/>
        <w:tabs>
          <w:tab w:leader="none" w:pos="9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5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20" w:hanging="980"/>
        <w:spacing w:after="0" w:line="282" w:lineRule="auto"/>
        <w:tabs>
          <w:tab w:leader="none" w:pos="19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CHADWICK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Chadwick Collins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18, 2025</w:t>
      </w:r>
    </w:p>
    <w:p>
      <w:pPr>
        <w:sectPr>
          <w:pgSz w:w="11900" w:h="16838" w:orient="portrait"/>
          <w:cols w:equalWidth="0" w:num="1">
            <w:col w:w="11240"/>
          </w:cols>
          <w:pgMar w:left="320" w:top="1143"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Kimberly Nelson, certify that:</w:t>
      </w:r>
    </w:p>
    <w:p>
      <w:pPr>
        <w:spacing w:after="0" w:line="225" w:lineRule="exact"/>
        <w:rPr>
          <w:sz w:val="20"/>
          <w:szCs w:val="20"/>
          <w:color w:val="auto"/>
        </w:rPr>
      </w:pPr>
    </w:p>
    <w:p>
      <w:pPr>
        <w:ind w:left="980" w:hanging="648"/>
        <w:spacing w:after="0"/>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SPS Commerce, Inc.;</w:t>
      </w:r>
    </w:p>
    <w:p>
      <w:pPr>
        <w:spacing w:after="0" w:line="225"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980" w:right="120" w:hanging="648"/>
        <w:spacing w:after="0" w:line="266" w:lineRule="auto"/>
        <w:tabs>
          <w:tab w:leader="none" w:pos="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960" w:right="20" w:hanging="980"/>
        <w:spacing w:after="0" w:line="266" w:lineRule="auto"/>
        <w:tabs>
          <w:tab w:leader="none" w:pos="195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980"/>
        <w:spacing w:after="0" w:line="266"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980"/>
        <w:spacing w:after="0" w:line="266" w:lineRule="auto"/>
        <w:tabs>
          <w:tab w:leader="none" w:pos="195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200" w:hanging="980"/>
        <w:spacing w:after="0" w:line="266"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80" w:right="80" w:hanging="648"/>
        <w:spacing w:after="0" w:line="312" w:lineRule="auto"/>
        <w:tabs>
          <w:tab w:leader="none" w:pos="9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960" w:right="80" w:hanging="980"/>
        <w:spacing w:after="0" w:line="266" w:lineRule="auto"/>
        <w:tabs>
          <w:tab w:leader="none" w:pos="195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20" w:hanging="980"/>
        <w:spacing w:after="0" w:line="282"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KIMBERLY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Kimberly Nelson</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18, 2025</w:t>
      </w:r>
    </w:p>
    <w:p>
      <w:pPr>
        <w:sectPr>
          <w:pgSz w:w="11900" w:h="16838" w:orient="portrait"/>
          <w:cols w:equalWidth="0" w:num="1">
            <w:col w:w="11240"/>
          </w:cols>
          <w:pgMar w:left="320" w:top="114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SPS Commerce, Inc. (the “Company”) for the period ended December 31, 2024,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180" w:lineRule="exact"/>
        <w:rPr>
          <w:sz w:val="20"/>
          <w:szCs w:val="20"/>
          <w:color w:val="auto"/>
        </w:rPr>
      </w:pPr>
    </w:p>
    <w:p>
      <w:pPr>
        <w:ind w:left="980" w:hanging="648"/>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CHADWICK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Chadwick Collins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KIMBERLY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Kimberly Nelson</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18, 2025</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x"/>
      <w:numFmt w:val="bullet"/>
      <w:start w:val="1"/>
    </w:lvl>
  </w:abstractNum>
  <w:abstractNum w:abstractNumId="1">
    <w:nsid w:val="3804823E"/>
    <w:multiLevelType w:val="hybridMultilevel"/>
    <w:lvl w:ilvl="0">
      <w:lvlJc w:val="left"/>
      <w:lvlText w:val="o"/>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lvl w:ilvl="1">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1)"/>
      <w:numFmt w:val="lowerLetter"/>
      <w:start w:val="1"/>
    </w:lvl>
  </w:abstractNum>
  <w:abstractNum w:abstractNumId="28">
    <w:nsid w:val="749ABB43"/>
    <w:multiLevelType w:val="hybridMultilevel"/>
    <w:lvl w:ilvl="0">
      <w:lvlJc w:val="left"/>
      <w:lvlText w:val="**"/>
      <w:numFmt w:val="bullet"/>
      <w:start w:val="1"/>
    </w:lvl>
    <w:lvl w:ilvl="1">
      <w:lvlJc w:val="left"/>
      <w:lvlText w:val="%2"/>
      <w:numFmt w:val="decimal"/>
      <w:start w:val="104"/>
    </w:lvl>
  </w:abstractNum>
  <w:abstractNum w:abstractNumId="29">
    <w:nsid w:val="3DC240FB"/>
    <w:multiLevelType w:val="hybridMultilevel"/>
    <w:lvl w:ilvl="0">
      <w:lvlJc w:val="left"/>
      <w:lvlText w:val="%1."/>
      <w:numFmt w:val="decimal"/>
      <w:start w:val="1"/>
    </w:lvl>
    <w:lvl w:ilvl="1">
      <w:lvlJc w:val="left"/>
      <w:lvlText w:val="(%2)"/>
      <w:numFmt w:val="lowerLetter"/>
      <w:start w:val="1"/>
    </w:lvl>
  </w:abstractNum>
  <w:abstractNum w:abstractNumId="30">
    <w:nsid w:val="1BA026FA"/>
    <w:multiLevelType w:val="hybridMultilevel"/>
    <w:lvl w:ilvl="0">
      <w:lvlJc w:val="left"/>
      <w:lvlText w:val="(%1)"/>
      <w:numFmt w:val="lowerLetter"/>
      <w:start w:val="2"/>
    </w:lvl>
  </w:abstractNum>
  <w:abstractNum w:abstractNumId="31">
    <w:nsid w:val="79A1DEAA"/>
    <w:multiLevelType w:val="hybridMultilevel"/>
    <w:lvl w:ilvl="0">
      <w:lvlJc w:val="left"/>
      <w:lvlText w:val="%1."/>
      <w:numFmt w:val="decimal"/>
      <w:start w:val="5"/>
    </w:lvl>
  </w:abstractNum>
  <w:abstractNum w:abstractNumId="32">
    <w:nsid w:val="75C6C33A"/>
    <w:multiLevelType w:val="hybridMultilevel"/>
    <w:lvl w:ilvl="0">
      <w:lvlJc w:val="left"/>
      <w:lvlText w:val="%1."/>
      <w:numFmt w:val="decimal"/>
      <w:start w:val="1"/>
    </w:lvl>
    <w:lvl w:ilvl="1">
      <w:lvlJc w:val="left"/>
      <w:lvlText w:val="(%2)"/>
      <w:numFmt w:val="lowerLetter"/>
      <w:start w:val="1"/>
    </w:lvl>
  </w:abstractNum>
  <w:abstractNum w:abstractNumId="33">
    <w:nsid w:val="12E685FB"/>
    <w:multiLevelType w:val="hybridMultilevel"/>
    <w:lvl w:ilvl="0">
      <w:lvlJc w:val="left"/>
      <w:lvlText w:val="%1."/>
      <w:numFmt w:val="decimal"/>
      <w:start w:val="5"/>
    </w:lvl>
  </w:abstractNum>
  <w:abstractNum w:abstractNumId="34">
    <w:nsid w:val="70C6A52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35">
    <w:nsid w:val="520EEDD1"/>
    <w:multiLevelType w:val="hybridMultilevel"/>
    <w:lvl w:ilvl="0">
      <w:lvlJc w:val="left"/>
      <w:lvlText w:val="%1."/>
      <w:numFmt w:val="lowerRoman"/>
      <w:start w:val="2"/>
    </w:lvl>
  </w:abstractNum>
  <w:abstractNum w:abstractNumId="36">
    <w:nsid w:val="374A3FE6"/>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7">
    <w:nsid w:val="4F4EF005"/>
    <w:multiLevelType w:val="hybridMultilevel"/>
    <w:lvl w:ilvl="0">
      <w:lvlJc w:val="left"/>
      <w:lvlText w:val="%1."/>
      <w:numFmt w:val="lowerRoman"/>
      <w:start w:val="3"/>
    </w:lvl>
    <w:lvl w:ilvl="1">
      <w:lvlJc w:val="left"/>
      <w:lvlText w:val="%2."/>
      <w:numFmt w:val="upperLetter"/>
      <w:start w:val="9"/>
    </w:lvl>
  </w:abstractNum>
  <w:abstractNum w:abstractNumId="38">
    <w:nsid w:val="23F9C13C"/>
    <w:multiLevelType w:val="hybridMultilevel"/>
    <w:lvl w:ilvl="0">
      <w:lvlJc w:val="left"/>
      <w:lvlText w:val="%1."/>
      <w:numFmt w:val="upperLetter"/>
      <w:start w:val="35"/>
    </w:lvl>
  </w:abstractNum>
  <w:abstractNum w:abstractNumId="39">
    <w:nsid w:val="649BB77C"/>
    <w:multiLevelType w:val="hybridMultilevel"/>
    <w:lvl w:ilvl="0">
      <w:lvlJc w:val="left"/>
      <w:lvlText w:val="%1"/>
      <w:numFmt w:val="decimal"/>
      <w:start w:val="1"/>
    </w:lvl>
    <w:lvl w:ilvl="1">
      <w:lvlJc w:val="left"/>
      <w:lvlText w:val="%2."/>
      <w:numFmt w:val="upperLetter"/>
      <w:start w:val="61"/>
    </w:lvl>
    <w:lvl w:ilvl="2">
      <w:lvlJc w:val="left"/>
      <w:lvlText w:val="(%3)"/>
      <w:numFmt w:val="upperLetter"/>
      <w:start w:val="35"/>
    </w:lvl>
  </w:abstractNum>
  <w:abstractNum w:abstractNumId="40">
    <w:nsid w:val="275AC794"/>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abstractNum>
  <w:abstractNum w:abstractNumId="41">
    <w:nsid w:val="39386575"/>
    <w:multiLevelType w:val="hybridMultilevel"/>
    <w:lvl w:ilvl="0">
      <w:lvlJc w:val="left"/>
      <w:lvlText w:val="%1."/>
      <w:numFmt w:val="decimal"/>
      <w:start w:val="5"/>
    </w:lvl>
  </w:abstractNum>
  <w:abstractNum w:abstractNumId="42">
    <w:nsid w:val="1CF10FD8"/>
    <w:multiLevelType w:val="hybridMultilevel"/>
    <w:lvl w:ilvl="0">
      <w:lvlJc w:val="left"/>
      <w:lvlText w:val="%1."/>
      <w:numFmt w:val="decimal"/>
      <w:start w:val="9"/>
    </w:lvl>
  </w:abstractNum>
  <w:abstractNum w:abstractNumId="43">
    <w:nsid w:val="180115BE"/>
    <w:multiLevelType w:val="hybridMultilevel"/>
    <w:lvl w:ilvl="0">
      <w:lvlJc w:val="left"/>
      <w:lvlText w:val="%1."/>
      <w:numFmt w:val="decimal"/>
      <w:start w:val="1"/>
    </w:lvl>
    <w:lvl w:ilvl="1">
      <w:lvlJc w:val="left"/>
      <w:lvlText w:val="(%2)"/>
      <w:numFmt w:val="lowerLetter"/>
      <w:start w:val="1"/>
    </w:lvl>
  </w:abstractNum>
  <w:abstractNum w:abstractNumId="44">
    <w:nsid w:val="235BA861"/>
    <w:multiLevelType w:val="hybridMultilevel"/>
    <w:lvl w:ilvl="0">
      <w:lvlJc w:val="left"/>
      <w:lvlText w:val="(%1)"/>
      <w:numFmt w:val="lowerLetter"/>
      <w:start w:val="2"/>
    </w:lvl>
    <w:lvl w:ilvl="1">
      <w:lvlJc w:val="left"/>
      <w:lvlText w:val="%2."/>
      <w:numFmt w:val="lowerRoman"/>
      <w:start w:val="1"/>
    </w:lvl>
  </w:abstractNum>
  <w:abstractNum w:abstractNumId="45">
    <w:nsid w:val="47398C89"/>
    <w:multiLevelType w:val="hybridMultilevel"/>
    <w:lvl w:ilvl="0">
      <w:lvlJc w:val="left"/>
      <w:lvlText w:val="%1."/>
      <w:numFmt w:val="lowerRoman"/>
      <w:start w:val="3"/>
    </w:lvl>
  </w:abstractNum>
  <w:abstractNum w:abstractNumId="46">
    <w:nsid w:val="354FE9F9"/>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3"/>
    </w:lvl>
  </w:abstractNum>
  <w:abstractNum w:abstractNumId="47">
    <w:nsid w:val="15B5AF5C"/>
    <w:multiLevelType w:val="hybridMultilevel"/>
    <w:lvl w:ilvl="0">
      <w:lvlJc w:val="left"/>
      <w:lvlText w:val="%1."/>
      <w:numFmt w:val="lowerRoman"/>
      <w:start w:val="1"/>
    </w:lvl>
    <w:lvl w:ilvl="1">
      <w:lvlJc w:val="left"/>
      <w:lvlText w:val="%2."/>
      <w:numFmt w:val="lowerRoman"/>
      <w:start w:val="2"/>
    </w:lvl>
    <w:lvl w:ilvl="2">
      <w:lvlJc w:val="left"/>
      <w:lvlText w:val="%3"/>
      <w:numFmt w:val="lowerLetter"/>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
    </w:lvl>
    <w:lvl w:ilvl="1">
      <w:lvlJc w:val="left"/>
      <w:lvlText w:val="(%2)"/>
      <w:numFmt w:val="lowerLetter"/>
      <w:start w:val="4"/>
    </w:lvl>
  </w:abstractNum>
  <w:abstractNum w:abstractNumId="50">
    <w:nsid w:val="10233C99"/>
    <w:multiLevelType w:val="hybridMultilevel"/>
    <w:lvl w:ilvl="0">
      <w:lvlJc w:val="left"/>
      <w:lvlText w:val="%1."/>
      <w:numFmt w:val="decimal"/>
      <w:start w:val="5"/>
    </w:lvl>
    <w:lvl w:ilvl="1">
      <w:lvlJc w:val="left"/>
      <w:lvlText w:val="%2"/>
      <w:numFmt w:val="lowerLetter"/>
      <w:start w:val="1"/>
    </w:lvl>
  </w:abstractNum>
  <w:abstractNum w:abstractNumId="51">
    <w:nsid w:val="3F6AB60F"/>
    <w:multiLevelType w:val="hybridMultilevel"/>
    <w:lvl w:ilvl="0">
      <w:lvlJc w:val="left"/>
      <w:lvlText w:val="%1."/>
      <w:numFmt w:val="decimal"/>
      <w:start w:val="8"/>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1."/>
      <w:numFmt w:val="upperLetter"/>
      <w:start w:val="1"/>
    </w:lvl>
    <w:lvl w:ilvl="1">
      <w:lvlJc w:val="left"/>
      <w:lvlText w:val="%2."/>
      <w:numFmt w:val="decimal"/>
      <w:start w:val="1"/>
    </w:lvl>
  </w:abstractNum>
  <w:abstractNum w:abstractNumId="54">
    <w:nsid w:val="77AE35EB"/>
    <w:multiLevelType w:val="hybridMultilevel"/>
    <w:lvl w:ilvl="0">
      <w:lvlJc w:val="left"/>
      <w:lvlText w:val="%1."/>
      <w:numFmt w:val="upperLetter"/>
      <w:start w:val="4"/>
    </w:lvl>
    <w:lvl w:ilvl="1">
      <w:lvlJc w:val="left"/>
      <w:lvlText w:val="•"/>
      <w:numFmt w:val="bullet"/>
      <w:start w:val="1"/>
    </w:lvl>
    <w:lvl w:ilvl="2">
      <w:lvlJc w:val="left"/>
      <w:lvlText w:val="%3."/>
      <w:numFmt w:val="decimal"/>
      <w:start w:val="1"/>
    </w:lvl>
  </w:abstractNum>
  <w:abstractNum w:abstractNumId="55">
    <w:nsid w:val="579BE4F1"/>
    <w:multiLevelType w:val="hybridMultilevel"/>
    <w:lvl w:ilvl="0">
      <w:lvlJc w:val="left"/>
      <w:lvlText w:val="%1"/>
      <w:numFmt w:val="lowerRoman"/>
      <w:start w:val="1"/>
    </w:lvl>
    <w:lvl w:ilvl="1">
      <w:lvlJc w:val="left"/>
      <w:lvlText w:val="%2."/>
      <w:numFmt w:val="decimal"/>
      <w:start w:val="4"/>
    </w:lvl>
  </w:abstractNum>
  <w:abstractNum w:abstractNumId="56">
    <w:nsid w:val="310C50B3"/>
    <w:multiLevelType w:val="hybridMultilevel"/>
    <w:lvl w:ilvl="0">
      <w:lvlJc w:val="left"/>
      <w:lvlText w:val="(%1)"/>
      <w:numFmt w:val="lowerRoman"/>
      <w:start w:val="1"/>
    </w:lvl>
    <w:lvl w:ilvl="1">
      <w:lvlJc w:val="left"/>
      <w:lvlText w:val="%2"/>
      <w:numFmt w:val="decimal"/>
      <w:start w:val="1"/>
    </w:lvl>
  </w:abstractNum>
  <w:abstractNum w:abstractNumId="57">
    <w:nsid w:val="5FF87E05"/>
    <w:multiLevelType w:val="hybridMultilevel"/>
    <w:lvl w:ilvl="0">
      <w:lvlJc w:val="left"/>
      <w:lvlText w:val="%1."/>
      <w:numFmt w:val="upperLetter"/>
      <w:start w:val="1"/>
    </w:lvl>
    <w:lvl w:ilvl="1">
      <w:lvlJc w:val="left"/>
      <w:lvlText w:val="%2."/>
      <w:numFmt w:val="decimal"/>
      <w:start w:val="1"/>
    </w:lvl>
  </w:abstractNum>
  <w:abstractNum w:abstractNumId="58">
    <w:nsid w:val="2F305DEF"/>
    <w:multiLevelType w:val="hybridMultilevel"/>
    <w:lvl w:ilvl="0">
      <w:lvlJc w:val="left"/>
      <w:lvlText w:val="%1."/>
      <w:numFmt w:val="upperLetter"/>
      <w:start w:val="3"/>
    </w:lvl>
    <w:lvl w:ilvl="1">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upperLetter"/>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1."/>
      <w:numFmt w:val="upperLetter"/>
      <w:start w:val="1"/>
    </w:lvl>
    <w:lvl w:ilvl="1">
      <w:lvlJc w:val="left"/>
      <w:lvlText w:val="%2."/>
      <w:numFmt w:val="upperLetter"/>
      <w:start w:val="1"/>
    </w:lvl>
  </w:abstractNum>
  <w:abstractNum w:abstractNumId="63">
    <w:nsid w:val="1381823A"/>
    <w:multiLevelType w:val="hybridMultilevel"/>
    <w:lvl w:ilvl="0">
      <w:lvlJc w:val="left"/>
      <w:lvlText w:val="%1."/>
      <w:numFmt w:val="upperLetter"/>
      <w:start w:val="3"/>
    </w:lvl>
    <w:lvl w:ilvl="1">
      <w:lvlJc w:val="left"/>
      <w:lvlText w:val="%2."/>
      <w:numFmt w:val="upperLetter"/>
      <w:start w:val="1"/>
    </w:lvl>
  </w:abstractNum>
  <w:abstractNum w:abstractNumId="64">
    <w:nsid w:val="5DB70AE5"/>
    <w:multiLevelType w:val="hybridMultilevel"/>
    <w:lvl w:ilvl="0">
      <w:lvlJc w:val="left"/>
      <w:lvlText w:val="%1."/>
      <w:numFmt w:val="upperLetter"/>
      <w:start w:val="4"/>
    </w:lvl>
    <w:lvl w:ilvl="1">
      <w:lvlJc w:val="left"/>
      <w:lvlText w:val="%2"/>
      <w:numFmt w:val="upperLetter"/>
      <w:start w:val="1"/>
    </w:lvl>
  </w:abstractNum>
  <w:abstractNum w:abstractNumId="65">
    <w:nsid w:val="100F8FCA"/>
    <w:multiLevelType w:val="hybridMultilevel"/>
    <w:lvl w:ilvl="0">
      <w:lvlJc w:val="left"/>
      <w:lvlText w:val="%1"/>
      <w:numFmt w:val="upperLetter"/>
      <w:start w:val="1"/>
    </w:lvl>
    <w:lvl w:ilvl="1">
      <w:lvlJc w:val="left"/>
      <w:lvlText w:val="%2."/>
      <w:numFmt w:val="upperLetter"/>
      <w:start w:val="2"/>
    </w:lvl>
  </w:abstractNum>
  <w:abstractNum w:abstractNumId="66">
    <w:nsid w:val="6590700B"/>
    <w:multiLevelType w:val="hybridMultilevel"/>
    <w:lvl w:ilvl="0">
      <w:lvlJc w:val="left"/>
      <w:lvlText w:val="%1."/>
      <w:numFmt w:val="upperLetter"/>
      <w:start w:val="5"/>
    </w:lvl>
    <w:lvl w:ilvl="1">
      <w:lvlJc w:val="left"/>
      <w:lvlText w:val="%2."/>
      <w:numFmt w:val="upperLetter"/>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jpeg"/><Relationship Id="rId184" Type="http://schemas.openxmlformats.org/officeDocument/2006/relationships/image" Target="media/image153.jpe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jpe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jpeg"/><Relationship Id="rId196" Type="http://schemas.openxmlformats.org/officeDocument/2006/relationships/image" Target="media/image165.jpeg"/><Relationship Id="rId197" Type="http://schemas.openxmlformats.org/officeDocument/2006/relationships/image" Target="media/image166.jpeg"/><Relationship Id="rId198" Type="http://schemas.openxmlformats.org/officeDocument/2006/relationships/image" Target="media/image167.jpeg"/><Relationship Id="rId199" Type="http://schemas.openxmlformats.org/officeDocument/2006/relationships/image" Target="media/image168.jpeg"/><Relationship Id="rId200" Type="http://schemas.openxmlformats.org/officeDocument/2006/relationships/image" Target="media/image169.jpeg"/><Relationship Id="rId201" Type="http://schemas.openxmlformats.org/officeDocument/2006/relationships/image" Target="media/image170.jpe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157" Type="http://schemas.openxmlformats.org/officeDocument/2006/relationships/hyperlink" Target="https://www.sec.gov/Archives/edgar/data/1092699/000109269924000050/exhibit31.htm" TargetMode="External"/><Relationship Id="rId158" Type="http://schemas.openxmlformats.org/officeDocument/2006/relationships/hyperlink" Target="https://www.sec.gov/Archives/edgar/data/1092699/000109269923000006/a2022_10kxex32-bylawsclean.htm" TargetMode="External"/><Relationship Id="rId159" Type="http://schemas.openxmlformats.org/officeDocument/2006/relationships/hyperlink" Target="https://www.sec.gov/Archives/edgar/data/1092699/000156459021007614/spsc-ex41_8.htm" TargetMode="External"/><Relationship Id="rId160" Type="http://schemas.openxmlformats.org/officeDocument/2006/relationships/hyperlink" Target="https://www.sec.gov/Archives/edgar/data/1092699/000119312515056499/d845442dex106.htm" TargetMode="External"/><Relationship Id="rId161" Type="http://schemas.openxmlformats.org/officeDocument/2006/relationships/hyperlink" Target="https://www.sec.gov/Archives/edgar/data/1092699/000119312512067639/d303784dex102.htm" TargetMode="External"/><Relationship Id="rId162" Type="http://schemas.openxmlformats.org/officeDocument/2006/relationships/hyperlink" Target="https://www.sec.gov/Archives/edgar/data/1092699/000109269923000006/sps_ex103optionagreementem.htm" TargetMode="External"/><Relationship Id="rId163" Type="http://schemas.openxmlformats.org/officeDocument/2006/relationships/hyperlink" Target="https://www.sec.gov/Archives/edgar/data/1092699/000119312512067639/d303784dex104.htm" TargetMode="External"/><Relationship Id="rId164" Type="http://schemas.openxmlformats.org/officeDocument/2006/relationships/hyperlink" Target="https://www.sec.gov/Archives/edgar/data/1092699/000109269923000006/a2022_10kxex105rsuagreement.htm" TargetMode="External"/><Relationship Id="rId165" Type="http://schemas.openxmlformats.org/officeDocument/2006/relationships/hyperlink" Target="https://www.sec.gov/Archives/edgar/data/1092699/000119312512218022/d343890dex106.htm" TargetMode="External"/><Relationship Id="rId166" Type="http://schemas.openxmlformats.org/officeDocument/2006/relationships/hyperlink" Target="https://www.sec.gov/Archives/edgar/data/1092699/000109269923000006/a2022_10kxex107psuagreement.htm" TargetMode="External"/><Relationship Id="rId167" Type="http://schemas.openxmlformats.org/officeDocument/2006/relationships/hyperlink" Target="https://www.sec.gov/Archives/edgar/data/1092699/000095012310001751/c54716a1exv10w18.htm" TargetMode="External"/><Relationship Id="rId168" Type="http://schemas.openxmlformats.org/officeDocument/2006/relationships/hyperlink" Target="https://www.sec.gov/Archives/edgar/data/1092699/000095012310001751/c54716a1exv10w19.htm" TargetMode="External"/><Relationship Id="rId169" Type="http://schemas.openxmlformats.org/officeDocument/2006/relationships/hyperlink" Target="https://www.sec.gov/Archives/edgar/data/1092699/000119312516449360/d113029dex102.htm" TargetMode="External"/><Relationship Id="rId170" Type="http://schemas.openxmlformats.org/officeDocument/2006/relationships/hyperlink" Target="https://www.sec.gov/Archives/edgar/data/1092699/000109269923000011/a101-ablackamendmenttoseve.htm" TargetMode="External"/><Relationship Id="rId171" Type="http://schemas.openxmlformats.org/officeDocument/2006/relationships/hyperlink" Target="https://www.sec.gov/Archives/edgar/data/1092699/000119312520040291/d890301dex101.htm" TargetMode="External"/><Relationship Id="rId172" Type="http://schemas.openxmlformats.org/officeDocument/2006/relationships/hyperlink" Target="https://www.sec.gov/Archives/edgar/data/1092699/000109269924000050/exhibit101.htm" TargetMode="External"/><Relationship Id="rId173" Type="http://schemas.openxmlformats.org/officeDocument/2006/relationships/hyperlink" Target="https://www.sec.gov/Archives/edgar/data/1092699/000109269924000050/exhibit102.htm" TargetMode="External"/><Relationship Id="rId174" Type="http://schemas.openxmlformats.org/officeDocument/2006/relationships/hyperlink" Target="https://www.sec.gov/Archives/edgar/data/0001092699/000119312520040291/d890301dex102.htm" TargetMode="External"/><Relationship Id="rId178" Type="http://schemas.openxmlformats.org/officeDocument/2006/relationships/hyperlink" Target="https://www.sec.gov/Archives/edgar/data/1092699/000109269923000011/a103-formexecutiveamendmen.htm" TargetMode="External"/><Relationship Id="rId179" Type="http://schemas.openxmlformats.org/officeDocument/2006/relationships/hyperlink" Target="https://www.sec.gov/Archives/edgar/data/1092699/000109269923000047/a101-ex1xcollins_offerlett.htm" TargetMode="External"/><Relationship Id="rId180" Type="http://schemas.openxmlformats.org/officeDocument/2006/relationships/hyperlink" Target="https://www.sec.gov/Archives/edgar/data/1092699/000109269923000047/a102-ex2xexecutiveseveranc.htm" TargetMode="External"/><Relationship Id="rId181" Type="http://schemas.openxmlformats.org/officeDocument/2006/relationships/hyperlink" Target="https://www.sec.gov/ix?doc=/Archives/edgar/data/1092699/000109269924000074/spsc-20240930.htm" TargetMode="External"/><Relationship Id="rId182" Type="http://schemas.openxmlformats.org/officeDocument/2006/relationships/hyperlink" Target="https://www.sec.gov/ix?doc=/Archives/edgar/data/1092699/000119312525000693/d875283d8k.htm" TargetMode="External"/><Relationship Id="rId183" Type="http://schemas.openxmlformats.org/officeDocument/2006/relationships/hyperlink" Target="https://www.sec.gov/Archives/edgar/data/1092699/000109269924000012/a2023_xexex97compensation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2025-02-19T05:29:47Z</dcterms:created>
  <dcterms:modified xsi:type="dcterms:W3CDTF">2025-02-19T05:29:47Z</dcterms:modified>
</cp:coreProperties>
</file>