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ind w:left="0" w:right="0" w:hanging="490"/>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________ to 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Commission file number 001-34702</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SPS COMMERCE, INC.</w:t>
      </w:r>
    </w:p>
    <w:p>
      <w:pPr>
        <w:pStyle w:val="TextBody"/>
        <w:bidi w:val="0"/>
        <w:spacing w:before="0" w:after="0"/>
        <w:jc w:val="center"/>
        <w:rPr/>
      </w:pPr>
      <w:r>
        <w:rPr/>
        <w:drawing>
          <wp:inline distT="0" distB="0" distL="0" distR="0">
            <wp:extent cx="914400"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8763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(Exact Name of Registrant as Specified in its Charter)</w:t>
      </w:r>
    </w:p>
    <w:tbl>
      <w:tblPr>
        <w:tblW w:w="3719" w:type="dxa"/>
        <w:jc w:val="center"/>
        <w:tblInd w:w="0" w:type="dxa"/>
        <w:tblLayout w:type="fixed"/>
        <w:tblCellMar>
          <w:top w:w="28" w:type="dxa"/>
          <w:left w:w="28" w:type="dxa"/>
          <w:bottom w:w="28" w:type="dxa"/>
          <w:right w:w="28" w:type="dxa"/>
        </w:tblCellMar>
      </w:tblPr>
      <w:tblGrid>
        <w:gridCol w:w="819"/>
        <w:gridCol w:w="718"/>
        <w:gridCol w:w="727"/>
        <w:gridCol w:w="425"/>
        <w:gridCol w:w="425"/>
        <w:gridCol w:w="605"/>
      </w:tblGrid>
      <w:tr>
        <w:trPr/>
        <w:tc>
          <w:tcPr>
            <w:tcW w:w="8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41-2015127</w:t>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(State or other jurisdiction of</w:t>
            </w:r>
          </w:p>
          <w:p>
            <w:pPr>
              <w:pStyle w:val="TableContents"/>
              <w:bidi w:val="0"/>
              <w:spacing w:lineRule="auto" w:line="276" w:before="0" w:after="0"/>
              <w:jc w:val="center"/>
              <w:rPr>
                <w:rFonts w:ascii="Times New Roman;serif" w:hAnsi="Times New Roman;serif"/>
                <w:b/>
                <w:i/>
                <w:color w:val="000000"/>
                <w:sz w:val="16"/>
              </w:rPr>
            </w:pPr>
            <w:r>
              <w:rPr>
                <w:rFonts w:ascii="Times New Roman;serif" w:hAnsi="Times New Roman;serif"/>
                <w:b/>
                <w:i/>
                <w:color w:val="000000"/>
                <w:sz w:val="16"/>
              </w:rPr>
              <w:t>incorporation or organization)</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(I.R.S. Employer</w:t>
            </w:r>
          </w:p>
          <w:p>
            <w:pPr>
              <w:pStyle w:val="TableContents"/>
              <w:bidi w:val="0"/>
              <w:spacing w:lineRule="auto" w:line="276" w:before="0" w:after="0"/>
              <w:jc w:val="center"/>
              <w:rPr>
                <w:rFonts w:ascii="Times New Roman;serif" w:hAnsi="Times New Roman;serif"/>
                <w:b/>
                <w:i/>
                <w:color w:val="000000"/>
                <w:sz w:val="16"/>
              </w:rPr>
            </w:pPr>
            <w:r>
              <w:rPr>
                <w:rFonts w:ascii="Times New Roman;serif" w:hAnsi="Times New Roman;serif"/>
                <w:b/>
                <w:i/>
                <w:color w:val="000000"/>
                <w:sz w:val="16"/>
              </w:rPr>
              <w:t>Identification No.)</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333 South Seventh Street, Suite 1000, Minneapolis, MN 55402</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(Address of principal executive offices, including Zip Code)</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(612) 435-9400</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(Registrant’s telephone number, including area code)</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9112" w:type="dxa"/>
        <w:jc w:val="left"/>
        <w:tblInd w:w="0" w:type="dxa"/>
        <w:tblLayout w:type="fixed"/>
        <w:tblCellMar>
          <w:top w:w="28" w:type="dxa"/>
          <w:left w:w="28" w:type="dxa"/>
          <w:bottom w:w="28" w:type="dxa"/>
          <w:right w:w="28" w:type="dxa"/>
        </w:tblCellMar>
      </w:tblPr>
      <w:tblGrid>
        <w:gridCol w:w="1139"/>
        <w:gridCol w:w="999"/>
        <w:gridCol w:w="1012"/>
        <w:gridCol w:w="109"/>
        <w:gridCol w:w="109"/>
        <w:gridCol w:w="109"/>
        <w:gridCol w:w="424"/>
        <w:gridCol w:w="424"/>
        <w:gridCol w:w="426"/>
        <w:gridCol w:w="109"/>
        <w:gridCol w:w="109"/>
        <w:gridCol w:w="109"/>
        <w:gridCol w:w="1181"/>
        <w:gridCol w:w="1181"/>
        <w:gridCol w:w="1672"/>
      </w:tblGrid>
      <w:tr>
        <w:trPr/>
        <w:tc>
          <w:tcPr>
            <w:tcW w:w="113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exchange on which registered</w:t>
            </w:r>
          </w:p>
        </w:tc>
      </w:tr>
      <w:tr>
        <w:trPr/>
        <w:tc>
          <w:tcPr>
            <w:tcW w:w="315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SPSC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 (Nasdaq Global Market)</w:t>
            </w:r>
          </w:p>
        </w:tc>
      </w:tr>
    </w:tbl>
    <w:p>
      <w:pPr>
        <w:pStyle w:val="TextBody"/>
        <w:bidi w:val="0"/>
        <w:spacing w:lineRule="auto" w:line="288" w:before="60" w:after="283"/>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60" w:after="283"/>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60" w:after="283"/>
        <w:jc w:val="left"/>
        <w:rPr/>
      </w:pPr>
      <w:r>
        <w:rPr>
          <w:rFonts w:ascii="Times New Roman;serif" w:hAnsi="Times New Roman;serif"/>
          <w:b w:val="false"/>
          <w:color w:val="000000"/>
          <w:sz w:val="18"/>
        </w:rPr>
        <w:t>The number of shares of the registrant’s common stock, par value $0.001 per share, outstanding at July 23, 2026 was 36,000,174 sh</w:t>
      </w:r>
      <w:r>
        <w:rPr>
          <w:rFonts w:ascii="Times New Roman;serif" w:hAnsi="Times New Roman;serif"/>
          <w:b w:val="false"/>
          <w:color w:val="000000"/>
          <w:sz w:val="18"/>
          <w:shd w:fill="FFFFFF" w:val="clear"/>
        </w:rPr>
        <w:t>ares</w:t>
      </w:r>
      <w:r>
        <w:rPr>
          <w:rFonts w:ascii="Times New Roman;serif" w:hAnsi="Times New Roman;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240" w:after="283"/>
        <w:jc w:val="center"/>
        <w:rPr>
          <w:rFonts w:ascii="Times New Roman;serif" w:hAnsi="Times New Roman;serif"/>
          <w:b/>
          <w:color w:val="00AAE5"/>
          <w:sz w:val="20"/>
        </w:rPr>
      </w:pPr>
      <w:r>
        <w:rPr>
          <w:rFonts w:ascii="Times New Roman;serif" w:hAnsi="Times New Roman;serif"/>
          <w:b/>
          <w:color w:val="00AAE5"/>
          <w:sz w:val="20"/>
        </w:rPr>
        <w:t>SPS COMMERCE, INC.</w:t>
      </w:r>
    </w:p>
    <w:p>
      <w:pPr>
        <w:pStyle w:val="TextBody"/>
        <w:bidi w:val="0"/>
        <w:spacing w:lineRule="auto" w:line="288" w:before="0" w:after="0"/>
        <w:jc w:val="center"/>
        <w:rPr>
          <w:rFonts w:ascii="Times New Roman;serif" w:hAnsi="Times New Roman;serif"/>
          <w:b/>
          <w:color w:val="00AAE5"/>
          <w:sz w:val="20"/>
        </w:rPr>
      </w:pPr>
      <w:r>
        <w:rPr>
          <w:rFonts w:ascii="Times New Roman;serif" w:hAnsi="Times New Roman;serif"/>
          <w:b/>
          <w:color w:val="00AAE5"/>
          <w:sz w:val="20"/>
        </w:rPr>
        <w:t>QUARTERLY REPORT ON FORM 10-Q</w:t>
      </w:r>
    </w:p>
    <w:p>
      <w:pPr>
        <w:pStyle w:val="TextBody"/>
        <w:bidi w:val="0"/>
        <w:spacing w:lineRule="auto" w:line="288" w:before="0" w:after="0"/>
        <w:jc w:val="center"/>
        <w:rPr>
          <w:rFonts w:ascii="Times New Roman;serif" w:hAnsi="Times New Roman;serif"/>
          <w:b/>
          <w:color w:val="00AAE5"/>
          <w:sz w:val="20"/>
        </w:rPr>
      </w:pPr>
      <w:r>
        <w:rPr>
          <w:rFonts w:ascii="Times New Roman;serif" w:hAnsi="Times New Roman;serif"/>
          <w:b/>
          <w:color w:val="00AAE5"/>
          <w:sz w:val="20"/>
        </w:rPr>
        <w:t>TABLE OF CONTENTS</w:t>
      </w:r>
    </w:p>
    <w:tbl>
      <w:tblPr>
        <w:tblW w:w="9670" w:type="dxa"/>
        <w:jc w:val="center"/>
        <w:tblInd w:w="0" w:type="dxa"/>
        <w:tblLayout w:type="fixed"/>
        <w:tblCellMar>
          <w:top w:w="28" w:type="dxa"/>
          <w:left w:w="28" w:type="dxa"/>
          <w:bottom w:w="28" w:type="dxa"/>
          <w:right w:w="28" w:type="dxa"/>
        </w:tblCellMar>
      </w:tblPr>
      <w:tblGrid>
        <w:gridCol w:w="630"/>
        <w:gridCol w:w="552"/>
        <w:gridCol w:w="552"/>
        <w:gridCol w:w="2439"/>
        <w:gridCol w:w="2439"/>
        <w:gridCol w:w="2487"/>
        <w:gridCol w:w="167"/>
        <w:gridCol w:w="167"/>
        <w:gridCol w:w="237"/>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90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10">
              <w:r>
                <w:rPr>
                  <w:rStyle w:val="InternetLink"/>
                  <w:rFonts w:ascii="Times New Roman;serif" w:hAnsi="Times New Roman;serif"/>
                  <w:b/>
                  <w:color w:val="0000FF"/>
                  <w:sz w:val="20"/>
                  <w:u w:val="single"/>
                </w:rPr>
                <w:t>PART I. FINANCIAL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13">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13">
              <w:r>
                <w:rPr>
                  <w:rStyle w:val="InternetLink"/>
                  <w:rFonts w:ascii="Times New Roman;serif" w:hAnsi="Times New Roman;serif"/>
                  <w:b w:val="false"/>
                  <w:color w:val="0000FF"/>
                  <w:sz w:val="20"/>
                  <w:u w:val="single"/>
                </w:rPr>
                <w:t>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a28d40d1e4b239d4f5ce701881f42_10">
              <w:r>
                <w:rPr>
                  <w:rStyle w:val="InternetLink"/>
                  <w:rFonts w:ascii="Times New Roman;serif" w:hAnsi="Times New Roman;serif"/>
                  <w:b w:val="false"/>
                  <w:strike w:val="false"/>
                  <w:dstrike w:val="false"/>
                  <w:color w:val="000000"/>
                  <w:sz w:val="20"/>
                  <w:u w:val="none"/>
                  <w:effect w:val="none"/>
                </w:rPr>
                <w:t>3</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16">
              <w:r>
                <w:rPr>
                  <w:rStyle w:val="InternetLink"/>
                  <w:rFonts w:ascii="Times New Roman;serif" w:hAnsi="Times New Roman;serif"/>
                  <w:b w:val="false"/>
                  <w:color w:val="0000FF"/>
                  <w:sz w:val="20"/>
                  <w:u w:val="single"/>
                </w:rPr>
                <w:t xml:space="preserve">Condensed Consolidated Balance Sheets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a28d40d1e4b239d4f5ce701881f42_16">
              <w:r>
                <w:rPr>
                  <w:rStyle w:val="InternetLink"/>
                  <w:rFonts w:ascii="Times New Roman;serif" w:hAnsi="Times New Roman;serif"/>
                  <w:b w:val="false"/>
                  <w:strike w:val="false"/>
                  <w:dstrike w:val="false"/>
                  <w:color w:val="000000"/>
                  <w:sz w:val="20"/>
                  <w:u w:val="none"/>
                  <w:effect w:val="none"/>
                </w:rPr>
                <w:t>3</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19">
              <w:r>
                <w:rPr>
                  <w:rStyle w:val="InternetLink"/>
                  <w:rFonts w:ascii="Times New Roman;serif" w:hAnsi="Times New Roman;serif"/>
                  <w:b w:val="false"/>
                  <w:color w:val="0000FF"/>
                  <w:sz w:val="20"/>
                  <w:u w:val="single"/>
                </w:rPr>
                <w:t xml:space="preserve">Condensed Consolidated Statements of Comprehensive Income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a28d40d1e4b239d4f5ce701881f42_19">
              <w:r>
                <w:rPr>
                  <w:rStyle w:val="InternetLink"/>
                  <w:rFonts w:ascii="Times New Roman;serif" w:hAnsi="Times New Roman;serif"/>
                  <w:b w:val="false"/>
                  <w:strike w:val="false"/>
                  <w:dstrike w:val="false"/>
                  <w:color w:val="000000"/>
                  <w:sz w:val="20"/>
                  <w:u w:val="none"/>
                  <w:effect w:val="none"/>
                </w:rPr>
                <w:t>4</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22">
              <w:r>
                <w:rPr>
                  <w:rStyle w:val="InternetLink"/>
                  <w:rFonts w:ascii="Times New Roman;serif" w:hAnsi="Times New Roman;serif"/>
                  <w:b w:val="false"/>
                  <w:color w:val="0000FF"/>
                  <w:sz w:val="20"/>
                  <w:u w:val="single"/>
                </w:rPr>
                <w:t xml:space="preserve">Condensed Consolidated Statements of Stockholders’ Equity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a28d40d1e4b239d4f5ce701881f42_22">
              <w:r>
                <w:rPr>
                  <w:rStyle w:val="InternetLink"/>
                  <w:rFonts w:ascii="Times New Roman;serif" w:hAnsi="Times New Roman;serif"/>
                  <w:b w:val="false"/>
                  <w:strike w:val="false"/>
                  <w:dstrike w:val="false"/>
                  <w:color w:val="000000"/>
                  <w:sz w:val="20"/>
                  <w:u w:val="none"/>
                  <w:effect w:val="none"/>
                </w:rPr>
                <w:t>5</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31">
              <w:r>
                <w:rPr>
                  <w:rStyle w:val="InternetLink"/>
                  <w:rFonts w:ascii="Times New Roman;serif" w:hAnsi="Times New Roman;serif"/>
                  <w:b w:val="false"/>
                  <w:color w:val="0000FF"/>
                  <w:sz w:val="20"/>
                  <w:u w:val="single"/>
                </w:rPr>
                <w:t xml:space="preserve">Condensed Consolidated Statements of Cash Flows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a28d40d1e4b239d4f5ce701881f42_31">
              <w:r>
                <w:rPr>
                  <w:rStyle w:val="InternetLink"/>
                  <w:rFonts w:ascii="Times New Roman;serif" w:hAnsi="Times New Roman;serif"/>
                  <w:b w:val="false"/>
                  <w:strike w:val="false"/>
                  <w:dstrike w:val="false"/>
                  <w:color w:val="000000"/>
                  <w:sz w:val="20"/>
                  <w:u w:val="none"/>
                  <w:effect w:val="none"/>
                </w:rPr>
                <w:t>7</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37">
              <w:r>
                <w:rPr>
                  <w:rStyle w:val="InternetLink"/>
                  <w:rFonts w:ascii="Times New Roman;serif" w:hAnsi="Times New Roman;serif"/>
                  <w:b w:val="false"/>
                  <w:color w:val="0000FF"/>
                  <w:sz w:val="20"/>
                  <w:u w:val="single"/>
                </w:rPr>
                <w:t>Notes to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a28d40d1e4b239d4f5ce701881f42_37">
              <w:r>
                <w:rPr>
                  <w:rStyle w:val="InternetLink"/>
                  <w:rFonts w:ascii="Times New Roman;serif" w:hAnsi="Times New Roman;serif"/>
                  <w:b w:val="false"/>
                  <w:strike w:val="false"/>
                  <w:dstrike w:val="false"/>
                  <w:color w:val="000000"/>
                  <w:sz w:val="20"/>
                  <w:u w:val="none"/>
                  <w:effect w:val="none"/>
                </w:rPr>
                <w:t>8</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82">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a28d40d1e4b239d4f5ce701881f42_82">
              <w:r>
                <w:rPr>
                  <w:rStyle w:val="InternetLink"/>
                  <w:rFonts w:ascii="Times New Roman;serif" w:hAnsi="Times New Roman;serif"/>
                  <w:b w:val="false"/>
                  <w:strike w:val="false"/>
                  <w:dstrike w:val="false"/>
                  <w:color w:val="000000"/>
                  <w:sz w:val="20"/>
                  <w:u w:val="none"/>
                  <w:effect w:val="none"/>
                </w:rPr>
                <w:t>21</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103">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103">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a28d40d1e4b239d4f5ce701881f42_103">
              <w:r>
                <w:rPr>
                  <w:rStyle w:val="InternetLink"/>
                  <w:rFonts w:ascii="Times New Roman;serif" w:hAnsi="Times New Roman;serif"/>
                  <w:b w:val="false"/>
                  <w:strike w:val="false"/>
                  <w:dstrike w:val="false"/>
                  <w:color w:val="000000"/>
                  <w:sz w:val="20"/>
                  <w:u w:val="none"/>
                  <w:effect w:val="none"/>
                </w:rPr>
                <w:t>30</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121">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121">
              <w:r>
                <w:rPr>
                  <w:rStyle w:val="InternetLink"/>
                  <w:rFonts w:ascii="Times New Roman;serif" w:hAnsi="Times New Roman;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a28d40d1e4b239d4f5ce701881f42_121">
              <w:r>
                <w:rPr>
                  <w:rStyle w:val="InternetLink"/>
                  <w:rFonts w:ascii="Times New Roman;serif" w:hAnsi="Times New Roman;serif"/>
                  <w:b w:val="false"/>
                  <w:strike w:val="false"/>
                  <w:dstrike w:val="false"/>
                  <w:color w:val="000000"/>
                  <w:sz w:val="20"/>
                  <w:u w:val="none"/>
                  <w:effect w:val="none"/>
                </w:rPr>
                <w:t>31</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124">
              <w:r>
                <w:rPr>
                  <w:rStyle w:val="InternetLink"/>
                  <w:rFonts w:ascii="Times New Roman;serif" w:hAnsi="Times New Roman;serif"/>
                  <w:b/>
                  <w:color w:val="0000FF"/>
                  <w:sz w:val="20"/>
                  <w:u w:val="single"/>
                </w:rPr>
                <w:t>PART II. OTHER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127">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127">
              <w:r>
                <w:rPr>
                  <w:rStyle w:val="InternetLink"/>
                  <w:rFonts w:ascii="Times New Roman;serif" w:hAnsi="Times New Roman;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a28d40d1e4b239d4f5ce701881f42_127">
              <w:r>
                <w:rPr>
                  <w:rStyle w:val="InternetLink"/>
                  <w:rFonts w:ascii="Times New Roman;serif" w:hAnsi="Times New Roman;serif"/>
                  <w:b w:val="false"/>
                  <w:strike w:val="false"/>
                  <w:dstrike w:val="false"/>
                  <w:color w:val="000000"/>
                  <w:sz w:val="20"/>
                  <w:u w:val="none"/>
                  <w:effect w:val="none"/>
                </w:rPr>
                <w:t>32</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130">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130">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a28d40d1e4b239d4f5ce701881f42_130">
              <w:r>
                <w:rPr>
                  <w:rStyle w:val="InternetLink"/>
                  <w:rFonts w:ascii="Times New Roman;serif" w:hAnsi="Times New Roman;serif"/>
                  <w:b w:val="false"/>
                  <w:strike w:val="false"/>
                  <w:dstrike w:val="false"/>
                  <w:color w:val="000000"/>
                  <w:sz w:val="20"/>
                  <w:u w:val="none"/>
                  <w:effect w:val="none"/>
                </w:rPr>
                <w:t>32</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133">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133">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a28d40d1e4b239d4f5ce701881f42_133">
              <w:r>
                <w:rPr>
                  <w:rStyle w:val="InternetLink"/>
                  <w:rFonts w:ascii="Times New Roman;serif" w:hAnsi="Times New Roman;serif"/>
                  <w:b w:val="false"/>
                  <w:strike w:val="false"/>
                  <w:dstrike w:val="false"/>
                  <w:color w:val="000000"/>
                  <w:sz w:val="20"/>
                  <w:u w:val="none"/>
                  <w:effect w:val="none"/>
                </w:rPr>
                <w:t>32</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136">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136">
              <w:r>
                <w:rPr>
                  <w:rStyle w:val="InternetLink"/>
                  <w:rFonts w:ascii="Times New Roman;serif" w:hAnsi="Times New Roman;serif"/>
                  <w:b w:val="false"/>
                  <w:color w:val="0000FF"/>
                  <w:sz w:val="20"/>
                  <w:u w:val="single"/>
                </w:rPr>
                <w:t>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a28d40d1e4b239d4f5ce701881f42_136">
              <w:r>
                <w:rPr>
                  <w:rStyle w:val="InternetLink"/>
                  <w:rFonts w:ascii="Times New Roman;serif" w:hAnsi="Times New Roman;serif"/>
                  <w:b w:val="false"/>
                  <w:strike w:val="false"/>
                  <w:dstrike w:val="false"/>
                  <w:color w:val="000000"/>
                  <w:sz w:val="20"/>
                  <w:u w:val="none"/>
                  <w:effect w:val="none"/>
                </w:rPr>
                <w:t>32</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139">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139">
              <w:r>
                <w:rPr>
                  <w:rStyle w:val="InternetLink"/>
                  <w:rFonts w:ascii="Times New Roman;serif" w:hAnsi="Times New Roman;serif"/>
                  <w:b w:val="false"/>
                  <w:color w:val="0000FF"/>
                  <w:sz w:val="20"/>
                  <w:u w:val="single"/>
                </w:rPr>
                <w:t>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a28d40d1e4b239d4f5ce701881f42_139">
              <w:r>
                <w:rPr>
                  <w:rStyle w:val="InternetLink"/>
                  <w:rFonts w:ascii="Times New Roman;serif" w:hAnsi="Times New Roman;serif"/>
                  <w:b w:val="false"/>
                  <w:strike w:val="false"/>
                  <w:dstrike w:val="false"/>
                  <w:color w:val="000000"/>
                  <w:sz w:val="20"/>
                  <w:u w:val="none"/>
                  <w:effect w:val="none"/>
                </w:rPr>
                <w:t>32</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142">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142">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a28d40d1e4b239d4f5ce701881f42_142">
              <w:r>
                <w:rPr>
                  <w:rStyle w:val="InternetLink"/>
                  <w:rFonts w:ascii="Times New Roman;serif" w:hAnsi="Times New Roman;serif"/>
                  <w:b w:val="false"/>
                  <w:strike w:val="false"/>
                  <w:dstrike w:val="false"/>
                  <w:color w:val="000000"/>
                  <w:sz w:val="20"/>
                  <w:u w:val="none"/>
                  <w:effect w:val="none"/>
                </w:rPr>
                <w:t>32</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148">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148">
              <w:r>
                <w:rPr>
                  <w:rStyle w:val="InternetLink"/>
                  <w:rFonts w:ascii="Times New Roman;serif" w:hAnsi="Times New Roman;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a28d40d1e4b239d4f5ce701881f42_148">
              <w:r>
                <w:rPr>
                  <w:rStyle w:val="InternetLink"/>
                  <w:rFonts w:ascii="Times New Roman;serif" w:hAnsi="Times New Roman;serif"/>
                  <w:b w:val="false"/>
                  <w:strike w:val="false"/>
                  <w:dstrike w:val="false"/>
                  <w:color w:val="000000"/>
                  <w:sz w:val="20"/>
                  <w:u w:val="none"/>
                  <w:effect w:val="none"/>
                </w:rPr>
                <w:t>33</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c8a28d40d1e4b239d4f5ce701881f42_151">
              <w:r>
                <w:rPr>
                  <w:rStyle w:val="InternetLink"/>
                  <w:rFonts w:ascii="Times New Roman;serif" w:hAnsi="Times New Roman;serif"/>
                  <w:b/>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a28d40d1e4b239d4f5ce701881f42_151">
              <w:r>
                <w:rPr>
                  <w:rStyle w:val="InternetLink"/>
                  <w:rFonts w:ascii="Times New Roman;serif" w:hAnsi="Times New Roman;serif"/>
                  <w:b w:val="false"/>
                  <w:strike w:val="false"/>
                  <w:dstrike w:val="false"/>
                  <w:color w:val="000000"/>
                  <w:sz w:val="20"/>
                  <w:u w:val="none"/>
                  <w:effect w:val="none"/>
                </w:rPr>
                <w:t>34</w:t>
              </w:r>
            </w:hyperlink>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Unless the context otherwise requires, for purposes of the Quarterly Report on Form 10-Q, the words “we,” “us,” “our,” the “Company,” “SPS,” and “SPS Commerce” refer to SPS Commerce,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85495"/>
                <wp:effectExtent l="0" t="0" r="0" b="0"/>
                <wp:wrapNone/>
                <wp:docPr id="3" name="Frame2"/>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66700" cy="257175"/>
                                                </a:xfrm>
                                                <a:prstGeom prst="rect">
                                                  <a:avLst/>
                                                </a:prstGeom>
                                              </pic:spPr>
                                            </pic:pic>
                                          </a:graphicData>
                                        </a:graphic>
                                      </wp:inline>
                                    </w:drawing>
                                  </w:r>
                                  <w:bookmarkStart w:id="1" w:name="i-2"/>
                                  <w:bookmarkEnd w:id="1"/>
                                  <w:r>
                                    <w:rPr>
                                      <w:color w:val="000000"/>
                                    </w:rPr>
                                    <w:t xml:space="preserve"> </w:t>
                                  </w:r>
                                  <w:r>
                                    <w:rPr>
                                      <w:rFonts w:ascii="Times New Roman;serif" w:hAnsi="Times New Roman;serif"/>
                                      <w:b/>
                                      <w:color w:val="000000"/>
                                      <w:sz w:val="16"/>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4"/>
                                          <a:stretch>
                                            <a:fillRect/>
                                          </a:stretch>
                                        </pic:blipFill>
                                        <pic:spPr bwMode="auto">
                                          <a:xfrm>
                                            <a:off x="0" y="0"/>
                                            <a:ext cx="266700" cy="257175"/>
                                          </a:xfrm>
                                          <a:prstGeom prst="rect">
                                            <a:avLst/>
                                          </a:prstGeom>
                                        </pic:spPr>
                                      </pic:pic>
                                    </a:graphicData>
                                  </a:graphic>
                                </wp:inline>
                              </w:drawing>
                            </w:r>
                            <w:bookmarkStart w:id="2" w:name="i-2"/>
                            <w:bookmarkEnd w:id="2"/>
                            <w:r>
                              <w:rPr>
                                <w:color w:val="000000"/>
                              </w:rPr>
                              <w:t xml:space="preserve"> </w:t>
                            </w:r>
                            <w:r>
                              <w:rPr>
                                <w:rFonts w:ascii="Times New Roman;serif" w:hAnsi="Times New Roman;serif"/>
                                <w:b/>
                                <w:color w:val="000000"/>
                                <w:sz w:val="16"/>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360" w:after="283"/>
        <w:jc w:val="center"/>
        <w:rPr>
          <w:rFonts w:ascii="Times New Roman;serif" w:hAnsi="Times New Roman;serif"/>
          <w:b/>
          <w:color w:val="00AAE5"/>
          <w:sz w:val="20"/>
        </w:rPr>
      </w:pPr>
      <w:r>
        <w:rPr>
          <w:rFonts w:ascii="Times New Roman;serif" w:hAnsi="Times New Roman;serif"/>
          <w:b/>
          <w:color w:val="00AAE5"/>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AAE5"/>
          <w:sz w:val="20"/>
        </w:rPr>
      </w:pPr>
      <w:r>
        <w:rPr>
          <w:rFonts w:ascii="Times New Roman;serif" w:hAnsi="Times New Roman;serif"/>
          <w:b/>
          <w:color w:val="00AAE5"/>
          <w:sz w:val="20"/>
        </w:rPr>
        <w:t>Item 1. Financial Statements</w:t>
      </w:r>
    </w:p>
    <w:p>
      <w:pPr>
        <w:pStyle w:val="TextBody"/>
        <w:bidi w:val="0"/>
        <w:spacing w:lineRule="auto" w:line="288" w:before="240" w:after="283"/>
        <w:jc w:val="center"/>
        <w:rPr>
          <w:rFonts w:ascii="Times New Roman;serif" w:hAnsi="Times New Roman;serif"/>
          <w:b/>
          <w:color w:val="00AAE5"/>
          <w:sz w:val="20"/>
        </w:rPr>
      </w:pPr>
      <w:r>
        <w:rPr>
          <w:rFonts w:ascii="Times New Roman;serif" w:hAnsi="Times New Roman;serif"/>
          <w:b/>
          <w:color w:val="00AAE5"/>
          <w:sz w:val="20"/>
        </w:rPr>
        <w:t>SPS COMMERCE, INC.</w:t>
      </w:r>
    </w:p>
    <w:p>
      <w:pPr>
        <w:pStyle w:val="TextBody"/>
        <w:bidi w:val="0"/>
        <w:spacing w:lineRule="auto" w:line="288" w:before="0" w:after="0"/>
        <w:jc w:val="center"/>
        <w:rPr>
          <w:rFonts w:ascii="Times New Roman;serif" w:hAnsi="Times New Roman;serif"/>
          <w:b/>
          <w:color w:val="00AAE5"/>
          <w:sz w:val="20"/>
        </w:rPr>
      </w:pPr>
      <w:r>
        <w:rPr>
          <w:rFonts w:ascii="Times New Roman;serif" w:hAnsi="Times New Roman;serif"/>
          <w:b/>
          <w:color w:val="00AAE5"/>
          <w:sz w:val="20"/>
        </w:rPr>
        <w:t>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854"/>
        <w:gridCol w:w="2336"/>
        <w:gridCol w:w="2290"/>
        <w:gridCol w:w="196"/>
        <w:gridCol w:w="871"/>
        <w:gridCol w:w="109"/>
        <w:gridCol w:w="109"/>
        <w:gridCol w:w="109"/>
        <w:gridCol w:w="109"/>
        <w:gridCol w:w="196"/>
        <w:gridCol w:w="871"/>
        <w:gridCol w:w="155"/>
      </w:tblGrid>
      <w:tr>
        <w:trPr/>
        <w:tc>
          <w:tcPr>
            <w:tcW w:w="2854"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shares)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173,167 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151,355 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75,295 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Allowance for credit losses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(7,129)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 net</w:t>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7"/>
              </w:rPr>
            </w:pPr>
            <w:r>
              <w:rPr>
                <w:rFonts w:ascii="Times New Roman;serif" w:hAnsi="Times New Roman;serif"/>
                <w:b w:val="false"/>
                <w:color w:val="000000"/>
                <w:sz w:val="17"/>
              </w:rPr>
              <w:t>63,687 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7"/>
              </w:rPr>
            </w:pPr>
            <w:r>
              <w:rPr>
                <w:rFonts w:ascii="Times New Roman;serif" w:hAnsi="Times New Roman;serif"/>
                <w:b w:val="false"/>
                <w:color w:val="000000"/>
                <w:sz w:val="17"/>
              </w:rPr>
              <w:t>68,166 </w:t>
            </w:r>
          </w:p>
        </w:tc>
        <w:tc>
          <w:tcPr>
            <w:tcW w:w="15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66,693 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49,090 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330,396 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335,304 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43,117 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539,411 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541,719 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215,815 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costs,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20,719 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income tax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1,125,429 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1,169,859 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47,577 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75,590 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146,262 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154,351 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income tax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33,201 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Other liabilities,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186,947 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195,966 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 (Note I)</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Preferred stock, $0.001 par value; 5,000,000 shares authorized; 0 shares issued and outstanding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Common stock, $0.001 par value; 110,000,000 shares authorized; 40,392,619 and 40,048,410 shares issued; and 36,194,528 and 37,517,239 shares outstanding,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Treasury stock, at cost; 4,198,091 and 2,531,171 shares,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(276,922)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(177,949)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763,354 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722,737 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456,031 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429,438 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stockholders’ equity</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938,482 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973,893 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 and stockholders’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1,125,429 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1,169,859 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See accompanying notes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85495"/>
                <wp:effectExtent l="0" t="0" r="0" b="0"/>
                <wp:wrapNone/>
                <wp:docPr id="6" name="Frame3"/>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5"/>
                                                <a:stretch>
                                                  <a:fillRect/>
                                                </a:stretch>
                                              </pic:blipFill>
                                              <pic:spPr bwMode="auto">
                                                <a:xfrm>
                                                  <a:off x="0" y="0"/>
                                                  <a:ext cx="266700" cy="257175"/>
                                                </a:xfrm>
                                                <a:prstGeom prst="rect">
                                                  <a:avLst/>
                                                </a:prstGeom>
                                              </pic:spPr>
                                            </pic:pic>
                                          </a:graphicData>
                                        </a:graphic>
                                      </wp:inline>
                                    </w:drawing>
                                  </w:r>
                                  <w:bookmarkStart w:id="3" w:name="i-3"/>
                                  <w:bookmarkEnd w:id="3"/>
                                  <w:r>
                                    <w:rPr>
                                      <w:color w:val="000000"/>
                                    </w:rPr>
                                    <w:t xml:space="preserve"> </w:t>
                                  </w:r>
                                  <w:r>
                                    <w:rPr>
                                      <w:rFonts w:ascii="Times New Roman;serif" w:hAnsi="Times New Roman;serif"/>
                                      <w:b/>
                                      <w:color w:val="000000"/>
                                      <w:sz w:val="16"/>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6"/>
                                          <a:stretch>
                                            <a:fillRect/>
                                          </a:stretch>
                                        </pic:blipFill>
                                        <pic:spPr bwMode="auto">
                                          <a:xfrm>
                                            <a:off x="0" y="0"/>
                                            <a:ext cx="266700" cy="257175"/>
                                          </a:xfrm>
                                          <a:prstGeom prst="rect">
                                            <a:avLst/>
                                          </a:prstGeom>
                                        </pic:spPr>
                                      </pic:pic>
                                    </a:graphicData>
                                  </a:graphic>
                                </wp:inline>
                              </w:drawing>
                            </w:r>
                            <w:bookmarkStart w:id="4" w:name="i-3"/>
                            <w:bookmarkEnd w:id="4"/>
                            <w:r>
                              <w:rPr>
                                <w:color w:val="000000"/>
                              </w:rPr>
                              <w:t xml:space="preserve"> </w:t>
                            </w:r>
                            <w:r>
                              <w:rPr>
                                <w:rFonts w:ascii="Times New Roman;serif" w:hAnsi="Times New Roman;serif"/>
                                <w:b/>
                                <w:color w:val="000000"/>
                                <w:sz w:val="16"/>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240" w:after="283"/>
        <w:jc w:val="center"/>
        <w:rPr>
          <w:rFonts w:ascii="Times New Roman;serif" w:hAnsi="Times New Roman;serif"/>
          <w:b/>
          <w:color w:val="00AAE5"/>
          <w:sz w:val="20"/>
        </w:rPr>
      </w:pPr>
      <w:r>
        <w:rPr>
          <w:rFonts w:ascii="Times New Roman;serif" w:hAnsi="Times New Roman;serif"/>
          <w:b/>
          <w:color w:val="00AAE5"/>
          <w:sz w:val="20"/>
        </w:rPr>
        <w:t>SPS COMMERCE, INC.</w:t>
      </w:r>
    </w:p>
    <w:p>
      <w:pPr>
        <w:pStyle w:val="TextBody"/>
        <w:bidi w:val="0"/>
        <w:spacing w:lineRule="auto" w:line="288" w:before="0" w:after="0"/>
        <w:jc w:val="center"/>
        <w:rPr>
          <w:rFonts w:ascii="Times New Roman;serif" w:hAnsi="Times New Roman;serif"/>
          <w:b/>
          <w:color w:val="00AAE5"/>
          <w:sz w:val="20"/>
        </w:rPr>
      </w:pPr>
      <w:r>
        <w:rPr>
          <w:rFonts w:ascii="Times New Roman;serif" w:hAnsi="Times New Roman;serif"/>
          <w:b/>
          <w:color w:val="00AAE5"/>
          <w:sz w:val="20"/>
        </w:rPr>
        <w:t>CONDENSED CONSOLIDATED STATEMENTS OF COMPREHENSIVE INCOME</w:t>
      </w:r>
    </w:p>
    <w:tbl>
      <w:tblPr>
        <w:tblW w:w="10205" w:type="dxa"/>
        <w:jc w:val="center"/>
        <w:tblInd w:w="0" w:type="dxa"/>
        <w:tblLayout w:type="fixed"/>
        <w:tblCellMar>
          <w:top w:w="28" w:type="dxa"/>
          <w:left w:w="28" w:type="dxa"/>
          <w:bottom w:w="28" w:type="dxa"/>
          <w:right w:w="28" w:type="dxa"/>
        </w:tblCellMar>
      </w:tblPr>
      <w:tblGrid>
        <w:gridCol w:w="1762"/>
        <w:gridCol w:w="1413"/>
        <w:gridCol w:w="141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762"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amounts) (unaudited)</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368,949 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252,209 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199,783 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income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52,307 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used to compute net income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See accompanying notes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85495"/>
                <wp:effectExtent l="0" t="0" r="0" b="0"/>
                <wp:wrapNone/>
                <wp:docPr id="9" name="Frame4"/>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7"/>
                                                <a:stretch>
                                                  <a:fillRect/>
                                                </a:stretch>
                                              </pic:blipFill>
                                              <pic:spPr bwMode="auto">
                                                <a:xfrm>
                                                  <a:off x="0" y="0"/>
                                                  <a:ext cx="266700" cy="257175"/>
                                                </a:xfrm>
                                                <a:prstGeom prst="rect">
                                                  <a:avLst/>
                                                </a:prstGeom>
                                              </pic:spPr>
                                            </pic:pic>
                                          </a:graphicData>
                                        </a:graphic>
                                      </wp:inline>
                                    </w:drawing>
                                  </w:r>
                                  <w:bookmarkStart w:id="5" w:name="i-4"/>
                                  <w:bookmarkEnd w:id="5"/>
                                  <w:r>
                                    <w:rPr>
                                      <w:color w:val="000000"/>
                                    </w:rPr>
                                    <w:t xml:space="preserve"> </w:t>
                                  </w:r>
                                  <w:r>
                                    <w:rPr>
                                      <w:rFonts w:ascii="Times New Roman;serif" w:hAnsi="Times New Roman;serif"/>
                                      <w:b/>
                                      <w:color w:val="000000"/>
                                      <w:sz w:val="16"/>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8"/>
                                          <a:stretch>
                                            <a:fillRect/>
                                          </a:stretch>
                                        </pic:blipFill>
                                        <pic:spPr bwMode="auto">
                                          <a:xfrm>
                                            <a:off x="0" y="0"/>
                                            <a:ext cx="266700" cy="257175"/>
                                          </a:xfrm>
                                          <a:prstGeom prst="rect">
                                            <a:avLst/>
                                          </a:prstGeom>
                                        </pic:spPr>
                                      </pic:pic>
                                    </a:graphicData>
                                  </a:graphic>
                                </wp:inline>
                              </w:drawing>
                            </w:r>
                            <w:bookmarkStart w:id="6" w:name="i-4"/>
                            <w:bookmarkEnd w:id="6"/>
                            <w:r>
                              <w:rPr>
                                <w:color w:val="000000"/>
                              </w:rPr>
                              <w:t xml:space="preserve"> </w:t>
                            </w:r>
                            <w:r>
                              <w:rPr>
                                <w:rFonts w:ascii="Times New Roman;serif" w:hAnsi="Times New Roman;serif"/>
                                <w:b/>
                                <w:color w:val="000000"/>
                                <w:sz w:val="16"/>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360" w:after="283"/>
        <w:jc w:val="center"/>
        <w:rPr>
          <w:rFonts w:ascii="Times New Roman;serif" w:hAnsi="Times New Roman;serif"/>
          <w:b/>
          <w:color w:val="00AAE5"/>
          <w:sz w:val="20"/>
        </w:rPr>
      </w:pPr>
      <w:r>
        <w:rPr>
          <w:rFonts w:ascii="Times New Roman;serif" w:hAnsi="Times New Roman;serif"/>
          <w:b/>
          <w:color w:val="00AAE5"/>
          <w:sz w:val="20"/>
        </w:rPr>
        <w:t>SPS COMMERCE, INC.</w:t>
      </w:r>
    </w:p>
    <w:p>
      <w:pPr>
        <w:pStyle w:val="TextBody"/>
        <w:bidi w:val="0"/>
        <w:spacing w:lineRule="auto" w:line="288" w:before="0" w:after="0"/>
        <w:jc w:val="center"/>
        <w:rPr>
          <w:rFonts w:ascii="Times New Roman;serif" w:hAnsi="Times New Roman;serif"/>
          <w:b/>
          <w:color w:val="00AAE5"/>
          <w:sz w:val="20"/>
        </w:rPr>
      </w:pPr>
      <w:r>
        <w:rPr>
          <w:rFonts w:ascii="Times New Roman;serif" w:hAnsi="Times New Roman;serif"/>
          <w:b/>
          <w:color w:val="00AAE5"/>
          <w:sz w:val="20"/>
        </w:rPr>
        <w:t>CONDENSED CONSOLIDATED STATEMENTS OF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11765" w:type="dxa"/>
        <w:jc w:val="center"/>
        <w:tblInd w:w="0" w:type="dxa"/>
        <w:tblLayout w:type="fixed"/>
        <w:tblCellMar>
          <w:top w:w="28" w:type="dxa"/>
          <w:left w:w="28" w:type="dxa"/>
          <w:bottom w:w="28" w:type="dxa"/>
          <w:right w:w="28" w:type="dxa"/>
        </w:tblCellMar>
      </w:tblPr>
      <w:tblGrid>
        <w:gridCol w:w="516"/>
        <w:gridCol w:w="282"/>
        <w:gridCol w:w="283"/>
        <w:gridCol w:w="480"/>
        <w:gridCol w:w="481"/>
        <w:gridCol w:w="196"/>
        <w:gridCol w:w="109"/>
        <w:gridCol w:w="109"/>
        <w:gridCol w:w="109"/>
        <w:gridCol w:w="212"/>
        <w:gridCol w:w="359"/>
        <w:gridCol w:w="120"/>
        <w:gridCol w:w="109"/>
        <w:gridCol w:w="109"/>
        <w:gridCol w:w="109"/>
        <w:gridCol w:w="435"/>
        <w:gridCol w:w="436"/>
        <w:gridCol w:w="196"/>
        <w:gridCol w:w="109"/>
        <w:gridCol w:w="109"/>
        <w:gridCol w:w="10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272"/>
        <w:gridCol w:w="792"/>
        <w:gridCol w:w="152"/>
        <w:gridCol w:w="109"/>
        <w:gridCol w:w="109"/>
        <w:gridCol w:w="109"/>
        <w:gridCol w:w="203"/>
        <w:gridCol w:w="763"/>
        <w:gridCol w:w="160"/>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Treasury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 xml:space="preserve">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shares) (unaudited)</w:t>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March 31,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38,001,227 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1,831,869 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672,138 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358,295 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(7,456)</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920,921 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14,219 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14,219 </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pursuant to stock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27,642 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 activity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43,349 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 net of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(144,786)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144,786 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June 30, 2025</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37,927,432 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1,976,655 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693,113 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378,028 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949,780 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March 31, 2026</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36,948,282 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3,292,276 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(226,903)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741,544 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449,167 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962,160 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17,886 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17,886 </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pursuant to stock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73,768 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 activity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78,293 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 net of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(905,815)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905,815 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(50,019)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June 30, 2026</w:t>
            </w:r>
          </w:p>
        </w:tc>
        <w:tc>
          <w:tcPr>
            <w:tcW w:w="9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36,194,528 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4,198,091 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(276,922)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763,354 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456,031 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(4,021)</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938,482 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85495"/>
                <wp:effectExtent l="0" t="0" r="0" b="0"/>
                <wp:wrapNone/>
                <wp:docPr id="12" name="Frame5"/>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9"/>
                                                <a:stretch>
                                                  <a:fillRect/>
                                                </a:stretch>
                                              </pic:blipFill>
                                              <pic:spPr bwMode="auto">
                                                <a:xfrm>
                                                  <a:off x="0" y="0"/>
                                                  <a:ext cx="266700" cy="257175"/>
                                                </a:xfrm>
                                                <a:prstGeom prst="rect">
                                                  <a:avLst/>
                                                </a:prstGeom>
                                              </pic:spPr>
                                            </pic:pic>
                                          </a:graphicData>
                                        </a:graphic>
                                      </wp:inline>
                                    </w:drawing>
                                  </w:r>
                                  <w:bookmarkStart w:id="7" w:name="i-5"/>
                                  <w:bookmarkEnd w:id="7"/>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10"/>
                                          <a:stretch>
                                            <a:fillRect/>
                                          </a:stretch>
                                        </pic:blipFill>
                                        <pic:spPr bwMode="auto">
                                          <a:xfrm>
                                            <a:off x="0" y="0"/>
                                            <a:ext cx="266700" cy="257175"/>
                                          </a:xfrm>
                                          <a:prstGeom prst="rect">
                                            <a:avLst/>
                                          </a:prstGeom>
                                        </pic:spPr>
                                      </pic:pic>
                                    </a:graphicData>
                                  </a:graphic>
                                </wp:inline>
                              </w:drawing>
                            </w:r>
                            <w:bookmarkStart w:id="8" w:name="i-5"/>
                            <w:bookmarkEnd w:id="8"/>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before="0" w:after="0"/>
        <w:jc w:val="center"/>
        <w:rPr/>
      </w:pPr>
      <w:r>
        <w:rPr/>
      </w:r>
    </w:p>
    <w:tbl>
      <w:tblPr>
        <w:tblW w:w="11765" w:type="dxa"/>
        <w:jc w:val="center"/>
        <w:tblInd w:w="0" w:type="dxa"/>
        <w:tblLayout w:type="fixed"/>
        <w:tblCellMar>
          <w:top w:w="28" w:type="dxa"/>
          <w:left w:w="28" w:type="dxa"/>
          <w:bottom w:w="28" w:type="dxa"/>
          <w:right w:w="28" w:type="dxa"/>
        </w:tblCellMar>
      </w:tblPr>
      <w:tblGrid>
        <w:gridCol w:w="516"/>
        <w:gridCol w:w="282"/>
        <w:gridCol w:w="283"/>
        <w:gridCol w:w="480"/>
        <w:gridCol w:w="481"/>
        <w:gridCol w:w="196"/>
        <w:gridCol w:w="109"/>
        <w:gridCol w:w="109"/>
        <w:gridCol w:w="109"/>
        <w:gridCol w:w="212"/>
        <w:gridCol w:w="359"/>
        <w:gridCol w:w="120"/>
        <w:gridCol w:w="109"/>
        <w:gridCol w:w="109"/>
        <w:gridCol w:w="109"/>
        <w:gridCol w:w="435"/>
        <w:gridCol w:w="436"/>
        <w:gridCol w:w="196"/>
        <w:gridCol w:w="109"/>
        <w:gridCol w:w="109"/>
        <w:gridCol w:w="10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272"/>
        <w:gridCol w:w="792"/>
        <w:gridCol w:w="152"/>
        <w:gridCol w:w="109"/>
        <w:gridCol w:w="109"/>
        <w:gridCol w:w="109"/>
        <w:gridCol w:w="203"/>
        <w:gridCol w:w="763"/>
        <w:gridCol w:w="160"/>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Treasury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shares) (unaudited)</w:t>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December 31, 2024</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37,661,308 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1,928,968 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627,982 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336,099 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(9,683)</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854,690 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27,357 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27,357 </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pursuant to stock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267,832 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 activity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45,979 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 net of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(425,787)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425,787 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Reissuances of treasury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378,100 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(378,100)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June 30,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37,927,432 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1,976,655 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693,113 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378,028 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949,780 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December 31,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37,517,239 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2,531,171 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722,737 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429,438 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973,893 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35,193 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35,193 </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pursuant to stock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259,121 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 activity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85,088 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 net of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(1,663,536)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1,663,536 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(98,654)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June 30, 2026</w:t>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36,194,528 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4,198,091 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(276,922)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763,354 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456,031 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(4,021)</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938,482 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erif" w:hAnsi="Times New Roman;serif"/>
          <w:b w:val="false"/>
          <w:color w:val="000000"/>
          <w:sz w:val="16"/>
          <w:shd w:fill="FFFFFF" w:val="clear"/>
        </w:rPr>
        <w:t>See accompanying notes to these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85495"/>
                <wp:effectExtent l="0" t="0" r="0" b="0"/>
                <wp:wrapNone/>
                <wp:docPr id="15" name="Frame6"/>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11"/>
                                                <a:stretch>
                                                  <a:fillRect/>
                                                </a:stretch>
                                              </pic:blipFill>
                                              <pic:spPr bwMode="auto">
                                                <a:xfrm>
                                                  <a:off x="0" y="0"/>
                                                  <a:ext cx="266700" cy="257175"/>
                                                </a:xfrm>
                                                <a:prstGeom prst="rect">
                                                  <a:avLst/>
                                                </a:prstGeom>
                                              </pic:spPr>
                                            </pic:pic>
                                          </a:graphicData>
                                        </a:graphic>
                                      </wp:inline>
                                    </w:drawing>
                                  </w:r>
                                  <w:bookmarkStart w:id="9" w:name="i-6"/>
                                  <w:bookmarkEnd w:id="9"/>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12"/>
                                          <a:stretch>
                                            <a:fillRect/>
                                          </a:stretch>
                                        </pic:blipFill>
                                        <pic:spPr bwMode="auto">
                                          <a:xfrm>
                                            <a:off x="0" y="0"/>
                                            <a:ext cx="266700" cy="257175"/>
                                          </a:xfrm>
                                          <a:prstGeom prst="rect">
                                            <a:avLst/>
                                          </a:prstGeom>
                                        </pic:spPr>
                                      </pic:pic>
                                    </a:graphicData>
                                  </a:graphic>
                                </wp:inline>
                              </w:drawing>
                            </w:r>
                            <w:bookmarkStart w:id="10" w:name="i-6"/>
                            <w:bookmarkEnd w:id="10"/>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360" w:after="283"/>
        <w:jc w:val="center"/>
        <w:rPr>
          <w:rFonts w:ascii="Times New Roman;serif" w:hAnsi="Times New Roman;serif"/>
          <w:b/>
          <w:color w:val="00AAE5"/>
          <w:sz w:val="20"/>
        </w:rPr>
      </w:pPr>
      <w:r>
        <w:rPr>
          <w:rFonts w:ascii="Times New Roman;serif" w:hAnsi="Times New Roman;serif"/>
          <w:b/>
          <w:color w:val="00AAE5"/>
          <w:sz w:val="20"/>
        </w:rPr>
        <w:t>SPS COMMERCE, INC.</w:t>
      </w:r>
    </w:p>
    <w:p>
      <w:pPr>
        <w:pStyle w:val="TextBody"/>
        <w:bidi w:val="0"/>
        <w:spacing w:lineRule="auto" w:line="288" w:before="0" w:after="0"/>
        <w:jc w:val="center"/>
        <w:rPr>
          <w:rFonts w:ascii="Times New Roman;serif" w:hAnsi="Times New Roman;serif"/>
          <w:b/>
          <w:color w:val="00AAE5"/>
          <w:sz w:val="20"/>
        </w:rPr>
      </w:pPr>
      <w:r>
        <w:rPr>
          <w:rFonts w:ascii="Times New Roman;serif" w:hAnsi="Times New Roman;serif"/>
          <w:b/>
          <w:color w:val="00AAE5"/>
          <w:sz w:val="20"/>
        </w:rPr>
        <w:t>CONDENSED CONSOLIDATED STATEMENTS OF CASH FLOWS</w:t>
      </w:r>
    </w:p>
    <w:tbl>
      <w:tblPr>
        <w:tblW w:w="8723" w:type="dxa"/>
        <w:jc w:val="center"/>
        <w:tblInd w:w="0" w:type="dxa"/>
        <w:tblLayout w:type="fixed"/>
        <w:tblCellMar>
          <w:top w:w="28" w:type="dxa"/>
          <w:left w:w="28" w:type="dxa"/>
          <w:bottom w:w="28" w:type="dxa"/>
          <w:right w:w="28" w:type="dxa"/>
        </w:tblCellMar>
      </w:tblPr>
      <w:tblGrid>
        <w:gridCol w:w="2193"/>
        <w:gridCol w:w="1930"/>
        <w:gridCol w:w="1936"/>
        <w:gridCol w:w="211"/>
        <w:gridCol w:w="826"/>
        <w:gridCol w:w="109"/>
        <w:gridCol w:w="109"/>
        <w:gridCol w:w="109"/>
        <w:gridCol w:w="109"/>
        <w:gridCol w:w="211"/>
        <w:gridCol w:w="826"/>
        <w:gridCol w:w="154"/>
      </w:tblGrid>
      <w:tr>
        <w:trPr/>
        <w:tc>
          <w:tcPr>
            <w:tcW w:w="2193"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(unaudited)</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effects of acquisitions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72,306 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(155,443)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exercise of options to purchase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employee stock purchase plan activity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 changes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(133,414)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107,603 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See accompanying notes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85495"/>
                <wp:effectExtent l="0" t="0" r="0" b="0"/>
                <wp:wrapNone/>
                <wp:docPr id="18" name="Frame7"/>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13"/>
                                                <a:stretch>
                                                  <a:fillRect/>
                                                </a:stretch>
                                              </pic:blipFill>
                                              <pic:spPr bwMode="auto">
                                                <a:xfrm>
                                                  <a:off x="0" y="0"/>
                                                  <a:ext cx="266700" cy="257175"/>
                                                </a:xfrm>
                                                <a:prstGeom prst="rect">
                                                  <a:avLst/>
                                                </a:prstGeom>
                                              </pic:spPr>
                                            </pic:pic>
                                          </a:graphicData>
                                        </a:graphic>
                                      </wp:inline>
                                    </w:drawing>
                                  </w:r>
                                  <w:bookmarkStart w:id="11" w:name="i-7"/>
                                  <w:bookmarkEnd w:id="11"/>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14"/>
                                          <a:stretch>
                                            <a:fillRect/>
                                          </a:stretch>
                                        </pic:blipFill>
                                        <pic:spPr bwMode="auto">
                                          <a:xfrm>
                                            <a:off x="0" y="0"/>
                                            <a:ext cx="266700" cy="257175"/>
                                          </a:xfrm>
                                          <a:prstGeom prst="rect">
                                            <a:avLst/>
                                          </a:prstGeom>
                                        </pic:spPr>
                                      </pic:pic>
                                    </a:graphicData>
                                  </a:graphic>
                                </wp:inline>
                              </w:drawing>
                            </w:r>
                            <w:bookmarkStart w:id="12" w:name="i-7"/>
                            <w:bookmarkEnd w:id="12"/>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360" w:after="283"/>
        <w:jc w:val="center"/>
        <w:rPr>
          <w:rFonts w:ascii="Times New Roman;serif" w:hAnsi="Times New Roman;serif"/>
          <w:b/>
          <w:color w:val="00AAE5"/>
          <w:sz w:val="20"/>
        </w:rPr>
      </w:pPr>
      <w:r>
        <w:rPr>
          <w:rFonts w:ascii="Times New Roman;serif" w:hAnsi="Times New Roman;serif"/>
          <w:b/>
          <w:color w:val="00AAE5"/>
          <w:sz w:val="20"/>
        </w:rPr>
        <w:t>SPS COMMERCE, INC.</w:t>
      </w:r>
    </w:p>
    <w:p>
      <w:pPr>
        <w:pStyle w:val="TextBody"/>
        <w:bidi w:val="0"/>
        <w:spacing w:lineRule="auto" w:line="288" w:before="0" w:after="0"/>
        <w:jc w:val="center"/>
        <w:rPr>
          <w:rFonts w:ascii="Times New Roman;serif" w:hAnsi="Times New Roman;serif"/>
          <w:b/>
          <w:color w:val="00AAE5"/>
          <w:sz w:val="20"/>
        </w:rPr>
      </w:pPr>
      <w:r>
        <w:rPr>
          <w:rFonts w:ascii="Times New Roman;serif" w:hAnsi="Times New Roman;serif"/>
          <w:b/>
          <w:color w:val="00AAE5"/>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A – General</w:t>
      </w:r>
    </w:p>
    <w:p>
      <w:pPr>
        <w:pStyle w:val="TextBody"/>
        <w:bidi w:val="0"/>
        <w:spacing w:lineRule="auto" w:line="288" w:before="120" w:after="283"/>
        <w:jc w:val="left"/>
        <w:rPr>
          <w:rFonts w:ascii="Times New Roman;serif" w:hAnsi="Times New Roman;serif"/>
          <w:b/>
          <w:i/>
          <w:color w:val="1F282C"/>
          <w:sz w:val="20"/>
        </w:rPr>
      </w:pPr>
      <w:r>
        <w:rPr>
          <w:rFonts w:ascii="Times New Roman;serif" w:hAnsi="Times New Roman;serif"/>
          <w:b/>
          <w:i/>
          <w:color w:val="1F282C"/>
          <w:sz w:val="20"/>
        </w:rPr>
        <w:t>Business Description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SPS Commerce is the leading intelligent supply chain network that connects retailers, brands, distributors, manufacturers, and logistics providers through shared infrastructure built to handle the complexity of modern commerce operations. Our network enables companies to connect once and immediately transact with thousands of trading partners without negotiating standards, building integrations, or maintaining compliance logic.</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network powers our portfolio of solutions that orchestrate the critical processes, protocols, and data exchanges needed to get the right product, in the right place, at the right time, every time. We have embedded deep expertise, proven processes, and compliance logic built from over 20 years of commerce intelligence into every connection, delivering a full-service experience that empowers partners to move forward faster, together.</w:t>
      </w:r>
    </w:p>
    <w:p>
      <w:pPr>
        <w:pStyle w:val="TextBody"/>
        <w:bidi w:val="0"/>
        <w:spacing w:lineRule="auto" w:line="288" w:before="360" w:after="283"/>
        <w:jc w:val="both"/>
        <w:rPr>
          <w:rFonts w:ascii="Times New Roman;serif" w:hAnsi="Times New Roman;serif"/>
          <w:b/>
          <w:i/>
          <w:color w:val="1F282C"/>
          <w:sz w:val="20"/>
        </w:rPr>
      </w:pPr>
      <w:r>
        <w:rPr>
          <w:rFonts w:ascii="Times New Roman;serif" w:hAnsi="Times New Roman;serif"/>
          <w:b/>
          <w:i/>
          <w:color w:val="1F282C"/>
          <w:sz w:val="20"/>
        </w:rPr>
        <w:t>Basis of Presentation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conformity with accounting principles generally accepted in the United States of America (“GAAP”) and include the accounts of SPS Commerce, Inc. and its subsidiaries. All intercompany accounts and transactions have been eliminated in the condensed consolidated financial statements.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interim financial information has been prepared under the instructions to Form 10-Q and Rule 10-01 of Regulation S-X. Accordingly, these condensed consolidated financial statements do not include all of the information and notes required by GAAP. Therefore, these condensed consolidated financial statements should be read in conjunction with the consolidated financial statements and notes included in our Annual Report on Form 10-K for the year ended December 31, 2025, as filed with the Securities and Exchange Commission (“SEC”). We have included all normal recurring adjustments which are, in the opinion of management, considered necessary to provide a fair presentation of our financial position, results of operations, stockholders’ equity, and cash flows for the interim periods presented. Operating results for these interim periods are not necessarily indicative of the results to be expected for the full year.</w:t>
      </w:r>
    </w:p>
    <w:p>
      <w:pPr>
        <w:pStyle w:val="TextBody"/>
        <w:bidi w:val="0"/>
        <w:spacing w:lineRule="auto" w:line="288" w:before="360" w:after="283"/>
        <w:jc w:val="left"/>
        <w:rPr>
          <w:rFonts w:ascii="Times New Roman;serif" w:hAnsi="Times New Roman;serif"/>
          <w:b/>
          <w:i/>
          <w:color w:val="1F282C"/>
          <w:sz w:val="20"/>
        </w:rPr>
      </w:pPr>
      <w:r>
        <w:rPr>
          <w:rFonts w:ascii="Times New Roman;serif" w:hAnsi="Times New Roman;serif"/>
          <w:b/>
          <w:i/>
          <w:color w:val="1F282C"/>
          <w:sz w:val="20"/>
        </w:rPr>
        <w:t>Use of Estimates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Preparing financial statements in conformity with GAAP requires management to make estimates, judgments, and assumptions that affect the reported amounts of assets and liabilities, disclosure of contingent assets and liabilities at the date of the financial statements, and the reported amounts of revenues and expenses during the reporting periods. Actual results could differ from those estimates.</w:t>
      </w:r>
    </w:p>
    <w:p>
      <w:pPr>
        <w:pStyle w:val="TextBody"/>
        <w:bidi w:val="0"/>
        <w:spacing w:lineRule="auto" w:line="288" w:before="360" w:after="283"/>
        <w:jc w:val="left"/>
        <w:rPr>
          <w:rFonts w:ascii="Times New Roman;serif" w:hAnsi="Times New Roman;serif"/>
          <w:b/>
          <w:i/>
          <w:color w:val="1F282C"/>
          <w:sz w:val="20"/>
          <w:shd w:fill="FFFFFF" w:val="clear"/>
        </w:rPr>
      </w:pPr>
      <w:r>
        <w:rPr>
          <w:rFonts w:ascii="Times New Roman;serif" w:hAnsi="Times New Roman;serif"/>
          <w:b/>
          <w:i/>
          <w:color w:val="1F282C"/>
          <w:sz w:val="20"/>
          <w:shd w:fill="FFFFFF" w:val="clear"/>
        </w:rPr>
        <w:t>Significant Accounting Policies</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There were no material changes in our significant accounting policies, nor were there differences in the basis of our segmentation, during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See Note A to the consolidated financial statements included in our Annual Report on Form 10-K for the year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as filed with the SEC.</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85495"/>
                <wp:effectExtent l="0" t="0" r="0" b="0"/>
                <wp:wrapNone/>
                <wp:docPr id="21" name="Frame8"/>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15"/>
                                                <a:stretch>
                                                  <a:fillRect/>
                                                </a:stretch>
                                              </pic:blipFill>
                                              <pic:spPr bwMode="auto">
                                                <a:xfrm>
                                                  <a:off x="0" y="0"/>
                                                  <a:ext cx="266700" cy="257175"/>
                                                </a:xfrm>
                                                <a:prstGeom prst="rect">
                                                  <a:avLst/>
                                                </a:prstGeom>
                                              </pic:spPr>
                                            </pic:pic>
                                          </a:graphicData>
                                        </a:graphic>
                                      </wp:inline>
                                    </w:drawing>
                                  </w:r>
                                  <w:bookmarkStart w:id="13" w:name="i-8"/>
                                  <w:bookmarkEnd w:id="13"/>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16"/>
                                          <a:stretch>
                                            <a:fillRect/>
                                          </a:stretch>
                                        </pic:blipFill>
                                        <pic:spPr bwMode="auto">
                                          <a:xfrm>
                                            <a:off x="0" y="0"/>
                                            <a:ext cx="266700" cy="257175"/>
                                          </a:xfrm>
                                          <a:prstGeom prst="rect">
                                            <a:avLst/>
                                          </a:prstGeom>
                                        </pic:spPr>
                                      </pic:pic>
                                    </a:graphicData>
                                  </a:graphic>
                                </wp:inline>
                              </w:drawing>
                            </w:r>
                            <w:bookmarkStart w:id="14" w:name="i-8"/>
                            <w:bookmarkEnd w:id="14"/>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36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Accounting Pronouncements Recently Adopted</w:t>
      </w:r>
    </w:p>
    <w:tbl>
      <w:tblPr>
        <w:tblW w:w="10205" w:type="dxa"/>
        <w:jc w:val="center"/>
        <w:tblInd w:w="0" w:type="dxa"/>
        <w:tblLayout w:type="fixed"/>
        <w:tblCellMar>
          <w:top w:w="28" w:type="dxa"/>
          <w:left w:w="28" w:type="dxa"/>
          <w:bottom w:w="28" w:type="dxa"/>
          <w:right w:w="28" w:type="dxa"/>
        </w:tblCellMar>
      </w:tblPr>
      <w:tblGrid>
        <w:gridCol w:w="840"/>
        <w:gridCol w:w="737"/>
        <w:gridCol w:w="748"/>
        <w:gridCol w:w="253"/>
        <w:gridCol w:w="253"/>
        <w:gridCol w:w="255"/>
        <w:gridCol w:w="1252"/>
        <w:gridCol w:w="1252"/>
        <w:gridCol w:w="1266"/>
        <w:gridCol w:w="278"/>
        <w:gridCol w:w="278"/>
        <w:gridCol w:w="280"/>
        <w:gridCol w:w="829"/>
        <w:gridCol w:w="694"/>
        <w:gridCol w:w="990"/>
      </w:tblGrid>
      <w:tr>
        <w:trPr/>
        <w:tc>
          <w:tcPr>
            <w:tcW w:w="84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Standard</w:t>
            </w:r>
          </w:p>
        </w:tc>
        <w:tc>
          <w:tcPr>
            <w:tcW w:w="7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Date of Issuance</w:t>
            </w:r>
          </w:p>
        </w:tc>
        <w:tc>
          <w:tcPr>
            <w:tcW w:w="37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Date of Adoption</w:t>
            </w:r>
          </w:p>
        </w:tc>
        <w:tc>
          <w:tcPr>
            <w:tcW w:w="251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Effect on the Financial Statements</w:t>
            </w:r>
          </w:p>
        </w:tc>
      </w:tr>
      <w:tr>
        <w:trPr/>
        <w:tc>
          <w:tcPr>
            <w:tcW w:w="23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ASU 2025-05</w:t>
            </w:r>
            <w:r>
              <w:rPr>
                <w:rFonts w:ascii="Times New Roman;serif" w:hAnsi="Times New Roman;serif"/>
                <w:b w:val="false"/>
                <w:color w:val="000000"/>
                <w:sz w:val="20"/>
              </w:rPr>
              <w:t>, Financial Instruments—Credit Losses (Topic 326): Measurement of Credit Losses for Accounts Receivable and Contract Assets</w:t>
            </w:r>
          </w:p>
        </w:tc>
        <w:tc>
          <w:tcPr>
            <w:tcW w:w="7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2025</w:t>
            </w:r>
          </w:p>
        </w:tc>
        <w:tc>
          <w:tcPr>
            <w:tcW w:w="37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This amendment allows for entities to elect a practical expedient when estimating expected credit losses for current accounts receivable and current contract assets arising from transactions accounted for under Topic 606. The practical expedient assumes that current conditions as of the balance sheet date do not change for the remaining life of the asset.</w:t>
            </w:r>
          </w:p>
        </w:tc>
        <w:tc>
          <w:tcPr>
            <w:tcW w:w="8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25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Upon adoption, the Company elected not to apply the current conditions practical expedient. The adoption did not have a material impact on our financial statements and related disclosures.</w:t>
            </w:r>
          </w:p>
        </w:tc>
      </w:tr>
    </w:tbl>
    <w:p>
      <w:pPr>
        <w:pStyle w:val="TextBody"/>
        <w:bidi w:val="0"/>
        <w:spacing w:lineRule="auto" w:line="288" w:before="360" w:after="283"/>
        <w:jc w:val="left"/>
        <w:rPr>
          <w:rFonts w:ascii="Times New Roman;serif" w:hAnsi="Times New Roman;serif"/>
          <w:b/>
          <w:i/>
          <w:color w:val="1F282C"/>
          <w:sz w:val="20"/>
          <w:shd w:fill="FFFFFF" w:val="clear"/>
        </w:rPr>
      </w:pPr>
      <w:r>
        <w:rPr>
          <w:rFonts w:ascii="Times New Roman;serif" w:hAnsi="Times New Roman;serif"/>
          <w:b/>
          <w:i/>
          <w:color w:val="1F282C"/>
          <w:sz w:val="20"/>
          <w:shd w:fill="FFFFFF" w:val="clear"/>
        </w:rPr>
        <w:t>Accounting Pronouncements Not Yet Adopted</w:t>
      </w:r>
    </w:p>
    <w:tbl>
      <w:tblPr>
        <w:tblW w:w="10205" w:type="dxa"/>
        <w:jc w:val="left"/>
        <w:tblInd w:w="0" w:type="dxa"/>
        <w:tblLayout w:type="fixed"/>
        <w:tblCellMar>
          <w:top w:w="28" w:type="dxa"/>
          <w:left w:w="28" w:type="dxa"/>
          <w:bottom w:w="28" w:type="dxa"/>
          <w:right w:w="28" w:type="dxa"/>
        </w:tblCellMar>
      </w:tblPr>
      <w:tblGrid>
        <w:gridCol w:w="762"/>
        <w:gridCol w:w="668"/>
        <w:gridCol w:w="676"/>
        <w:gridCol w:w="446"/>
        <w:gridCol w:w="296"/>
        <w:gridCol w:w="255"/>
        <w:gridCol w:w="1613"/>
        <w:gridCol w:w="1364"/>
        <w:gridCol w:w="1380"/>
        <w:gridCol w:w="294"/>
        <w:gridCol w:w="294"/>
        <w:gridCol w:w="295"/>
        <w:gridCol w:w="641"/>
        <w:gridCol w:w="503"/>
        <w:gridCol w:w="718"/>
      </w:tblGrid>
      <w:tr>
        <w:trPr/>
        <w:tc>
          <w:tcPr>
            <w:tcW w:w="7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2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Standard</w:t>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of Issuance</w:t>
            </w:r>
          </w:p>
        </w:tc>
        <w:tc>
          <w:tcPr>
            <w:tcW w:w="4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of Required Adoption</w:t>
            </w:r>
          </w:p>
        </w:tc>
        <w:tc>
          <w:tcPr>
            <w:tcW w:w="1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on the Financial Statements</w:t>
            </w:r>
          </w:p>
        </w:tc>
      </w:tr>
      <w:tr>
        <w:trPr/>
        <w:tc>
          <w:tcPr>
            <w:tcW w:w="21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ASU 2024-03</w:t>
            </w:r>
            <w:r>
              <w:rPr>
                <w:rFonts w:ascii="Times New Roman;serif" w:hAnsi="Times New Roman;serif"/>
                <w:b w:val="false"/>
                <w:color w:val="000000"/>
                <w:sz w:val="20"/>
              </w:rPr>
              <w:t>, Income Statement - Reporting Comprehensive Income - Expense Disaggregation Disclosures (Subtopic 220-40)</w:t>
            </w:r>
          </w:p>
        </w:tc>
        <w:tc>
          <w:tcPr>
            <w:tcW w:w="9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2024</w:t>
            </w:r>
          </w:p>
        </w:tc>
        <w:tc>
          <w:tcPr>
            <w:tcW w:w="43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This amendment requires that an entity disclose in its notes to financial statements specified information about certain costs and expenses.</w:t>
            </w:r>
          </w:p>
        </w:tc>
        <w:tc>
          <w:tcPr>
            <w:tcW w:w="8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18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 are currently evaluating the adoption on our financial statements and anticipate the impact will result in additional disclosure.</w:t>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ASU 2025-06</w:t>
            </w:r>
            <w:r>
              <w:rPr>
                <w:rFonts w:ascii="Times New Roman;serif" w:hAnsi="Times New Roman;serif"/>
                <w:b w:val="false"/>
                <w:color w:val="000000"/>
                <w:sz w:val="20"/>
              </w:rPr>
              <w:t>, Intangibles—Goodwill and Other—Internal-Use Software (Subtopic 350-40)</w:t>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2025</w:t>
            </w:r>
          </w:p>
        </w:tc>
        <w:tc>
          <w:tcPr>
            <w:tcW w:w="4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This amendment modernizes the accounting for software costs under Subtopic 350-40, Intangibles—Goodwill and Other—Internal-Use Software by removing all references to software development project stages. The amendment requires an entity to begin capitalizing software costs when (1) management has authorized and committed to funding the software project and (2) it is probable that the project will be completed and the software will be used to perform the function intended.</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 are currently evaluating the adoption on our financial statements and related disclosures.</w:t>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ASU 2025-11, </w:t>
            </w:r>
            <w:r>
              <w:rPr>
                <w:rFonts w:ascii="Times New Roman;serif" w:hAnsi="Times New Roman;serif"/>
                <w:b w:val="false"/>
                <w:color w:val="000000"/>
                <w:sz w:val="20"/>
              </w:rPr>
              <w:t>Interim Reporting (Topic 270): Narrow-Scope Improvement</w:t>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2025</w:t>
            </w:r>
          </w:p>
        </w:tc>
        <w:tc>
          <w:tcPr>
            <w:tcW w:w="4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amendments in this update result in a comprehensive list of interim disclosures that are required by GAAP. The objective of the amendments is to provide clarity about the current requirements, rather than evaluate whether to expand or reduce interim disclosure requirements.</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 are currently evaluating the adoption on our interim financial statements and related disclosures.</w:t>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ASU 2026-02, </w:t>
            </w:r>
            <w:r>
              <w:rPr>
                <w:rFonts w:ascii="Times New Roman;serif" w:hAnsi="Times New Roman;serif"/>
                <w:b w:val="false"/>
                <w:color w:val="000000"/>
                <w:sz w:val="20"/>
              </w:rPr>
              <w:t>Environmental Credits and Environmental Credit Obligations (Topic 818)</w:t>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2026</w:t>
            </w:r>
          </w:p>
        </w:tc>
        <w:tc>
          <w:tcPr>
            <w:tcW w:w="4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This standard establishes guidance for the recognition, measurement, presentation, and disclosure of environmental credits and environmental credit obligations. </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 are currently evaluating the adoption, but do not expect a material impact on our financial statements and related disclosures.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85495"/>
                <wp:effectExtent l="0" t="0" r="0" b="0"/>
                <wp:wrapNone/>
                <wp:docPr id="24" name="Frame9"/>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7"/>
                                                <a:stretch>
                                                  <a:fillRect/>
                                                </a:stretch>
                                              </pic:blipFill>
                                              <pic:spPr bwMode="auto">
                                                <a:xfrm>
                                                  <a:off x="0" y="0"/>
                                                  <a:ext cx="266700" cy="257175"/>
                                                </a:xfrm>
                                                <a:prstGeom prst="rect">
                                                  <a:avLst/>
                                                </a:prstGeom>
                                              </pic:spPr>
                                            </pic:pic>
                                          </a:graphicData>
                                        </a:graphic>
                                      </wp:inline>
                                    </w:drawing>
                                  </w:r>
                                  <w:bookmarkStart w:id="15" w:name="i-9"/>
                                  <w:bookmarkEnd w:id="15"/>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8"/>
                                          <a:stretch>
                                            <a:fillRect/>
                                          </a:stretch>
                                        </pic:blipFill>
                                        <pic:spPr bwMode="auto">
                                          <a:xfrm>
                                            <a:off x="0" y="0"/>
                                            <a:ext cx="266700" cy="257175"/>
                                          </a:xfrm>
                                          <a:prstGeom prst="rect">
                                            <a:avLst/>
                                          </a:prstGeom>
                                        </pic:spPr>
                                      </pic:pic>
                                    </a:graphicData>
                                  </a:graphic>
                                </wp:inline>
                              </w:drawing>
                            </w:r>
                            <w:bookmarkStart w:id="16" w:name="i-9"/>
                            <w:bookmarkEnd w:id="16"/>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B – Business Acquisitions and Other Transactions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Divestiture of 3P Revenue Recovery Business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On June 30, 2026, we completed our sale of the third-party ("3P") portion of the revenue recovery business and received $8.8 million in cash, net of cash transferred</w:t>
      </w:r>
      <w:r>
        <w:rPr>
          <w:rFonts w:ascii="Times New Roman;serif" w:hAnsi="Times New Roman;serif"/>
          <w:b w:val="false"/>
          <w:color w:val="000000"/>
          <w:sz w:val="20"/>
          <w:shd w:fill="FFFFFF" w:val="clear"/>
        </w:rPr>
        <w:t>. The transaction enables us to focus on first-party ("1P") suppliers whose retail trading relationships are better aligned with our core solutions.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assets and liabilities transferred in the transaction primarily consisted of intangible assets as well as goodwill and working capital balances associated with the divested business. The divested business represented an immaterial portion of our consolidated operations and financial position.</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sale, we recognized a loss of approximately $23.5 million, which is included in operating income in the accompanying condensed consolidated statements of comprehensive income. The transaction did not qualify for discontinued operations presentation and does not represent a strategic shift nor is it expected to have a material impact on the Company's future consolidated results of operations, financial position, or cash flows.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Carbon6 Technologies, Inc.</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30, 2024, we entered into a definitive agreement to acquire all of the outstanding equity ownership interests of Carbon6 Technologies, Inc. ("Carbon6"), a provider of software tools to Amazon sellers, including specialized offerings for revenue recovery for both 1P and 3P suppliers. The acquisition became effective on February 4, 2025 ("Close"). Pursuant to the definitive agreement, the total consideration transferred was $210.2 million, net of cash acquired. The consideration was comprised of $142.5 million paid in cash, net of cash acquired, and 378,100 shares of SPS common stock (valued at $67.7 million, determined at acquisition Close based on the price of SPS common stock). The shares were issued from SPS treasury shares. The purchase accounting for the acquisition is final. The goodwill associated with the acquisition is not deductible for income tax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85495"/>
                <wp:effectExtent l="0" t="0" r="0" b="0"/>
                <wp:wrapNone/>
                <wp:docPr id="27" name="Frame10"/>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9"/>
                                                <a:stretch>
                                                  <a:fillRect/>
                                                </a:stretch>
                                              </pic:blipFill>
                                              <pic:spPr bwMode="auto">
                                                <a:xfrm>
                                                  <a:off x="0" y="0"/>
                                                  <a:ext cx="266700" cy="257175"/>
                                                </a:xfrm>
                                                <a:prstGeom prst="rect">
                                                  <a:avLst/>
                                                </a:prstGeom>
                                              </pic:spPr>
                                            </pic:pic>
                                          </a:graphicData>
                                        </a:graphic>
                                      </wp:inline>
                                    </w:drawing>
                                  </w:r>
                                  <w:bookmarkStart w:id="17" w:name="i-10"/>
                                  <w:bookmarkEnd w:id="17"/>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20"/>
                                          <a:stretch>
                                            <a:fillRect/>
                                          </a:stretch>
                                        </pic:blipFill>
                                        <pic:spPr bwMode="auto">
                                          <a:xfrm>
                                            <a:off x="0" y="0"/>
                                            <a:ext cx="266700" cy="257175"/>
                                          </a:xfrm>
                                          <a:prstGeom prst="rect">
                                            <a:avLst/>
                                          </a:prstGeom>
                                        </pic:spPr>
                                      </pic:pic>
                                    </a:graphicData>
                                  </a:graphic>
                                </wp:inline>
                              </w:drawing>
                            </w:r>
                            <w:bookmarkStart w:id="18" w:name="i-10"/>
                            <w:bookmarkEnd w:id="18"/>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Purchase Price Allocations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accounted for the acquisition as a business combination. We allocated the purchase price to the tangible and identifiable intangible assets acquired and liabilities assumed based on their estimated fair values as of the acquisition date.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purchase consideration and estimated fair values of acquired assets and liabilities recorded in the Company's condensed consolidated balance sheet as of the acquisition date:</w:t>
      </w:r>
    </w:p>
    <w:tbl>
      <w:tblPr>
        <w:tblW w:w="5630" w:type="dxa"/>
        <w:jc w:val="left"/>
        <w:tblInd w:w="0" w:type="dxa"/>
        <w:tblLayout w:type="fixed"/>
        <w:tblCellMar>
          <w:top w:w="28" w:type="dxa"/>
          <w:left w:w="28" w:type="dxa"/>
          <w:bottom w:w="28" w:type="dxa"/>
          <w:right w:w="28" w:type="dxa"/>
        </w:tblCellMar>
      </w:tblPr>
      <w:tblGrid>
        <w:gridCol w:w="1601"/>
        <w:gridCol w:w="1414"/>
        <w:gridCol w:w="1424"/>
        <w:gridCol w:w="211"/>
        <w:gridCol w:w="826"/>
        <w:gridCol w:w="154"/>
      </w:tblGrid>
      <w:tr>
        <w:trPr/>
        <w:tc>
          <w:tcPr>
            <w:tcW w:w="160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Carbon6</w:t>
            </w:r>
            <w:r>
              <w:rPr>
                <w:color w:val="000000"/>
              </w:rPr>
              <w:t xml:space="preserve"> </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144,855 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212,527 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fair value of assets and liabilities acquired:</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current and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current and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assets and liabilities acquired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76,255 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136,272 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estimated useful lives for each acquired intangible asset:</w:t>
      </w:r>
    </w:p>
    <w:tbl>
      <w:tblPr>
        <w:tblW w:w="2863" w:type="dxa"/>
        <w:jc w:val="left"/>
        <w:tblInd w:w="0" w:type="dxa"/>
        <w:tblLayout w:type="fixed"/>
        <w:tblCellMar>
          <w:top w:w="28" w:type="dxa"/>
          <w:left w:w="28" w:type="dxa"/>
          <w:bottom w:w="28" w:type="dxa"/>
          <w:right w:w="28" w:type="dxa"/>
        </w:tblCellMar>
      </w:tblPr>
      <w:tblGrid>
        <w:gridCol w:w="722"/>
        <w:gridCol w:w="635"/>
        <w:gridCol w:w="637"/>
        <w:gridCol w:w="254"/>
        <w:gridCol w:w="254"/>
        <w:gridCol w:w="361"/>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Carbon6</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8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 years</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 years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AAE5"/>
          <w:sz w:val="20"/>
        </w:rPr>
        <w:t>NOTE C – Revenue</w:t>
      </w:r>
      <w:r>
        <w:rPr>
          <w:color w:val="000000"/>
        </w:rPr>
        <w:t xml:space="preserve"> </w:t>
      </w:r>
    </w:p>
    <w:p>
      <w:pPr>
        <w:pStyle w:val="TextBody"/>
        <w:bidi w:val="0"/>
        <w:spacing w:lineRule="auto" w:line="288" w:before="120" w:after="283"/>
        <w:jc w:val="left"/>
        <w:rPr>
          <w:rFonts w:ascii="Times New Roman;serif" w:hAnsi="Times New Roman;serif"/>
          <w:b/>
          <w:i/>
          <w:color w:val="1F282C"/>
          <w:sz w:val="20"/>
        </w:rPr>
      </w:pPr>
      <w:r>
        <w:rPr>
          <w:rFonts w:ascii="Times New Roman;serif" w:hAnsi="Times New Roman;serif"/>
          <w:b/>
          <w:i/>
          <w:color w:val="1F282C"/>
          <w:sz w:val="20"/>
        </w:rPr>
        <w:t>Revenue by Product Type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derive our revenues from the following revenue streams:</w:t>
      </w:r>
    </w:p>
    <w:tbl>
      <w:tblPr>
        <w:tblW w:w="7365" w:type="dxa"/>
        <w:jc w:val="center"/>
        <w:tblInd w:w="0" w:type="dxa"/>
        <w:tblLayout w:type="fixed"/>
        <w:tblCellMar>
          <w:top w:w="28" w:type="dxa"/>
          <w:left w:w="28" w:type="dxa"/>
          <w:bottom w:w="28" w:type="dxa"/>
          <w:right w:w="28" w:type="dxa"/>
        </w:tblCellMar>
      </w:tblPr>
      <w:tblGrid>
        <w:gridCol w:w="635"/>
        <w:gridCol w:w="559"/>
        <w:gridCol w:w="56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Fulfillment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Analytics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revenues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One-time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368,949 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85495"/>
                <wp:effectExtent l="0" t="0" r="0" b="0"/>
                <wp:wrapNone/>
                <wp:docPr id="30" name="Frame11"/>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21"/>
                                                <a:stretch>
                                                  <a:fillRect/>
                                                </a:stretch>
                                              </pic:blipFill>
                                              <pic:spPr bwMode="auto">
                                                <a:xfrm>
                                                  <a:off x="0" y="0"/>
                                                  <a:ext cx="266700" cy="257175"/>
                                                </a:xfrm>
                                                <a:prstGeom prst="rect">
                                                  <a:avLst/>
                                                </a:prstGeom>
                                              </pic:spPr>
                                            </pic:pic>
                                          </a:graphicData>
                                        </a:graphic>
                                      </wp:inline>
                                    </w:drawing>
                                  </w:r>
                                  <w:bookmarkStart w:id="19" w:name="i-11"/>
                                  <w:bookmarkEnd w:id="19"/>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22"/>
                                          <a:stretch>
                                            <a:fillRect/>
                                          </a:stretch>
                                        </pic:blipFill>
                                        <pic:spPr bwMode="auto">
                                          <a:xfrm>
                                            <a:off x="0" y="0"/>
                                            <a:ext cx="266700" cy="257175"/>
                                          </a:xfrm>
                                          <a:prstGeom prst="rect">
                                            <a:avLst/>
                                          </a:prstGeom>
                                        </pic:spPr>
                                      </pic:pic>
                                    </a:graphicData>
                                  </a:graphic>
                                </wp:inline>
                              </w:drawing>
                            </w:r>
                            <w:bookmarkStart w:id="20" w:name="i-11"/>
                            <w:bookmarkEnd w:id="20"/>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360" w:after="283"/>
        <w:jc w:val="left"/>
        <w:rPr>
          <w:rFonts w:ascii="Times New Roman;serif" w:hAnsi="Times New Roman;serif"/>
          <w:b/>
          <w:i/>
          <w:color w:val="1F282C"/>
          <w:sz w:val="20"/>
        </w:rPr>
      </w:pPr>
      <w:r>
        <w:rPr>
          <w:rFonts w:ascii="Times New Roman;serif" w:hAnsi="Times New Roman;serif"/>
          <w:b/>
          <w:i/>
          <w:color w:val="1F282C"/>
          <w:sz w:val="20"/>
        </w:rPr>
        <w:t>Revenue by Geographic Area</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Domestic revenue, which we define as revenue that was attributable to customers based within the United States ("U.S."), was as follows:</w:t>
      </w:r>
    </w:p>
    <w:tbl>
      <w:tblPr>
        <w:tblW w:w="5396" w:type="dxa"/>
        <w:jc w:val="left"/>
        <w:tblInd w:w="0" w:type="dxa"/>
        <w:tblLayout w:type="fixed"/>
        <w:tblCellMar>
          <w:top w:w="28" w:type="dxa"/>
          <w:left w:w="28" w:type="dxa"/>
          <w:bottom w:w="28" w:type="dxa"/>
          <w:right w:w="28" w:type="dxa"/>
        </w:tblCellMar>
      </w:tblPr>
      <w:tblGrid>
        <w:gridCol w:w="570"/>
        <w:gridCol w:w="501"/>
        <w:gridCol w:w="503"/>
        <w:gridCol w:w="180"/>
        <w:gridCol w:w="181"/>
        <w:gridCol w:w="333"/>
        <w:gridCol w:w="134"/>
        <w:gridCol w:w="134"/>
        <w:gridCol w:w="134"/>
        <w:gridCol w:w="180"/>
        <w:gridCol w:w="181"/>
        <w:gridCol w:w="333"/>
        <w:gridCol w:w="109"/>
        <w:gridCol w:w="109"/>
        <w:gridCol w:w="109"/>
        <w:gridCol w:w="180"/>
        <w:gridCol w:w="181"/>
        <w:gridCol w:w="292"/>
        <w:gridCol w:w="117"/>
        <w:gridCol w:w="117"/>
        <w:gridCol w:w="117"/>
        <w:gridCol w:w="180"/>
        <w:gridCol w:w="181"/>
        <w:gridCol w:w="340"/>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revenue</w:t>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 single jurisdiction outside of the U.S. had revenues in excess of 10%. </w:t>
      </w:r>
    </w:p>
    <w:p>
      <w:pPr>
        <w:pStyle w:val="TextBody"/>
        <w:bidi w:val="0"/>
        <w:spacing w:lineRule="auto" w:line="288" w:before="360" w:after="283"/>
        <w:jc w:val="left"/>
        <w:rPr>
          <w:rFonts w:ascii="Times New Roman;serif" w:hAnsi="Times New Roman;serif"/>
          <w:b/>
          <w:i/>
          <w:color w:val="1F282C"/>
          <w:sz w:val="20"/>
        </w:rPr>
      </w:pPr>
      <w:r>
        <w:rPr>
          <w:rFonts w:ascii="Times New Roman;serif" w:hAnsi="Times New Roman;serif"/>
          <w:b/>
          <w:i/>
          <w:color w:val="1F282C"/>
          <w:sz w:val="20"/>
        </w:rPr>
        <w:t>Recurring Revenues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recurring revenue as active contracts during the reporting period under which the customer regularly pays us fees for subscription-based and reoccurring services. All components of the contracts that are not expected to recur (primarily set-ups and professional services) are excluded from recurring revenue.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for subscription-based services is recognized on a ratable basis over the contract term beginning on the date that our service is made available to the customer. Our contracts primarily range from monthly to annual and generally allow the customer to cancel the contract for any reason with 30 to 90 days’ notice. Timing of billings varies by customer and by contract type and are either in advance or within 30 days of the service being performed.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Given that the recurring revenue contracts are generally for one year or less, we have applied the optional exemption to not disclose information about the remaining performance obligations for recurring revenue contracts.</w:t>
      </w:r>
    </w:p>
    <w:p>
      <w:pPr>
        <w:pStyle w:val="TextBody"/>
        <w:bidi w:val="0"/>
        <w:spacing w:lineRule="auto" w:line="288" w:before="360" w:after="283"/>
        <w:jc w:val="left"/>
        <w:rPr>
          <w:rFonts w:ascii="Times New Roman;serif" w:hAnsi="Times New Roman;serif"/>
          <w:b/>
          <w:i/>
          <w:color w:val="1F282C"/>
          <w:sz w:val="20"/>
        </w:rPr>
      </w:pPr>
      <w:r>
        <w:rPr>
          <w:rFonts w:ascii="Times New Roman;serif" w:hAnsi="Times New Roman;serif"/>
          <w:b/>
          <w:i/>
          <w:color w:val="1F282C"/>
          <w:sz w:val="20"/>
        </w:rPr>
        <w:t>One-time Revenues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One-time revenues consist of set-up fees and miscellaneous fees from customers.</w:t>
      </w:r>
    </w:p>
    <w:p>
      <w:pPr>
        <w:pStyle w:val="TextBody"/>
        <w:bidi w:val="0"/>
        <w:spacing w:lineRule="auto" w:line="288" w:before="240" w:after="283"/>
        <w:jc w:val="left"/>
        <w:rPr>
          <w:rFonts w:ascii="Times New Roman;serif" w:hAnsi="Times New Roman;serif"/>
          <w:b w:val="false"/>
          <w:i/>
          <w:color w:val="1F282C"/>
          <w:sz w:val="20"/>
        </w:rPr>
      </w:pPr>
      <w:r>
        <w:rPr>
          <w:rFonts w:ascii="Times New Roman;serif" w:hAnsi="Times New Roman;serif"/>
          <w:b w:val="false"/>
          <w:i/>
          <w:color w:val="1F282C"/>
          <w:sz w:val="20"/>
        </w:rPr>
        <w:t>Set-up revenues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Set-up fees, a component of our revenue, are specific for each connection a customer has with a trading partner. These nonrefundable fees are necessary for our customers to utilize our services and do not provide any standalone value. Many of our customers have connections with numerous trading partners.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Set-up fees constitute a material renewal option right that provide customers a significant future incentive that would not be otherwise available to that customer unless they entered into the contract, as the set-up fees will not be incurred again upon contract renewal. As such, set-up fees and related costs are deferred and recognized ratably, generally over two years, which is the estimated period for which a material right is present for our customers.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activity of the portion of the deferred revenue liability relating to set-up fees. We expect to recognize $10.6 million of the balance as of June 30, 2026 as revenue over the next 12 months with the remaining amount recognized thereafter.</w:t>
      </w:r>
    </w:p>
    <w:tbl>
      <w:tblPr>
        <w:tblW w:w="7680" w:type="dxa"/>
        <w:jc w:val="center"/>
        <w:tblInd w:w="0" w:type="dxa"/>
        <w:tblLayout w:type="fixed"/>
        <w:tblCellMar>
          <w:top w:w="28" w:type="dxa"/>
          <w:left w:w="28" w:type="dxa"/>
          <w:bottom w:w="28" w:type="dxa"/>
          <w:right w:w="28" w:type="dxa"/>
        </w:tblCellMar>
      </w:tblPr>
      <w:tblGrid>
        <w:gridCol w:w="901"/>
        <w:gridCol w:w="793"/>
        <w:gridCol w:w="79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Invoiced set-up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set-up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Miscellaneous one-time revenues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Miscellaneous one-time fees primarily consist of professional services and testing and certification.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contract period for these one-time fees is one year or less and recognized at the time service is provided. We have applied the optional exemption to not disclose information about the remaining performance obligations for miscellaneous one-time fee contracts since they have original durations of one year or less.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85495"/>
                <wp:effectExtent l="0" t="0" r="0" b="0"/>
                <wp:wrapNone/>
                <wp:docPr id="33" name="Frame12"/>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23"/>
                                                <a:stretch>
                                                  <a:fillRect/>
                                                </a:stretch>
                                              </pic:blipFill>
                                              <pic:spPr bwMode="auto">
                                                <a:xfrm>
                                                  <a:off x="0" y="0"/>
                                                  <a:ext cx="266700" cy="257175"/>
                                                </a:xfrm>
                                                <a:prstGeom prst="rect">
                                                  <a:avLst/>
                                                </a:prstGeom>
                                              </pic:spPr>
                                            </pic:pic>
                                          </a:graphicData>
                                        </a:graphic>
                                      </wp:inline>
                                    </w:drawing>
                                  </w:r>
                                  <w:bookmarkStart w:id="21" w:name="i-12"/>
                                  <w:bookmarkEnd w:id="21"/>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descr=""/>
                                          <pic:cNvPicPr>
                                            <a:picLocks noChangeAspect="1" noChangeArrowheads="1"/>
                                          </pic:cNvPicPr>
                                        </pic:nvPicPr>
                                        <pic:blipFill>
                                          <a:blip r:embed="rId24"/>
                                          <a:stretch>
                                            <a:fillRect/>
                                          </a:stretch>
                                        </pic:blipFill>
                                        <pic:spPr bwMode="auto">
                                          <a:xfrm>
                                            <a:off x="0" y="0"/>
                                            <a:ext cx="266700" cy="257175"/>
                                          </a:xfrm>
                                          <a:prstGeom prst="rect">
                                            <a:avLst/>
                                          </a:prstGeom>
                                        </pic:spPr>
                                      </pic:pic>
                                    </a:graphicData>
                                  </a:graphic>
                                </wp:inline>
                              </w:drawing>
                            </w:r>
                            <w:bookmarkStart w:id="22" w:name="i-12"/>
                            <w:bookmarkEnd w:id="22"/>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360" w:after="283"/>
        <w:jc w:val="left"/>
        <w:rPr>
          <w:rFonts w:ascii="Times New Roman;serif" w:hAnsi="Times New Roman;serif"/>
          <w:b/>
          <w:i/>
          <w:color w:val="1F282C"/>
          <w:sz w:val="20"/>
          <w:shd w:fill="FFFFFF" w:val="clear"/>
        </w:rPr>
      </w:pPr>
      <w:r>
        <w:rPr>
          <w:rFonts w:ascii="Times New Roman;serif" w:hAnsi="Times New Roman;serif"/>
          <w:b/>
          <w:i/>
          <w:color w:val="1F282C"/>
          <w:sz w:val="20"/>
          <w:shd w:fill="FFFFFF" w:val="clear"/>
        </w:rPr>
        <w:t>Deferred Revenue</w:t>
      </w:r>
    </w:p>
    <w:p>
      <w:pPr>
        <w:pStyle w:val="TextBody"/>
        <w:bidi w:val="0"/>
        <w:spacing w:lineRule="auto" w:line="288" w:before="120" w:after="283"/>
        <w:ind w:left="0" w:right="0" w:firstLine="720"/>
        <w:jc w:val="both"/>
        <w:rPr/>
      </w:pPr>
      <w:r>
        <w:rPr>
          <w:rFonts w:ascii="Times New Roman;serif" w:hAnsi="Times New Roman;serif"/>
          <w:b w:val="false"/>
          <w:color w:val="000000"/>
          <w:sz w:val="20"/>
        </w:rPr>
        <w:t>We recognized reven</w:t>
      </w:r>
      <w:r>
        <w:rPr>
          <w:rFonts w:ascii="Times New Roman;serif" w:hAnsi="Times New Roman;serif"/>
          <w:b w:val="false"/>
          <w:color w:val="000000"/>
          <w:sz w:val="20"/>
          <w:shd w:fill="FFFFFF" w:val="clear"/>
        </w:rPr>
        <w:t>ue of</w:t>
      </w:r>
      <w:r>
        <w:rPr>
          <w:color w:val="000000"/>
        </w:rPr>
        <w:t xml:space="preserve"> </w:t>
      </w:r>
      <w:r>
        <w:rPr>
          <w:rFonts w:ascii="Times New Roman;serif" w:hAnsi="Times New Roman;serif"/>
          <w:b w:val="false"/>
          <w:color w:val="000000"/>
          <w:sz w:val="20"/>
        </w:rPr>
        <w:t>$59.6 million</w:t>
      </w:r>
      <w:r>
        <w:rPr>
          <w:color w:val="000000"/>
          <w:shd w:fill="FFFFFF" w:val="clear"/>
        </w:rPr>
        <w:t xml:space="preserve"> </w:t>
      </w:r>
      <w:r>
        <w:rPr>
          <w:rFonts w:ascii="Times New Roman;serif" w:hAnsi="Times New Roman;serif"/>
          <w:b w:val="false"/>
          <w:color w:val="000000"/>
          <w:sz w:val="20"/>
          <w:shd w:fill="FFFFFF" w:val="clear"/>
        </w:rPr>
        <w:t>and $58.4 million in the six months ended June 30, 2026 and 2025, respectively, from amounts included in deferred</w:t>
      </w:r>
      <w:r>
        <w:rPr>
          <w:color w:val="000000"/>
        </w:rPr>
        <w:t xml:space="preserve"> </w:t>
      </w:r>
      <w:r>
        <w:rPr>
          <w:rFonts w:ascii="Times New Roman;serif" w:hAnsi="Times New Roman;serif"/>
          <w:b w:val="false"/>
          <w:color w:val="000000"/>
          <w:sz w:val="20"/>
        </w:rPr>
        <w:t>revenue at the beginning of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D – Deferred Costs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deferred costs activity was as follows:</w:t>
      </w:r>
    </w:p>
    <w:tbl>
      <w:tblPr>
        <w:tblW w:w="7680" w:type="dxa"/>
        <w:jc w:val="center"/>
        <w:tblInd w:w="0" w:type="dxa"/>
        <w:tblLayout w:type="fixed"/>
        <w:tblCellMar>
          <w:top w:w="28" w:type="dxa"/>
          <w:left w:w="28" w:type="dxa"/>
          <w:bottom w:w="28" w:type="dxa"/>
          <w:right w:w="28" w:type="dxa"/>
        </w:tblCellMar>
      </w:tblPr>
      <w:tblGrid>
        <w:gridCol w:w="901"/>
        <w:gridCol w:w="793"/>
        <w:gridCol w:w="79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Incurred deferred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Amortized deferred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87,904 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E – Fair Value Measurements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Cash equivalents, as measured at fair value on a recurring basis, consisted of the following:</w:t>
      </w:r>
    </w:p>
    <w:tbl>
      <w:tblPr>
        <w:tblW w:w="10350" w:type="dxa"/>
        <w:jc w:val="left"/>
        <w:tblInd w:w="0" w:type="dxa"/>
        <w:tblLayout w:type="fixed"/>
        <w:tblCellMar>
          <w:top w:w="28" w:type="dxa"/>
          <w:left w:w="28" w:type="dxa"/>
          <w:bottom w:w="28" w:type="dxa"/>
          <w:right w:w="28" w:type="dxa"/>
        </w:tblCellMar>
      </w:tblPr>
      <w:tblGrid>
        <w:gridCol w:w="412"/>
        <w:gridCol w:w="363"/>
        <w:gridCol w:w="306"/>
        <w:gridCol w:w="109"/>
        <w:gridCol w:w="109"/>
        <w:gridCol w:w="109"/>
        <w:gridCol w:w="220"/>
        <w:gridCol w:w="175"/>
        <w:gridCol w:w="176"/>
        <w:gridCol w:w="109"/>
        <w:gridCol w:w="109"/>
        <w:gridCol w:w="109"/>
        <w:gridCol w:w="211"/>
        <w:gridCol w:w="721"/>
        <w:gridCol w:w="109"/>
        <w:gridCol w:w="109"/>
        <w:gridCol w:w="109"/>
        <w:gridCol w:w="109"/>
        <w:gridCol w:w="257"/>
        <w:gridCol w:w="495"/>
        <w:gridCol w:w="134"/>
        <w:gridCol w:w="109"/>
        <w:gridCol w:w="109"/>
        <w:gridCol w:w="109"/>
        <w:gridCol w:w="211"/>
        <w:gridCol w:w="721"/>
        <w:gridCol w:w="109"/>
        <w:gridCol w:w="109"/>
        <w:gridCol w:w="109"/>
        <w:gridCol w:w="109"/>
        <w:gridCol w:w="109"/>
        <w:gridCol w:w="109"/>
        <w:gridCol w:w="211"/>
        <w:gridCol w:w="826"/>
        <w:gridCol w:w="109"/>
        <w:gridCol w:w="109"/>
        <w:gridCol w:w="109"/>
        <w:gridCol w:w="109"/>
        <w:gridCol w:w="257"/>
        <w:gridCol w:w="495"/>
        <w:gridCol w:w="134"/>
        <w:gridCol w:w="109"/>
        <w:gridCol w:w="109"/>
        <w:gridCol w:w="109"/>
        <w:gridCol w:w="211"/>
        <w:gridCol w:w="826"/>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 Level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Unrealized Gains (Losses),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Unrealized Gains (Losses),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0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F – Allowance for Credit Losses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allowance for credit losses activity, included in accounts receivable, net, was as follows:</w:t>
      </w:r>
    </w:p>
    <w:tbl>
      <w:tblPr>
        <w:tblW w:w="4734" w:type="dxa"/>
        <w:jc w:val="center"/>
        <w:tblInd w:w="0" w:type="dxa"/>
        <w:tblLayout w:type="fixed"/>
        <w:tblCellMar>
          <w:top w:w="28" w:type="dxa"/>
          <w:left w:w="28" w:type="dxa"/>
          <w:bottom w:w="28" w:type="dxa"/>
          <w:right w:w="28" w:type="dxa"/>
        </w:tblCellMar>
      </w:tblPr>
      <w:tblGrid>
        <w:gridCol w:w="901"/>
        <w:gridCol w:w="793"/>
        <w:gridCol w:w="796"/>
        <w:gridCol w:w="211"/>
        <w:gridCol w:w="616"/>
        <w:gridCol w:w="109"/>
        <w:gridCol w:w="109"/>
        <w:gridCol w:w="109"/>
        <w:gridCol w:w="109"/>
        <w:gridCol w:w="211"/>
        <w:gridCol w:w="616"/>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net of recoveries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785495"/>
                <wp:effectExtent l="0" t="0" r="0" b="0"/>
                <wp:wrapNone/>
                <wp:docPr id="36" name="Frame13"/>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25"/>
                                                <a:stretch>
                                                  <a:fillRect/>
                                                </a:stretch>
                                              </pic:blipFill>
                                              <pic:spPr bwMode="auto">
                                                <a:xfrm>
                                                  <a:off x="0" y="0"/>
                                                  <a:ext cx="266700" cy="257175"/>
                                                </a:xfrm>
                                                <a:prstGeom prst="rect">
                                                  <a:avLst/>
                                                </a:prstGeom>
                                              </pic:spPr>
                                            </pic:pic>
                                          </a:graphicData>
                                        </a:graphic>
                                      </wp:inline>
                                    </w:drawing>
                                  </w:r>
                                  <w:bookmarkStart w:id="23" w:name="i-13"/>
                                  <w:bookmarkEnd w:id="23"/>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3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3" descr=""/>
                                          <pic:cNvPicPr>
                                            <a:picLocks noChangeAspect="1" noChangeArrowheads="1"/>
                                          </pic:cNvPicPr>
                                        </pic:nvPicPr>
                                        <pic:blipFill>
                                          <a:blip r:embed="rId26"/>
                                          <a:stretch>
                                            <a:fillRect/>
                                          </a:stretch>
                                        </pic:blipFill>
                                        <pic:spPr bwMode="auto">
                                          <a:xfrm>
                                            <a:off x="0" y="0"/>
                                            <a:ext cx="266700" cy="257175"/>
                                          </a:xfrm>
                                          <a:prstGeom prst="rect">
                                            <a:avLst/>
                                          </a:prstGeom>
                                        </pic:spPr>
                                      </pic:pic>
                                    </a:graphicData>
                                  </a:graphic>
                                </wp:inline>
                              </w:drawing>
                            </w:r>
                            <w:bookmarkStart w:id="24" w:name="i-13"/>
                            <w:bookmarkEnd w:id="24"/>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G – Property and Equipment,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7127" w:type="dxa"/>
        <w:jc w:val="left"/>
        <w:tblInd w:w="0" w:type="dxa"/>
        <w:tblLayout w:type="fixed"/>
        <w:tblCellMar>
          <w:top w:w="28" w:type="dxa"/>
          <w:left w:w="28" w:type="dxa"/>
          <w:bottom w:w="28" w:type="dxa"/>
          <w:right w:w="28" w:type="dxa"/>
        </w:tblCellMar>
      </w:tblPr>
      <w:tblGrid>
        <w:gridCol w:w="1486"/>
        <w:gridCol w:w="1310"/>
        <w:gridCol w:w="1313"/>
        <w:gridCol w:w="211"/>
        <w:gridCol w:w="826"/>
        <w:gridCol w:w="109"/>
        <w:gridCol w:w="109"/>
        <w:gridCol w:w="109"/>
        <w:gridCol w:w="109"/>
        <w:gridCol w:w="300"/>
        <w:gridCol w:w="1026"/>
        <w:gridCol w:w="219"/>
      </w:tblGrid>
      <w:tr>
        <w:trPr/>
        <w:tc>
          <w:tcPr>
            <w:tcW w:w="148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94,859 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25,462 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 and furniture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cost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144,524 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(101,407)</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43,117 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located outside of the U.S. was as follows:</w:t>
      </w:r>
    </w:p>
    <w:tbl>
      <w:tblPr>
        <w:tblW w:w="5797" w:type="dxa"/>
        <w:jc w:val="left"/>
        <w:tblInd w:w="0" w:type="dxa"/>
        <w:tblLayout w:type="fixed"/>
        <w:tblCellMar>
          <w:top w:w="28" w:type="dxa"/>
          <w:left w:w="28" w:type="dxa"/>
          <w:bottom w:w="28" w:type="dxa"/>
          <w:right w:w="28" w:type="dxa"/>
        </w:tblCellMar>
      </w:tblPr>
      <w:tblGrid>
        <w:gridCol w:w="1146"/>
        <w:gridCol w:w="1008"/>
        <w:gridCol w:w="1011"/>
        <w:gridCol w:w="180"/>
        <w:gridCol w:w="181"/>
        <w:gridCol w:w="399"/>
        <w:gridCol w:w="109"/>
        <w:gridCol w:w="109"/>
        <w:gridCol w:w="109"/>
        <w:gridCol w:w="314"/>
        <w:gridCol w:w="314"/>
        <w:gridCol w:w="917"/>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property and equipment</w:t>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9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H – Goodwill and Intangible Assets, Net</w:t>
      </w:r>
    </w:p>
    <w:p>
      <w:pPr>
        <w:pStyle w:val="TextBody"/>
        <w:bidi w:val="0"/>
        <w:spacing w:lineRule="auto" w:line="288" w:before="120" w:after="283"/>
        <w:jc w:val="left"/>
        <w:rPr>
          <w:rFonts w:ascii="Times New Roman;serif" w:hAnsi="Times New Roman;serif"/>
          <w:b/>
          <w:i/>
          <w:color w:val="1F282C"/>
          <w:sz w:val="20"/>
        </w:rPr>
      </w:pPr>
      <w:r>
        <w:rPr>
          <w:rFonts w:ascii="Times New Roman;serif" w:hAnsi="Times New Roman;serif"/>
          <w:b/>
          <w:i/>
          <w:color w:val="1F282C"/>
          <w:sz w:val="20"/>
        </w:rPr>
        <w:t>Goodwill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activity in goodwill was as follows:</w:t>
      </w:r>
    </w:p>
    <w:tbl>
      <w:tblPr>
        <w:tblW w:w="4679" w:type="dxa"/>
        <w:jc w:val="left"/>
        <w:tblInd w:w="0" w:type="dxa"/>
        <w:tblLayout w:type="fixed"/>
        <w:tblCellMar>
          <w:top w:w="28" w:type="dxa"/>
          <w:left w:w="28" w:type="dxa"/>
          <w:bottom w:w="28" w:type="dxa"/>
          <w:right w:w="28" w:type="dxa"/>
        </w:tblCellMar>
      </w:tblPr>
      <w:tblGrid>
        <w:gridCol w:w="1167"/>
        <w:gridCol w:w="1027"/>
        <w:gridCol w:w="1031"/>
        <w:gridCol w:w="257"/>
        <w:gridCol w:w="1009"/>
        <w:gridCol w:w="188"/>
      </w:tblGrid>
      <w:tr>
        <w:trPr/>
        <w:tc>
          <w:tcPr>
            <w:tcW w:w="116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2026</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541,719 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Disposition due to divestiture</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and other</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539,411 </w:t>
            </w:r>
          </w:p>
        </w:tc>
        <w:tc>
          <w:tcPr>
            <w:tcW w:w="1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1F282C"/>
          <w:sz w:val="20"/>
        </w:rPr>
      </w:pPr>
      <w:r>
        <w:rPr>
          <w:rFonts w:ascii="Times New Roman;serif" w:hAnsi="Times New Roman;serif"/>
          <w:b/>
          <w:i/>
          <w:color w:val="1F282C"/>
          <w:sz w:val="20"/>
        </w:rPr>
        <w:t>Intangible Assets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net consisted of the following:</w:t>
      </w:r>
    </w:p>
    <w:tbl>
      <w:tblPr>
        <w:tblW w:w="10205" w:type="dxa"/>
        <w:jc w:val="center"/>
        <w:tblInd w:w="0" w:type="dxa"/>
        <w:tblLayout w:type="fixed"/>
        <w:tblCellMar>
          <w:top w:w="28" w:type="dxa"/>
          <w:left w:w="28" w:type="dxa"/>
          <w:bottom w:w="28" w:type="dxa"/>
          <w:right w:w="28" w:type="dxa"/>
        </w:tblCellMar>
      </w:tblPr>
      <w:tblGrid>
        <w:gridCol w:w="618"/>
        <w:gridCol w:w="544"/>
        <w:gridCol w:w="506"/>
        <w:gridCol w:w="211"/>
        <w:gridCol w:w="826"/>
        <w:gridCol w:w="109"/>
        <w:gridCol w:w="109"/>
        <w:gridCol w:w="109"/>
        <w:gridCol w:w="109"/>
        <w:gridCol w:w="211"/>
        <w:gridCol w:w="877"/>
        <w:gridCol w:w="109"/>
        <w:gridCol w:w="109"/>
        <w:gridCol w:w="109"/>
        <w:gridCol w:w="109"/>
        <w:gridCol w:w="249"/>
        <w:gridCol w:w="568"/>
        <w:gridCol w:w="129"/>
        <w:gridCol w:w="109"/>
        <w:gridCol w:w="109"/>
        <w:gridCol w:w="109"/>
        <w:gridCol w:w="211"/>
        <w:gridCol w:w="826"/>
        <w:gridCol w:w="109"/>
        <w:gridCol w:w="109"/>
        <w:gridCol w:w="109"/>
        <w:gridCol w:w="109"/>
        <w:gridCol w:w="815"/>
        <w:gridCol w:w="815"/>
        <w:gridCol w:w="116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 xml:space="preserve">Currency </w:t>
              <w:br/>
              <w:t>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Amortization Period</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 years</w:t>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 years</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(122,640)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 years</w:t>
            </w:r>
          </w:p>
        </w:tc>
      </w:tr>
    </w:tbl>
    <w:tbl>
      <w:tblPr>
        <w:tblW w:w="10205" w:type="dxa"/>
        <w:jc w:val="center"/>
        <w:tblInd w:w="0" w:type="dxa"/>
        <w:tblLayout w:type="fixed"/>
        <w:tblCellMar>
          <w:top w:w="28" w:type="dxa"/>
          <w:left w:w="28" w:type="dxa"/>
          <w:bottom w:w="28" w:type="dxa"/>
          <w:right w:w="28" w:type="dxa"/>
        </w:tblCellMar>
      </w:tblPr>
      <w:tblGrid>
        <w:gridCol w:w="618"/>
        <w:gridCol w:w="544"/>
        <w:gridCol w:w="506"/>
        <w:gridCol w:w="211"/>
        <w:gridCol w:w="826"/>
        <w:gridCol w:w="109"/>
        <w:gridCol w:w="109"/>
        <w:gridCol w:w="109"/>
        <w:gridCol w:w="109"/>
        <w:gridCol w:w="211"/>
        <w:gridCol w:w="877"/>
        <w:gridCol w:w="109"/>
        <w:gridCol w:w="109"/>
        <w:gridCol w:w="109"/>
        <w:gridCol w:w="109"/>
        <w:gridCol w:w="213"/>
        <w:gridCol w:w="622"/>
        <w:gridCol w:w="111"/>
        <w:gridCol w:w="109"/>
        <w:gridCol w:w="109"/>
        <w:gridCol w:w="109"/>
        <w:gridCol w:w="211"/>
        <w:gridCol w:w="826"/>
        <w:gridCol w:w="109"/>
        <w:gridCol w:w="109"/>
        <w:gridCol w:w="109"/>
        <w:gridCol w:w="109"/>
        <w:gridCol w:w="815"/>
        <w:gridCol w:w="815"/>
        <w:gridCol w:w="116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 xml:space="preserve">Currency </w:t>
              <w:br/>
              <w:t>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Amortization Period</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 years</w:t>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 years</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(107,248)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 years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85495"/>
                <wp:effectExtent l="0" t="0" r="0" b="0"/>
                <wp:wrapNone/>
                <wp:docPr id="39" name="Frame14"/>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27"/>
                                                <a:stretch>
                                                  <a:fillRect/>
                                                </a:stretch>
                                              </pic:blipFill>
                                              <pic:spPr bwMode="auto">
                                                <a:xfrm>
                                                  <a:off x="0" y="0"/>
                                                  <a:ext cx="266700" cy="257175"/>
                                                </a:xfrm>
                                                <a:prstGeom prst="rect">
                                                  <a:avLst/>
                                                </a:prstGeom>
                                              </pic:spPr>
                                            </pic:pic>
                                          </a:graphicData>
                                        </a:graphic>
                                      </wp:inline>
                                    </w:drawing>
                                  </w:r>
                                  <w:bookmarkStart w:id="25" w:name="i-14"/>
                                  <w:bookmarkEnd w:id="25"/>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4" descr=""/>
                                          <pic:cNvPicPr>
                                            <a:picLocks noChangeAspect="1" noChangeArrowheads="1"/>
                                          </pic:cNvPicPr>
                                        </pic:nvPicPr>
                                        <pic:blipFill>
                                          <a:blip r:embed="rId28"/>
                                          <a:stretch>
                                            <a:fillRect/>
                                          </a:stretch>
                                        </pic:blipFill>
                                        <pic:spPr bwMode="auto">
                                          <a:xfrm>
                                            <a:off x="0" y="0"/>
                                            <a:ext cx="266700" cy="257175"/>
                                          </a:xfrm>
                                          <a:prstGeom prst="rect">
                                            <a:avLst/>
                                          </a:prstGeom>
                                        </pic:spPr>
                                      </pic:pic>
                                    </a:graphicData>
                                  </a:graphic>
                                </wp:inline>
                              </w:drawing>
                            </w:r>
                            <w:bookmarkStart w:id="26" w:name="i-14"/>
                            <w:bookmarkEnd w:id="26"/>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future annual amortization expense related to intangible assets is as follows:</w:t>
      </w:r>
    </w:p>
    <w:tbl>
      <w:tblPr>
        <w:tblW w:w="3351" w:type="dxa"/>
        <w:jc w:val="center"/>
        <w:tblInd w:w="0" w:type="dxa"/>
        <w:tblLayout w:type="fixed"/>
        <w:tblCellMar>
          <w:top w:w="28" w:type="dxa"/>
          <w:left w:w="28" w:type="dxa"/>
          <w:bottom w:w="28" w:type="dxa"/>
          <w:right w:w="28" w:type="dxa"/>
        </w:tblCellMar>
      </w:tblPr>
      <w:tblGrid>
        <w:gridCol w:w="782"/>
        <w:gridCol w:w="688"/>
        <w:gridCol w:w="690"/>
        <w:gridCol w:w="211"/>
        <w:gridCol w:w="82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amortization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172,446 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I – Commitments and Contingencies</w:t>
      </w:r>
    </w:p>
    <w:p>
      <w:pPr>
        <w:pStyle w:val="TextBody"/>
        <w:bidi w:val="0"/>
        <w:spacing w:lineRule="auto" w:line="288" w:before="120" w:after="283"/>
        <w:jc w:val="left"/>
        <w:rPr>
          <w:rFonts w:ascii="Times New Roman;serif" w:hAnsi="Times New Roman;serif"/>
          <w:b/>
          <w:i/>
          <w:color w:val="1F282C"/>
          <w:sz w:val="20"/>
        </w:rPr>
      </w:pPr>
      <w:r>
        <w:rPr>
          <w:rFonts w:ascii="Times New Roman;serif" w:hAnsi="Times New Roman;serif"/>
          <w:b/>
          <w:i/>
          <w:color w:val="1F282C"/>
          <w:sz w:val="20"/>
        </w:rPr>
        <w:t>Leases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Effective October 1, 2025, we executed the sixth amendment to our lease agreement (the "Amendment") for our current headquarters located in Minneapolis, Minnesota where we lease approximately 198,000 square feet. The Amendment extends the lease term to end in July 2043 and provides approximately $33 million of lease incentives, which were included in the initial measurement of the operating lease right-of-use asset. The Company expects to utilize approximately $18 million of these lease incentives during the year ending December 31, 2027, with the remaining balance to be utilized thereafter.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w:t>
      </w:r>
    </w:p>
    <w:tbl>
      <w:tblPr>
        <w:tblW w:w="6525" w:type="dxa"/>
        <w:jc w:val="center"/>
        <w:tblInd w:w="0" w:type="dxa"/>
        <w:tblLayout w:type="fixed"/>
        <w:tblCellMar>
          <w:top w:w="28" w:type="dxa"/>
          <w:left w:w="28" w:type="dxa"/>
          <w:bottom w:w="28" w:type="dxa"/>
          <w:right w:w="28" w:type="dxa"/>
        </w:tblCellMar>
      </w:tblPr>
      <w:tblGrid>
        <w:gridCol w:w="635"/>
        <w:gridCol w:w="559"/>
        <w:gridCol w:w="56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w:t>
      </w:r>
    </w:p>
    <w:tbl>
      <w:tblPr>
        <w:tblW w:w="8064" w:type="dxa"/>
        <w:jc w:val="center"/>
        <w:tblInd w:w="0" w:type="dxa"/>
        <w:tblLayout w:type="fixed"/>
        <w:tblCellMar>
          <w:top w:w="28" w:type="dxa"/>
          <w:left w:w="28" w:type="dxa"/>
          <w:bottom w:w="28" w:type="dxa"/>
          <w:right w:w="28" w:type="dxa"/>
        </w:tblCellMar>
      </w:tblPr>
      <w:tblGrid>
        <w:gridCol w:w="2100"/>
        <w:gridCol w:w="1850"/>
        <w:gridCol w:w="1870"/>
        <w:gridCol w:w="211"/>
        <w:gridCol w:w="616"/>
        <w:gridCol w:w="109"/>
        <w:gridCol w:w="109"/>
        <w:gridCol w:w="109"/>
        <w:gridCol w:w="109"/>
        <w:gridCol w:w="211"/>
        <w:gridCol w:w="616"/>
        <w:gridCol w:w="154"/>
      </w:tblGrid>
      <w:tr>
        <w:trPr/>
        <w:tc>
          <w:tcPr>
            <w:tcW w:w="210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operating leases was as follows:</w:t>
      </w:r>
    </w:p>
    <w:tbl>
      <w:tblPr>
        <w:tblW w:w="6132" w:type="dxa"/>
        <w:jc w:val="center"/>
        <w:tblInd w:w="0" w:type="dxa"/>
        <w:tblLayout w:type="fixed"/>
        <w:tblCellMar>
          <w:top w:w="28" w:type="dxa"/>
          <w:left w:w="28" w:type="dxa"/>
          <w:bottom w:w="28" w:type="dxa"/>
          <w:right w:w="28" w:type="dxa"/>
        </w:tblCellMar>
      </w:tblPr>
      <w:tblGrid>
        <w:gridCol w:w="1207"/>
        <w:gridCol w:w="1059"/>
        <w:gridCol w:w="1064"/>
        <w:gridCol w:w="207"/>
        <w:gridCol w:w="207"/>
        <w:gridCol w:w="516"/>
        <w:gridCol w:w="109"/>
        <w:gridCol w:w="109"/>
        <w:gridCol w:w="109"/>
        <w:gridCol w:w="314"/>
        <w:gridCol w:w="314"/>
        <w:gridCol w:w="917"/>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9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years</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85495"/>
                <wp:effectExtent l="0" t="0" r="0" b="0"/>
                <wp:wrapNone/>
                <wp:docPr id="42" name="Frame15"/>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29"/>
                                                <a:stretch>
                                                  <a:fillRect/>
                                                </a:stretch>
                                              </pic:blipFill>
                                              <pic:spPr bwMode="auto">
                                                <a:xfrm>
                                                  <a:off x="0" y="0"/>
                                                  <a:ext cx="266700" cy="257175"/>
                                                </a:xfrm>
                                                <a:prstGeom prst="rect">
                                                  <a:avLst/>
                                                </a:prstGeom>
                                              </pic:spPr>
                                            </pic:pic>
                                          </a:graphicData>
                                        </a:graphic>
                                      </wp:inline>
                                    </w:drawing>
                                  </w:r>
                                  <w:bookmarkStart w:id="27" w:name="i-15"/>
                                  <w:bookmarkEnd w:id="27"/>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4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5" descr=""/>
                                          <pic:cNvPicPr>
                                            <a:picLocks noChangeAspect="1" noChangeArrowheads="1"/>
                                          </pic:cNvPicPr>
                                        </pic:nvPicPr>
                                        <pic:blipFill>
                                          <a:blip r:embed="rId30"/>
                                          <a:stretch>
                                            <a:fillRect/>
                                          </a:stretch>
                                        </pic:blipFill>
                                        <pic:spPr bwMode="auto">
                                          <a:xfrm>
                                            <a:off x="0" y="0"/>
                                            <a:ext cx="266700" cy="257175"/>
                                          </a:xfrm>
                                          <a:prstGeom prst="rect">
                                            <a:avLst/>
                                          </a:prstGeom>
                                        </pic:spPr>
                                      </pic:pic>
                                    </a:graphicData>
                                  </a:graphic>
                                </wp:inline>
                              </w:drawing>
                            </w:r>
                            <w:bookmarkStart w:id="28" w:name="i-15"/>
                            <w:bookmarkEnd w:id="28"/>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under operating leases are presented net of lease incentives deemed payable at lease commencement. At June 30, 2026, our future minimum payments under operating leases were as follows:</w:t>
      </w:r>
    </w:p>
    <w:tbl>
      <w:tblPr>
        <w:tblW w:w="3636" w:type="dxa"/>
        <w:jc w:val="center"/>
        <w:tblInd w:w="0" w:type="dxa"/>
        <w:tblLayout w:type="fixed"/>
        <w:tblCellMar>
          <w:top w:w="28" w:type="dxa"/>
          <w:left w:w="28" w:type="dxa"/>
          <w:bottom w:w="28" w:type="dxa"/>
          <w:right w:w="28" w:type="dxa"/>
        </w:tblCellMar>
      </w:tblPr>
      <w:tblGrid>
        <w:gridCol w:w="961"/>
        <w:gridCol w:w="846"/>
        <w:gridCol w:w="848"/>
        <w:gridCol w:w="211"/>
        <w:gridCol w:w="61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gross payments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1F282C"/>
          <w:sz w:val="20"/>
        </w:rPr>
      </w:pPr>
      <w:r>
        <w:rPr>
          <w:rFonts w:ascii="Times New Roman;serif" w:hAnsi="Times New Roman;serif"/>
          <w:b/>
          <w:i/>
          <w:color w:val="1F282C"/>
          <w:sz w:val="20"/>
        </w:rPr>
        <w:t>Purchase Commitments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entered into separate noncancelable agreements with computing infrastructure, productivity software, customer relationship management, and performance and security data analytics vendors for services through 2030. At June 30, 2026, our remaining purchase commitments and estimated purchase timing were as follows:</w:t>
      </w:r>
    </w:p>
    <w:tbl>
      <w:tblPr>
        <w:tblW w:w="3830" w:type="dxa"/>
        <w:jc w:val="left"/>
        <w:tblInd w:w="0" w:type="dxa"/>
        <w:tblLayout w:type="fixed"/>
        <w:tblCellMar>
          <w:top w:w="28" w:type="dxa"/>
          <w:left w:w="28" w:type="dxa"/>
          <w:bottom w:w="28" w:type="dxa"/>
          <w:right w:w="28" w:type="dxa"/>
        </w:tblCellMar>
      </w:tblPr>
      <w:tblGrid>
        <w:gridCol w:w="993"/>
        <w:gridCol w:w="874"/>
        <w:gridCol w:w="877"/>
        <w:gridCol w:w="211"/>
        <w:gridCol w:w="721"/>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estimated future purchases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61,833 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J – Stockholders’ Equity</w:t>
      </w:r>
    </w:p>
    <w:p>
      <w:pPr>
        <w:pStyle w:val="TextBody"/>
        <w:bidi w:val="0"/>
        <w:spacing w:lineRule="auto" w:line="288" w:before="120" w:after="283"/>
        <w:jc w:val="left"/>
        <w:rPr/>
      </w:pPr>
      <w:r>
        <w:rPr>
          <w:rFonts w:ascii="Times New Roman;serif" w:hAnsi="Times New Roman;serif"/>
          <w:b/>
          <w:i/>
          <w:color w:val="000000"/>
          <w:sz w:val="20"/>
        </w:rPr>
        <w:t>Share</w:t>
      </w:r>
      <w:r>
        <w:rPr>
          <w:color w:val="1F282C"/>
        </w:rPr>
        <w:t xml:space="preserve"> </w:t>
      </w:r>
      <w:r>
        <w:rPr>
          <w:rFonts w:ascii="Times New Roman;serif" w:hAnsi="Times New Roman;serif"/>
          <w:b/>
          <w:i/>
          <w:color w:val="1F282C"/>
          <w:sz w:val="20"/>
        </w:rPr>
        <w:t>Repurchase Programs</w:t>
      </w:r>
    </w:p>
    <w:p>
      <w:pPr>
        <w:pStyle w:val="TextBody"/>
        <w:bidi w:val="0"/>
        <w:spacing w:lineRule="auto" w:line="288" w:before="120" w:after="283"/>
        <w:ind w:left="0" w:right="0" w:firstLine="720"/>
        <w:jc w:val="both"/>
        <w:rPr/>
      </w:pPr>
      <w:r>
        <w:rPr>
          <w:rFonts w:ascii="Times New Roman;serif" w:hAnsi="Times New Roman;serif"/>
          <w:b w:val="false"/>
          <w:color w:val="212529"/>
          <w:sz w:val="20"/>
        </w:rPr>
        <w:t xml:space="preserve">Our Board of Directors has authorized multiple non-concurrent programs to repurchase our common stock. </w:t>
      </w:r>
      <w:r>
        <w:rPr>
          <w:rFonts w:ascii="Times New Roman;serif" w:hAnsi="Times New Roman;serif"/>
          <w:b w:val="false"/>
          <w:color w:val="000000"/>
          <w:sz w:val="20"/>
          <w:shd w:fill="FFFFFF" w:val="clear"/>
        </w:rPr>
        <w:t>On February 10, 2026 (announced February 12, 2026), our Board of Directors approved an additional $200.0 million in repurchase authority under our previously announced share repurchase program ("2025 Program") that was approved on October 29, 2025 to repurchase up to $100.0 million of our common stock, excluding costs to obtain, for a total authorized repurchase amount of $300.0 million. Under the program, purchases may be made from time to time in the open market or in privately negotiated purchases, or both. The share repurchase program became effective December 1, 2025 and expires on December 1, 2027.</w:t>
      </w:r>
    </w:p>
    <w:p>
      <w:pPr>
        <w:pStyle w:val="TextBody"/>
        <w:bidi w:val="0"/>
        <w:spacing w:lineRule="auto" w:line="288" w:before="120" w:after="283"/>
        <w:ind w:left="0" w:right="0" w:firstLine="720"/>
        <w:jc w:val="both"/>
        <w:rPr/>
      </w:pPr>
      <w:r>
        <w:rPr>
          <w:rFonts w:ascii="Times New Roman;serif" w:hAnsi="Times New Roman;serif"/>
          <w:b w:val="false"/>
          <w:color w:val="212529"/>
          <w:sz w:val="20"/>
        </w:rPr>
        <w:t xml:space="preserve">Details of the programs and activity thereunder through </w:t>
      </w:r>
      <w:r>
        <w:rPr>
          <w:rFonts w:ascii="Times New Roman;serif" w:hAnsi="Times New Roman;serif"/>
          <w:b w:val="false"/>
          <w:color w:val="000000"/>
          <w:sz w:val="20"/>
        </w:rPr>
        <w:t>June 30, 2026 were as follows:</w:t>
      </w:r>
    </w:p>
    <w:tbl>
      <w:tblPr>
        <w:tblW w:w="10205" w:type="dxa"/>
        <w:jc w:val="left"/>
        <w:tblInd w:w="0" w:type="dxa"/>
        <w:tblLayout w:type="fixed"/>
        <w:tblCellMar>
          <w:top w:w="28" w:type="dxa"/>
          <w:left w:w="28" w:type="dxa"/>
          <w:bottom w:w="28" w:type="dxa"/>
          <w:right w:w="28" w:type="dxa"/>
        </w:tblCellMar>
      </w:tblPr>
      <w:tblGrid>
        <w:gridCol w:w="334"/>
        <w:gridCol w:w="294"/>
        <w:gridCol w:w="295"/>
        <w:gridCol w:w="398"/>
        <w:gridCol w:w="316"/>
        <w:gridCol w:w="292"/>
        <w:gridCol w:w="351"/>
        <w:gridCol w:w="327"/>
        <w:gridCol w:w="328"/>
        <w:gridCol w:w="109"/>
        <w:gridCol w:w="109"/>
        <w:gridCol w:w="109"/>
        <w:gridCol w:w="666"/>
        <w:gridCol w:w="584"/>
        <w:gridCol w:w="345"/>
        <w:gridCol w:w="109"/>
        <w:gridCol w:w="109"/>
        <w:gridCol w:w="109"/>
        <w:gridCol w:w="240"/>
        <w:gridCol w:w="944"/>
        <w:gridCol w:w="124"/>
        <w:gridCol w:w="109"/>
        <w:gridCol w:w="109"/>
        <w:gridCol w:w="109"/>
        <w:gridCol w:w="434"/>
        <w:gridCol w:w="743"/>
        <w:gridCol w:w="225"/>
        <w:gridCol w:w="109"/>
        <w:gridCol w:w="109"/>
        <w:gridCol w:w="109"/>
        <w:gridCol w:w="291"/>
        <w:gridCol w:w="1141"/>
        <w:gridCol w:w="225"/>
      </w:tblGrid>
      <w:tr>
        <w:trPr/>
        <w:tc>
          <w:tcPr>
            <w:tcW w:w="33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 Value Authorized for Repurchase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 Value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Unused &amp; Expired Share Repurchase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 Value Available for Future Repurchase</w:t>
            </w:r>
          </w:p>
        </w:tc>
      </w:tr>
      <w:tr>
        <w:trPr/>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 Program</w:t>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2024</w:t>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 Program</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2025</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113,620 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186,380 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85495"/>
                <wp:effectExtent l="0" t="0" r="0" b="0"/>
                <wp:wrapNone/>
                <wp:docPr id="45" name="Frame16"/>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31"/>
                                                <a:stretch>
                                                  <a:fillRect/>
                                                </a:stretch>
                                              </pic:blipFill>
                                              <pic:spPr bwMode="auto">
                                                <a:xfrm>
                                                  <a:off x="0" y="0"/>
                                                  <a:ext cx="266700" cy="257175"/>
                                                </a:xfrm>
                                                <a:prstGeom prst="rect">
                                                  <a:avLst/>
                                                </a:prstGeom>
                                              </pic:spPr>
                                            </pic:pic>
                                          </a:graphicData>
                                        </a:graphic>
                                      </wp:inline>
                                    </w:drawing>
                                  </w:r>
                                  <w:bookmarkStart w:id="29" w:name="i-16"/>
                                  <w:bookmarkEnd w:id="29"/>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4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6" descr=""/>
                                          <pic:cNvPicPr>
                                            <a:picLocks noChangeAspect="1" noChangeArrowheads="1"/>
                                          </pic:cNvPicPr>
                                        </pic:nvPicPr>
                                        <pic:blipFill>
                                          <a:blip r:embed="rId32"/>
                                          <a:stretch>
                                            <a:fillRect/>
                                          </a:stretch>
                                        </pic:blipFill>
                                        <pic:spPr bwMode="auto">
                                          <a:xfrm>
                                            <a:off x="0" y="0"/>
                                            <a:ext cx="266700" cy="257175"/>
                                          </a:xfrm>
                                          <a:prstGeom prst="rect">
                                            <a:avLst/>
                                          </a:prstGeom>
                                        </pic:spPr>
                                      </pic:pic>
                                    </a:graphicData>
                                  </a:graphic>
                                </wp:inline>
                              </w:drawing>
                            </w:r>
                            <w:bookmarkStart w:id="30" w:name="i-16"/>
                            <w:bookmarkEnd w:id="30"/>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Share repurchases are accounted for as the trade date occurs and are reflected in the condensed consolidated financial statements net of the costs incurred to acquire the shares. Share repurchases that have not yet settled in cash are included in accounts payable in the condensed consolidated balance sheet.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share repurchase activity by period was as follows:</w:t>
      </w:r>
    </w:p>
    <w:tbl>
      <w:tblPr>
        <w:tblW w:w="9118" w:type="dxa"/>
        <w:jc w:val="left"/>
        <w:tblInd w:w="0" w:type="dxa"/>
        <w:tblLayout w:type="fixed"/>
        <w:tblCellMar>
          <w:top w:w="28" w:type="dxa"/>
          <w:left w:w="28" w:type="dxa"/>
          <w:bottom w:w="28" w:type="dxa"/>
          <w:right w:w="28" w:type="dxa"/>
        </w:tblCellMar>
      </w:tblPr>
      <w:tblGrid>
        <w:gridCol w:w="1407"/>
        <w:gridCol w:w="1236"/>
        <w:gridCol w:w="1241"/>
        <w:gridCol w:w="211"/>
        <w:gridCol w:w="721"/>
        <w:gridCol w:w="109"/>
        <w:gridCol w:w="109"/>
        <w:gridCol w:w="109"/>
        <w:gridCol w:w="109"/>
        <w:gridCol w:w="211"/>
        <w:gridCol w:w="721"/>
        <w:gridCol w:w="109"/>
        <w:gridCol w:w="109"/>
        <w:gridCol w:w="109"/>
        <w:gridCol w:w="109"/>
        <w:gridCol w:w="220"/>
        <w:gridCol w:w="756"/>
        <w:gridCol w:w="109"/>
        <w:gridCol w:w="109"/>
        <w:gridCol w:w="109"/>
        <w:gridCol w:w="109"/>
        <w:gridCol w:w="211"/>
        <w:gridCol w:w="721"/>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shares and per share amounts)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 repurchased</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905,815 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1,663,536 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425,787 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 repurchased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total cost per repurchased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1F282C"/>
          <w:sz w:val="20"/>
        </w:rPr>
      </w:pPr>
      <w:r>
        <w:rPr>
          <w:rFonts w:ascii="Times New Roman;serif" w:hAnsi="Times New Roman;serif"/>
          <w:b/>
          <w:i/>
          <w:color w:val="1F282C"/>
          <w:sz w:val="20"/>
        </w:rPr>
        <w:t>Treasury Stock Reissuance</w:t>
      </w:r>
    </w:p>
    <w:p>
      <w:pPr>
        <w:pStyle w:val="TextBody"/>
        <w:bidi w:val="0"/>
        <w:spacing w:lineRule="auto" w:line="288" w:before="240" w:after="283"/>
        <w:ind w:left="0" w:right="0" w:firstLine="720"/>
        <w:jc w:val="both"/>
        <w:rPr/>
      </w:pPr>
      <w:r>
        <w:rPr>
          <w:rFonts w:ascii="Times New Roman;serif" w:hAnsi="Times New Roman;serif"/>
          <w:b w:val="false"/>
          <w:color w:val="1F282C"/>
          <w:sz w:val="20"/>
        </w:rPr>
        <w:t xml:space="preserve">In connection with the acquisition of Carbon6, </w:t>
      </w:r>
      <w:r>
        <w:rPr>
          <w:rFonts w:ascii="Times New Roman;serif" w:hAnsi="Times New Roman;serif"/>
          <w:b w:val="false"/>
          <w:color w:val="000000"/>
          <w:sz w:val="20"/>
        </w:rPr>
        <w:t>t</w:t>
      </w:r>
      <w:r>
        <w:rPr>
          <w:rFonts w:ascii="Times New Roman;serif" w:hAnsi="Times New Roman;serif"/>
          <w:b w:val="false"/>
          <w:color w:val="1F282C"/>
          <w:sz w:val="20"/>
        </w:rPr>
        <w:t xml:space="preserve">he Company re-issued treasury shares as part of the purchase consideration (see </w:t>
      </w:r>
      <w:r>
        <w:rPr>
          <w:rFonts w:ascii="Times New Roman;serif" w:hAnsi="Times New Roman;serif"/>
          <w:b w:val="false"/>
          <w:i/>
          <w:color w:val="1F282C"/>
          <w:sz w:val="20"/>
        </w:rPr>
        <w:t xml:space="preserve">Note </w:t>
      </w:r>
      <w:r>
        <w:rPr>
          <w:rFonts w:ascii="Times New Roman;serif" w:hAnsi="Times New Roman;serif"/>
          <w:b w:val="false"/>
          <w:i/>
          <w:color w:val="000000"/>
          <w:sz w:val="20"/>
        </w:rPr>
        <w:t>B – Business Acquisitions and Other Transactions</w:t>
      </w:r>
      <w:r>
        <w:rPr>
          <w:color w:val="1F282C"/>
        </w:rPr>
        <w:t xml:space="preserve"> </w:t>
      </w:r>
      <w:r>
        <w:rPr>
          <w:rFonts w:ascii="Times New Roman;serif" w:hAnsi="Times New Roman;serif"/>
          <w:b w:val="false"/>
          <w:color w:val="1F282C"/>
          <w:sz w:val="20"/>
        </w:rPr>
        <w:t>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K – Stock-Based Compensation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equity compensation plans include grants of incentive and nonqualified stock options, performance share units (“PSUs”), restricted stock awards (“RSAs”), restricted stock units (“RSUs”), and deferred stock units (“DSUs”), to employees, executive officers, and non-employee directors. We also provide an employee stock purchase plan (“ESPP”) and 401(k) match to eligible participants. At June 30, 2026, there were 10.5 million shares available for grant under approved equity compensation plans.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was allocated in the condensed consolidated statements of comprehensive income as follows:</w:t>
      </w:r>
    </w:p>
    <w:tbl>
      <w:tblPr>
        <w:tblW w:w="7500" w:type="dxa"/>
        <w:jc w:val="center"/>
        <w:tblInd w:w="0" w:type="dxa"/>
        <w:tblLayout w:type="fixed"/>
        <w:tblCellMar>
          <w:top w:w="28" w:type="dxa"/>
          <w:left w:w="28" w:type="dxa"/>
          <w:bottom w:w="28" w:type="dxa"/>
          <w:right w:w="28" w:type="dxa"/>
        </w:tblCellMar>
      </w:tblPr>
      <w:tblGrid>
        <w:gridCol w:w="836"/>
        <w:gridCol w:w="735"/>
        <w:gridCol w:w="73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by grant type or plan was as follows:</w:t>
      </w:r>
    </w:p>
    <w:tbl>
      <w:tblPr>
        <w:tblW w:w="6870" w:type="dxa"/>
        <w:jc w:val="left"/>
        <w:tblInd w:w="0" w:type="dxa"/>
        <w:tblLayout w:type="fixed"/>
        <w:tblCellMar>
          <w:top w:w="28" w:type="dxa"/>
          <w:left w:w="28" w:type="dxa"/>
          <w:bottom w:w="28" w:type="dxa"/>
          <w:right w:w="28" w:type="dxa"/>
        </w:tblCellMar>
      </w:tblPr>
      <w:tblGrid>
        <w:gridCol w:w="607"/>
        <w:gridCol w:w="536"/>
        <w:gridCol w:w="53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&amp; DSUs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RSAs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401(k) stock match</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18,696 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14,998 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36,769 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28,865 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$115.2 million of unrecognized stock-based compensation expense under our equity compensation plans, which is expected to be recognized on a primarily straight-line basis over a weighted average period of 2.7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85495"/>
                <wp:effectExtent l="0" t="0" r="0" b="0"/>
                <wp:wrapNone/>
                <wp:docPr id="48" name="Frame17"/>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4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7" descr=""/>
                                                <pic:cNvPicPr>
                                                  <a:picLocks noChangeAspect="1" noChangeArrowheads="1"/>
                                                </pic:cNvPicPr>
                                              </pic:nvPicPr>
                                              <pic:blipFill>
                                                <a:blip r:embed="rId33"/>
                                                <a:stretch>
                                                  <a:fillRect/>
                                                </a:stretch>
                                              </pic:blipFill>
                                              <pic:spPr bwMode="auto">
                                                <a:xfrm>
                                                  <a:off x="0" y="0"/>
                                                  <a:ext cx="266700" cy="257175"/>
                                                </a:xfrm>
                                                <a:prstGeom prst="rect">
                                                  <a:avLst/>
                                                </a:prstGeom>
                                              </pic:spPr>
                                            </pic:pic>
                                          </a:graphicData>
                                        </a:graphic>
                                      </wp:inline>
                                    </w:drawing>
                                  </w:r>
                                  <w:bookmarkStart w:id="31" w:name="i-17"/>
                                  <w:bookmarkEnd w:id="31"/>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5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7" descr=""/>
                                          <pic:cNvPicPr>
                                            <a:picLocks noChangeAspect="1" noChangeArrowheads="1"/>
                                          </pic:cNvPicPr>
                                        </pic:nvPicPr>
                                        <pic:blipFill>
                                          <a:blip r:embed="rId34"/>
                                          <a:stretch>
                                            <a:fillRect/>
                                          </a:stretch>
                                        </pic:blipFill>
                                        <pic:spPr bwMode="auto">
                                          <a:xfrm>
                                            <a:off x="0" y="0"/>
                                            <a:ext cx="266700" cy="257175"/>
                                          </a:xfrm>
                                          <a:prstGeom prst="rect">
                                            <a:avLst/>
                                          </a:prstGeom>
                                        </pic:spPr>
                                      </pic:pic>
                                    </a:graphicData>
                                  </a:graphic>
                                </wp:inline>
                              </w:drawing>
                            </w:r>
                            <w:bookmarkStart w:id="32" w:name="i-17"/>
                            <w:bookmarkEnd w:id="32"/>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360" w:after="283"/>
        <w:jc w:val="both"/>
        <w:rPr>
          <w:rFonts w:ascii="Times New Roman;serif" w:hAnsi="Times New Roman;serif"/>
          <w:b/>
          <w:i/>
          <w:color w:val="1F282C"/>
          <w:sz w:val="20"/>
        </w:rPr>
      </w:pPr>
      <w:r>
        <w:rPr>
          <w:rFonts w:ascii="Times New Roman;serif" w:hAnsi="Times New Roman;serif"/>
          <w:b/>
          <w:i/>
          <w:color w:val="1F282C"/>
          <w:sz w:val="20"/>
        </w:rPr>
        <w:t>Stock Options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stock option activity was as follows:</w:t>
      </w:r>
    </w:p>
    <w:tbl>
      <w:tblPr>
        <w:tblW w:w="5812" w:type="dxa"/>
        <w:jc w:val="left"/>
        <w:tblInd w:w="0" w:type="dxa"/>
        <w:tblLayout w:type="fixed"/>
        <w:tblCellMar>
          <w:top w:w="28" w:type="dxa"/>
          <w:left w:w="28" w:type="dxa"/>
          <w:bottom w:w="28" w:type="dxa"/>
          <w:right w:w="28" w:type="dxa"/>
        </w:tblCellMar>
      </w:tblPr>
      <w:tblGrid>
        <w:gridCol w:w="1026"/>
        <w:gridCol w:w="903"/>
        <w:gridCol w:w="905"/>
        <w:gridCol w:w="413"/>
        <w:gridCol w:w="413"/>
        <w:gridCol w:w="326"/>
        <w:gridCol w:w="109"/>
        <w:gridCol w:w="109"/>
        <w:gridCol w:w="109"/>
        <w:gridCol w:w="291"/>
        <w:gridCol w:w="996"/>
        <w:gridCol w:w="212"/>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2026</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Options (#)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 xml:space="preserve">Exercise Price </w:t>
              <w:br/>
              <w:t>($/share)</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beginning of period</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261,403 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121.47 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132,688 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(20,656)</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(8,340)</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end of period</w:t>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365,095 </w:t>
            </w:r>
          </w:p>
        </w:tc>
        <w:tc>
          <w:tcPr>
            <w:tcW w:w="3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Of the total outstanding options at June 30, 2026, 0.2 million were exercisable. The outstanding and exercisable options had a weighted average exercise price of $119.00 per share and a weighted average remaining contractual life of 2.7 years.</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The weighted average grant date fair value of options granted during the six months ended June 30, 2026, was </w:t>
      </w:r>
      <w:r>
        <w:rPr>
          <w:rFonts w:ascii="Times New Roman;serif" w:hAnsi="Times New Roman;serif"/>
          <w:b w:val="false"/>
          <w:color w:val="000000"/>
          <w:sz w:val="20"/>
        </w:rPr>
        <w:t xml:space="preserve">$20.76 per </w:t>
      </w:r>
      <w:r>
        <w:rPr>
          <w:rFonts w:ascii="Times New Roman;serif" w:hAnsi="Times New Roman;serif"/>
          <w:b w:val="false"/>
          <w:color w:val="000000"/>
          <w:sz w:val="20"/>
          <w:shd w:fill="FFFFFF" w:val="clear"/>
        </w:rPr>
        <w:t xml:space="preserve">share. This was </w:t>
      </w:r>
      <w:r>
        <w:rPr>
          <w:rFonts w:ascii="Times New Roman;serif" w:hAnsi="Times New Roman;serif"/>
          <w:b w:val="false"/>
          <w:color w:val="000000"/>
          <w:sz w:val="20"/>
        </w:rPr>
        <w:t>estimated on the date of grant using the Black-Scholes option pricing model with the following weighted average assumptions:</w:t>
      </w:r>
    </w:p>
    <w:tbl>
      <w:tblPr>
        <w:tblW w:w="2672" w:type="dxa"/>
        <w:jc w:val="center"/>
        <w:tblInd w:w="0" w:type="dxa"/>
        <w:tblLayout w:type="fixed"/>
        <w:tblCellMar>
          <w:top w:w="28" w:type="dxa"/>
          <w:left w:w="28" w:type="dxa"/>
          <w:bottom w:w="28" w:type="dxa"/>
          <w:right w:w="28" w:type="dxa"/>
        </w:tblCellMar>
      </w:tblPr>
      <w:tblGrid>
        <w:gridCol w:w="669"/>
        <w:gridCol w:w="587"/>
        <w:gridCol w:w="589"/>
        <w:gridCol w:w="255"/>
        <w:gridCol w:w="256"/>
        <w:gridCol w:w="316"/>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Life (in years)</w:t>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360" w:after="283"/>
        <w:jc w:val="left"/>
        <w:rPr>
          <w:rFonts w:ascii="Times New Roman;serif" w:hAnsi="Times New Roman;serif"/>
          <w:b/>
          <w:i/>
          <w:color w:val="1F282C"/>
          <w:sz w:val="20"/>
        </w:rPr>
      </w:pPr>
      <w:r>
        <w:rPr>
          <w:rFonts w:ascii="Times New Roman;serif" w:hAnsi="Times New Roman;serif"/>
          <w:b/>
          <w:i/>
          <w:color w:val="1F282C"/>
          <w:sz w:val="20"/>
        </w:rPr>
        <w:t>Performance Share Units, Restricted Stock Units and Awards, and Deferred Stock Units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each of the quarters ended March 31, 2026, 2025, 2024, and 2023, we granted PSU awards with a target performance level. These awards are earned based upon our Company’s total shareholder return as compared to an indexed total shareholder return over the course of a fiscal based three-year performance period, starting in the year of grant. Earned awards vest in the quarter following the conclusion of the performance period. During the three months ended March 31, 2026, PSU awards granted in 2023 vested without achievement of the minimum threshold of performance level and therefore no shares of common stock were issued.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Activity for our PSUs, RSUs, RSAs, and DSUs in aggregate was as follows:</w:t>
      </w:r>
    </w:p>
    <w:tbl>
      <w:tblPr>
        <w:tblW w:w="6241" w:type="dxa"/>
        <w:jc w:val="center"/>
        <w:tblInd w:w="0" w:type="dxa"/>
        <w:tblLayout w:type="fixed"/>
        <w:tblCellMar>
          <w:top w:w="28" w:type="dxa"/>
          <w:left w:w="28" w:type="dxa"/>
          <w:bottom w:w="28" w:type="dxa"/>
          <w:right w:w="28" w:type="dxa"/>
        </w:tblCellMar>
      </w:tblPr>
      <w:tblGrid>
        <w:gridCol w:w="1026"/>
        <w:gridCol w:w="903"/>
        <w:gridCol w:w="905"/>
        <w:gridCol w:w="488"/>
        <w:gridCol w:w="488"/>
        <w:gridCol w:w="109"/>
        <w:gridCol w:w="109"/>
        <w:gridCol w:w="109"/>
        <w:gridCol w:w="109"/>
        <w:gridCol w:w="387"/>
        <w:gridCol w:w="1325"/>
        <w:gridCol w:w="283"/>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2026</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w:t>
              <w:br/>
              <w:t xml:space="preserve">Date Fair Value </w:t>
              <w:br/>
              <w:t>($/share)</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beginning of period</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1,006,417 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150.69 </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common stock issued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136.77 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end of period</w:t>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1,685,220 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number of PSUs, RSUs, RSAs, and DSUs outstanding at June 30, 2026 included less than 0.1 million units that have vested, but the shares of common stock have not yet been issued, pursuant to the terms of the underlying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85495"/>
                <wp:effectExtent l="0" t="0" r="0" b="0"/>
                <wp:wrapNone/>
                <wp:docPr id="51" name="Frame18"/>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8" descr=""/>
                                                <pic:cNvPicPr>
                                                  <a:picLocks noChangeAspect="1" noChangeArrowheads="1"/>
                                                </pic:cNvPicPr>
                                              </pic:nvPicPr>
                                              <pic:blipFill>
                                                <a:blip r:embed="rId35"/>
                                                <a:stretch>
                                                  <a:fillRect/>
                                                </a:stretch>
                                              </pic:blipFill>
                                              <pic:spPr bwMode="auto">
                                                <a:xfrm>
                                                  <a:off x="0" y="0"/>
                                                  <a:ext cx="266700" cy="257175"/>
                                                </a:xfrm>
                                                <a:prstGeom prst="rect">
                                                  <a:avLst/>
                                                </a:prstGeom>
                                              </pic:spPr>
                                            </pic:pic>
                                          </a:graphicData>
                                        </a:graphic>
                                      </wp:inline>
                                    </w:drawing>
                                  </w:r>
                                  <w:bookmarkStart w:id="33" w:name="i-18"/>
                                  <w:bookmarkEnd w:id="33"/>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5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8" descr=""/>
                                          <pic:cNvPicPr>
                                            <a:picLocks noChangeAspect="1" noChangeArrowheads="1"/>
                                          </pic:cNvPicPr>
                                        </pic:nvPicPr>
                                        <pic:blipFill>
                                          <a:blip r:embed="rId36"/>
                                          <a:stretch>
                                            <a:fillRect/>
                                          </a:stretch>
                                        </pic:blipFill>
                                        <pic:spPr bwMode="auto">
                                          <a:xfrm>
                                            <a:off x="0" y="0"/>
                                            <a:ext cx="266700" cy="257175"/>
                                          </a:xfrm>
                                          <a:prstGeom prst="rect">
                                            <a:avLst/>
                                          </a:prstGeom>
                                        </pic:spPr>
                                      </pic:pic>
                                    </a:graphicData>
                                  </a:graphic>
                                </wp:inline>
                              </w:drawing>
                            </w:r>
                            <w:bookmarkStart w:id="34" w:name="i-18"/>
                            <w:bookmarkEnd w:id="34"/>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360" w:after="283"/>
        <w:jc w:val="left"/>
        <w:rPr>
          <w:rFonts w:ascii="Times New Roman;serif" w:hAnsi="Times New Roman;serif"/>
          <w:b/>
          <w:i/>
          <w:color w:val="1F282C"/>
          <w:sz w:val="20"/>
        </w:rPr>
      </w:pPr>
      <w:r>
        <w:rPr>
          <w:rFonts w:ascii="Times New Roman;serif" w:hAnsi="Times New Roman;serif"/>
          <w:b/>
          <w:i/>
          <w:color w:val="1F282C"/>
          <w:sz w:val="20"/>
        </w:rPr>
        <w:t>Employee Stock Purchase Plan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ESPP activity was as follows:</w:t>
      </w:r>
    </w:p>
    <w:tbl>
      <w:tblPr>
        <w:tblW w:w="7304" w:type="dxa"/>
        <w:jc w:val="left"/>
        <w:tblInd w:w="0" w:type="dxa"/>
        <w:tblLayout w:type="fixed"/>
        <w:tblCellMar>
          <w:top w:w="28" w:type="dxa"/>
          <w:left w:w="28" w:type="dxa"/>
          <w:bottom w:w="28" w:type="dxa"/>
          <w:right w:w="28" w:type="dxa"/>
        </w:tblCellMar>
      </w:tblPr>
      <w:tblGrid>
        <w:gridCol w:w="918"/>
        <w:gridCol w:w="807"/>
        <w:gridCol w:w="8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shares)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for shares purchased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purchased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total of 1.4 million shares of common stock are reserved for issuance under the ESPP at June 30, 2026.</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was estimated based on the market price of our common stock at the beginning of the offering period using the following assumptions:</w:t>
      </w:r>
    </w:p>
    <w:tbl>
      <w:tblPr>
        <w:tblW w:w="2672" w:type="dxa"/>
        <w:jc w:val="center"/>
        <w:tblInd w:w="0" w:type="dxa"/>
        <w:tblLayout w:type="fixed"/>
        <w:tblCellMar>
          <w:top w:w="28" w:type="dxa"/>
          <w:left w:w="28" w:type="dxa"/>
          <w:bottom w:w="28" w:type="dxa"/>
          <w:right w:w="28" w:type="dxa"/>
        </w:tblCellMar>
      </w:tblPr>
      <w:tblGrid>
        <w:gridCol w:w="669"/>
        <w:gridCol w:w="587"/>
        <w:gridCol w:w="589"/>
        <w:gridCol w:w="255"/>
        <w:gridCol w:w="256"/>
        <w:gridCol w:w="316"/>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 (in years)</w:t>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L – Income Taxes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record our interim provision for income taxes by applying our estimated annual effective tax rate to our year-to-date pre-tax income and adjust the provision for discrete tax items recorded in the period. Our provision for income taxes includes current federal, state, and foreign income tax expense, as well as deferred tax expense.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Differences between our effective tax rate and statutory tax rates are primarily due to the impact of permanently non-deductible expenses partially offset by the federal research and development credits and tax benefits associated with foreign-derived deduction-eligible income. Additionally, excess tax benefits generated upon settlement or exercise of stock awards are recognized as a reduction to income tax expense as a discrete tax item in the quarter that the event occurs, creating potentially significant fluctuation in tax expense by quarter and by year.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signed into law in the U.S., making permanent most of the expiring key provisions of the 2017 Tax Cuts and Jobs Act, including, but not limited to, U.S. corporate international tax provisions, federal bonus depreciation, and deductions for domestic research and development expenditures. We evaluated the OBBBA and estimate the 2026 impact to be primarily a reduction in cash taxes due to the accelerated deduction of previously capitalized research and experimental expenditures. We continue to monitor the impact of state conformity legislation. The remaining provisions of the OBBBA are not expected to have a material impact.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M – Other Income and Expense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included the following: </w:t>
      </w:r>
    </w:p>
    <w:tbl>
      <w:tblPr>
        <w:tblW w:w="10049" w:type="dxa"/>
        <w:jc w:val="center"/>
        <w:tblInd w:w="0" w:type="dxa"/>
        <w:tblLayout w:type="fixed"/>
        <w:tblCellMar>
          <w:top w:w="28" w:type="dxa"/>
          <w:left w:w="28" w:type="dxa"/>
          <w:bottom w:w="28" w:type="dxa"/>
          <w:right w:w="28" w:type="dxa"/>
        </w:tblCellMar>
      </w:tblPr>
      <w:tblGrid>
        <w:gridCol w:w="1964"/>
        <w:gridCol w:w="1729"/>
        <w:gridCol w:w="1736"/>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1964"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from investments and foreign currency transactions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85495"/>
                <wp:effectExtent l="0" t="0" r="0" b="0"/>
                <wp:wrapNone/>
                <wp:docPr id="54" name="Frame19"/>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5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9" descr=""/>
                                                <pic:cNvPicPr>
                                                  <a:picLocks noChangeAspect="1" noChangeArrowheads="1"/>
                                                </pic:cNvPicPr>
                                              </pic:nvPicPr>
                                              <pic:blipFill>
                                                <a:blip r:embed="rId37"/>
                                                <a:stretch>
                                                  <a:fillRect/>
                                                </a:stretch>
                                              </pic:blipFill>
                                              <pic:spPr bwMode="auto">
                                                <a:xfrm>
                                                  <a:off x="0" y="0"/>
                                                  <a:ext cx="266700" cy="257175"/>
                                                </a:xfrm>
                                                <a:prstGeom prst="rect">
                                                  <a:avLst/>
                                                </a:prstGeom>
                                              </pic:spPr>
                                            </pic:pic>
                                          </a:graphicData>
                                        </a:graphic>
                                      </wp:inline>
                                    </w:drawing>
                                  </w:r>
                                  <w:bookmarkStart w:id="35" w:name="i-19"/>
                                  <w:bookmarkEnd w:id="35"/>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5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9" descr=""/>
                                          <pic:cNvPicPr>
                                            <a:picLocks noChangeAspect="1" noChangeArrowheads="1"/>
                                          </pic:cNvPicPr>
                                        </pic:nvPicPr>
                                        <pic:blipFill>
                                          <a:blip r:embed="rId38"/>
                                          <a:stretch>
                                            <a:fillRect/>
                                          </a:stretch>
                                        </pic:blipFill>
                                        <pic:spPr bwMode="auto">
                                          <a:xfrm>
                                            <a:off x="0" y="0"/>
                                            <a:ext cx="266700" cy="257175"/>
                                          </a:xfrm>
                                          <a:prstGeom prst="rect">
                                            <a:avLst/>
                                          </a:prstGeom>
                                        </pic:spPr>
                                      </pic:pic>
                                    </a:graphicData>
                                  </a:graphic>
                                </wp:inline>
                              </w:drawing>
                            </w:r>
                            <w:bookmarkStart w:id="36" w:name="i-19"/>
                            <w:bookmarkEnd w:id="36"/>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N – Net Income Per Share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and computation of basic and diluted net income per share were as follows:</w:t>
      </w:r>
    </w:p>
    <w:tbl>
      <w:tblPr>
        <w:tblW w:w="9659" w:type="dxa"/>
        <w:jc w:val="center"/>
        <w:tblInd w:w="0" w:type="dxa"/>
        <w:tblLayout w:type="fixed"/>
        <w:tblCellMar>
          <w:top w:w="28" w:type="dxa"/>
          <w:left w:w="28" w:type="dxa"/>
          <w:bottom w:w="28" w:type="dxa"/>
          <w:right w:w="28" w:type="dxa"/>
        </w:tblCellMar>
      </w:tblPr>
      <w:tblGrid>
        <w:gridCol w:w="1658"/>
        <w:gridCol w:w="1456"/>
        <w:gridCol w:w="1460"/>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amounts)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 and ESPP</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 RSUs, RSAs, and DSUs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share</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number of outstanding potential common shares that were excluded from the calculation of diluted net income per share as they were anti-dilutive was as follows:</w:t>
      </w:r>
    </w:p>
    <w:tbl>
      <w:tblPr>
        <w:tblW w:w="5791" w:type="dxa"/>
        <w:jc w:val="center"/>
        <w:tblInd w:w="0" w:type="dxa"/>
        <w:tblLayout w:type="fixed"/>
        <w:tblCellMar>
          <w:top w:w="28" w:type="dxa"/>
          <w:left w:w="28" w:type="dxa"/>
          <w:bottom w:w="28" w:type="dxa"/>
          <w:right w:w="28" w:type="dxa"/>
        </w:tblCellMar>
      </w:tblPr>
      <w:tblGrid>
        <w:gridCol w:w="622"/>
        <w:gridCol w:w="548"/>
        <w:gridCol w:w="554"/>
        <w:gridCol w:w="308"/>
        <w:gridCol w:w="308"/>
        <w:gridCol w:w="178"/>
        <w:gridCol w:w="178"/>
        <w:gridCol w:w="178"/>
        <w:gridCol w:w="178"/>
        <w:gridCol w:w="233"/>
        <w:gridCol w:w="233"/>
        <w:gridCol w:w="178"/>
        <w:gridCol w:w="109"/>
        <w:gridCol w:w="109"/>
        <w:gridCol w:w="109"/>
        <w:gridCol w:w="233"/>
        <w:gridCol w:w="233"/>
        <w:gridCol w:w="156"/>
        <w:gridCol w:w="154"/>
        <w:gridCol w:w="154"/>
        <w:gridCol w:w="154"/>
        <w:gridCol w:w="233"/>
        <w:gridCol w:w="233"/>
        <w:gridCol w:w="218"/>
      </w:tblGrid>
      <w:tr>
        <w:trPr/>
        <w:tc>
          <w:tcPr>
            <w:tcW w:w="62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7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shares</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85495"/>
                <wp:effectExtent l="0" t="0" r="0" b="0"/>
                <wp:wrapNone/>
                <wp:docPr id="57" name="Frame20"/>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5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 descr=""/>
                                                <pic:cNvPicPr>
                                                  <a:picLocks noChangeAspect="1" noChangeArrowheads="1"/>
                                                </pic:cNvPicPr>
                                              </pic:nvPicPr>
                                              <pic:blipFill>
                                                <a:blip r:embed="rId39"/>
                                                <a:stretch>
                                                  <a:fillRect/>
                                                </a:stretch>
                                              </pic:blipFill>
                                              <pic:spPr bwMode="auto">
                                                <a:xfrm>
                                                  <a:off x="0" y="0"/>
                                                  <a:ext cx="266700" cy="257175"/>
                                                </a:xfrm>
                                                <a:prstGeom prst="rect">
                                                  <a:avLst/>
                                                </a:prstGeom>
                                              </pic:spPr>
                                            </pic:pic>
                                          </a:graphicData>
                                        </a:graphic>
                                      </wp:inline>
                                    </w:drawing>
                                  </w:r>
                                  <w:bookmarkStart w:id="37" w:name="i-20"/>
                                  <w:bookmarkEnd w:id="37"/>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5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0" descr=""/>
                                          <pic:cNvPicPr>
                                            <a:picLocks noChangeAspect="1" noChangeArrowheads="1"/>
                                          </pic:cNvPicPr>
                                        </pic:nvPicPr>
                                        <pic:blipFill>
                                          <a:blip r:embed="rId40"/>
                                          <a:stretch>
                                            <a:fillRect/>
                                          </a:stretch>
                                        </pic:blipFill>
                                        <pic:spPr bwMode="auto">
                                          <a:xfrm>
                                            <a:off x="0" y="0"/>
                                            <a:ext cx="266700" cy="257175"/>
                                          </a:xfrm>
                                          <a:prstGeom prst="rect">
                                            <a:avLst/>
                                          </a:prstGeom>
                                        </pic:spPr>
                                      </pic:pic>
                                    </a:graphicData>
                                  </a:graphic>
                                </wp:inline>
                              </w:drawing>
                            </w:r>
                            <w:bookmarkStart w:id="38" w:name="i-20"/>
                            <w:bookmarkEnd w:id="38"/>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360" w:after="283"/>
        <w:ind w:left="0" w:right="0" w:hanging="1440"/>
        <w:jc w:val="left"/>
        <w:rPr>
          <w:rFonts w:ascii="Times New Roman;serif" w:hAnsi="Times New Roman;serif"/>
          <w:b/>
          <w:color w:val="00AAE5"/>
          <w:sz w:val="20"/>
        </w:rPr>
      </w:pPr>
      <w:r>
        <w:rPr>
          <w:rFonts w:ascii="Times New Roman;serif" w:hAnsi="Times New Roman;serif"/>
          <w:b/>
          <w:color w:val="00AAE5"/>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720"/>
        <w:jc w:val="both"/>
        <w:rPr/>
      </w:pPr>
      <w:r>
        <w:rPr>
          <w:rFonts w:ascii="Times New Roman;serif" w:hAnsi="Times New Roman;serif"/>
          <w:b w:val="false"/>
          <w:i/>
          <w:color w:val="000000"/>
          <w:sz w:val="20"/>
        </w:rPr>
        <w:t>The following discussion and analysis of our financial condition and results of operations should be read in conjunction with our condensed consolidated financial statements in this Quarterly Report on Form 10-Q and our Annual Report on Form 10-K for the year ended December 31, 2025. This Quarterly Report on Form 10-Q contains forward-looking statements</w:t>
      </w:r>
      <w:r>
        <w:rPr>
          <w:color w:val="000000"/>
        </w:rPr>
        <w:t xml:space="preserve"> </w:t>
      </w:r>
      <w:r>
        <w:rPr>
          <w:rFonts w:ascii="Times New Roman;serif" w:hAnsi="Times New Roman;serif"/>
          <w:b w:val="false"/>
          <w:i/>
          <w:color w:val="000000"/>
          <w:sz w:val="20"/>
        </w:rPr>
        <w:t>within the meaning of the U.S. Private Securities Litigation Reform Act of 1995. Forward looking statements regarding us, our business prospects and our results of operations are subject to certain risks and uncertainties posed by many factors and events that could cause our actual business, prospects and results of operations to differ materially from those that may be anticipated by such forward-looking statements. Readers are cautioned not to place undue reliance on these forward-looking statements, which speak only as of the date of this report. In some cases, you can identify forward-looking statements by the following words: “anticipate,” “assume,” “believe,” “continue,” “could,” “estimate,” “expect,” “intend,” “may,” “ongoing,” “plan,” “potential,” “predict,” “project,” “should,” “will,” “would,” or the negative of these terms or other comparable terminology, although not all forward-looking statements contain these words. Similarly, statements that describe our future plans, objectives or goals are also forward-looking. Forward-looking statements may also be made from time to time in oral presentations, including telephone conferences and/or webcasts open to the public. Shareholders, potential investors, and others are cautioned that all forward-looking statements involve risks and uncertainties that could cause results in future periods to differ materially from those anticipated by some of the statements made in this report, including the risks and uncertainties described under the heading “Risk Factors” appearing in our Annual Report on Form 10-K for the year ended December 31, 2025, as may be updated in our subsequent Quarterly Reports on Form 10-Q or other filings from time to time.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 that advise interested parties of the risks and factors that may affect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Overview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SPS Commerce is the leading intelligent supply chain network that connects retailers, brands, distributors, manufacturers, and logistics providers through shared infrastructure built to handle the complexity of modern commerce operations. Our network enables companies to connect once and immediately transact with thousands of trading partners without negotiating standards, building integrations, or maintaining compliance logic.</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network powers our portfolio of solutions that orchestrate the critical processes, protocols, and data exchanges needed to get the right product, in the right place, at the right time, every time. We have embedded deep expertise, proven processes, and compliance logic built from over 20 years of commerce intelligence into every connection, delivering a full-service experience that empowers partners to move forward faster, together.</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products and applications. We also intend to selectively pursue acquisitions that will add customers, allow us to expand into new regions, or allow us to offer new functionalities.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Key Financial Terms, Metrics and Non-GAAP Measures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We have several key financial terms, metrics, and non-GAAP measures as discussed in our Annual Report on Form 10-K for the year ended December 31, 2025, as filed with the SEC, under the heading “</w:t>
      </w:r>
      <w:r>
        <w:rPr>
          <w:rFonts w:ascii="Times New Roman;serif" w:hAnsi="Times New Roman;serif"/>
          <w:b w:val="false"/>
          <w:i/>
          <w:color w:val="000000"/>
          <w:sz w:val="20"/>
        </w:rPr>
        <w:t>Management’s Discussion and Analysis of Financial Condition and Results of Operations.</w:t>
      </w:r>
      <w:r>
        <w:rPr>
          <w:color w:val="000000"/>
        </w:rPr>
        <w:t xml:space="preserve">”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Recurring Revenue</w:t>
      </w:r>
      <w:r>
        <w:rPr>
          <w:color w:val="000000"/>
        </w:rPr>
        <w:t xml:space="preserve"> </w:t>
      </w:r>
      <w:r>
        <w:rPr>
          <w:rFonts w:ascii="Times New Roman;serif" w:hAnsi="Times New Roman;serif"/>
          <w:b w:val="false"/>
          <w:i/>
          <w:color w:val="000000"/>
          <w:sz w:val="20"/>
          <w:shd w:fill="FFFFFF" w:val="clear"/>
        </w:rPr>
        <w:t>-</w:t>
      </w:r>
      <w:r>
        <w:rPr>
          <w:color w:val="000000"/>
        </w:rPr>
        <w:t xml:space="preserve"> </w:t>
      </w:r>
      <w:r>
        <w:rPr>
          <w:rFonts w:ascii="Times New Roman;serif" w:hAnsi="Times New Roman;serif"/>
          <w:b w:val="false"/>
          <w:color w:val="000000"/>
          <w:sz w:val="20"/>
        </w:rPr>
        <w:t xml:space="preserve">We define recurring revenue as active contracts during the reporting period under which the customer regularly pays us fees for subscription-based and reoccurring services. All components of the contracts that are not expected to recur (primarily set-ups and professional services) are excluded from recurring revenue. </w:t>
      </w:r>
    </w:p>
    <w:p>
      <w:pPr>
        <w:pStyle w:val="TextBody"/>
        <w:bidi w:val="0"/>
        <w:spacing w:lineRule="auto" w:line="288" w:before="120" w:after="283"/>
        <w:ind w:left="0" w:right="0" w:firstLine="540"/>
        <w:jc w:val="both"/>
        <w:rPr/>
      </w:pPr>
      <w:r>
        <w:rPr>
          <w:rFonts w:ascii="Times New Roman;serif" w:hAnsi="Times New Roman;serif"/>
          <w:b w:val="false"/>
          <w:i/>
          <w:color w:val="000000"/>
          <w:sz w:val="20"/>
          <w:shd w:fill="FFFFFF" w:val="clear"/>
        </w:rPr>
        <w:t xml:space="preserve">Recurring Revenue Customers - </w:t>
      </w:r>
      <w:r>
        <w:rPr>
          <w:rFonts w:ascii="Times New Roman;serif" w:hAnsi="Times New Roman;serif"/>
          <w:b w:val="false"/>
          <w:color w:val="000000"/>
          <w:sz w:val="20"/>
          <w:shd w:fill="FFFFFF" w:val="clear"/>
        </w:rPr>
        <w:t>We define recurring revenue customers as customers with an active recurring revenue contract at the end of the period. A s</w:t>
      </w:r>
      <w:r>
        <w:rPr>
          <w:rFonts w:ascii="Times New Roman;serif" w:hAnsi="Times New Roman;serif"/>
          <w:b w:val="false"/>
          <w:color w:val="000000"/>
          <w:sz w:val="20"/>
        </w:rPr>
        <w:t>mall portion of our recurring revenue customers consist of separate units within a larger organization and are separately invoiced. We treat each of</w:t>
      </w:r>
      <w:r>
        <w:rPr>
          <w:color w:val="000000"/>
          <w:shd w:fill="FFFFFF" w:val="clear"/>
        </w:rPr>
        <w:t xml:space="preserve"> </w:t>
      </w:r>
      <w:r>
        <w:rPr>
          <w:rFonts w:ascii="Times New Roman;serif" w:hAnsi="Times New Roman;serif"/>
          <w:b w:val="false"/>
          <w:color w:val="000000"/>
          <w:sz w:val="20"/>
          <w:shd w:fill="FFFFFF" w:val="clear"/>
        </w:rPr>
        <w:t>these units, which may include divisions, departments, affiliates and franchises, as distinct recurring revenue customers. Following the divestiture of our 3P Revenue Recovery business on June 30, 2026, all recurring revenue customers are classified as 1P. Prior-period references to 3P relate to customers that only had an online marketplace or e-Commerce connection within our network.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85495"/>
                <wp:effectExtent l="0" t="0" r="0" b="0"/>
                <wp:wrapNone/>
                <wp:docPr id="60" name="Frame21"/>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41"/>
                                                <a:stretch>
                                                  <a:fillRect/>
                                                </a:stretch>
                                              </pic:blipFill>
                                              <pic:spPr bwMode="auto">
                                                <a:xfrm>
                                                  <a:off x="0" y="0"/>
                                                  <a:ext cx="266700" cy="257175"/>
                                                </a:xfrm>
                                                <a:prstGeom prst="rect">
                                                  <a:avLst/>
                                                </a:prstGeom>
                                              </pic:spPr>
                                            </pic:pic>
                                          </a:graphicData>
                                        </a:graphic>
                                      </wp:inline>
                                    </w:drawing>
                                  </w:r>
                                  <w:bookmarkStart w:id="39" w:name="i-21"/>
                                  <w:bookmarkEnd w:id="39"/>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6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1" descr=""/>
                                          <pic:cNvPicPr>
                                            <a:picLocks noChangeAspect="1" noChangeArrowheads="1"/>
                                          </pic:cNvPicPr>
                                        </pic:nvPicPr>
                                        <pic:blipFill>
                                          <a:blip r:embed="rId42"/>
                                          <a:stretch>
                                            <a:fillRect/>
                                          </a:stretch>
                                        </pic:blipFill>
                                        <pic:spPr bwMode="auto">
                                          <a:xfrm>
                                            <a:off x="0" y="0"/>
                                            <a:ext cx="266700" cy="257175"/>
                                          </a:xfrm>
                                          <a:prstGeom prst="rect">
                                            <a:avLst/>
                                          </a:prstGeom>
                                        </pic:spPr>
                                      </pic:pic>
                                    </a:graphicData>
                                  </a:graphic>
                                </wp:inline>
                              </w:drawing>
                            </w:r>
                            <w:bookmarkStart w:id="40" w:name="i-21"/>
                            <w:bookmarkEnd w:id="40"/>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Annual Revenue Per User ("ARPU") - </w:t>
      </w:r>
      <w:r>
        <w:rPr>
          <w:rFonts w:ascii="Times New Roman;serif" w:hAnsi="Times New Roman;serif"/>
          <w:b w:val="false"/>
          <w:color w:val="000000"/>
          <w:sz w:val="20"/>
        </w:rPr>
        <w:t>We calculate the annualized average recurring revenues per recurring revenue customer, by dividing the annualized recurring revenues for the period by the average of the beginning and ending number of recurring revenue customers for the period.</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Non-GAAP Financial Measures - </w:t>
      </w:r>
      <w:r>
        <w:rPr>
          <w:rFonts w:ascii="Times New Roman;serif" w:hAnsi="Times New Roman;serif"/>
          <w:b w:val="false"/>
          <w:color w:val="000000"/>
          <w:sz w:val="20"/>
        </w:rPr>
        <w:t>To supplement our condensed consolidated financial statements, we provide investors with Adjusted EBITDA, Adjusted EBITDA Margin, and non-GAAP income per share, all of which are non-GAAP financial measures. We believe that these non-GAAP financial measures provide useful information to our management, Board of Directors, and investors regarding certain financial and business trends relating to our financial condition and results of operations.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uses these non-GAAP financial measures to compare our performance to that of prior periods for trend analyses and planning purposes. Adjusted EBITDA is also used for purposes of determining executive and senior management incentive compensation. We believe these non-GAAP financial measures are useful to an investor as they are widely used in evaluating operating performance. Adjusted EBITDA and Adjusted EBITDA Margin are used to measure operating performance without regard to items such as depreciation and amortization, which can vary depending upon accounting methods and the book value of assets, and to present a meaningful measure of corporate performance exclusive of capital structure and the method by which assets were acquired.</w:t>
      </w:r>
    </w:p>
    <w:p>
      <w:pPr>
        <w:pStyle w:val="TextBody"/>
        <w:bidi w:val="0"/>
        <w:spacing w:lineRule="auto" w:line="288" w:before="120" w:after="283"/>
        <w:ind w:left="0" w:right="0" w:firstLine="720"/>
        <w:jc w:val="both"/>
        <w:rPr/>
      </w:pPr>
      <w:r>
        <w:rPr>
          <w:rFonts w:ascii="Times New Roman;serif" w:hAnsi="Times New Roman;serif"/>
          <w:b w:val="false"/>
          <w:color w:val="000000"/>
          <w:sz w:val="20"/>
        </w:rPr>
        <w:t>These non-GAAP financial measures should not be considered a substitute for, or superior to, financial measures calculated in accordance with GAAP. These non-GAAP financial measures exclude significant expenses and income that are required by GAAP to be recorded in our condensed consolidated financial statements and are subject to inherent limitations. Investors should review the reconciliations of non-GAAP financial measures to the comparable GAAP financial measures that are included in this “</w:t>
      </w:r>
      <w:r>
        <w:rPr>
          <w:rFonts w:ascii="Times New Roman;serif" w:hAnsi="Times New Roman;serif"/>
          <w:b w:val="false"/>
          <w:i/>
          <w:color w:val="000000"/>
          <w:sz w:val="20"/>
        </w:rPr>
        <w:t>Management’s Discussion and Analysis of Financial Condition and Results of Operations.</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85495"/>
                <wp:effectExtent l="0" t="0" r="0" b="0"/>
                <wp:wrapNone/>
                <wp:docPr id="63" name="Frame22"/>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2" descr=""/>
                                                <pic:cNvPicPr>
                                                  <a:picLocks noChangeAspect="1" noChangeArrowheads="1"/>
                                                </pic:cNvPicPr>
                                              </pic:nvPicPr>
                                              <pic:blipFill>
                                                <a:blip r:embed="rId43"/>
                                                <a:stretch>
                                                  <a:fillRect/>
                                                </a:stretch>
                                              </pic:blipFill>
                                              <pic:spPr bwMode="auto">
                                                <a:xfrm>
                                                  <a:off x="0" y="0"/>
                                                  <a:ext cx="266700" cy="257175"/>
                                                </a:xfrm>
                                                <a:prstGeom prst="rect">
                                                  <a:avLst/>
                                                </a:prstGeom>
                                              </pic:spPr>
                                            </pic:pic>
                                          </a:graphicData>
                                        </a:graphic>
                                      </wp:inline>
                                    </w:drawing>
                                  </w:r>
                                  <w:bookmarkStart w:id="41" w:name="i-22"/>
                                  <w:bookmarkEnd w:id="41"/>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6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2" descr=""/>
                                          <pic:cNvPicPr>
                                            <a:picLocks noChangeAspect="1" noChangeArrowheads="1"/>
                                          </pic:cNvPicPr>
                                        </pic:nvPicPr>
                                        <pic:blipFill>
                                          <a:blip r:embed="rId44"/>
                                          <a:stretch>
                                            <a:fillRect/>
                                          </a:stretch>
                                        </pic:blipFill>
                                        <pic:spPr bwMode="auto">
                                          <a:xfrm>
                                            <a:off x="0" y="0"/>
                                            <a:ext cx="266700" cy="257175"/>
                                          </a:xfrm>
                                          <a:prstGeom prst="rect">
                                            <a:avLst/>
                                          </a:prstGeom>
                                        </pic:spPr>
                                      </pic:pic>
                                    </a:graphicData>
                                  </a:graphic>
                                </wp:inline>
                              </w:drawing>
                            </w:r>
                            <w:bookmarkStart w:id="42" w:name="i-22"/>
                            <w:bookmarkEnd w:id="42"/>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1F282C"/>
          <w:sz w:val="20"/>
        </w:rPr>
      </w:pPr>
      <w:r>
        <w:rPr>
          <w:rFonts w:ascii="Times New Roman;serif" w:hAnsi="Times New Roman;serif"/>
          <w:b/>
          <w:i/>
          <w:color w:val="1F282C"/>
          <w:sz w:val="20"/>
        </w:rPr>
        <w:t>Three Months Ended June 30, 2026 Compared to Three Months Ended June 30,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results of operations for the periods indicated:</w:t>
      </w:r>
    </w:p>
    <w:tbl>
      <w:tblPr>
        <w:tblW w:w="10205" w:type="dxa"/>
        <w:jc w:val="left"/>
        <w:tblInd w:w="0" w:type="dxa"/>
        <w:tblLayout w:type="fixed"/>
        <w:tblCellMar>
          <w:top w:w="28" w:type="dxa"/>
          <w:left w:w="28" w:type="dxa"/>
          <w:bottom w:w="28" w:type="dxa"/>
          <w:right w:w="28" w:type="dxa"/>
        </w:tblCellMar>
      </w:tblPr>
      <w:tblGrid>
        <w:gridCol w:w="913"/>
        <w:gridCol w:w="670"/>
        <w:gridCol w:w="667"/>
        <w:gridCol w:w="211"/>
        <w:gridCol w:w="826"/>
        <w:gridCol w:w="109"/>
        <w:gridCol w:w="109"/>
        <w:gridCol w:w="109"/>
        <w:gridCol w:w="109"/>
        <w:gridCol w:w="267"/>
        <w:gridCol w:w="242"/>
        <w:gridCol w:w="565"/>
        <w:gridCol w:w="109"/>
        <w:gridCol w:w="109"/>
        <w:gridCol w:w="109"/>
        <w:gridCol w:w="211"/>
        <w:gridCol w:w="826"/>
        <w:gridCol w:w="109"/>
        <w:gridCol w:w="109"/>
        <w:gridCol w:w="109"/>
        <w:gridCol w:w="109"/>
        <w:gridCol w:w="267"/>
        <w:gridCol w:w="242"/>
        <w:gridCol w:w="565"/>
        <w:gridCol w:w="109"/>
        <w:gridCol w:w="109"/>
        <w:gridCol w:w="109"/>
        <w:gridCol w:w="211"/>
        <w:gridCol w:w="774"/>
        <w:gridCol w:w="109"/>
        <w:gridCol w:w="109"/>
        <w:gridCol w:w="109"/>
        <w:gridCol w:w="109"/>
        <w:gridCol w:w="230"/>
        <w:gridCol w:w="236"/>
        <w:gridCol w:w="320"/>
      </w:tblGrid>
      <w:tr>
        <w:trPr/>
        <w:tc>
          <w:tcPr>
            <w:tcW w:w="91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of revenue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of revenue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(1) Amounts in column may not foot due to rounding</w:t>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pPr>
      <w:r>
        <w:rPr>
          <w:rFonts w:ascii="Times New Roman;serif" w:hAnsi="Times New Roman;serif"/>
          <w:b/>
          <w:i/>
          <w:color w:val="1F282C"/>
          <w:sz w:val="20"/>
          <w:shd w:fill="FFFFFF" w:val="clear"/>
        </w:rPr>
        <w:t>Revenues</w:t>
      </w:r>
      <w:r>
        <w:rPr>
          <w:color w:val="000000"/>
          <w:shd w:fill="FFFFFF" w:val="clear"/>
        </w:rPr>
        <w:t xml:space="preserve"> </w:t>
      </w:r>
      <w:r>
        <w:rPr>
          <w:rFonts w:ascii="Times New Roman;serif" w:hAnsi="Times New Roman;serif"/>
          <w:b/>
          <w:i/>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The increase in revenue period-over-period resulted from an increase in 1P recurring revenue customers that was driven primarily by business acquisitions and continued business growth in our core markets.</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ARPU increased 14% to approximately $15,100 for the three months ended June 30, 2026. The increase was driven by the increased usage of our products by our 1P recurring revenue customers as well as the divestiture of our 3P revenue recovery business.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number of recurring revenue customers decreased 14% to approximately 46,650 at June 30, 2026. The decrease was driven by the divestiture of the 3P revenue recovery business, which resulted in a decrease of approximately 8,200 3P recurring revenue customers. As of June 30, 2026, all recurring revenue customers are</w:t>
      </w:r>
      <w:r>
        <w:rPr>
          <w:color w:val="1F282C"/>
        </w:rPr>
        <w:t xml:space="preserve"> </w:t>
      </w:r>
      <w:r>
        <w:rPr>
          <w:rFonts w:ascii="Times New Roman;serif" w:hAnsi="Times New Roman;serif"/>
          <w:b w:val="false"/>
          <w:color w:val="1F282C"/>
          <w:sz w:val="20"/>
        </w:rPr>
        <w:t xml:space="preserve">1P. </w:t>
      </w:r>
    </w:p>
    <w:p>
      <w:pPr>
        <w:pStyle w:val="TextBody"/>
        <w:bidi w:val="0"/>
        <w:spacing w:lineRule="auto" w:line="288" w:before="120" w:after="283"/>
        <w:ind w:left="0" w:right="0" w:firstLine="720"/>
        <w:jc w:val="both"/>
        <w:rPr/>
      </w:pPr>
      <w:r>
        <w:rPr>
          <w:rFonts w:ascii="Times New Roman;serif" w:hAnsi="Times New Roman;serif"/>
          <w:b w:val="false"/>
          <w:color w:val="000000"/>
          <w:sz w:val="20"/>
        </w:rPr>
        <w:t>Recurring revenues increased 6% to $190.4 million for the three months ended June 30, 2026</w:t>
      </w:r>
      <w:r>
        <w:rPr>
          <w:color w:val="1F282C"/>
        </w:rPr>
        <w:t xml:space="preserve"> </w:t>
      </w:r>
      <w:r>
        <w:rPr>
          <w:rFonts w:ascii="Times New Roman;serif" w:hAnsi="Times New Roman;serif"/>
          <w:b w:val="false"/>
          <w:color w:val="1F282C"/>
          <w:sz w:val="20"/>
        </w:rPr>
        <w:t xml:space="preserve">compared to the three months ended </w:t>
      </w:r>
      <w:r>
        <w:rPr>
          <w:rFonts w:ascii="Times New Roman;serif" w:hAnsi="Times New Roman;serif"/>
          <w:b w:val="false"/>
          <w:color w:val="000000"/>
          <w:sz w:val="20"/>
        </w:rPr>
        <w:t>June 30, 2025</w:t>
      </w:r>
      <w:r>
        <w:rPr>
          <w:rFonts w:ascii="Times New Roman;serif" w:hAnsi="Times New Roman;serif"/>
          <w:b w:val="false"/>
          <w:color w:val="1F282C"/>
          <w:sz w:val="20"/>
        </w:rPr>
        <w:t>. Recurring revenues</w:t>
      </w:r>
      <w:r>
        <w:rPr>
          <w:color w:val="1F282C"/>
          <w:shd w:fill="FFFFFF" w:val="clear"/>
        </w:rPr>
        <w:t xml:space="preserve"> </w:t>
      </w:r>
      <w:r>
        <w:rPr>
          <w:rFonts w:ascii="Times New Roman;serif" w:hAnsi="Times New Roman;serif"/>
          <w:b w:val="false"/>
          <w:color w:val="000000"/>
          <w:sz w:val="20"/>
          <w:shd w:fill="FFFFFF" w:val="clear"/>
        </w:rPr>
        <w:t>accounted for 96% of our total revenues for both the three months ended June 30, 2026</w:t>
      </w:r>
      <w:r>
        <w:rPr>
          <w:color w:val="1F282C"/>
          <w:shd w:fill="FFFFFF" w:val="clear"/>
        </w:rPr>
        <w:t xml:space="preserve"> </w:t>
      </w:r>
      <w:r>
        <w:rPr>
          <w:rFonts w:ascii="Times New Roman;serif" w:hAnsi="Times New Roman;serif"/>
          <w:b w:val="false"/>
          <w:color w:val="1F282C"/>
          <w:sz w:val="20"/>
          <w:shd w:fill="FFFFFF" w:val="clear"/>
        </w:rPr>
        <w:t>and</w:t>
      </w:r>
      <w:r>
        <w:rPr>
          <w:color w:val="000000"/>
          <w:shd w:fill="FFFFFF" w:val="clear"/>
        </w:rPr>
        <w:t xml:space="preserve"> </w:t>
      </w:r>
      <w:r>
        <w:rPr>
          <w:rFonts w:ascii="Times New Roman;serif" w:hAnsi="Times New Roman;serif"/>
          <w:b w:val="false"/>
          <w:color w:val="000000"/>
          <w:sz w:val="20"/>
          <w:shd w:fill="FFFFFF" w:val="clear"/>
        </w:rPr>
        <w:t>2025. We anticipate that the number of recurring revenue customers and ARPU will increase as we execute our growth strategy focused on further penetration of our market.</w:t>
      </w:r>
    </w:p>
    <w:p>
      <w:pPr>
        <w:pStyle w:val="TextBody"/>
        <w:bidi w:val="0"/>
        <w:spacing w:lineRule="auto" w:line="288" w:before="240" w:after="283"/>
        <w:ind w:left="0" w:right="0" w:firstLine="720"/>
        <w:jc w:val="both"/>
        <w:rPr/>
      </w:pPr>
      <w:r>
        <w:rPr>
          <w:rFonts w:ascii="Times New Roman;serif" w:hAnsi="Times New Roman;serif"/>
          <w:b/>
          <w:i/>
          <w:color w:val="1F282C"/>
          <w:sz w:val="20"/>
          <w:shd w:fill="FFFFFF" w:val="clear"/>
        </w:rPr>
        <w:t>Cost of Revenues -</w:t>
      </w:r>
      <w:r>
        <w:rPr>
          <w:color w:val="1F282C"/>
          <w:shd w:fill="FFFFFF" w:val="clear"/>
        </w:rPr>
        <w:t xml:space="preserve"> </w:t>
      </w:r>
      <w:r>
        <w:rPr>
          <w:rFonts w:ascii="Times New Roman;serif" w:hAnsi="Times New Roman;serif"/>
          <w:b w:val="false"/>
          <w:color w:val="000000"/>
          <w:sz w:val="20"/>
          <w:shd w:fill="FFFFFF" w:val="clear"/>
        </w:rPr>
        <w:t>The decrease in cost of revenues was primarily attributable to $1.7 million lower third-party personnel costs and $0.9 million lower software costs due to platform consolidation, partially offset by a $1.5 million increase in depreciation expense.</w:t>
      </w:r>
    </w:p>
    <w:p>
      <w:pPr>
        <w:pStyle w:val="TextBody"/>
        <w:bidi w:val="0"/>
        <w:spacing w:lineRule="auto" w:line="288" w:before="240" w:after="283"/>
        <w:ind w:left="0" w:right="0" w:firstLine="720"/>
        <w:jc w:val="both"/>
        <w:rPr/>
      </w:pPr>
      <w:r>
        <w:rPr>
          <w:rFonts w:ascii="Times New Roman;serif" w:hAnsi="Times New Roman;serif"/>
          <w:b/>
          <w:i/>
          <w:color w:val="1F282C"/>
          <w:sz w:val="20"/>
          <w:shd w:fill="FFFFFF" w:val="clear"/>
        </w:rPr>
        <w:t>Sales and Marketing Expenses -</w:t>
      </w:r>
      <w:r>
        <w:rPr>
          <w:color w:val="1F282C"/>
          <w:shd w:fill="FFFFFF" w:val="clear"/>
        </w:rPr>
        <w:t xml:space="preserve"> </w:t>
      </w:r>
      <w:r>
        <w:rPr>
          <w:rFonts w:ascii="Times New Roman;serif" w:hAnsi="Times New Roman;serif"/>
          <w:b w:val="false"/>
          <w:color w:val="000000"/>
          <w:sz w:val="20"/>
          <w:shd w:fill="FFFFFF" w:val="clear"/>
        </w:rPr>
        <w:t>The increase in sales and marketing expense was primarily attributable to a $1.2 million increase in third-party personnel costs, partially offset by a $0.7 million decrease in marketing spend.</w:t>
      </w:r>
    </w:p>
    <w:p>
      <w:pPr>
        <w:pStyle w:val="TextBody"/>
        <w:bidi w:val="0"/>
        <w:spacing w:lineRule="auto" w:line="288" w:before="240" w:after="283"/>
        <w:ind w:left="0" w:right="0" w:firstLine="720"/>
        <w:jc w:val="both"/>
        <w:rPr/>
      </w:pPr>
      <w:r>
        <w:rPr>
          <w:rFonts w:ascii="Times New Roman;serif" w:hAnsi="Times New Roman;serif"/>
          <w:b/>
          <w:i/>
          <w:color w:val="1F282C"/>
          <w:sz w:val="20"/>
          <w:shd w:fill="FFFFFF" w:val="clear"/>
        </w:rPr>
        <w:t>Research and Development Expenses -</w:t>
      </w:r>
      <w:r>
        <w:rPr>
          <w:color w:val="000000"/>
          <w:shd w:fill="FFFFFF" w:val="clear"/>
        </w:rPr>
        <w:t xml:space="preserve"> </w:t>
      </w:r>
      <w:r>
        <w:rPr>
          <w:rFonts w:ascii="Times New Roman;serif" w:hAnsi="Times New Roman;serif"/>
          <w:b w:val="false"/>
          <w:color w:val="000000"/>
          <w:sz w:val="20"/>
          <w:shd w:fill="FFFFFF" w:val="clear"/>
        </w:rPr>
        <w:t>The decrease in research and development expense was primarily driven by a $0.4 million decrease in depreciation expense resulting from lower capitalized research and development activities related to an acquired business.</w:t>
      </w:r>
    </w:p>
    <w:p>
      <w:pPr>
        <w:pStyle w:val="TextBody"/>
        <w:bidi w:val="0"/>
        <w:spacing w:lineRule="auto" w:line="288" w:before="240" w:after="283"/>
        <w:ind w:left="0" w:right="0" w:firstLine="720"/>
        <w:jc w:val="both"/>
        <w:rPr/>
      </w:pPr>
      <w:r>
        <w:rPr>
          <w:rFonts w:ascii="Times New Roman;serif" w:hAnsi="Times New Roman;serif"/>
          <w:b/>
          <w:i/>
          <w:color w:val="1F282C"/>
          <w:sz w:val="20"/>
          <w:shd w:fill="FFFFFF" w:val="clear"/>
        </w:rPr>
        <w:t>General and Administrative Expenses -</w:t>
      </w:r>
      <w:r>
        <w:rPr>
          <w:color w:val="1F282C"/>
          <w:shd w:fill="FFFFFF" w:val="clear"/>
        </w:rPr>
        <w:t xml:space="preserve"> </w:t>
      </w:r>
      <w:r>
        <w:rPr>
          <w:rFonts w:ascii="Times New Roman;serif" w:hAnsi="Times New Roman;serif"/>
          <w:b w:val="false"/>
          <w:color w:val="000000"/>
          <w:sz w:val="20"/>
          <w:shd w:fill="FFFFFF" w:val="clear"/>
        </w:rPr>
        <w:t xml:space="preserve">The increase in general and administrative expense was primarily driven by a $2.8 million increase in stock-based compensation expense, partially attributable to the contractual acceleration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85495"/>
                <wp:effectExtent l="0" t="0" r="0" b="0"/>
                <wp:wrapNone/>
                <wp:docPr id="66" name="Frame23"/>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6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3" descr=""/>
                                                <pic:cNvPicPr>
                                                  <a:picLocks noChangeAspect="1" noChangeArrowheads="1"/>
                                                </pic:cNvPicPr>
                                              </pic:nvPicPr>
                                              <pic:blipFill>
                                                <a:blip r:embed="rId45"/>
                                                <a:stretch>
                                                  <a:fillRect/>
                                                </a:stretch>
                                              </pic:blipFill>
                                              <pic:spPr bwMode="auto">
                                                <a:xfrm>
                                                  <a:off x="0" y="0"/>
                                                  <a:ext cx="266700" cy="257175"/>
                                                </a:xfrm>
                                                <a:prstGeom prst="rect">
                                                  <a:avLst/>
                                                </a:prstGeom>
                                              </pic:spPr>
                                            </pic:pic>
                                          </a:graphicData>
                                        </a:graphic>
                                      </wp:inline>
                                    </w:drawing>
                                  </w:r>
                                  <w:bookmarkStart w:id="43" w:name="i-23"/>
                                  <w:bookmarkEnd w:id="43"/>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6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3" descr=""/>
                                          <pic:cNvPicPr>
                                            <a:picLocks noChangeAspect="1" noChangeArrowheads="1"/>
                                          </pic:cNvPicPr>
                                        </pic:nvPicPr>
                                        <pic:blipFill>
                                          <a:blip r:embed="rId46"/>
                                          <a:stretch>
                                            <a:fillRect/>
                                          </a:stretch>
                                        </pic:blipFill>
                                        <pic:spPr bwMode="auto">
                                          <a:xfrm>
                                            <a:off x="0" y="0"/>
                                            <a:ext cx="266700" cy="257175"/>
                                          </a:xfrm>
                                          <a:prstGeom prst="rect">
                                            <a:avLst/>
                                          </a:prstGeom>
                                        </pic:spPr>
                                      </pic:pic>
                                    </a:graphicData>
                                  </a:graphic>
                                </wp:inline>
                              </w:drawing>
                            </w:r>
                            <w:bookmarkStart w:id="44" w:name="i-23"/>
                            <w:bookmarkEnd w:id="44"/>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equity awards upon executive retirement. Personnel-related costs also increased by $2.2 million due to higher consulting costs supporting internal initiatives and increased headcount, while hardware and software costs increased by $1.1 million, primarily due to higher amortization expense related to system implementations. These increases were partially offset by a $0.5 million decrease in charitable contribution expense.</w:t>
      </w:r>
    </w:p>
    <w:p>
      <w:pPr>
        <w:pStyle w:val="TextBody"/>
        <w:bidi w:val="0"/>
        <w:spacing w:lineRule="auto" w:line="288" w:before="240" w:after="283"/>
        <w:ind w:left="0" w:right="0" w:firstLine="720"/>
        <w:jc w:val="both"/>
        <w:rPr/>
      </w:pPr>
      <w:r>
        <w:rPr>
          <w:rFonts w:ascii="Times New Roman;serif" w:hAnsi="Times New Roman;serif"/>
          <w:b/>
          <w:i/>
          <w:color w:val="1F282C"/>
          <w:sz w:val="20"/>
          <w:shd w:fill="FFFFFF" w:val="clear"/>
        </w:rPr>
        <w:t xml:space="preserve">Amortization of Intangible Assets - </w:t>
      </w:r>
      <w:r>
        <w:rPr>
          <w:rFonts w:ascii="Times New Roman;serif" w:hAnsi="Times New Roman;serif"/>
          <w:b w:val="false"/>
          <w:color w:val="1F282C"/>
          <w:sz w:val="20"/>
          <w:shd w:fill="FFFFFF" w:val="clear"/>
        </w:rPr>
        <w:t>The decrease in amortization expense was primarily due to the normal run-off of amortization related to finite-lived intangible assets.</w:t>
      </w:r>
    </w:p>
    <w:p>
      <w:pPr>
        <w:pStyle w:val="TextBody"/>
        <w:bidi w:val="0"/>
        <w:spacing w:lineRule="auto" w:line="288" w:before="240" w:after="283"/>
        <w:ind w:left="0" w:right="0" w:firstLine="720"/>
        <w:jc w:val="both"/>
        <w:rPr/>
      </w:pPr>
      <w:r>
        <w:rPr>
          <w:rFonts w:ascii="Times New Roman;serif" w:hAnsi="Times New Roman;serif"/>
          <w:b/>
          <w:i/>
          <w:color w:val="1F282C"/>
          <w:sz w:val="20"/>
        </w:rPr>
        <w:t>Loss on Sale of Business</w:t>
      </w:r>
      <w:r>
        <w:rPr>
          <w:color w:val="1F282C"/>
        </w:rPr>
        <w:t xml:space="preserve"> </w:t>
      </w:r>
      <w:r>
        <w:rPr>
          <w:rFonts w:ascii="Times New Roman;serif" w:hAnsi="Times New Roman;serif"/>
          <w:b/>
          <w:color w:val="1F282C"/>
          <w:sz w:val="20"/>
        </w:rPr>
        <w:t>-</w:t>
      </w:r>
      <w:r>
        <w:rPr>
          <w:color w:val="1F282C"/>
        </w:rPr>
        <w:t xml:space="preserve"> </w:t>
      </w:r>
      <w:r>
        <w:rPr>
          <w:rFonts w:ascii="Times New Roman;serif" w:hAnsi="Times New Roman;serif"/>
          <w:b w:val="false"/>
          <w:color w:val="1F282C"/>
          <w:sz w:val="20"/>
        </w:rPr>
        <w:t xml:space="preserve">The loss on sale of business was due to the divestiture of the 3P portion of the revenue recovery business. Refer to </w:t>
      </w:r>
      <w:r>
        <w:rPr>
          <w:rFonts w:ascii="Times New Roman;serif" w:hAnsi="Times New Roman;serif"/>
          <w:b w:val="false"/>
          <w:i/>
          <w:color w:val="1F282C"/>
          <w:sz w:val="20"/>
        </w:rPr>
        <w:t>No</w:t>
      </w:r>
      <w:r>
        <w:rPr>
          <w:rFonts w:ascii="Times New Roman;serif" w:hAnsi="Times New Roman;serif"/>
          <w:b w:val="false"/>
          <w:i/>
          <w:color w:val="000000"/>
          <w:sz w:val="20"/>
        </w:rPr>
        <w:t>te B – Business Acquisitions and Other Transactions</w:t>
      </w:r>
      <w:r>
        <w:rPr>
          <w:color w:val="000000"/>
        </w:rPr>
        <w:t xml:space="preserve"> </w:t>
      </w:r>
      <w:r>
        <w:rPr>
          <w:rFonts w:ascii="Times New Roman;serif" w:hAnsi="Times New Roman;serif"/>
          <w:b w:val="false"/>
          <w:color w:val="000000"/>
          <w:sz w:val="20"/>
        </w:rPr>
        <w:t>f</w:t>
      </w:r>
      <w:r>
        <w:rPr>
          <w:rFonts w:ascii="Times New Roman;serif" w:hAnsi="Times New Roman;serif"/>
          <w:b w:val="false"/>
          <w:color w:val="1F282C"/>
          <w:sz w:val="20"/>
        </w:rPr>
        <w:t>or more information regarding the divestiture.</w:t>
      </w:r>
    </w:p>
    <w:p>
      <w:pPr>
        <w:pStyle w:val="TextBody"/>
        <w:bidi w:val="0"/>
        <w:spacing w:lineRule="auto" w:line="288" w:before="240" w:after="283"/>
        <w:ind w:left="0" w:right="0" w:firstLine="720"/>
        <w:jc w:val="both"/>
        <w:rPr/>
      </w:pPr>
      <w:r>
        <w:rPr>
          <w:rFonts w:ascii="Times New Roman;serif" w:hAnsi="Times New Roman;serif"/>
          <w:b/>
          <w:i/>
          <w:color w:val="1F282C"/>
          <w:sz w:val="20"/>
          <w:shd w:fill="FFFFFF" w:val="clear"/>
        </w:rPr>
        <w:t>Other Income, Net -</w:t>
      </w:r>
      <w:r>
        <w:rPr>
          <w:color w:val="1F282C"/>
          <w:shd w:fill="FFFFFF" w:val="clear"/>
        </w:rPr>
        <w:t xml:space="preserve"> </w:t>
      </w:r>
      <w:r>
        <w:rPr>
          <w:rFonts w:ascii="Times New Roman;serif" w:hAnsi="Times New Roman;serif"/>
          <w:b w:val="false"/>
          <w:color w:val="1F282C"/>
          <w:sz w:val="20"/>
          <w:shd w:fill="FFFFFF" w:val="clear"/>
        </w:rPr>
        <w:t>The increase in other income, net was primarily due to higher investment income, the favorable remeasurement of an acquisition-related earn-out liability, and an increase in unrealized foreign currency gains.</w:t>
      </w:r>
    </w:p>
    <w:p>
      <w:pPr>
        <w:pStyle w:val="TextBody"/>
        <w:bidi w:val="0"/>
        <w:spacing w:lineRule="auto" w:line="288" w:before="240" w:after="283"/>
        <w:ind w:left="0" w:right="0" w:firstLine="720"/>
        <w:jc w:val="both"/>
        <w:rPr/>
      </w:pPr>
      <w:r>
        <w:rPr>
          <w:rFonts w:ascii="Times New Roman;serif" w:hAnsi="Times New Roman;serif"/>
          <w:b/>
          <w:i/>
          <w:color w:val="1F282C"/>
          <w:sz w:val="20"/>
        </w:rPr>
        <w:t xml:space="preserve">Income Tax Expense - </w:t>
      </w:r>
      <w:r>
        <w:rPr>
          <w:rFonts w:ascii="Times New Roman;serif" w:hAnsi="Times New Roman;serif"/>
          <w:b w:val="false"/>
          <w:color w:val="1F282C"/>
          <w:sz w:val="20"/>
        </w:rPr>
        <w:t xml:space="preserve">The decrease in income tax expense was primarily driven by the reduction in pre-tax book income related to the loss on sale of business. The decrease was partially offset by the reduction in tax benefits recognized from equity award exercise and settlement activity due to the fluctuations in share price. </w:t>
      </w:r>
    </w:p>
    <w:p>
      <w:pPr>
        <w:pStyle w:val="TextBody"/>
        <w:bidi w:val="0"/>
        <w:spacing w:lineRule="auto" w:line="288" w:before="240" w:after="283"/>
        <w:ind w:left="0" w:right="0" w:firstLine="720"/>
        <w:jc w:val="both"/>
        <w:rPr/>
      </w:pPr>
      <w:r>
        <w:rPr>
          <w:rFonts w:ascii="Times New Roman;serif" w:hAnsi="Times New Roman;serif"/>
          <w:b/>
          <w:i/>
          <w:color w:val="1F282C"/>
          <w:sz w:val="20"/>
        </w:rPr>
        <w:t xml:space="preserve">Adjusted EBITDA - </w:t>
      </w:r>
      <w:r>
        <w:rPr>
          <w:rFonts w:ascii="Times New Roman;serif" w:hAnsi="Times New Roman;serif"/>
          <w:b w:val="false"/>
          <w:color w:val="1F282C"/>
          <w:sz w:val="20"/>
        </w:rPr>
        <w:t xml:space="preserve">Adjusted EBITDA </w:t>
      </w:r>
      <w:r>
        <w:rPr>
          <w:rFonts w:ascii="Times New Roman;serif" w:hAnsi="Times New Roman;serif"/>
          <w:b w:val="false"/>
          <w:color w:val="000000"/>
          <w:sz w:val="20"/>
        </w:rPr>
        <w:t xml:space="preserve">consists of net income adjusted for income tax expense, depreciation and amortization expense, stock-based compensation expense, realized gain from investments and foreign currency transactions, investment income, loss on sale of business, and other adjustments as necessary for a fair presentation. Other adjustments for the three months ended June 30, 2026, included the expense impact from disposals of other equipment, remeasurement of an acquired earn-out liability, and one-time divestiture exit and disposal costs. Net income is the most directly comparable GAAP measure of financial performance.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income to Adjusted EBITDA:</w:t>
      </w:r>
    </w:p>
    <w:tbl>
      <w:tblPr>
        <w:tblW w:w="7883" w:type="dxa"/>
        <w:jc w:val="left"/>
        <w:tblInd w:w="0" w:type="dxa"/>
        <w:tblLayout w:type="fixed"/>
        <w:tblCellMar>
          <w:top w:w="28" w:type="dxa"/>
          <w:left w:w="28" w:type="dxa"/>
          <w:bottom w:w="28" w:type="dxa"/>
          <w:right w:w="28" w:type="dxa"/>
        </w:tblCellMar>
      </w:tblPr>
      <w:tblGrid>
        <w:gridCol w:w="1964"/>
        <w:gridCol w:w="1731"/>
        <w:gridCol w:w="1734"/>
        <w:gridCol w:w="211"/>
        <w:gridCol w:w="721"/>
        <w:gridCol w:w="109"/>
        <w:gridCol w:w="109"/>
        <w:gridCol w:w="109"/>
        <w:gridCol w:w="109"/>
        <w:gridCol w:w="211"/>
        <w:gridCol w:w="721"/>
        <w:gridCol w:w="154"/>
      </w:tblGrid>
      <w:tr>
        <w:trPr/>
        <w:tc>
          <w:tcPr>
            <w:tcW w:w="1964"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from investments and foreign currency transactions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pPr>
      <w:r>
        <w:rPr>
          <w:rFonts w:ascii="Times New Roman;serif" w:hAnsi="Times New Roman;serif"/>
          <w:b/>
          <w:i/>
          <w:color w:val="1F282C"/>
          <w:sz w:val="20"/>
        </w:rPr>
        <w:t>Adjusted EBITDA Margin -</w:t>
      </w:r>
      <w:r>
        <w:rPr>
          <w:color w:val="000000"/>
        </w:rPr>
        <w:t xml:space="preserve"> </w:t>
      </w:r>
      <w:r>
        <w:rPr>
          <w:rFonts w:ascii="Times New Roman;serif" w:hAnsi="Times New Roman;serif"/>
          <w:b w:val="false"/>
          <w:color w:val="000000"/>
          <w:sz w:val="20"/>
        </w:rPr>
        <w:t>Adjusted EBITDA Margin</w:t>
      </w:r>
      <w:r>
        <w:rPr>
          <w:color w:val="1F282C"/>
        </w:rPr>
        <w:t xml:space="preserve"> </w:t>
      </w:r>
      <w:r>
        <w:rPr>
          <w:rFonts w:ascii="Times New Roman;serif" w:hAnsi="Times New Roman;serif"/>
          <w:b w:val="false"/>
          <w:color w:val="000000"/>
          <w:sz w:val="20"/>
        </w:rPr>
        <w:t xml:space="preserve">consists of Adjusted EBITDA divided by revenue. Margin, the comparable GAAP measure of financial performance, consists of net income divided by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785495"/>
                <wp:effectExtent l="0" t="0" r="0" b="0"/>
                <wp:wrapNone/>
                <wp:docPr id="69" name="Frame24"/>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7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4" descr=""/>
                                                <pic:cNvPicPr>
                                                  <a:picLocks noChangeAspect="1" noChangeArrowheads="1"/>
                                                </pic:cNvPicPr>
                                              </pic:nvPicPr>
                                              <pic:blipFill>
                                                <a:blip r:embed="rId47"/>
                                                <a:stretch>
                                                  <a:fillRect/>
                                                </a:stretch>
                                              </pic:blipFill>
                                              <pic:spPr bwMode="auto">
                                                <a:xfrm>
                                                  <a:off x="0" y="0"/>
                                                  <a:ext cx="266700" cy="257175"/>
                                                </a:xfrm>
                                                <a:prstGeom prst="rect">
                                                  <a:avLst/>
                                                </a:prstGeom>
                                              </pic:spPr>
                                            </pic:pic>
                                          </a:graphicData>
                                        </a:graphic>
                                      </wp:inline>
                                    </w:drawing>
                                  </w:r>
                                  <w:bookmarkStart w:id="45" w:name="i-24"/>
                                  <w:bookmarkEnd w:id="45"/>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7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4" descr=""/>
                                          <pic:cNvPicPr>
                                            <a:picLocks noChangeAspect="1" noChangeArrowheads="1"/>
                                          </pic:cNvPicPr>
                                        </pic:nvPicPr>
                                        <pic:blipFill>
                                          <a:blip r:embed="rId48"/>
                                          <a:stretch>
                                            <a:fillRect/>
                                          </a:stretch>
                                        </pic:blipFill>
                                        <pic:spPr bwMode="auto">
                                          <a:xfrm>
                                            <a:off x="0" y="0"/>
                                            <a:ext cx="266700" cy="257175"/>
                                          </a:xfrm>
                                          <a:prstGeom prst="rect">
                                            <a:avLst/>
                                          </a:prstGeom>
                                        </pic:spPr>
                                      </pic:pic>
                                    </a:graphicData>
                                  </a:graphic>
                                </wp:inline>
                              </w:drawing>
                            </w:r>
                            <w:bookmarkStart w:id="46" w:name="i-24"/>
                            <w:bookmarkEnd w:id="46"/>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comparison of Margin to Adjusted EBITDA Margin:</w:t>
      </w:r>
    </w:p>
    <w:tbl>
      <w:tblPr>
        <w:tblW w:w="6930" w:type="dxa"/>
        <w:jc w:val="left"/>
        <w:tblInd w:w="0" w:type="dxa"/>
        <w:tblLayout w:type="fixed"/>
        <w:tblCellMar>
          <w:top w:w="28" w:type="dxa"/>
          <w:left w:w="28" w:type="dxa"/>
          <w:bottom w:w="28" w:type="dxa"/>
          <w:right w:w="28" w:type="dxa"/>
        </w:tblCellMar>
      </w:tblPr>
      <w:tblGrid>
        <w:gridCol w:w="1641"/>
        <w:gridCol w:w="1442"/>
        <w:gridCol w:w="1447"/>
        <w:gridCol w:w="224"/>
        <w:gridCol w:w="224"/>
        <w:gridCol w:w="557"/>
        <w:gridCol w:w="115"/>
        <w:gridCol w:w="115"/>
        <w:gridCol w:w="115"/>
        <w:gridCol w:w="224"/>
        <w:gridCol w:w="211"/>
        <w:gridCol w:w="615"/>
      </w:tblGrid>
      <w:tr>
        <w:trPr/>
        <w:tc>
          <w:tcPr>
            <w:tcW w:w="16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Margin and Adjusted EBITDA Margin)</w:t>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197,815</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187,400</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6,864</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19,733</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Margin</w:t>
            </w:r>
          </w:p>
        </w:tc>
        <w:tc>
          <w:tcPr>
            <w:tcW w:w="4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66,632</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56,052</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44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6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720"/>
        <w:jc w:val="both"/>
        <w:rPr/>
      </w:pPr>
      <w:r>
        <w:rPr>
          <w:rFonts w:ascii="Times New Roman;serif" w:hAnsi="Times New Roman;serif"/>
          <w:b/>
          <w:i/>
          <w:color w:val="1F282C"/>
          <w:sz w:val="20"/>
        </w:rPr>
        <w:t xml:space="preserve">Non-GAAP Income per Share - </w:t>
      </w:r>
      <w:r>
        <w:rPr>
          <w:rFonts w:ascii="Times New Roman;serif" w:hAnsi="Times New Roman;serif"/>
          <w:b w:val="false"/>
          <w:color w:val="1F282C"/>
          <w:sz w:val="20"/>
        </w:rPr>
        <w:t>Non-GAAP income per share</w:t>
      </w:r>
      <w:r>
        <w:rPr>
          <w:color w:val="1F282C"/>
        </w:rPr>
        <w:t xml:space="preserve"> </w:t>
      </w:r>
      <w:r>
        <w:rPr>
          <w:rFonts w:ascii="Times New Roman;serif" w:hAnsi="Times New Roman;serif"/>
          <w:b w:val="false"/>
          <w:color w:val="000000"/>
          <w:sz w:val="20"/>
        </w:rPr>
        <w:t>consists of net income adjusted for stock-based compensation expense, amortization expense related to intangible assets, realized gain from investments and foreign currency transactions, loss on sale of business, and other adjustments as necessary for a fair presentation, including for the three months ended June 30, 2026, the expense impact from disposals of other equipment, remeasurement of an acquired earn-out liability, and one-time divestiture exit and disposal costs, and the corresponding tax impacts of the adjustments to net income, divided by the weighted average number of shares of common and diluted stock outstanding during each period. Net income per share, the most directly comparable GAAP measure of financial performance, consists of net income divided by the weighted average number of shares of common and diluted stock outstanding during each period. 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income per share to non-GAAP income per share:</w:t>
      </w:r>
    </w:p>
    <w:tbl>
      <w:tblPr>
        <w:tblW w:w="8108" w:type="dxa"/>
        <w:jc w:val="left"/>
        <w:tblInd w:w="0" w:type="dxa"/>
        <w:tblLayout w:type="fixed"/>
        <w:tblCellMar>
          <w:top w:w="28" w:type="dxa"/>
          <w:left w:w="28" w:type="dxa"/>
          <w:bottom w:w="28" w:type="dxa"/>
          <w:right w:w="28" w:type="dxa"/>
        </w:tblCellMar>
      </w:tblPr>
      <w:tblGrid>
        <w:gridCol w:w="2048"/>
        <w:gridCol w:w="1800"/>
        <w:gridCol w:w="1806"/>
        <w:gridCol w:w="211"/>
        <w:gridCol w:w="721"/>
        <w:gridCol w:w="109"/>
        <w:gridCol w:w="109"/>
        <w:gridCol w:w="109"/>
        <w:gridCol w:w="109"/>
        <w:gridCol w:w="211"/>
        <w:gridCol w:w="721"/>
        <w:gridCol w:w="154"/>
      </w:tblGrid>
      <w:tr>
        <w:trPr/>
        <w:tc>
          <w:tcPr>
            <w:tcW w:w="2048"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amounts)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from investments and foreign currency transactions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effects of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net income and non-GAAP income per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 to net income per share, 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per share, basic</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 to net income per share, 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per share, diluted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85495"/>
                <wp:effectExtent l="0" t="0" r="0" b="0"/>
                <wp:wrapNone/>
                <wp:docPr id="72" name="Frame25"/>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7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5" descr=""/>
                                                <pic:cNvPicPr>
                                                  <a:picLocks noChangeAspect="1" noChangeArrowheads="1"/>
                                                </pic:cNvPicPr>
                                              </pic:nvPicPr>
                                              <pic:blipFill>
                                                <a:blip r:embed="rId49"/>
                                                <a:stretch>
                                                  <a:fillRect/>
                                                </a:stretch>
                                              </pic:blipFill>
                                              <pic:spPr bwMode="auto">
                                                <a:xfrm>
                                                  <a:off x="0" y="0"/>
                                                  <a:ext cx="266700" cy="257175"/>
                                                </a:xfrm>
                                                <a:prstGeom prst="rect">
                                                  <a:avLst/>
                                                </a:prstGeom>
                                              </pic:spPr>
                                            </pic:pic>
                                          </a:graphicData>
                                        </a:graphic>
                                      </wp:inline>
                                    </w:drawing>
                                  </w:r>
                                  <w:bookmarkStart w:id="47" w:name="i-25"/>
                                  <w:bookmarkEnd w:id="47"/>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7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5" descr=""/>
                                          <pic:cNvPicPr>
                                            <a:picLocks noChangeAspect="1" noChangeArrowheads="1"/>
                                          </pic:cNvPicPr>
                                        </pic:nvPicPr>
                                        <pic:blipFill>
                                          <a:blip r:embed="rId50"/>
                                          <a:stretch>
                                            <a:fillRect/>
                                          </a:stretch>
                                        </pic:blipFill>
                                        <pic:spPr bwMode="auto">
                                          <a:xfrm>
                                            <a:off x="0" y="0"/>
                                            <a:ext cx="266700" cy="257175"/>
                                          </a:xfrm>
                                          <a:prstGeom prst="rect">
                                            <a:avLst/>
                                          </a:prstGeom>
                                        </pic:spPr>
                                      </pic:pic>
                                    </a:graphicData>
                                  </a:graphic>
                                </wp:inline>
                              </w:drawing>
                            </w:r>
                            <w:bookmarkStart w:id="48" w:name="i-25"/>
                            <w:bookmarkEnd w:id="48"/>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240" w:after="283"/>
        <w:jc w:val="left"/>
        <w:rPr/>
      </w:pPr>
      <w:r>
        <w:rPr>
          <w:rFonts w:ascii="Times New Roman;serif" w:hAnsi="Times New Roman;serif"/>
          <w:b/>
          <w:i/>
          <w:color w:val="000000"/>
          <w:sz w:val="20"/>
        </w:rPr>
        <w:t>Six Months Ended June 30, 2026</w:t>
      </w:r>
      <w:r>
        <w:rPr>
          <w:color w:val="1F282C"/>
        </w:rPr>
        <w:t xml:space="preserve"> </w:t>
      </w:r>
      <w:r>
        <w:rPr>
          <w:rFonts w:ascii="Times New Roman;serif" w:hAnsi="Times New Roman;serif"/>
          <w:b/>
          <w:i/>
          <w:color w:val="1F282C"/>
          <w:sz w:val="20"/>
        </w:rPr>
        <w:t xml:space="preserve">Compared to </w:t>
      </w:r>
      <w:r>
        <w:rPr>
          <w:rFonts w:ascii="Times New Roman;serif" w:hAnsi="Times New Roman;serif"/>
          <w:b/>
          <w:i/>
          <w:color w:val="000000"/>
          <w:sz w:val="20"/>
        </w:rPr>
        <w:t>Six Months Ended June 30,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results of operations for the periods indicated:</w:t>
      </w:r>
    </w:p>
    <w:tbl>
      <w:tblPr>
        <w:tblW w:w="10205" w:type="dxa"/>
        <w:jc w:val="left"/>
        <w:tblInd w:w="0" w:type="dxa"/>
        <w:tblLayout w:type="fixed"/>
        <w:tblCellMar>
          <w:top w:w="28" w:type="dxa"/>
          <w:left w:w="28" w:type="dxa"/>
          <w:bottom w:w="28" w:type="dxa"/>
          <w:right w:w="28" w:type="dxa"/>
        </w:tblCellMar>
      </w:tblPr>
      <w:tblGrid>
        <w:gridCol w:w="918"/>
        <w:gridCol w:w="681"/>
        <w:gridCol w:w="678"/>
        <w:gridCol w:w="211"/>
        <w:gridCol w:w="826"/>
        <w:gridCol w:w="109"/>
        <w:gridCol w:w="109"/>
        <w:gridCol w:w="109"/>
        <w:gridCol w:w="109"/>
        <w:gridCol w:w="267"/>
        <w:gridCol w:w="243"/>
        <w:gridCol w:w="570"/>
        <w:gridCol w:w="109"/>
        <w:gridCol w:w="109"/>
        <w:gridCol w:w="109"/>
        <w:gridCol w:w="211"/>
        <w:gridCol w:w="826"/>
        <w:gridCol w:w="109"/>
        <w:gridCol w:w="109"/>
        <w:gridCol w:w="109"/>
        <w:gridCol w:w="109"/>
        <w:gridCol w:w="267"/>
        <w:gridCol w:w="243"/>
        <w:gridCol w:w="570"/>
        <w:gridCol w:w="109"/>
        <w:gridCol w:w="109"/>
        <w:gridCol w:w="109"/>
        <w:gridCol w:w="211"/>
        <w:gridCol w:w="775"/>
        <w:gridCol w:w="109"/>
        <w:gridCol w:w="109"/>
        <w:gridCol w:w="109"/>
        <w:gridCol w:w="109"/>
        <w:gridCol w:w="212"/>
        <w:gridCol w:w="212"/>
        <w:gridCol w:w="322"/>
      </w:tblGrid>
      <w:tr>
        <w:trPr/>
        <w:tc>
          <w:tcPr>
            <w:tcW w:w="91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of revenue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of revenue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88" w:before="120" w:after="283"/>
              <w:jc w:val="both"/>
              <w:rPr/>
            </w:pPr>
            <w:r>
              <w:rPr>
                <w:rFonts w:ascii="Times New Roman;serif" w:hAnsi="Times New Roman;serif"/>
                <w:b w:val="false"/>
                <w:i/>
                <w:color w:val="000000"/>
                <w:sz w:val="13"/>
              </w:rPr>
              <w:t xml:space="preserve">(1) </w:t>
            </w:r>
            <w:r>
              <w:rPr>
                <w:rFonts w:ascii="Times New Roman;serif" w:hAnsi="Times New Roman;serif"/>
                <w:b w:val="false"/>
                <w:i/>
                <w:color w:val="000000"/>
                <w:sz w:val="20"/>
              </w:rPr>
              <w:t>Amounts in column may not foot due to rounding</w:t>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pPr>
      <w:r>
        <w:rPr>
          <w:rFonts w:ascii="Times New Roman;serif" w:hAnsi="Times New Roman;serif"/>
          <w:b/>
          <w:i/>
          <w:color w:val="1F282C"/>
          <w:sz w:val="20"/>
        </w:rPr>
        <w:t>Revenues</w:t>
      </w:r>
      <w:r>
        <w:rPr>
          <w:color w:val="000000"/>
        </w:rPr>
        <w:t xml:space="preserve"> </w:t>
      </w:r>
      <w:r>
        <w:rPr>
          <w:rFonts w:ascii="Times New Roman;serif" w:hAnsi="Times New Roman;serif"/>
          <w:b/>
          <w:i/>
          <w:color w:val="000000"/>
          <w:sz w:val="20"/>
        </w:rPr>
        <w:t>-</w:t>
      </w:r>
      <w:r>
        <w:rPr>
          <w:color w:val="000000"/>
        </w:rPr>
        <w:t xml:space="preserve"> </w:t>
      </w:r>
      <w:r>
        <w:rPr>
          <w:rFonts w:ascii="Times New Roman;serif" w:hAnsi="Times New Roman;serif"/>
          <w:b w:val="false"/>
          <w:color w:val="000000"/>
          <w:sz w:val="20"/>
          <w:shd w:fill="FFFFFF" w:val="clear"/>
        </w:rPr>
        <w:t>The increase in revenue period-over-period resulted from an increase in 1P recurring revenue customers that was driven primarily by business acquisitions and continued business growth in our core markets.</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ARPU increased 5% to approximately $14,800 for the six months ended June 30, 2026. The increase was driven by the increased usage of our products by our 1P recurring revenue customers as well as the divestiture of our 3P revenue recovery business. </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The number of recurring revenue customers decreased 14% to approximately 46,650 at June 30, 2026. The decrease was driven by the divestiture of the 3P revenue recovery business (initially acquired in February 2025 as part of the Carbon6 acquisition), which resulted in a decrease of approximately 8,200 3P recurring revenue customers. As of June 30, 2026, all recurring revenue customers are</w:t>
      </w:r>
      <w:r>
        <w:rPr>
          <w:color w:val="1F282C"/>
          <w:shd w:fill="FFFFFF" w:val="clear"/>
        </w:rPr>
        <w:t xml:space="preserve"> </w:t>
      </w:r>
      <w:r>
        <w:rPr>
          <w:rFonts w:ascii="Times New Roman;serif" w:hAnsi="Times New Roman;serif"/>
          <w:b w:val="false"/>
          <w:color w:val="1F282C"/>
          <w:sz w:val="20"/>
          <w:shd w:fill="FFFFFF" w:val="clear"/>
        </w:rPr>
        <w:t>1P.</w:t>
      </w:r>
    </w:p>
    <w:p>
      <w:pPr>
        <w:pStyle w:val="TextBody"/>
        <w:bidi w:val="0"/>
        <w:spacing w:lineRule="auto" w:line="288" w:before="120" w:after="283"/>
        <w:ind w:left="0" w:right="0" w:firstLine="720"/>
        <w:jc w:val="both"/>
        <w:rPr/>
      </w:pPr>
      <w:r>
        <w:rPr>
          <w:rFonts w:ascii="Times New Roman;serif" w:hAnsi="Times New Roman;serif"/>
          <w:b w:val="false"/>
          <w:color w:val="000000"/>
          <w:sz w:val="20"/>
        </w:rPr>
        <w:t>Recurring revenues increased 7% to $374.9 million for the six months ended June 30, 2026</w:t>
      </w:r>
      <w:r>
        <w:rPr>
          <w:color w:val="1F282C"/>
        </w:rPr>
        <w:t xml:space="preserve"> </w:t>
      </w:r>
      <w:r>
        <w:rPr>
          <w:rFonts w:ascii="Times New Roman;serif" w:hAnsi="Times New Roman;serif"/>
          <w:b w:val="false"/>
          <w:color w:val="1F282C"/>
          <w:sz w:val="20"/>
        </w:rPr>
        <w:t xml:space="preserve">compared to the </w:t>
      </w:r>
      <w:r>
        <w:rPr>
          <w:rFonts w:ascii="Times New Roman;serif" w:hAnsi="Times New Roman;serif"/>
          <w:b w:val="false"/>
          <w:color w:val="000000"/>
          <w:sz w:val="20"/>
        </w:rPr>
        <w:t>six</w:t>
      </w:r>
      <w:r>
        <w:rPr>
          <w:color w:val="1F282C"/>
        </w:rPr>
        <w:t xml:space="preserve"> </w:t>
      </w:r>
      <w:r>
        <w:rPr>
          <w:rFonts w:ascii="Times New Roman;serif" w:hAnsi="Times New Roman;serif"/>
          <w:b w:val="false"/>
          <w:color w:val="1F282C"/>
          <w:sz w:val="20"/>
        </w:rPr>
        <w:t xml:space="preserve">months ended </w:t>
      </w:r>
      <w:r>
        <w:rPr>
          <w:rFonts w:ascii="Times New Roman;serif" w:hAnsi="Times New Roman;serif"/>
          <w:b w:val="false"/>
          <w:color w:val="000000"/>
          <w:sz w:val="20"/>
        </w:rPr>
        <w:t>June 30, 2025</w:t>
      </w:r>
      <w:r>
        <w:rPr>
          <w:rFonts w:ascii="Times New Roman;serif" w:hAnsi="Times New Roman;serif"/>
          <w:b w:val="false"/>
          <w:color w:val="1F282C"/>
          <w:sz w:val="20"/>
        </w:rPr>
        <w:t>. Re</w:t>
      </w:r>
      <w:r>
        <w:rPr>
          <w:rFonts w:ascii="Times New Roman;serif" w:hAnsi="Times New Roman;serif"/>
          <w:b w:val="false"/>
          <w:color w:val="1F282C"/>
          <w:sz w:val="20"/>
          <w:shd w:fill="FFFFFF" w:val="clear"/>
        </w:rPr>
        <w:t xml:space="preserve">curring revenues </w:t>
      </w:r>
      <w:r>
        <w:rPr>
          <w:rFonts w:ascii="Times New Roman;serif" w:hAnsi="Times New Roman;serif"/>
          <w:b w:val="false"/>
          <w:color w:val="000000"/>
          <w:sz w:val="20"/>
          <w:shd w:fill="FFFFFF" w:val="clear"/>
        </w:rPr>
        <w:t>accounted for 96% and 95% of our total revenues for the six months ended June 30, 2026</w:t>
      </w:r>
      <w:r>
        <w:rPr>
          <w:color w:val="1F282C"/>
          <w:shd w:fill="FFFFFF" w:val="clear"/>
        </w:rPr>
        <w:t xml:space="preserve"> </w:t>
      </w:r>
      <w:r>
        <w:rPr>
          <w:rFonts w:ascii="Times New Roman;serif" w:hAnsi="Times New Roman;serif"/>
          <w:b w:val="false"/>
          <w:color w:val="1F282C"/>
          <w:sz w:val="20"/>
          <w:shd w:fill="FFFFFF" w:val="clear"/>
        </w:rPr>
        <w:t>and</w:t>
      </w:r>
      <w:r>
        <w:rPr>
          <w:color w:val="000000"/>
          <w:shd w:fill="FFFFFF" w:val="clear"/>
        </w:rPr>
        <w:t xml:space="preserve"> </w:t>
      </w:r>
      <w:r>
        <w:rPr>
          <w:rFonts w:ascii="Times New Roman;serif" w:hAnsi="Times New Roman;serif"/>
          <w:b w:val="false"/>
          <w:color w:val="000000"/>
          <w:sz w:val="20"/>
          <w:shd w:fill="FFFFFF" w:val="clear"/>
        </w:rPr>
        <w:t>2025, respectively. We anticipate that the number of recurring revenue customers and ARPU will increase as we execute our growth strategy focused on further penetration of our market.</w:t>
      </w:r>
    </w:p>
    <w:p>
      <w:pPr>
        <w:pStyle w:val="TextBody"/>
        <w:bidi w:val="0"/>
        <w:spacing w:lineRule="auto" w:line="288" w:before="240" w:after="283"/>
        <w:ind w:left="0" w:right="0" w:firstLine="720"/>
        <w:jc w:val="both"/>
        <w:rPr/>
      </w:pPr>
      <w:r>
        <w:rPr>
          <w:rFonts w:ascii="Times New Roman;serif" w:hAnsi="Times New Roman;serif"/>
          <w:b/>
          <w:i/>
          <w:color w:val="1F282C"/>
          <w:sz w:val="20"/>
          <w:shd w:fill="FFFFFF" w:val="clear"/>
        </w:rPr>
        <w:t>Cost of Revenues -</w:t>
      </w:r>
      <w:r>
        <w:rPr>
          <w:color w:val="1F282C"/>
          <w:shd w:fill="FFFFFF" w:val="clear"/>
        </w:rPr>
        <w:t xml:space="preserve"> </w:t>
      </w:r>
      <w:r>
        <w:rPr>
          <w:rFonts w:ascii="Times New Roman;serif" w:hAnsi="Times New Roman;serif"/>
          <w:b w:val="false"/>
          <w:color w:val="000000"/>
          <w:sz w:val="20"/>
          <w:shd w:fill="FFFFFF" w:val="clear"/>
        </w:rPr>
        <w:t xml:space="preserve">The increase in cost of revenues was primarily driven by a $2.1 million increase in depreciation expense and a $1.3 million increase in deferred costs due to lower capitalization associated with slower hiring. These increases were partially offset by a $0.9 million decrease in personnel-related costs and $1.1 million of lower software costs due to platform consolidation. </w:t>
      </w:r>
    </w:p>
    <w:p>
      <w:pPr>
        <w:pStyle w:val="TextBody"/>
        <w:bidi w:val="0"/>
        <w:spacing w:lineRule="auto" w:line="288" w:before="240" w:after="283"/>
        <w:ind w:left="0" w:right="0" w:firstLine="720"/>
        <w:jc w:val="both"/>
        <w:rPr/>
      </w:pPr>
      <w:r>
        <w:rPr>
          <w:rFonts w:ascii="Times New Roman;serif" w:hAnsi="Times New Roman;serif"/>
          <w:b/>
          <w:i/>
          <w:color w:val="1F282C"/>
          <w:sz w:val="20"/>
          <w:shd w:fill="FFFFFF" w:val="clear"/>
        </w:rPr>
        <w:t>Sales and Marketing Expenses -</w:t>
      </w:r>
      <w:r>
        <w:rPr>
          <w:color w:val="1F282C"/>
          <w:shd w:fill="FFFFFF" w:val="clear"/>
        </w:rPr>
        <w:t xml:space="preserve"> </w:t>
      </w:r>
      <w:r>
        <w:rPr>
          <w:rFonts w:ascii="Times New Roman;serif" w:hAnsi="Times New Roman;serif"/>
          <w:b w:val="false"/>
          <w:color w:val="000000"/>
          <w:sz w:val="20"/>
          <w:shd w:fill="FFFFFF" w:val="clear"/>
        </w:rPr>
        <w:t>The increase in sales and marketing expense was primarily driven by a $2.4 million increase in stock-based compensation expense, partially attributable to equity awards granted to executives hired in the prior year, and a $1.3 million increase in third-party personnel costs.</w:t>
      </w:r>
    </w:p>
    <w:p>
      <w:pPr>
        <w:pStyle w:val="TextBody"/>
        <w:bidi w:val="0"/>
        <w:spacing w:lineRule="auto" w:line="288" w:before="240" w:after="283"/>
        <w:ind w:left="0" w:right="0" w:firstLine="720"/>
        <w:jc w:val="both"/>
        <w:rPr/>
      </w:pPr>
      <w:r>
        <w:rPr>
          <w:rFonts w:ascii="Times New Roman;serif" w:hAnsi="Times New Roman;serif"/>
          <w:b/>
          <w:i/>
          <w:color w:val="1F282C"/>
          <w:sz w:val="20"/>
          <w:shd w:fill="FFFFFF" w:val="clear"/>
        </w:rPr>
        <w:t>Research and Development Expenses -</w:t>
      </w:r>
      <w:r>
        <w:rPr>
          <w:color w:val="000000"/>
          <w:shd w:fill="FFFFFF" w:val="clear"/>
        </w:rPr>
        <w:t xml:space="preserve"> </w:t>
      </w:r>
      <w:r>
        <w:rPr>
          <w:rFonts w:ascii="Times New Roman;serif" w:hAnsi="Times New Roman;serif"/>
          <w:b w:val="false"/>
          <w:color w:val="000000"/>
          <w:sz w:val="20"/>
          <w:shd w:fill="FFFFFF" w:val="clear"/>
        </w:rPr>
        <w:t>Research and development expense remained relatively consistent compared to the prior 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85495"/>
                <wp:effectExtent l="0" t="0" r="0" b="0"/>
                <wp:wrapNone/>
                <wp:docPr id="75" name="Frame26"/>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6" descr=""/>
                                                <pic:cNvPicPr>
                                                  <a:picLocks noChangeAspect="1" noChangeArrowheads="1"/>
                                                </pic:cNvPicPr>
                                              </pic:nvPicPr>
                                              <pic:blipFill>
                                                <a:blip r:embed="rId51"/>
                                                <a:stretch>
                                                  <a:fillRect/>
                                                </a:stretch>
                                              </pic:blipFill>
                                              <pic:spPr bwMode="auto">
                                                <a:xfrm>
                                                  <a:off x="0" y="0"/>
                                                  <a:ext cx="266700" cy="257175"/>
                                                </a:xfrm>
                                                <a:prstGeom prst="rect">
                                                  <a:avLst/>
                                                </a:prstGeom>
                                              </pic:spPr>
                                            </pic:pic>
                                          </a:graphicData>
                                        </a:graphic>
                                      </wp:inline>
                                    </w:drawing>
                                  </w:r>
                                  <w:bookmarkStart w:id="49" w:name="i-26"/>
                                  <w:bookmarkEnd w:id="49"/>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7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6" descr=""/>
                                          <pic:cNvPicPr>
                                            <a:picLocks noChangeAspect="1" noChangeArrowheads="1"/>
                                          </pic:cNvPicPr>
                                        </pic:nvPicPr>
                                        <pic:blipFill>
                                          <a:blip r:embed="rId52"/>
                                          <a:stretch>
                                            <a:fillRect/>
                                          </a:stretch>
                                        </pic:blipFill>
                                        <pic:spPr bwMode="auto">
                                          <a:xfrm>
                                            <a:off x="0" y="0"/>
                                            <a:ext cx="266700" cy="257175"/>
                                          </a:xfrm>
                                          <a:prstGeom prst="rect">
                                            <a:avLst/>
                                          </a:prstGeom>
                                        </pic:spPr>
                                      </pic:pic>
                                    </a:graphicData>
                                  </a:graphic>
                                </wp:inline>
                              </w:drawing>
                            </w:r>
                            <w:bookmarkStart w:id="50" w:name="i-26"/>
                            <w:bookmarkEnd w:id="50"/>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240" w:after="283"/>
        <w:ind w:left="0" w:right="0" w:firstLine="720"/>
        <w:jc w:val="both"/>
        <w:rPr/>
      </w:pPr>
      <w:r>
        <w:rPr>
          <w:rFonts w:ascii="Times New Roman;serif" w:hAnsi="Times New Roman;serif"/>
          <w:b/>
          <w:i/>
          <w:color w:val="1F282C"/>
          <w:sz w:val="20"/>
          <w:shd w:fill="FFFFFF" w:val="clear"/>
        </w:rPr>
        <w:t>General and Administrative Expenses -</w:t>
      </w:r>
      <w:r>
        <w:rPr>
          <w:color w:val="1F282C"/>
          <w:shd w:fill="FFFFFF" w:val="clear"/>
        </w:rPr>
        <w:t xml:space="preserve"> </w:t>
      </w:r>
      <w:r>
        <w:rPr>
          <w:rFonts w:ascii="Times New Roman;serif" w:hAnsi="Times New Roman;serif"/>
          <w:b w:val="false"/>
          <w:color w:val="000000"/>
          <w:sz w:val="20"/>
          <w:shd w:fill="FFFFFF" w:val="clear"/>
        </w:rPr>
        <w:t>The increase in general and administrative expense was primarily driven by a $4.9 million increase in stock-based compensation expense, partially attributable to the contractual acceleration of equity awards upon executive retirement. In addition, personnel-related costs increased by $5.0 million, primarily due to increased headcount and non-capitalizable activities supporting system implementations, as well as consulting costs related to internal initiatives.</w:t>
      </w:r>
    </w:p>
    <w:p>
      <w:pPr>
        <w:pStyle w:val="TextBody"/>
        <w:bidi w:val="0"/>
        <w:spacing w:lineRule="auto" w:line="288" w:before="240" w:after="283"/>
        <w:ind w:left="0" w:right="0" w:firstLine="720"/>
        <w:jc w:val="both"/>
        <w:rPr/>
      </w:pPr>
      <w:r>
        <w:rPr>
          <w:rFonts w:ascii="Times New Roman;serif" w:hAnsi="Times New Roman;serif"/>
          <w:b/>
          <w:i/>
          <w:color w:val="1F282C"/>
          <w:sz w:val="20"/>
          <w:shd w:fill="FFFFFF" w:val="clear"/>
        </w:rPr>
        <w:t>Amortization of Intangible Assets -</w:t>
      </w:r>
      <w:r>
        <w:rPr>
          <w:color w:val="1F282C"/>
          <w:shd w:fill="FFFFFF" w:val="clear"/>
        </w:rPr>
        <w:t xml:space="preserve"> </w:t>
      </w:r>
      <w:r>
        <w:rPr>
          <w:rFonts w:ascii="Times New Roman;serif" w:hAnsi="Times New Roman;serif"/>
          <w:b w:val="false"/>
          <w:color w:val="1F282C"/>
          <w:sz w:val="20"/>
          <w:shd w:fill="FFFFFF" w:val="clear"/>
        </w:rPr>
        <w:t>The increase in amortization of intangible assets was driven by an additional month of amortization related to intangible assets acquired from Carbon6 in February 2025.</w:t>
      </w:r>
    </w:p>
    <w:p>
      <w:pPr>
        <w:pStyle w:val="TextBody"/>
        <w:bidi w:val="0"/>
        <w:spacing w:lineRule="auto" w:line="288" w:before="240" w:after="283"/>
        <w:ind w:left="0" w:right="0" w:firstLine="720"/>
        <w:jc w:val="both"/>
        <w:rPr/>
      </w:pPr>
      <w:r>
        <w:rPr>
          <w:rFonts w:ascii="Times New Roman;serif" w:hAnsi="Times New Roman;serif"/>
          <w:b/>
          <w:i/>
          <w:color w:val="1F282C"/>
          <w:sz w:val="20"/>
        </w:rPr>
        <w:t>Loss on Sa</w:t>
      </w:r>
      <w:r>
        <w:rPr>
          <w:rFonts w:ascii="Times New Roman;serif" w:hAnsi="Times New Roman;serif"/>
          <w:b/>
          <w:i/>
          <w:color w:val="000000"/>
          <w:sz w:val="20"/>
        </w:rPr>
        <w:t>le of Business</w:t>
      </w:r>
      <w:r>
        <w:rPr>
          <w:color w:val="000000"/>
        </w:rPr>
        <w:t xml:space="preserve"> </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The loss on sale of business was due to the divestiture of the 3P portion of the revenue recovery business. Refer to </w:t>
      </w:r>
      <w:r>
        <w:rPr>
          <w:rFonts w:ascii="Times New Roman;serif" w:hAnsi="Times New Roman;serif"/>
          <w:b w:val="false"/>
          <w:i/>
          <w:color w:val="000000"/>
          <w:sz w:val="20"/>
        </w:rPr>
        <w:t>Note B – Business Acquisitions and Other Transactions</w:t>
      </w:r>
      <w:r>
        <w:rPr>
          <w:color w:val="000000"/>
        </w:rPr>
        <w:t xml:space="preserve"> </w:t>
      </w:r>
      <w:r>
        <w:rPr>
          <w:rFonts w:ascii="Times New Roman;serif" w:hAnsi="Times New Roman;serif"/>
          <w:b w:val="false"/>
          <w:color w:val="000000"/>
          <w:sz w:val="20"/>
        </w:rPr>
        <w:t>for m</w:t>
      </w:r>
      <w:r>
        <w:rPr>
          <w:rFonts w:ascii="Times New Roman;serif" w:hAnsi="Times New Roman;serif"/>
          <w:b w:val="false"/>
          <w:color w:val="1F282C"/>
          <w:sz w:val="20"/>
        </w:rPr>
        <w:t>ore information regarding the divestiture.</w:t>
      </w:r>
    </w:p>
    <w:p>
      <w:pPr>
        <w:pStyle w:val="TextBody"/>
        <w:bidi w:val="0"/>
        <w:spacing w:lineRule="auto" w:line="288" w:before="240" w:after="283"/>
        <w:ind w:left="0" w:right="0" w:firstLine="720"/>
        <w:jc w:val="both"/>
        <w:rPr/>
      </w:pPr>
      <w:r>
        <w:rPr>
          <w:rFonts w:ascii="Times New Roman;serif" w:hAnsi="Times New Roman;serif"/>
          <w:b/>
          <w:i/>
          <w:color w:val="1F282C"/>
          <w:sz w:val="20"/>
        </w:rPr>
        <w:t>Other Income, Net -</w:t>
      </w:r>
      <w:r>
        <w:rPr>
          <w:color w:val="1F282C"/>
        </w:rPr>
        <w:t xml:space="preserve"> </w:t>
      </w:r>
      <w:r>
        <w:rPr>
          <w:rFonts w:ascii="Times New Roman;serif" w:hAnsi="Times New Roman;serif"/>
          <w:b w:val="false"/>
          <w:color w:val="1F282C"/>
          <w:sz w:val="20"/>
        </w:rPr>
        <w:t>The increase in other income, net was primarily due to the remeasurement of an acquisition-related earn-out liability.</w:t>
      </w:r>
    </w:p>
    <w:p>
      <w:pPr>
        <w:pStyle w:val="TextBody"/>
        <w:bidi w:val="0"/>
        <w:spacing w:lineRule="auto" w:line="288" w:before="240" w:after="283"/>
        <w:ind w:left="0" w:right="0" w:firstLine="720"/>
        <w:jc w:val="both"/>
        <w:rPr/>
      </w:pPr>
      <w:r>
        <w:rPr>
          <w:rFonts w:ascii="Times New Roman;serif" w:hAnsi="Times New Roman;serif"/>
          <w:b/>
          <w:i/>
          <w:color w:val="1F282C"/>
          <w:sz w:val="20"/>
        </w:rPr>
        <w:t>Income Tax Expense -</w:t>
      </w:r>
      <w:r>
        <w:rPr>
          <w:color w:val="1F282C"/>
        </w:rPr>
        <w:t xml:space="preserve"> </w:t>
      </w:r>
      <w:r>
        <w:rPr>
          <w:rFonts w:ascii="Times New Roman;serif" w:hAnsi="Times New Roman;serif"/>
          <w:b w:val="false"/>
          <w:color w:val="1F282C"/>
          <w:sz w:val="20"/>
        </w:rPr>
        <w:t xml:space="preserve">The decrease in income tax expense was primarily driven by the reduction in pre-tax book income related to the loss on sale of business. The decrease was partially offset by the reduction in tax benefits recognized from equity award exercise and settlement activity due to the fluctuations in share price. </w:t>
      </w:r>
    </w:p>
    <w:p>
      <w:pPr>
        <w:pStyle w:val="TextBody"/>
        <w:bidi w:val="0"/>
        <w:spacing w:lineRule="auto" w:line="288" w:before="240" w:after="283"/>
        <w:ind w:left="0" w:right="0" w:firstLine="720"/>
        <w:jc w:val="both"/>
        <w:rPr/>
      </w:pPr>
      <w:r>
        <w:rPr>
          <w:rFonts w:ascii="Times New Roman;serif" w:hAnsi="Times New Roman;serif"/>
          <w:b/>
          <w:i/>
          <w:color w:val="1F282C"/>
          <w:sz w:val="20"/>
        </w:rPr>
        <w:t xml:space="preserve">Adjusted EBITDA - </w:t>
      </w:r>
      <w:r>
        <w:rPr>
          <w:rFonts w:ascii="Times New Roman;serif" w:hAnsi="Times New Roman;serif"/>
          <w:b w:val="false"/>
          <w:color w:val="1F282C"/>
          <w:sz w:val="20"/>
        </w:rPr>
        <w:t xml:space="preserve">Adjusted EBITDA </w:t>
      </w:r>
      <w:r>
        <w:rPr>
          <w:rFonts w:ascii="Times New Roman;serif" w:hAnsi="Times New Roman;serif"/>
          <w:b w:val="false"/>
          <w:color w:val="000000"/>
          <w:sz w:val="20"/>
        </w:rPr>
        <w:t xml:space="preserve">consists of net income adjusted for income tax expense, depreciation and amortization expense, stock-based compensation expense, realized gain from investments and foreign currency transactions, investment income, loss on sale of business, and other adjustments as necessary for a fair presentation. Other adjustments for the six months ended June 30, 2026 included the expense impact from disposals of other equipment, remeasurement of an acquired earn-out liability, and one-time divestiture exit and disposal costs. Net income is the most directly comparable GAAP measure of financial performance.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income to Adjusted EBITDA:</w:t>
      </w:r>
    </w:p>
    <w:tbl>
      <w:tblPr>
        <w:tblW w:w="10103" w:type="dxa"/>
        <w:jc w:val="left"/>
        <w:tblInd w:w="0" w:type="dxa"/>
        <w:tblLayout w:type="fixed"/>
        <w:tblCellMar>
          <w:top w:w="28" w:type="dxa"/>
          <w:left w:w="28" w:type="dxa"/>
          <w:bottom w:w="28" w:type="dxa"/>
          <w:right w:w="28" w:type="dxa"/>
        </w:tblCellMar>
      </w:tblPr>
      <w:tblGrid>
        <w:gridCol w:w="2691"/>
        <w:gridCol w:w="2372"/>
        <w:gridCol w:w="2376"/>
        <w:gridCol w:w="211"/>
        <w:gridCol w:w="826"/>
        <w:gridCol w:w="109"/>
        <w:gridCol w:w="109"/>
        <w:gridCol w:w="109"/>
        <w:gridCol w:w="109"/>
        <w:gridCol w:w="211"/>
        <w:gridCol w:w="826"/>
        <w:gridCol w:w="154"/>
      </w:tblGrid>
      <w:tr>
        <w:trPr/>
        <w:tc>
          <w:tcPr>
            <w:tcW w:w="2691"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from investments held and foreign currency impact on cash and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110,425 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pPr>
      <w:r>
        <w:rPr>
          <w:rFonts w:ascii="Times New Roman;serif" w:hAnsi="Times New Roman;serif"/>
          <w:b/>
          <w:i/>
          <w:color w:val="1F282C"/>
          <w:sz w:val="20"/>
        </w:rPr>
        <w:t>Adjusted EBITDA Margin -</w:t>
      </w:r>
      <w:r>
        <w:rPr>
          <w:color w:val="000000"/>
        </w:rPr>
        <w:t xml:space="preserve"> </w:t>
      </w:r>
      <w:r>
        <w:rPr>
          <w:rFonts w:ascii="Times New Roman;serif" w:hAnsi="Times New Roman;serif"/>
          <w:b w:val="false"/>
          <w:color w:val="000000"/>
          <w:sz w:val="20"/>
        </w:rPr>
        <w:t>Adjusted EBITDA Margin</w:t>
      </w:r>
      <w:r>
        <w:rPr>
          <w:color w:val="1F282C"/>
        </w:rPr>
        <w:t xml:space="preserve"> </w:t>
      </w:r>
      <w:r>
        <w:rPr>
          <w:rFonts w:ascii="Times New Roman;serif" w:hAnsi="Times New Roman;serif"/>
          <w:b w:val="false"/>
          <w:color w:val="000000"/>
          <w:sz w:val="20"/>
        </w:rPr>
        <w:t xml:space="preserve">consists of Adjusted EBITDA divided by revenue. Margin, the comparable GAAP measure of financial performance, consists of net income divided by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85495"/>
                <wp:effectExtent l="0" t="0" r="0" b="0"/>
                <wp:wrapNone/>
                <wp:docPr id="78" name="Frame27"/>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7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7" descr=""/>
                                                <pic:cNvPicPr>
                                                  <a:picLocks noChangeAspect="1" noChangeArrowheads="1"/>
                                                </pic:cNvPicPr>
                                              </pic:nvPicPr>
                                              <pic:blipFill>
                                                <a:blip r:embed="rId53"/>
                                                <a:stretch>
                                                  <a:fillRect/>
                                                </a:stretch>
                                              </pic:blipFill>
                                              <pic:spPr bwMode="auto">
                                                <a:xfrm>
                                                  <a:off x="0" y="0"/>
                                                  <a:ext cx="266700" cy="257175"/>
                                                </a:xfrm>
                                                <a:prstGeom prst="rect">
                                                  <a:avLst/>
                                                </a:prstGeom>
                                              </pic:spPr>
                                            </pic:pic>
                                          </a:graphicData>
                                        </a:graphic>
                                      </wp:inline>
                                    </w:drawing>
                                  </w:r>
                                  <w:bookmarkStart w:id="51" w:name="i-27"/>
                                  <w:bookmarkEnd w:id="51"/>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8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7" descr=""/>
                                          <pic:cNvPicPr>
                                            <a:picLocks noChangeAspect="1" noChangeArrowheads="1"/>
                                          </pic:cNvPicPr>
                                        </pic:nvPicPr>
                                        <pic:blipFill>
                                          <a:blip r:embed="rId54"/>
                                          <a:stretch>
                                            <a:fillRect/>
                                          </a:stretch>
                                        </pic:blipFill>
                                        <pic:spPr bwMode="auto">
                                          <a:xfrm>
                                            <a:off x="0" y="0"/>
                                            <a:ext cx="266700" cy="257175"/>
                                          </a:xfrm>
                                          <a:prstGeom prst="rect">
                                            <a:avLst/>
                                          </a:prstGeom>
                                        </pic:spPr>
                                      </pic:pic>
                                    </a:graphicData>
                                  </a:graphic>
                                </wp:inline>
                              </w:drawing>
                            </w:r>
                            <w:bookmarkStart w:id="52" w:name="i-27"/>
                            <w:bookmarkEnd w:id="52"/>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comparison of Margin to Adjusted EBITDA Margin:</w:t>
      </w:r>
    </w:p>
    <w:tbl>
      <w:tblPr>
        <w:tblW w:w="6886" w:type="dxa"/>
        <w:jc w:val="left"/>
        <w:tblInd w:w="0" w:type="dxa"/>
        <w:tblLayout w:type="fixed"/>
        <w:tblCellMar>
          <w:top w:w="28" w:type="dxa"/>
          <w:left w:w="28" w:type="dxa"/>
          <w:bottom w:w="28" w:type="dxa"/>
          <w:right w:w="28" w:type="dxa"/>
        </w:tblCellMar>
      </w:tblPr>
      <w:tblGrid>
        <w:gridCol w:w="1641"/>
        <w:gridCol w:w="1442"/>
        <w:gridCol w:w="1447"/>
        <w:gridCol w:w="211"/>
        <w:gridCol w:w="224"/>
        <w:gridCol w:w="557"/>
        <w:gridCol w:w="109"/>
        <w:gridCol w:w="109"/>
        <w:gridCol w:w="109"/>
        <w:gridCol w:w="211"/>
        <w:gridCol w:w="211"/>
        <w:gridCol w:w="615"/>
      </w:tblGrid>
      <w:tr>
        <w:trPr/>
        <w:tc>
          <w:tcPr>
            <w:tcW w:w="16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Margin and Adjusted EBITDA Margin)</w:t>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368,949</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41,929</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Margin</w:t>
            </w:r>
          </w:p>
        </w:tc>
        <w:tc>
          <w:tcPr>
            <w:tcW w:w="4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110,425</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43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6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both"/>
        <w:rPr/>
      </w:pPr>
      <w:r>
        <w:rPr>
          <w:rFonts w:ascii="Times New Roman;serif" w:hAnsi="Times New Roman;serif"/>
          <w:b/>
          <w:i/>
          <w:color w:val="1F282C"/>
          <w:sz w:val="20"/>
        </w:rPr>
        <w:t xml:space="preserve">Non-GAAP Income per Share - </w:t>
      </w:r>
      <w:r>
        <w:rPr>
          <w:rFonts w:ascii="Times New Roman;serif" w:hAnsi="Times New Roman;serif"/>
          <w:b w:val="false"/>
          <w:color w:val="1F282C"/>
          <w:sz w:val="20"/>
        </w:rPr>
        <w:t>Non-GAAP income per share</w:t>
      </w:r>
      <w:r>
        <w:rPr>
          <w:color w:val="1F282C"/>
        </w:rPr>
        <w:t xml:space="preserve"> </w:t>
      </w:r>
      <w:r>
        <w:rPr>
          <w:rFonts w:ascii="Times New Roman;serif" w:hAnsi="Times New Roman;serif"/>
          <w:b w:val="false"/>
          <w:color w:val="000000"/>
          <w:sz w:val="20"/>
        </w:rPr>
        <w:t>consists of net income adjusted for stock-based compensation expense, amortization expense related to intangible assets, realized gain from investments and foreign currency transactions, loss on sale of business, and other adjustments as necessary for a fair presentation, including for the six months ended June 30, 2026, the expense impact from disposals of other equipment, remeasurement of an acquired earn-out liability, and one-time divestiture exit and disposal costs, and the corresponding tax impacts of the adjustments to net income, divided by the weighted average number of shares of common and diluted stock outstanding during each period. Net income per share, the most directly comparable GAAP measure of financial performance, consists of net income divided by the weighted average number of shares of common and diluted stock outstanding during each period. 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income per share to non-GAAP income per share:</w:t>
      </w:r>
    </w:p>
    <w:tbl>
      <w:tblPr>
        <w:tblW w:w="9894" w:type="dxa"/>
        <w:jc w:val="left"/>
        <w:tblInd w:w="0" w:type="dxa"/>
        <w:tblLayout w:type="fixed"/>
        <w:tblCellMar>
          <w:top w:w="28" w:type="dxa"/>
          <w:left w:w="28" w:type="dxa"/>
          <w:bottom w:w="28" w:type="dxa"/>
          <w:right w:w="28" w:type="dxa"/>
        </w:tblCellMar>
      </w:tblPr>
      <w:tblGrid>
        <w:gridCol w:w="2695"/>
        <w:gridCol w:w="2369"/>
        <w:gridCol w:w="2376"/>
        <w:gridCol w:w="211"/>
        <w:gridCol w:w="721"/>
        <w:gridCol w:w="109"/>
        <w:gridCol w:w="109"/>
        <w:gridCol w:w="109"/>
        <w:gridCol w:w="109"/>
        <w:gridCol w:w="211"/>
        <w:gridCol w:w="721"/>
        <w:gridCol w:w="154"/>
      </w:tblGrid>
      <w:tr>
        <w:trPr/>
        <w:tc>
          <w:tcPr>
            <w:tcW w:w="2695"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amounts)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from investments held and foreign currency impact on cash and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effects of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75,967 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net income and non-GAAP income per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 to net income per share, 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per share, basic</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 to net income per share, 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per share, diluted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85495"/>
                <wp:effectExtent l="0" t="0" r="0" b="0"/>
                <wp:wrapNone/>
                <wp:docPr id="81" name="Frame28"/>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8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8" descr=""/>
                                                <pic:cNvPicPr>
                                                  <a:picLocks noChangeAspect="1" noChangeArrowheads="1"/>
                                                </pic:cNvPicPr>
                                              </pic:nvPicPr>
                                              <pic:blipFill>
                                                <a:blip r:embed="rId55"/>
                                                <a:stretch>
                                                  <a:fillRect/>
                                                </a:stretch>
                                              </pic:blipFill>
                                              <pic:spPr bwMode="auto">
                                                <a:xfrm>
                                                  <a:off x="0" y="0"/>
                                                  <a:ext cx="266700" cy="257175"/>
                                                </a:xfrm>
                                                <a:prstGeom prst="rect">
                                                  <a:avLst/>
                                                </a:prstGeom>
                                              </pic:spPr>
                                            </pic:pic>
                                          </a:graphicData>
                                        </a:graphic>
                                      </wp:inline>
                                    </w:drawing>
                                  </w:r>
                                  <w:bookmarkStart w:id="53" w:name="i-28"/>
                                  <w:bookmarkEnd w:id="53"/>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8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8" descr=""/>
                                          <pic:cNvPicPr>
                                            <a:picLocks noChangeAspect="1" noChangeArrowheads="1"/>
                                          </pic:cNvPicPr>
                                        </pic:nvPicPr>
                                        <pic:blipFill>
                                          <a:blip r:embed="rId56"/>
                                          <a:stretch>
                                            <a:fillRect/>
                                          </a:stretch>
                                        </pic:blipFill>
                                        <pic:spPr bwMode="auto">
                                          <a:xfrm>
                                            <a:off x="0" y="0"/>
                                            <a:ext cx="266700" cy="257175"/>
                                          </a:xfrm>
                                          <a:prstGeom prst="rect">
                                            <a:avLst/>
                                          </a:prstGeom>
                                        </pic:spPr>
                                      </pic:pic>
                                    </a:graphicData>
                                  </a:graphic>
                                </wp:inline>
                              </w:drawing>
                            </w:r>
                            <w:bookmarkStart w:id="54" w:name="i-28"/>
                            <w:bookmarkEnd w:id="54"/>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 xml:space="preserve">Critical Accounting Policies and Estimates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discussion of our financial condition and results of operations is based upon our condensed consolidated financial statements, which are prepared in accordance with GAAP and with the instructions to Form 10-Q and Rule 10-01 of Regulation S-X. The preparation of these condensed consolidated financial statements requires us to make estimates, judgments, and assumptions that affect the reported amounts of assets, liabilities, revenues, expenses, and related disclosures. On an ongoing basis, we evaluate our estimates, judgments,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critical accounting policy or estimate is one that is both material to the presentation of our financial statements and requires us to make difficult, subjective, or complex judgments relating to uncertain matters that could have a material effect on our financial condition and results of operations. Accordingly, we believe that our policies for revenue recognition, internally developed software, and business combinations are the most critical to fully understand and evaluate our financial condition and results of operations.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During the six months ended June 30, 2026, there were no changes in our critical accounting policies or estimates. For additional information regarding our critical accounting policies and estimates, see the discussion under </w:t>
      </w:r>
      <w:r>
        <w:rPr>
          <w:rFonts w:ascii="Times New Roman;serif" w:hAnsi="Times New Roman;serif"/>
          <w:b w:val="false"/>
          <w:i/>
          <w:color w:val="000000"/>
          <w:sz w:val="20"/>
        </w:rPr>
        <w:t>"Critical Accounting Policies and Estimates"</w:t>
      </w:r>
      <w:r>
        <w:rPr>
          <w:color w:val="000000"/>
        </w:rPr>
        <w:t xml:space="preserve"> </w:t>
      </w:r>
      <w:r>
        <w:rPr>
          <w:rFonts w:ascii="Times New Roman;serif" w:hAnsi="Times New Roman;serif"/>
          <w:b w:val="false"/>
          <w:color w:val="000000"/>
          <w:sz w:val="20"/>
        </w:rPr>
        <w:t xml:space="preserve">in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included in our Annual Report on Form 10-K for the year ended December 31, 2025, as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 xml:space="preserve">Liquidity and Capital Resources </w:t>
      </w:r>
    </w:p>
    <w:p>
      <w:pPr>
        <w:pStyle w:val="TextBody"/>
        <w:bidi w:val="0"/>
        <w:spacing w:lineRule="auto" w:line="288" w:before="120" w:after="283"/>
        <w:jc w:val="left"/>
        <w:rPr>
          <w:rFonts w:ascii="Times New Roman;serif" w:hAnsi="Times New Roman;serif"/>
          <w:b/>
          <w:i/>
          <w:color w:val="1F282C"/>
          <w:sz w:val="20"/>
        </w:rPr>
      </w:pPr>
      <w:r>
        <w:rPr>
          <w:rFonts w:ascii="Times New Roman;serif" w:hAnsi="Times New Roman;serif"/>
          <w:b/>
          <w:i/>
          <w:color w:val="1F282C"/>
          <w:sz w:val="20"/>
        </w:rPr>
        <w:t>Sources of Liquidity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our principal sources of liquidity were cash and cash equivalents of $173.2 million and net accounts receivable of $63.7 million.</w:t>
      </w:r>
    </w:p>
    <w:p>
      <w:pPr>
        <w:pStyle w:val="TextBody"/>
        <w:bidi w:val="0"/>
        <w:spacing w:lineRule="auto" w:line="288" w:before="360" w:after="283"/>
        <w:jc w:val="left"/>
        <w:rPr>
          <w:rFonts w:ascii="Times New Roman;serif" w:hAnsi="Times New Roman;serif"/>
          <w:b/>
          <w:i/>
          <w:color w:val="1F282C"/>
          <w:sz w:val="20"/>
          <w:shd w:fill="FFFFFF" w:val="clear"/>
        </w:rPr>
      </w:pPr>
      <w:r>
        <w:rPr>
          <w:rFonts w:ascii="Times New Roman;serif" w:hAnsi="Times New Roman;serif"/>
          <w:b/>
          <w:i/>
          <w:color w:val="1F282C"/>
          <w:sz w:val="20"/>
          <w:shd w:fill="FFFFFF" w:val="clear"/>
        </w:rPr>
        <w:t>Statements of Cash Flows Summary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summary of activity within the condensed consolidated statements of cash flows was as follows: </w:t>
      </w:r>
    </w:p>
    <w:tbl>
      <w:tblPr>
        <w:tblW w:w="6023" w:type="dxa"/>
        <w:jc w:val="left"/>
        <w:tblInd w:w="0" w:type="dxa"/>
        <w:tblLayout w:type="fixed"/>
        <w:tblCellMar>
          <w:top w:w="28" w:type="dxa"/>
          <w:left w:w="28" w:type="dxa"/>
          <w:bottom w:w="28" w:type="dxa"/>
          <w:right w:w="28" w:type="dxa"/>
        </w:tblCellMar>
      </w:tblPr>
      <w:tblGrid>
        <w:gridCol w:w="1253"/>
        <w:gridCol w:w="1104"/>
        <w:gridCol w:w="1107"/>
        <w:gridCol w:w="211"/>
        <w:gridCol w:w="826"/>
        <w:gridCol w:w="109"/>
        <w:gridCol w:w="109"/>
        <w:gridCol w:w="109"/>
        <w:gridCol w:w="109"/>
        <w:gridCol w:w="211"/>
        <w:gridCol w:w="721"/>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72,306 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1F282C"/>
          <w:sz w:val="20"/>
          <w:shd w:fill="FFFFFF" w:val="clear"/>
        </w:rPr>
      </w:pPr>
      <w:r>
        <w:rPr>
          <w:rFonts w:ascii="Times New Roman;serif" w:hAnsi="Times New Roman;serif"/>
          <w:b w:val="false"/>
          <w:i/>
          <w:color w:val="1F282C"/>
          <w:sz w:val="20"/>
          <w:shd w:fill="FFFFFF" w:val="clear"/>
        </w:rPr>
        <w:t>Operating Activities</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in cash provided by operati</w:t>
      </w:r>
      <w:r>
        <w:rPr>
          <w:rFonts w:ascii="Times New Roman;serif" w:hAnsi="Times New Roman;serif"/>
          <w:b w:val="false"/>
          <w:color w:val="000000"/>
          <w:sz w:val="20"/>
        </w:rPr>
        <w:t>ng activities from the six months ended June 30, 2025 to the six months ended June 30, 2026 was primarily due to an increase in net income, as adjusted for non-cash expenses of $19.0 million. Additionally, fluctuations in operating assets and liabilities resulted in an increase of $30.4 million driven by changes in the amount and timing of settlements.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Investing Activities </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in cash used in inv</w:t>
      </w:r>
      <w:r>
        <w:rPr>
          <w:rFonts w:ascii="Times New Roman;serif" w:hAnsi="Times New Roman;serif"/>
          <w:b w:val="false"/>
          <w:color w:val="000000"/>
          <w:sz w:val="20"/>
        </w:rPr>
        <w:t>esting activities from the six months ended June 30, 2025 to the six months ended June 30, 2026 was primarily due to cash used in the prior year to acquire a business of $142.6 million.</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Financing Activities </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in cash used in fina</w:t>
      </w:r>
      <w:r>
        <w:rPr>
          <w:rFonts w:ascii="Times New Roman;serif" w:hAnsi="Times New Roman;serif"/>
          <w:b w:val="false"/>
          <w:color w:val="000000"/>
          <w:sz w:val="20"/>
        </w:rPr>
        <w:t>ncing activities from the six months ended June 30, 2025 to the six months ended June 30, 2026 was primarily due to an increase in cash used for</w:t>
      </w:r>
      <w:r>
        <w:rPr>
          <w:color w:val="1F282C"/>
        </w:rPr>
        <w:t xml:space="preserve"> </w:t>
      </w:r>
      <w:r>
        <w:rPr>
          <w:rFonts w:ascii="Times New Roman;serif" w:hAnsi="Times New Roman;serif"/>
          <w:b w:val="false"/>
          <w:color w:val="1F282C"/>
          <w:sz w:val="20"/>
        </w:rPr>
        <w:t>share repurchases of $</w:t>
      </w:r>
      <w:r>
        <w:rPr>
          <w:rFonts w:ascii="Times New Roman;serif" w:hAnsi="Times New Roman;serif"/>
          <w:b w:val="false"/>
          <w:color w:val="000000"/>
          <w:sz w:val="20"/>
        </w:rPr>
        <w:t>38.8 million</w:t>
      </w:r>
      <w:r>
        <w:rPr>
          <w:color w:val="1F282C"/>
        </w:rPr>
        <w:t xml:space="preserve"> </w:t>
      </w:r>
      <w:r>
        <w:rPr>
          <w:rFonts w:ascii="Times New Roman;serif" w:hAnsi="Times New Roman;serif"/>
          <w:b w:val="false"/>
          <w:color w:val="1F282C"/>
          <w:sz w:val="20"/>
        </w:rPr>
        <w:t>year-over-year to continue to deliver shareholder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85495"/>
                <wp:effectExtent l="0" t="0" r="0" b="0"/>
                <wp:wrapNone/>
                <wp:docPr id="84" name="Frame29"/>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8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9" descr=""/>
                                                <pic:cNvPicPr>
                                                  <a:picLocks noChangeAspect="1" noChangeArrowheads="1"/>
                                                </pic:cNvPicPr>
                                              </pic:nvPicPr>
                                              <pic:blipFill>
                                                <a:blip r:embed="rId57"/>
                                                <a:stretch>
                                                  <a:fillRect/>
                                                </a:stretch>
                                              </pic:blipFill>
                                              <pic:spPr bwMode="auto">
                                                <a:xfrm>
                                                  <a:off x="0" y="0"/>
                                                  <a:ext cx="266700" cy="257175"/>
                                                </a:xfrm>
                                                <a:prstGeom prst="rect">
                                                  <a:avLst/>
                                                </a:prstGeom>
                                              </pic:spPr>
                                            </pic:pic>
                                          </a:graphicData>
                                        </a:graphic>
                                      </wp:inline>
                                    </w:drawing>
                                  </w:r>
                                  <w:bookmarkStart w:id="55" w:name="i-29"/>
                                  <w:bookmarkEnd w:id="55"/>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8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9" descr=""/>
                                          <pic:cNvPicPr>
                                            <a:picLocks noChangeAspect="1" noChangeArrowheads="1"/>
                                          </pic:cNvPicPr>
                                        </pic:nvPicPr>
                                        <pic:blipFill>
                                          <a:blip r:embed="rId58"/>
                                          <a:stretch>
                                            <a:fillRect/>
                                          </a:stretch>
                                        </pic:blipFill>
                                        <pic:spPr bwMode="auto">
                                          <a:xfrm>
                                            <a:off x="0" y="0"/>
                                            <a:ext cx="266700" cy="257175"/>
                                          </a:xfrm>
                                          <a:prstGeom prst="rect">
                                            <a:avLst/>
                                          </a:prstGeom>
                                        </pic:spPr>
                                      </pic:pic>
                                    </a:graphicData>
                                  </a:graphic>
                                </wp:inline>
                              </w:drawing>
                            </w:r>
                            <w:bookmarkStart w:id="56" w:name="i-29"/>
                            <w:bookmarkEnd w:id="56"/>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360" w:after="283"/>
        <w:jc w:val="both"/>
        <w:rPr>
          <w:rFonts w:ascii="Times New Roman;serif" w:hAnsi="Times New Roman;serif"/>
          <w:b/>
          <w:i/>
          <w:color w:val="1F282C"/>
          <w:sz w:val="20"/>
        </w:rPr>
      </w:pPr>
      <w:r>
        <w:rPr>
          <w:rFonts w:ascii="Times New Roman;serif" w:hAnsi="Times New Roman;serif"/>
          <w:b/>
          <w:i/>
          <w:color w:val="1F282C"/>
          <w:sz w:val="20"/>
        </w:rPr>
        <w:t>Contractual and Commercial Commitment Summary</w:t>
      </w:r>
    </w:p>
    <w:p>
      <w:pPr>
        <w:pStyle w:val="TextBody"/>
        <w:bidi w:val="0"/>
        <w:spacing w:lineRule="auto" w:line="288" w:before="120" w:after="283"/>
        <w:ind w:left="0" w:right="0" w:firstLine="720"/>
        <w:jc w:val="both"/>
        <w:rPr/>
      </w:pPr>
      <w:r>
        <w:rPr>
          <w:rFonts w:ascii="Times New Roman;serif" w:hAnsi="Times New Roman;serif"/>
          <w:b w:val="false"/>
          <w:color w:val="000000"/>
          <w:sz w:val="20"/>
        </w:rPr>
        <w:t>Our contractual obligations and commercial commitments as o</w:t>
      </w:r>
      <w:r>
        <w:rPr>
          <w:rFonts w:ascii="Times New Roman;serif" w:hAnsi="Times New Roman;serif"/>
          <w:b w:val="false"/>
          <w:color w:val="000000"/>
          <w:sz w:val="20"/>
          <w:shd w:fill="FFFFFF" w:val="clear"/>
        </w:rPr>
        <w:t xml:space="preserve">f </w:t>
      </w:r>
      <w:r>
        <w:rPr>
          <w:rFonts w:ascii="Times New Roman;serif" w:hAnsi="Times New Roman;serif"/>
          <w:b w:val="false"/>
          <w:color w:val="000000"/>
          <w:sz w:val="20"/>
        </w:rPr>
        <w:t>June 30, 2026</w:t>
      </w:r>
      <w:r>
        <w:rPr>
          <w:color w:val="1F282C"/>
          <w:shd w:fill="FFFFFF" w:val="clear"/>
        </w:rPr>
        <w:t xml:space="preserve"> </w:t>
      </w:r>
      <w:r>
        <w:rPr>
          <w:rFonts w:ascii="Times New Roman;serif" w:hAnsi="Times New Roman;serif"/>
          <w:b w:val="false"/>
          <w:color w:val="000000"/>
          <w:sz w:val="20"/>
        </w:rPr>
        <w:t>are summarized below:</w:t>
      </w:r>
    </w:p>
    <w:tbl>
      <w:tblPr>
        <w:tblW w:w="9047" w:type="dxa"/>
        <w:jc w:val="left"/>
        <w:tblInd w:w="0" w:type="dxa"/>
        <w:tblLayout w:type="fixed"/>
        <w:tblCellMar>
          <w:top w:w="28" w:type="dxa"/>
          <w:left w:w="28" w:type="dxa"/>
          <w:bottom w:w="28" w:type="dxa"/>
          <w:right w:w="28" w:type="dxa"/>
        </w:tblCellMar>
      </w:tblPr>
      <w:tblGrid>
        <w:gridCol w:w="911"/>
        <w:gridCol w:w="803"/>
        <w:gridCol w:w="805"/>
        <w:gridCol w:w="211"/>
        <w:gridCol w:w="796"/>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 Due by Period</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More Than</w:t>
              <w:br/>
              <w:t>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obligations</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commitments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85,538 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Operating lease obligations include imputed interest and are presented net of lease incentives deemed payable at lease commencement. We expect to utilize approximately $18 million of the available lease incentives under the sixth amendment to our current headquarters lease during the year ending December 31, 2027, with the approximately remaining $15 million to be utilized thereafter.</w:t>
      </w:r>
    </w:p>
    <w:p>
      <w:pPr>
        <w:pStyle w:val="TextBody"/>
        <w:bidi w:val="0"/>
        <w:spacing w:lineRule="auto" w:line="288" w:before="360" w:after="283"/>
        <w:jc w:val="left"/>
        <w:rPr>
          <w:rFonts w:ascii="Times New Roman;serif" w:hAnsi="Times New Roman;serif"/>
          <w:b/>
          <w:i/>
          <w:color w:val="1F282C"/>
          <w:sz w:val="20"/>
        </w:rPr>
      </w:pPr>
      <w:r>
        <w:rPr>
          <w:rFonts w:ascii="Times New Roman;serif" w:hAnsi="Times New Roman;serif"/>
          <w:b/>
          <w:i/>
          <w:color w:val="1F282C"/>
          <w:sz w:val="20"/>
        </w:rPr>
        <w:t>Future Capital Requirements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capital requirements may vary significantly from those now planned and will depend on many factors,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costs to develop and implement new products and applications, if any;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sales and marketing resources needed to further penetrate our market and gain acceptance of new products and applications that we may develop;</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expansion of our operations in the U.S. and internationally;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response of competitors to our products and applications;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use of capital for acquisitions.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Historically, we have experienced increases in our expenditures consistent with the growth in our operations and personnel, and we anticipate that our expenditures will continue to increase as we expand our business.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our cash, cash equivalents, and cash flows from our operations will be sufficient to meet our working capital and capital expenditure requirements for at least the next twelve months.</w:t>
      </w:r>
    </w:p>
    <w:p>
      <w:pPr>
        <w:pStyle w:val="TextBody"/>
        <w:bidi w:val="0"/>
        <w:spacing w:lineRule="auto" w:line="288" w:before="360" w:after="283"/>
        <w:jc w:val="both"/>
        <w:rPr>
          <w:rFonts w:ascii="Times New Roman;serif" w:hAnsi="Times New Roman;serif"/>
          <w:b/>
          <w:i/>
          <w:color w:val="1F282C"/>
          <w:sz w:val="20"/>
        </w:rPr>
      </w:pPr>
      <w:r>
        <w:rPr>
          <w:rFonts w:ascii="Times New Roman;serif" w:hAnsi="Times New Roman;serif"/>
          <w:b/>
          <w:i/>
          <w:color w:val="1F282C"/>
          <w:sz w:val="20"/>
        </w:rPr>
        <w:t>Off-Balance Sheet Arrangements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have any off-balance sheet arrangements, investments in special purpose entities or undisclosed borrowings or debt. Additionally, we are not a party to any derivative contracts or synthetic leases.</w:t>
      </w:r>
    </w:p>
    <w:p>
      <w:pPr>
        <w:pStyle w:val="TextBody"/>
        <w:bidi w:val="0"/>
        <w:spacing w:lineRule="auto" w:line="288" w:before="360" w:after="283"/>
        <w:jc w:val="both"/>
        <w:rPr>
          <w:rFonts w:ascii="Times New Roman;serif" w:hAnsi="Times New Roman;serif"/>
          <w:b/>
          <w:i/>
          <w:color w:val="1F282C"/>
          <w:sz w:val="20"/>
        </w:rPr>
      </w:pPr>
      <w:r>
        <w:rPr>
          <w:rFonts w:ascii="Times New Roman;serif" w:hAnsi="Times New Roman;serif"/>
          <w:b/>
          <w:i/>
          <w:color w:val="1F282C"/>
          <w:sz w:val="20"/>
        </w:rPr>
        <w:t>Foreign Currency Exchange and Inflation Rate Changes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For information regarding the effect of foreign currency exchange and inflation rate changes, refer to the section entitled “</w:t>
      </w:r>
      <w:r>
        <w:rPr>
          <w:rFonts w:ascii="Times New Roman;serif" w:hAnsi="Times New Roman;serif"/>
          <w:b w:val="false"/>
          <w:i/>
          <w:color w:val="000000"/>
          <w:sz w:val="20"/>
        </w:rPr>
        <w:t>Foreign Currency Exchange Risk</w:t>
      </w:r>
      <w:r>
        <w:rPr>
          <w:rFonts w:ascii="Times New Roman;serif" w:hAnsi="Times New Roman;serif"/>
          <w:b w:val="false"/>
          <w:color w:val="000000"/>
          <w:sz w:val="20"/>
        </w:rPr>
        <w:t>,” included in Part I, Item 3,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erif" w:hAnsi="Times New Roman;serif"/>
          <w:b/>
          <w:color w:val="00AAE5"/>
          <w:sz w:val="20"/>
        </w:rPr>
      </w:pPr>
      <w:r>
        <w:rPr>
          <w:rFonts w:ascii="Times New Roman;serif" w:hAnsi="Times New Roman;serif"/>
          <w:b/>
          <w:color w:val="00AAE5"/>
          <w:sz w:val="20"/>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1F282C"/>
          <w:sz w:val="20"/>
        </w:rPr>
      </w:pPr>
      <w:r>
        <w:rPr>
          <w:rFonts w:ascii="Times New Roman;serif" w:hAnsi="Times New Roman;serif"/>
          <w:b/>
          <w:i/>
          <w:color w:val="1F282C"/>
          <w:sz w:val="20"/>
        </w:rPr>
        <w:t>Interest Rate Sensitivity Risk</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principal objectives of our investment activities are to preserve principal, provide liquidity, and maximize income consistent with minimizing risk of material loss. We are exposed to market risk related to changes in interest rates. We may choose based on our investment strategy to hold cash, cash equivalents, and investments in interest-bearing or non-interest-bearing accounts. Based upon a sensitivity model, an immediate hypothetical 50-basis point change in interest rates on interest-bearing balances at June 30, 2026, would have resulted in a $0.2 million impact on our investment income included in net income for the three months ended June 30, 2026. We do not enter into investments for trading or speculative purposes. We did not have any variable interest rate outstanding debt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85495"/>
                <wp:effectExtent l="0" t="0" r="0" b="0"/>
                <wp:wrapNone/>
                <wp:docPr id="87" name="Frame30"/>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8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0" descr=""/>
                                                <pic:cNvPicPr>
                                                  <a:picLocks noChangeAspect="1" noChangeArrowheads="1"/>
                                                </pic:cNvPicPr>
                                              </pic:nvPicPr>
                                              <pic:blipFill>
                                                <a:blip r:embed="rId59"/>
                                                <a:stretch>
                                                  <a:fillRect/>
                                                </a:stretch>
                                              </pic:blipFill>
                                              <pic:spPr bwMode="auto">
                                                <a:xfrm>
                                                  <a:off x="0" y="0"/>
                                                  <a:ext cx="266700" cy="257175"/>
                                                </a:xfrm>
                                                <a:prstGeom prst="rect">
                                                  <a:avLst/>
                                                </a:prstGeom>
                                              </pic:spPr>
                                            </pic:pic>
                                          </a:graphicData>
                                        </a:graphic>
                                      </wp:inline>
                                    </w:drawing>
                                  </w:r>
                                  <w:bookmarkStart w:id="57" w:name="i-30"/>
                                  <w:bookmarkEnd w:id="57"/>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30</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8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0" descr=""/>
                                          <pic:cNvPicPr>
                                            <a:picLocks noChangeAspect="1" noChangeArrowheads="1"/>
                                          </pic:cNvPicPr>
                                        </pic:nvPicPr>
                                        <pic:blipFill>
                                          <a:blip r:embed="rId60"/>
                                          <a:stretch>
                                            <a:fillRect/>
                                          </a:stretch>
                                        </pic:blipFill>
                                        <pic:spPr bwMode="auto">
                                          <a:xfrm>
                                            <a:off x="0" y="0"/>
                                            <a:ext cx="266700" cy="257175"/>
                                          </a:xfrm>
                                          <a:prstGeom prst="rect">
                                            <a:avLst/>
                                          </a:prstGeom>
                                        </pic:spPr>
                                      </pic:pic>
                                    </a:graphicData>
                                  </a:graphic>
                                </wp:inline>
                              </w:drawing>
                            </w:r>
                            <w:bookmarkStart w:id="58" w:name="i-30"/>
                            <w:bookmarkEnd w:id="58"/>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30</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240" w:after="283"/>
        <w:jc w:val="left"/>
        <w:rPr>
          <w:rFonts w:ascii="Times New Roman;serif" w:hAnsi="Times New Roman;serif"/>
          <w:b/>
          <w:i/>
          <w:color w:val="1F282C"/>
          <w:sz w:val="20"/>
        </w:rPr>
      </w:pPr>
      <w:r>
        <w:rPr>
          <w:rFonts w:ascii="Times New Roman;serif" w:hAnsi="Times New Roman;serif"/>
          <w:b/>
          <w:i/>
          <w:color w:val="1F282C"/>
          <w:sz w:val="20"/>
        </w:rPr>
        <w:t>Foreign Currency Exchange Risk</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Due to international operations, we have revenue, expenses, assets, and liabilities that are denominated in currencies other than the U.S. dollar, primarily the Australian dollar, Canadian dollar, and Euro. Our consolidated balance sheet, results of operations, and cash flows are, therefore, subject to fluctuations due to changes in foreign currency exchange rates and may be adversely affected in the future due to changes in foreign exchange rates. Our predominate exposure to foreign currency exchange rate fluctuations is due to non-monetary assets held in currencies other than the U.S. dollar, and thus fluctuations in foreign currencies primarily result in comprehensive income (loss), not net income (loss).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sales are primarily denominated in U.S. dollars. Our expenses are generally denominated in the local currencies in which our operations are located. As of June 30, 2026, we maintained 8% of our total cash and cash equivalents in foreign currencies. Based upon a sensitivity model, an immediate hypothetical 10% unfavorable change in all foreign currency exchange rates would have resulted in a $1.4 million impact on our cash and cash equivalents held in currencies other than the U.S. dollar as of June 30, 2026.</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not used any forward contracts or currency borrowings to hedge our exposure to foreign currency exchange risk, although we may do so in the future.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inflation and changing prices have not had a material effect on our business and we do not expect that inflation or changing prices will materially affect our business in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erif" w:hAnsi="Times New Roman;serif"/>
          <w:b/>
          <w:color w:val="00AAE5"/>
          <w:sz w:val="20"/>
        </w:rPr>
      </w:pPr>
      <w:r>
        <w:rPr>
          <w:rFonts w:ascii="Times New Roman;serif" w:hAnsi="Times New Roman;serif"/>
          <w:b/>
          <w:color w:val="00AAE5"/>
          <w:sz w:val="20"/>
        </w:rPr>
        <w:t>Item 4.    Controls and Procedures</w:t>
      </w:r>
    </w:p>
    <w:p>
      <w:pPr>
        <w:pStyle w:val="TextBody"/>
        <w:bidi w:val="0"/>
        <w:spacing w:lineRule="auto" w:line="288" w:before="120" w:after="283"/>
        <w:jc w:val="left"/>
        <w:rPr>
          <w:rFonts w:ascii="Times New Roman;serif" w:hAnsi="Times New Roman;serif"/>
          <w:b/>
          <w:i/>
          <w:color w:val="1F282C"/>
          <w:sz w:val="20"/>
        </w:rPr>
      </w:pPr>
      <w:r>
        <w:rPr>
          <w:rFonts w:ascii="Times New Roman;serif" w:hAnsi="Times New Roman;serif"/>
          <w:b/>
          <w:i/>
          <w:color w:val="1F282C"/>
          <w:sz w:val="20"/>
        </w:rPr>
        <w:t>Evaluation of Disclosure Controls and Procedures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as amended (the "Exchange Act")). Disclosure controls and procedures are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June 30, 2026.</w:t>
      </w:r>
    </w:p>
    <w:p>
      <w:pPr>
        <w:pStyle w:val="TextBody"/>
        <w:bidi w:val="0"/>
        <w:spacing w:lineRule="auto" w:line="288" w:before="360" w:after="283"/>
        <w:jc w:val="left"/>
        <w:rPr>
          <w:rFonts w:ascii="Times New Roman;serif" w:hAnsi="Times New Roman;serif"/>
          <w:b/>
          <w:i/>
          <w:color w:val="1F282C"/>
          <w:sz w:val="20"/>
        </w:rPr>
      </w:pPr>
      <w:r>
        <w:rPr>
          <w:rFonts w:ascii="Times New Roman;serif" w:hAnsi="Times New Roman;serif"/>
          <w:b/>
          <w:i/>
          <w:color w:val="1F282C"/>
          <w:sz w:val="20"/>
        </w:rPr>
        <w:t>Changes in Internal Control over Financial Reporting</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quarter ended June 30, 2026 that have materially affected, or are reasonably likely to materially affect, our internal control over financial reporting. We are continuing a phased implementation of new enterprise systems for financial and human capital management to update our existing core systems. We will continue to evaluate each quarter whether there are changes that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85495"/>
                <wp:effectExtent l="0" t="0" r="0" b="0"/>
                <wp:wrapNone/>
                <wp:docPr id="90" name="Frame31"/>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9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1" descr=""/>
                                                <pic:cNvPicPr>
                                                  <a:picLocks noChangeAspect="1" noChangeArrowheads="1"/>
                                                </pic:cNvPicPr>
                                              </pic:nvPicPr>
                                              <pic:blipFill>
                                                <a:blip r:embed="rId61"/>
                                                <a:stretch>
                                                  <a:fillRect/>
                                                </a:stretch>
                                              </pic:blipFill>
                                              <pic:spPr bwMode="auto">
                                                <a:xfrm>
                                                  <a:off x="0" y="0"/>
                                                  <a:ext cx="266700" cy="257175"/>
                                                </a:xfrm>
                                                <a:prstGeom prst="rect">
                                                  <a:avLst/>
                                                </a:prstGeom>
                                              </pic:spPr>
                                            </pic:pic>
                                          </a:graphicData>
                                        </a:graphic>
                                      </wp:inline>
                                    </w:drawing>
                                  </w:r>
                                  <w:bookmarkStart w:id="59" w:name="i-31"/>
                                  <w:bookmarkEnd w:id="59"/>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9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1" descr=""/>
                                          <pic:cNvPicPr>
                                            <a:picLocks noChangeAspect="1" noChangeArrowheads="1"/>
                                          </pic:cNvPicPr>
                                        </pic:nvPicPr>
                                        <pic:blipFill>
                                          <a:blip r:embed="rId62"/>
                                          <a:stretch>
                                            <a:fillRect/>
                                          </a:stretch>
                                        </pic:blipFill>
                                        <pic:spPr bwMode="auto">
                                          <a:xfrm>
                                            <a:off x="0" y="0"/>
                                            <a:ext cx="266700" cy="257175"/>
                                          </a:xfrm>
                                          <a:prstGeom prst="rect">
                                            <a:avLst/>
                                          </a:prstGeom>
                                        </pic:spPr>
                                      </pic:pic>
                                    </a:graphicData>
                                  </a:graphic>
                                </wp:inline>
                              </w:drawing>
                            </w:r>
                            <w:bookmarkStart w:id="60" w:name="i-31"/>
                            <w:bookmarkEnd w:id="60"/>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360" w:after="283"/>
        <w:jc w:val="center"/>
        <w:rPr>
          <w:rFonts w:ascii="Times New Roman;serif" w:hAnsi="Times New Roman;serif"/>
          <w:b/>
          <w:color w:val="00AAE5"/>
          <w:sz w:val="20"/>
        </w:rPr>
      </w:pPr>
      <w:r>
        <w:rPr>
          <w:rFonts w:ascii="Times New Roman;serif" w:hAnsi="Times New Roman;serif"/>
          <w:b/>
          <w:color w:val="00AAE5"/>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erif" w:hAnsi="Times New Roman;serif"/>
          <w:b/>
          <w:color w:val="00AAE5"/>
          <w:sz w:val="20"/>
        </w:rPr>
      </w:pPr>
      <w:r>
        <w:rPr>
          <w:rFonts w:ascii="Times New Roman;serif" w:hAnsi="Times New Roman;serif"/>
          <w:b/>
          <w:color w:val="00AAE5"/>
          <w:sz w:val="20"/>
        </w:rPr>
        <w:t>Item 1.    Legal Proceedings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not currently subject to, or aware of, any claims or actions that would have a material adverse effect on our business, financial condition, or results of operations. From time to time, we may be named as a defendant in legal actions or otherwise be subject to claims arising from our normal business activities. We believe that we have obtained adequate insurance coverage and/or rights to indemnification in connection with potential legal proceedings that may arise.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erif" w:hAnsi="Times New Roman;serif"/>
          <w:b/>
          <w:color w:val="00AAE5"/>
          <w:sz w:val="20"/>
        </w:rPr>
      </w:pPr>
      <w:r>
        <w:rPr>
          <w:rFonts w:ascii="Times New Roman;serif" w:hAnsi="Times New Roman;serif"/>
          <w:b/>
          <w:color w:val="00AAE5"/>
          <w:sz w:val="20"/>
        </w:rPr>
        <w:t>Item 1A.    Risk Factors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There have been no material changes in our risk factors from those disclosed under the heading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our Annual Report on Form 10-K for the year ended December 31, 2025, as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erif" w:hAnsi="Times New Roman;serif"/>
          <w:b/>
          <w:color w:val="00AAE5"/>
          <w:sz w:val="20"/>
        </w:rPr>
      </w:pPr>
      <w:r>
        <w:rPr>
          <w:rFonts w:ascii="Times New Roman;serif" w:hAnsi="Times New Roman;serif"/>
          <w:b/>
          <w:color w:val="00AAE5"/>
          <w:sz w:val="20"/>
        </w:rPr>
        <w:t>Item 2.    Unregistered Sales of Equity Securities and Use of Proceeds</w:t>
      </w:r>
    </w:p>
    <w:p>
      <w:pPr>
        <w:pStyle w:val="TextBody"/>
        <w:bidi w:val="0"/>
        <w:spacing w:lineRule="auto" w:line="288" w:before="120" w:after="283"/>
        <w:ind w:left="0" w:right="0" w:firstLine="556"/>
        <w:jc w:val="left"/>
        <w:rPr/>
      </w:pPr>
      <w:r>
        <w:rPr>
          <w:rFonts w:ascii="Times New Roman;serif" w:hAnsi="Times New Roman;serif"/>
          <w:b/>
          <w:color w:val="1F282C"/>
          <w:sz w:val="20"/>
        </w:rPr>
        <w:t xml:space="preserve">(c) </w:t>
      </w:r>
      <w:r>
        <w:rPr>
          <w:rFonts w:ascii="Times New Roman;serif" w:hAnsi="Times New Roman;serif"/>
          <w:b/>
          <w:color w:val="000000"/>
          <w:sz w:val="20"/>
        </w:rPr>
        <w:t>Share</w:t>
      </w:r>
      <w:r>
        <w:rPr>
          <w:color w:val="1F282C"/>
        </w:rPr>
        <w:t xml:space="preserve"> </w:t>
      </w:r>
      <w:r>
        <w:rPr>
          <w:rFonts w:ascii="Times New Roman;serif" w:hAnsi="Times New Roman;serif"/>
          <w:b/>
          <w:color w:val="1F282C"/>
          <w:sz w:val="20"/>
        </w:rPr>
        <w:t>Repurchases</w:t>
      </w:r>
    </w:p>
    <w:p>
      <w:pPr>
        <w:pStyle w:val="TextBody"/>
        <w:bidi w:val="0"/>
        <w:spacing w:lineRule="auto" w:line="288" w:before="120" w:after="283"/>
        <w:ind w:left="0" w:right="0" w:firstLine="556"/>
        <w:jc w:val="center"/>
        <w:rPr>
          <w:rFonts w:ascii="Times New Roman;serif" w:hAnsi="Times New Roman;serif"/>
          <w:b/>
          <w:color w:val="1F282C"/>
          <w:sz w:val="20"/>
          <w:u w:val="single"/>
        </w:rPr>
      </w:pPr>
      <w:r>
        <w:rPr>
          <w:rFonts w:ascii="Times New Roman;serif" w:hAnsi="Times New Roman;serif"/>
          <w:b/>
          <w:color w:val="1F282C"/>
          <w:sz w:val="20"/>
          <w:u w:val="single"/>
        </w:rPr>
        <w:t>Issuer Repurchases of Equity Securities</w:t>
      </w:r>
    </w:p>
    <w:tbl>
      <w:tblPr>
        <w:tblW w:w="8065" w:type="dxa"/>
        <w:jc w:val="left"/>
        <w:tblInd w:w="0" w:type="dxa"/>
        <w:tblLayout w:type="fixed"/>
        <w:tblCellMar>
          <w:top w:w="28" w:type="dxa"/>
          <w:left w:w="28" w:type="dxa"/>
          <w:bottom w:w="28" w:type="dxa"/>
          <w:right w:w="28" w:type="dxa"/>
        </w:tblCellMar>
      </w:tblPr>
      <w:tblGrid>
        <w:gridCol w:w="563"/>
        <w:gridCol w:w="496"/>
        <w:gridCol w:w="501"/>
        <w:gridCol w:w="109"/>
        <w:gridCol w:w="109"/>
        <w:gridCol w:w="109"/>
        <w:gridCol w:w="413"/>
        <w:gridCol w:w="413"/>
        <w:gridCol w:w="376"/>
        <w:gridCol w:w="109"/>
        <w:gridCol w:w="109"/>
        <w:gridCol w:w="109"/>
        <w:gridCol w:w="267"/>
        <w:gridCol w:w="780"/>
        <w:gridCol w:w="138"/>
        <w:gridCol w:w="109"/>
        <w:gridCol w:w="109"/>
        <w:gridCol w:w="109"/>
        <w:gridCol w:w="419"/>
        <w:gridCol w:w="419"/>
        <w:gridCol w:w="421"/>
        <w:gridCol w:w="109"/>
        <w:gridCol w:w="109"/>
        <w:gridCol w:w="109"/>
        <w:gridCol w:w="211"/>
        <w:gridCol w:w="1186"/>
        <w:gridCol w:w="154"/>
      </w:tblGrid>
      <w:tr>
        <w:trPr/>
        <w:tc>
          <w:tcPr>
            <w:tcW w:w="56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w:t>
              <w:br/>
              <w:t>of 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w:t>
              <w:br/>
              <w:t>of Shares</w:t>
              <w:br/>
              <w:t>Purchased as</w:t>
              <w:br/>
              <w:t>Part of Publicly</w:t>
              <w:br/>
              <w:t>Announced</w:t>
              <w:br/>
              <w:t>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w:t>
              <w:br/>
              <w:t>Dollar Value of</w:t>
              <w:br/>
              <w:t>Shares that</w:t>
              <w:br/>
              <w:t>May Yet be</w:t>
              <w:br/>
              <w:t>Purchased</w:t>
              <w:br/>
              <w:t>Under the</w:t>
              <w:br/>
              <w:t>Program</w:t>
            </w:r>
          </w:p>
        </w:tc>
      </w:tr>
      <w:tr>
        <w:trPr/>
        <w:tc>
          <w:tcPr>
            <w:tcW w:w="15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309,123 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55.46 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309,123 </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219,236,000 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203,512,000 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306,692 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306,692 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186,380,000 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905,815 </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905,815 </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186,380,000 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For more information regarding our </w:t>
      </w:r>
      <w:r>
        <w:rPr>
          <w:rFonts w:ascii="Times New Roman;serif" w:hAnsi="Times New Roman;serif"/>
          <w:b w:val="false"/>
          <w:color w:val="000000"/>
          <w:sz w:val="20"/>
        </w:rPr>
        <w:t>share</w:t>
      </w:r>
      <w:r>
        <w:rPr>
          <w:color w:val="000000"/>
          <w:shd w:fill="FFFFFF" w:val="clear"/>
        </w:rPr>
        <w:t xml:space="preserve"> </w:t>
      </w:r>
      <w:r>
        <w:rPr>
          <w:rFonts w:ascii="Times New Roman;serif" w:hAnsi="Times New Roman;serif"/>
          <w:b w:val="false"/>
          <w:color w:val="000000"/>
          <w:sz w:val="20"/>
          <w:shd w:fill="FFFFFF" w:val="clear"/>
        </w:rPr>
        <w:t xml:space="preserve">repurchase programs, refer to Note </w:t>
      </w:r>
      <w:r>
        <w:rPr>
          <w:rFonts w:ascii="Times New Roman;serif" w:hAnsi="Times New Roman;serif"/>
          <w:b w:val="false"/>
          <w:color w:val="000000"/>
          <w:sz w:val="20"/>
        </w:rPr>
        <w:t>J</w:t>
      </w:r>
      <w:r>
        <w:rPr>
          <w:color w:val="000000"/>
          <w:shd w:fill="FFFFFF" w:val="clear"/>
        </w:rPr>
        <w:t xml:space="preserve"> </w:t>
      </w:r>
      <w:r>
        <w:rPr>
          <w:rFonts w:ascii="Times New Roman;serif" w:hAnsi="Times New Roman;serif"/>
          <w:b w:val="false"/>
          <w:color w:val="000000"/>
          <w:sz w:val="20"/>
          <w:shd w:fill="FFFFFF" w:val="clear"/>
        </w:rPr>
        <w:t>to our condensed consolidated financial statements, included in Part I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erif" w:hAnsi="Times New Roman;serif"/>
          <w:b/>
          <w:color w:val="00AAE5"/>
          <w:sz w:val="20"/>
        </w:rPr>
      </w:pPr>
      <w:r>
        <w:rPr>
          <w:rFonts w:ascii="Times New Roman;serif" w:hAnsi="Times New Roman;serif"/>
          <w:b/>
          <w:color w:val="00AAE5"/>
          <w:sz w:val="20"/>
        </w:rPr>
        <w:t>Item 3.    Defaults Upon Senior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erif" w:hAnsi="Times New Roman;serif"/>
          <w:b/>
          <w:color w:val="00AAE5"/>
          <w:sz w:val="20"/>
        </w:rPr>
      </w:pPr>
      <w:r>
        <w:rPr>
          <w:rFonts w:ascii="Times New Roman;serif" w:hAnsi="Times New Roman;serif"/>
          <w:b/>
          <w:color w:val="00AAE5"/>
          <w:sz w:val="20"/>
        </w:rPr>
        <w:t>Item 4.    Mine Safety Disclosures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erif" w:hAnsi="Times New Roman;serif"/>
          <w:b/>
          <w:color w:val="00AAE5"/>
          <w:sz w:val="20"/>
        </w:rPr>
      </w:pPr>
      <w:r>
        <w:rPr>
          <w:rFonts w:ascii="Times New Roman;serif" w:hAnsi="Times New Roman;serif"/>
          <w:b/>
          <w:color w:val="00AAE5"/>
          <w:sz w:val="20"/>
        </w:rPr>
        <w:t>Item 5.    Other Information</w:t>
      </w:r>
    </w:p>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Insider Adoption or Termination of Trading Arrangements</w:t>
      </w:r>
    </w:p>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85495"/>
                <wp:effectExtent l="0" t="0" r="0" b="0"/>
                <wp:wrapNone/>
                <wp:docPr id="93" name="Frame32"/>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9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2" descr=""/>
                                                <pic:cNvPicPr>
                                                  <a:picLocks noChangeAspect="1" noChangeArrowheads="1"/>
                                                </pic:cNvPicPr>
                                              </pic:nvPicPr>
                                              <pic:blipFill>
                                                <a:blip r:embed="rId63"/>
                                                <a:stretch>
                                                  <a:fillRect/>
                                                </a:stretch>
                                              </pic:blipFill>
                                              <pic:spPr bwMode="auto">
                                                <a:xfrm>
                                                  <a:off x="0" y="0"/>
                                                  <a:ext cx="266700" cy="257175"/>
                                                </a:xfrm>
                                                <a:prstGeom prst="rect">
                                                  <a:avLst/>
                                                </a:prstGeom>
                                              </pic:spPr>
                                            </pic:pic>
                                          </a:graphicData>
                                        </a:graphic>
                                      </wp:inline>
                                    </w:drawing>
                                  </w:r>
                                  <w:bookmarkStart w:id="61" w:name="i-32"/>
                                  <w:bookmarkEnd w:id="61"/>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9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2" descr=""/>
                                          <pic:cNvPicPr>
                                            <a:picLocks noChangeAspect="1" noChangeArrowheads="1"/>
                                          </pic:cNvPicPr>
                                        </pic:nvPicPr>
                                        <pic:blipFill>
                                          <a:blip r:embed="rId64"/>
                                          <a:stretch>
                                            <a:fillRect/>
                                          </a:stretch>
                                        </pic:blipFill>
                                        <pic:spPr bwMode="auto">
                                          <a:xfrm>
                                            <a:off x="0" y="0"/>
                                            <a:ext cx="266700" cy="257175"/>
                                          </a:xfrm>
                                          <a:prstGeom prst="rect">
                                            <a:avLst/>
                                          </a:prstGeom>
                                        </pic:spPr>
                                      </pic:pic>
                                    </a:graphicData>
                                  </a:graphic>
                                </wp:inline>
                              </w:drawing>
                            </w:r>
                            <w:bookmarkStart w:id="62" w:name="i-32"/>
                            <w:bookmarkEnd w:id="62"/>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0" w:after="0"/>
        <w:jc w:val="left"/>
        <w:rPr>
          <w:rFonts w:ascii="Times New Roman;serif" w:hAnsi="Times New Roman;serif"/>
          <w:b/>
          <w:color w:val="00AAE5"/>
          <w:sz w:val="20"/>
        </w:rPr>
      </w:pPr>
      <w:r>
        <w:rPr>
          <w:rFonts w:ascii="Times New Roman;serif" w:hAnsi="Times New Roman;serif"/>
          <w:b/>
          <w:color w:val="00AAE5"/>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738"/>
        <w:gridCol w:w="2651"/>
        <w:gridCol w:w="3783"/>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0"/>
              <w:jc w:val="left"/>
              <w:rPr/>
            </w:pPr>
            <w:hyperlink r:id="rId65">
              <w:r>
                <w:rPr>
                  <w:rStyle w:val="InternetLink"/>
                  <w:rFonts w:ascii="Times New Roman;serif" w:hAnsi="Times New Roman;serif"/>
                  <w:b w:val="false"/>
                  <w:color w:val="0000EE"/>
                  <w:sz w:val="20"/>
                  <w:u w:val="single"/>
                </w:rPr>
                <w:t>Tenth Amended and Restated Certificate of Incorporation (incorporated by reference to Exhibit 3.1 to our Current Report on Form 8-K filed with the SEC on May 16,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6">
              <w:r>
                <w:rPr>
                  <w:rStyle w:val="InternetLink"/>
                  <w:rFonts w:ascii="Times New Roman;serif" w:hAnsi="Times New Roman;serif"/>
                  <w:b w:val="false"/>
                  <w:color w:val="0000EE"/>
                  <w:sz w:val="20"/>
                  <w:u w:val="single"/>
                </w:rPr>
                <w:t>Amended and Restated Bylaws (incorporated by reference to Exhibit 3.2 to our Form 10-K filed with the SEC on February 21, 2023).</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7">
              <w:r>
                <w:rPr>
                  <w:rStyle w:val="InternetLink"/>
                  <w:rFonts w:ascii="Times New Roman;serif" w:hAnsi="Times New Roman;serif"/>
                  <w:b w:val="false"/>
                  <w:color w:val="0000EE"/>
                  <w:sz w:val="20"/>
                  <w:u w:val="single"/>
                </w:rPr>
                <w:t>Form of Performance Stock Unit Agreement under 2010 Equity Incentive Plan, amended as of April 2026 (incorporated by reference to Exhibit 10.1 to our Form 8-K filed with the SEC on April 14, 2026).</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2_2026exhibitex311ceo.htm">
              <w:r>
                <w:rPr>
                  <w:rStyle w:val="InternetLink"/>
                  <w:rFonts w:ascii="Times New Roman;serif" w:hAnsi="Times New Roman;serif"/>
                  <w:b w:val="false"/>
                  <w:color w:val="0000EE"/>
                  <w:sz w:val="20"/>
                  <w:u w:val="single"/>
                </w:rPr>
                <w:t>Certification of Principal Executive Officer pursuant to Rules 13a-14(a) under the Securities Exchange Act of 1934, as amended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2_2026exhibitex312cfo.htm">
              <w:r>
                <w:rPr>
                  <w:rStyle w:val="InternetLink"/>
                  <w:rFonts w:ascii="Times New Roman;serif" w:hAnsi="Times New Roman;serif"/>
                  <w:b w:val="false"/>
                  <w:color w:val="0000EE"/>
                  <w:sz w:val="20"/>
                  <w:u w:val="single"/>
                </w:rPr>
                <w:t>Certification of Principal Financial Officer pursuant to Rules 13a-14(a) under the Securities Exchange Act of 1934, as amended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2_2026exhibitex321ceocfo.htm">
              <w:r>
                <w:rPr>
                  <w:rStyle w:val="InternetLink"/>
                  <w:rFonts w:ascii="Times New Roman;serif" w:hAnsi="Times New Roman;serif"/>
                  <w:b w:val="false"/>
                  <w:color w:val="0000EE"/>
                  <w:sz w:val="20"/>
                  <w:u w:val="single"/>
                </w:rPr>
                <w:t>Certification of Chief Executive Officer and Chief Financial Officer pursuant to 18 U.S.C. Sec. 1350, as adopted pursuant to Section 906 of the Sarbanes-Oxley Act of 2002 (furnished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Interactive Data Files Pursuant to Rule 405 of Regulation S-T (filed herewith).</w:t>
            </w:r>
            <w:r>
              <w:rPr>
                <w:color w:val="000000"/>
              </w:rPr>
              <w:t xml:space="preserve"> </w:t>
            </w:r>
            <w:r>
              <w:rPr>
                <w:rFonts w:ascii="Times New Roman;serif" w:hAnsi="Times New Roman;serif"/>
                <w:b w:val="false"/>
                <w:color w:val="000000"/>
                <w:sz w:val="20"/>
              </w:rPr>
              <w:t>The XBRL instance document does not appear in the Interactive Data File because its tags are embedded within the Inline XBRL document.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cover page from the Quarterly Report on Form 10-Q for the quarter ended June 30, 2026, formatted in Inline XBRL.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85495"/>
                <wp:effectExtent l="0" t="0" r="0" b="0"/>
                <wp:wrapNone/>
                <wp:docPr id="96" name="Frame33"/>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9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3" descr=""/>
                                                <pic:cNvPicPr>
                                                  <a:picLocks noChangeAspect="1" noChangeArrowheads="1"/>
                                                </pic:cNvPicPr>
                                              </pic:nvPicPr>
                                              <pic:blipFill>
                                                <a:blip r:embed="rId68"/>
                                                <a:stretch>
                                                  <a:fillRect/>
                                                </a:stretch>
                                              </pic:blipFill>
                                              <pic:spPr bwMode="auto">
                                                <a:xfrm>
                                                  <a:off x="0" y="0"/>
                                                  <a:ext cx="266700" cy="257175"/>
                                                </a:xfrm>
                                                <a:prstGeom prst="rect">
                                                  <a:avLst/>
                                                </a:prstGeom>
                                              </pic:spPr>
                                            </pic:pic>
                                          </a:graphicData>
                                        </a:graphic>
                                      </wp:inline>
                                    </w:drawing>
                                  </w:r>
                                  <w:bookmarkStart w:id="63" w:name="i-33"/>
                                  <w:bookmarkEnd w:id="63"/>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9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3" descr=""/>
                                          <pic:cNvPicPr>
                                            <a:picLocks noChangeAspect="1" noChangeArrowheads="1"/>
                                          </pic:cNvPicPr>
                                        </pic:nvPicPr>
                                        <pic:blipFill>
                                          <a:blip r:embed="rId69"/>
                                          <a:stretch>
                                            <a:fillRect/>
                                          </a:stretch>
                                        </pic:blipFill>
                                        <pic:spPr bwMode="auto">
                                          <a:xfrm>
                                            <a:off x="0" y="0"/>
                                            <a:ext cx="266700" cy="257175"/>
                                          </a:xfrm>
                                          <a:prstGeom prst="rect">
                                            <a:avLst/>
                                          </a:prstGeom>
                                        </pic:spPr>
                                      </pic:pic>
                                    </a:graphicData>
                                  </a:graphic>
                                </wp:inline>
                              </w:drawing>
                            </w:r>
                            <w:bookmarkStart w:id="64" w:name="i-33"/>
                            <w:bookmarkEnd w:id="64"/>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c8a28d40d1e4b239d4f5ce701881f42_7">
        <w:r>
          <w:rPr>
            <w:rStyle w:val="InternetLink"/>
          </w:rPr>
          <w:t>Table</w:t>
        </w:r>
      </w:hyperlink>
      <w:hyperlink w:anchor="i4c8a28d40d1e4b239d4f5ce701881f42_7">
        <w:r>
          <w:rPr>
            <w:rStyle w:val="InternetLink"/>
          </w:rPr>
          <w:t xml:space="preserve"> of Contents</w:t>
        </w:r>
      </w:hyperlink>
    </w:p>
    <w:p>
      <w:pPr>
        <w:pStyle w:val="TextBody"/>
        <w:bidi w:val="0"/>
        <w:spacing w:lineRule="auto" w:line="288" w:before="360" w:after="283"/>
        <w:jc w:val="center"/>
        <w:rPr>
          <w:rFonts w:ascii="Times New Roman;serif" w:hAnsi="Times New Roman;serif"/>
          <w:b/>
          <w:color w:val="00AAE5"/>
          <w:sz w:val="20"/>
        </w:rPr>
      </w:pPr>
      <w:r>
        <w:rPr>
          <w:rFonts w:ascii="Times New Roman;serif" w:hAnsi="Times New Roman;serif"/>
          <w:b/>
          <w:color w:val="00AAE5"/>
          <w:sz w:val="20"/>
        </w:rPr>
        <w:t>SIGNATURES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208" w:type="dxa"/>
        <w:jc w:val="left"/>
        <w:tblInd w:w="0" w:type="dxa"/>
        <w:tblLayout w:type="fixed"/>
        <w:tblCellMar>
          <w:top w:w="28" w:type="dxa"/>
          <w:left w:w="28" w:type="dxa"/>
          <w:bottom w:w="28" w:type="dxa"/>
          <w:right w:w="28" w:type="dxa"/>
        </w:tblCellMar>
      </w:tblPr>
      <w:tblGrid>
        <w:gridCol w:w="618"/>
        <w:gridCol w:w="544"/>
        <w:gridCol w:w="547"/>
        <w:gridCol w:w="1315"/>
        <w:gridCol w:w="1315"/>
        <w:gridCol w:w="1869"/>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SPS COMMERCE,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DEL PRETO</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Joseph Del Preto</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85495"/>
                <wp:effectExtent l="0" t="0" r="0" b="0"/>
                <wp:wrapNone/>
                <wp:docPr id="99" name="Frame34"/>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10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4" descr=""/>
                                                <pic:cNvPicPr>
                                                  <a:picLocks noChangeAspect="1" noChangeArrowheads="1"/>
                                                </pic:cNvPicPr>
                                              </pic:nvPicPr>
                                              <pic:blipFill>
                                                <a:blip r:embed="rId70"/>
                                                <a:stretch>
                                                  <a:fillRect/>
                                                </a:stretch>
                                              </pic:blipFill>
                                              <pic:spPr bwMode="auto">
                                                <a:xfrm>
                                                  <a:off x="0" y="0"/>
                                                  <a:ext cx="266700" cy="257175"/>
                                                </a:xfrm>
                                                <a:prstGeom prst="rect">
                                                  <a:avLst/>
                                                </a:prstGeom>
                                              </pic:spPr>
                                            </pic:pic>
                                          </a:graphicData>
                                        </a:graphic>
                                      </wp:inline>
                                    </w:drawing>
                                  </w:r>
                                  <w:bookmarkStart w:id="65" w:name="i-34"/>
                                  <w:bookmarkEnd w:id="65"/>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34</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80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09"/>
                        <w:gridCol w:w="909"/>
                        <w:gridCol w:w="1286"/>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10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4" descr=""/>
                                          <pic:cNvPicPr>
                                            <a:picLocks noChangeAspect="1" noChangeArrowheads="1"/>
                                          </pic:cNvPicPr>
                                        </pic:nvPicPr>
                                        <pic:blipFill>
                                          <a:blip r:embed="rId71"/>
                                          <a:stretch>
                                            <a:fillRect/>
                                          </a:stretch>
                                        </pic:blipFill>
                                        <pic:spPr bwMode="auto">
                                          <a:xfrm>
                                            <a:off x="0" y="0"/>
                                            <a:ext cx="266700" cy="257175"/>
                                          </a:xfrm>
                                          <a:prstGeom prst="rect">
                                            <a:avLst/>
                                          </a:prstGeom>
                                        </pic:spPr>
                                      </pic:pic>
                                    </a:graphicData>
                                  </a:graphic>
                                </wp:inline>
                              </w:drawing>
                            </w:r>
                            <w:bookmarkStart w:id="66" w:name="i-34"/>
                            <w:bookmarkEnd w:id="66"/>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34</w:t>
                            </w:r>
                          </w:p>
                        </w:tc>
                        <w:tc>
                          <w:tcPr>
                            <w:tcW w:w="310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June 30,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Chadwick Collins,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SPS Commerce,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2772" w:type="dxa"/>
        <w:jc w:val="left"/>
        <w:tblInd w:w="0" w:type="dxa"/>
        <w:tblLayout w:type="fixed"/>
        <w:tblCellMar>
          <w:top w:w="28" w:type="dxa"/>
          <w:left w:w="28" w:type="dxa"/>
          <w:bottom w:w="28" w:type="dxa"/>
          <w:right w:w="28" w:type="dxa"/>
        </w:tblCellMar>
      </w:tblPr>
      <w:tblGrid>
        <w:gridCol w:w="869"/>
        <w:gridCol w:w="763"/>
        <w:gridCol w:w="768"/>
        <w:gridCol w:w="109"/>
        <w:gridCol w:w="109"/>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CHADWICK COLLINS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Chadwick Collins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102"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SPS Commerce, Inc. (the “Company”) for the period ended June 30, 2026,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772" w:type="dxa"/>
        <w:jc w:val="left"/>
        <w:tblInd w:w="0" w:type="dxa"/>
        <w:tblLayout w:type="fixed"/>
        <w:tblCellMar>
          <w:top w:w="28" w:type="dxa"/>
          <w:left w:w="28" w:type="dxa"/>
          <w:bottom w:w="28" w:type="dxa"/>
          <w:right w:w="28" w:type="dxa"/>
        </w:tblCellMar>
      </w:tblPr>
      <w:tblGrid>
        <w:gridCol w:w="869"/>
        <w:gridCol w:w="763"/>
        <w:gridCol w:w="768"/>
        <w:gridCol w:w="109"/>
        <w:gridCol w:w="109"/>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CHADWICK COLLINS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Chadwick Collins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841" w:type="dxa"/>
        <w:jc w:val="left"/>
        <w:tblInd w:w="0" w:type="dxa"/>
        <w:tblLayout w:type="fixed"/>
        <w:tblCellMar>
          <w:top w:w="28" w:type="dxa"/>
          <w:left w:w="28" w:type="dxa"/>
          <w:bottom w:w="28" w:type="dxa"/>
          <w:right w:w="28" w:type="dxa"/>
        </w:tblCellMar>
      </w:tblPr>
      <w:tblGrid>
        <w:gridCol w:w="1615"/>
        <w:gridCol w:w="1421"/>
        <w:gridCol w:w="1433"/>
        <w:gridCol w:w="109"/>
        <w:gridCol w:w="109"/>
        <w:gridCol w:w="154"/>
      </w:tblGrid>
      <w:tr>
        <w:trPr/>
        <w:tc>
          <w:tcPr>
            <w:tcW w:w="1615"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DEL PRETO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Joseph Del Preto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103"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Joseph Del Preto,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SPS Commerce,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841" w:type="dxa"/>
        <w:jc w:val="left"/>
        <w:tblInd w:w="0" w:type="dxa"/>
        <w:tblLayout w:type="fixed"/>
        <w:tblCellMar>
          <w:top w:w="28" w:type="dxa"/>
          <w:left w:w="28" w:type="dxa"/>
          <w:bottom w:w="28" w:type="dxa"/>
          <w:right w:w="28" w:type="dxa"/>
        </w:tblCellMar>
      </w:tblPr>
      <w:tblGrid>
        <w:gridCol w:w="1615"/>
        <w:gridCol w:w="1421"/>
        <w:gridCol w:w="1433"/>
        <w:gridCol w:w="109"/>
        <w:gridCol w:w="109"/>
        <w:gridCol w:w="154"/>
      </w:tblGrid>
      <w:tr>
        <w:trPr/>
        <w:tc>
          <w:tcPr>
            <w:tcW w:w="1615"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JOSEPH DEL PRETO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Joseph Del Preto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104"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image" Target="media/image1.jpeg"/><Relationship Id="rId34" Type="http://schemas.openxmlformats.org/officeDocument/2006/relationships/image" Target="media/image1.jpeg"/><Relationship Id="rId35" Type="http://schemas.openxmlformats.org/officeDocument/2006/relationships/image" Target="media/image1.jpeg"/><Relationship Id="rId36" Type="http://schemas.openxmlformats.org/officeDocument/2006/relationships/image" Target="media/image1.jpeg"/><Relationship Id="rId37" Type="http://schemas.openxmlformats.org/officeDocument/2006/relationships/image" Target="media/image1.jpeg"/><Relationship Id="rId38" Type="http://schemas.openxmlformats.org/officeDocument/2006/relationships/image" Target="media/image1.jpeg"/><Relationship Id="rId39" Type="http://schemas.openxmlformats.org/officeDocument/2006/relationships/image" Target="media/image1.jpeg"/><Relationship Id="rId40" Type="http://schemas.openxmlformats.org/officeDocument/2006/relationships/image" Target="media/image1.jpeg"/><Relationship Id="rId41" Type="http://schemas.openxmlformats.org/officeDocument/2006/relationships/image" Target="media/image1.jpeg"/><Relationship Id="rId42" Type="http://schemas.openxmlformats.org/officeDocument/2006/relationships/image" Target="media/image1.jpeg"/><Relationship Id="rId43" Type="http://schemas.openxmlformats.org/officeDocument/2006/relationships/image" Target="media/image1.jpeg"/><Relationship Id="rId44" Type="http://schemas.openxmlformats.org/officeDocument/2006/relationships/image" Target="media/image1.jpeg"/><Relationship Id="rId45" Type="http://schemas.openxmlformats.org/officeDocument/2006/relationships/image" Target="media/image1.jpeg"/><Relationship Id="rId46" Type="http://schemas.openxmlformats.org/officeDocument/2006/relationships/image" Target="media/image1.jpeg"/><Relationship Id="rId47" Type="http://schemas.openxmlformats.org/officeDocument/2006/relationships/image" Target="media/image1.jpeg"/><Relationship Id="rId48" Type="http://schemas.openxmlformats.org/officeDocument/2006/relationships/image" Target="media/image1.jpeg"/><Relationship Id="rId49" Type="http://schemas.openxmlformats.org/officeDocument/2006/relationships/image" Target="media/image1.jpeg"/><Relationship Id="rId50" Type="http://schemas.openxmlformats.org/officeDocument/2006/relationships/image" Target="media/image1.jpeg"/><Relationship Id="rId51" Type="http://schemas.openxmlformats.org/officeDocument/2006/relationships/image" Target="media/image1.jpeg"/><Relationship Id="rId52" Type="http://schemas.openxmlformats.org/officeDocument/2006/relationships/image" Target="media/image1.jpeg"/><Relationship Id="rId53" Type="http://schemas.openxmlformats.org/officeDocument/2006/relationships/image" Target="media/image1.jpeg"/><Relationship Id="rId54" Type="http://schemas.openxmlformats.org/officeDocument/2006/relationships/image" Target="media/image1.jpeg"/><Relationship Id="rId55" Type="http://schemas.openxmlformats.org/officeDocument/2006/relationships/image" Target="media/image1.jpeg"/><Relationship Id="rId56" Type="http://schemas.openxmlformats.org/officeDocument/2006/relationships/image" Target="media/image1.jpeg"/><Relationship Id="rId57" Type="http://schemas.openxmlformats.org/officeDocument/2006/relationships/image" Target="media/image1.jpeg"/><Relationship Id="rId58" Type="http://schemas.openxmlformats.org/officeDocument/2006/relationships/image" Target="media/image1.jpeg"/><Relationship Id="rId59" Type="http://schemas.openxmlformats.org/officeDocument/2006/relationships/image" Target="media/image1.jpeg"/><Relationship Id="rId60" Type="http://schemas.openxmlformats.org/officeDocument/2006/relationships/image" Target="media/image1.jpeg"/><Relationship Id="rId61" Type="http://schemas.openxmlformats.org/officeDocument/2006/relationships/image" Target="media/image1.jpeg"/><Relationship Id="rId62" Type="http://schemas.openxmlformats.org/officeDocument/2006/relationships/image" Target="media/image1.jpeg"/><Relationship Id="rId63" Type="http://schemas.openxmlformats.org/officeDocument/2006/relationships/image" Target="media/image1.jpeg"/><Relationship Id="rId64" Type="http://schemas.openxmlformats.org/officeDocument/2006/relationships/image" Target="media/image1.jpeg"/><Relationship Id="rId65" Type="http://schemas.openxmlformats.org/officeDocument/2006/relationships/hyperlink" Target="https://www.sec.gov/Archives/edgar/data/1092699/000109269924000050/exhibit31.htm" TargetMode="External"/><Relationship Id="rId66" Type="http://schemas.openxmlformats.org/officeDocument/2006/relationships/hyperlink" Target="https://www.sec.gov/Archives/edgar/data/1092699/000109269923000006/a2022_10kxex32-bylawsclean.htm" TargetMode="External"/><Relationship Id="rId67" Type="http://schemas.openxmlformats.org/officeDocument/2006/relationships/hyperlink" Target="https://www.sec.gov/Archives/edgar/data/1092699/000109269926000028/psuagreement-april102026.htm" TargetMode="External"/><Relationship Id="rId68" Type="http://schemas.openxmlformats.org/officeDocument/2006/relationships/image" Target="media/image1.jpeg"/><Relationship Id="rId69" Type="http://schemas.openxmlformats.org/officeDocument/2006/relationships/image" Target="media/image1.jpeg"/><Relationship Id="rId70" Type="http://schemas.openxmlformats.org/officeDocument/2006/relationships/image" Target="media/image1.jpeg"/><Relationship Id="rId71" Type="http://schemas.openxmlformats.org/officeDocument/2006/relationships/image" Target="media/image1.jpeg"/><Relationship Id="rId72" Type="http://schemas.openxmlformats.org/officeDocument/2006/relationships/fontTable" Target="fontTable.xml"/><Relationship Id="rId7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13570</Words>
  <Characters>75598</Characters>
  <CharactersWithSpaces>87769</CharactersWithSpaces>
  <Paragraphs>2657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