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40" w:hanging="532"/>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8"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9" w:lineRule="exact"/>
        <w:rPr>
          <w:sz w:val="24"/>
          <w:szCs w:val="24"/>
          <w:color w:val="auto"/>
        </w:rPr>
      </w:pPr>
    </w:p>
    <w:p>
      <w:pPr>
        <w:ind w:left="430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3891915</wp:posOffset>
            </wp:positionH>
            <wp:positionV relativeFrom="paragraph">
              <wp:posOffset>-7620</wp:posOffset>
            </wp:positionV>
            <wp:extent cx="628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001-34702</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73660</wp:posOffset>
            </wp:positionV>
            <wp:extent cx="565785"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7640" w:type="dxa"/>
            <w:vAlign w:val="bottom"/>
            <w:gridSpan w:val="8"/>
          </w:tcPr>
          <w:p>
            <w:pPr>
              <w:jc w:val="center"/>
              <w:ind w:right="3695"/>
              <w:spacing w:after="0"/>
              <w:rPr>
                <w:sz w:val="20"/>
                <w:szCs w:val="20"/>
                <w:color w:val="auto"/>
              </w:rPr>
            </w:pPr>
            <w:r>
              <w:rPr>
                <w:rFonts w:ascii="Arial" w:cs="Arial" w:eastAsia="Arial" w:hAnsi="Arial"/>
                <w:sz w:val="13"/>
                <w:szCs w:val="13"/>
                <w:b w:val="1"/>
                <w:bCs w:val="1"/>
                <w:i w:val="1"/>
                <w:iCs w:val="1"/>
                <w:color w:val="auto"/>
                <w:w w:val="84"/>
              </w:rPr>
              <w:t>(Exact Name of Registrant as Specified in its Charter)</w:t>
            </w:r>
          </w:p>
        </w:tc>
      </w:tr>
      <w:tr>
        <w:trPr>
          <w:trHeight w:val="191"/>
        </w:trPr>
        <w:tc>
          <w:tcPr>
            <w:tcW w:w="20" w:type="dxa"/>
            <w:vAlign w:val="bottom"/>
          </w:tcPr>
          <w:p>
            <w:pPr>
              <w:spacing w:after="0"/>
              <w:rPr>
                <w:sz w:val="16"/>
                <w:szCs w:val="16"/>
                <w:color w:val="auto"/>
              </w:rPr>
            </w:pPr>
          </w:p>
        </w:tc>
        <w:tc>
          <w:tcPr>
            <w:tcW w:w="3760" w:type="dxa"/>
            <w:vAlign w:val="bottom"/>
          </w:tcPr>
          <w:p>
            <w:pPr>
              <w:jc w:val="center"/>
              <w:ind w:left="1754"/>
              <w:spacing w:after="0"/>
              <w:rPr>
                <w:sz w:val="20"/>
                <w:szCs w:val="20"/>
                <w:color w:val="auto"/>
              </w:rPr>
            </w:pPr>
            <w:r>
              <w:rPr>
                <w:rFonts w:ascii="Arial" w:cs="Arial" w:eastAsia="Arial" w:hAnsi="Arial"/>
                <w:sz w:val="14"/>
                <w:szCs w:val="14"/>
                <w:b w:val="1"/>
                <w:bCs w:val="1"/>
                <w:color w:val="auto"/>
                <w:w w:val="87"/>
              </w:rPr>
              <w:t>Delaware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40" w:type="dxa"/>
            <w:vAlign w:val="bottom"/>
            <w:gridSpan w:val="3"/>
          </w:tcPr>
          <w:p>
            <w:pPr>
              <w:jc w:val="center"/>
              <w:ind w:right="975"/>
              <w:spacing w:after="0"/>
              <w:rPr>
                <w:sz w:val="20"/>
                <w:szCs w:val="20"/>
                <w:color w:val="auto"/>
              </w:rPr>
            </w:pPr>
            <w:r>
              <w:rPr>
                <w:rFonts w:ascii="Arial" w:cs="Arial" w:eastAsia="Arial" w:hAnsi="Arial"/>
                <w:sz w:val="14"/>
                <w:szCs w:val="14"/>
                <w:b w:val="1"/>
                <w:bCs w:val="1"/>
                <w:color w:val="auto"/>
                <w:w w:val="88"/>
              </w:rPr>
              <w:t>41-2015127</w:t>
            </w:r>
          </w:p>
        </w:tc>
      </w:tr>
      <w:tr>
        <w:trPr>
          <w:trHeight w:val="135"/>
        </w:trPr>
        <w:tc>
          <w:tcPr>
            <w:tcW w:w="20" w:type="dxa"/>
            <w:vAlign w:val="bottom"/>
          </w:tcPr>
          <w:p>
            <w:pPr>
              <w:spacing w:after="0"/>
              <w:rPr>
                <w:sz w:val="11"/>
                <w:szCs w:val="11"/>
                <w:color w:val="auto"/>
              </w:rPr>
            </w:pPr>
          </w:p>
        </w:tc>
        <w:tc>
          <w:tcPr>
            <w:tcW w:w="3760" w:type="dxa"/>
            <w:vAlign w:val="bottom"/>
          </w:tcPr>
          <w:p>
            <w:pPr>
              <w:jc w:val="center"/>
              <w:ind w:left="1754"/>
              <w:spacing w:after="0" w:line="135" w:lineRule="exact"/>
              <w:rPr>
                <w:sz w:val="20"/>
                <w:szCs w:val="20"/>
                <w:color w:val="auto"/>
              </w:rPr>
            </w:pPr>
            <w:r>
              <w:rPr>
                <w:rFonts w:ascii="Arial" w:cs="Arial" w:eastAsia="Arial" w:hAnsi="Arial"/>
                <w:sz w:val="13"/>
                <w:szCs w:val="13"/>
                <w:b w:val="1"/>
                <w:bCs w:val="1"/>
                <w:i w:val="1"/>
                <w:iCs w:val="1"/>
                <w:color w:val="auto"/>
                <w:w w:val="85"/>
              </w:rPr>
              <w:t>(State or Other Jurisdiction of</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40" w:type="dxa"/>
            <w:vAlign w:val="bottom"/>
          </w:tcPr>
          <w:p>
            <w:pPr>
              <w:jc w:val="center"/>
              <w:ind w:right="1195"/>
              <w:spacing w:after="0" w:line="135" w:lineRule="exact"/>
              <w:rPr>
                <w:sz w:val="20"/>
                <w:szCs w:val="20"/>
                <w:color w:val="auto"/>
              </w:rPr>
            </w:pPr>
            <w:r>
              <w:rPr>
                <w:rFonts w:ascii="Arial" w:cs="Arial" w:eastAsia="Arial" w:hAnsi="Arial"/>
                <w:sz w:val="13"/>
                <w:szCs w:val="13"/>
                <w:b w:val="1"/>
                <w:bCs w:val="1"/>
                <w:i w:val="1"/>
                <w:iCs w:val="1"/>
                <w:color w:val="auto"/>
                <w:w w:val="88"/>
              </w:rPr>
              <w:t>(I.R.S. Employer</w:t>
            </w:r>
          </w:p>
        </w:tc>
      </w:tr>
      <w:tr>
        <w:trPr>
          <w:trHeight w:val="160"/>
        </w:trPr>
        <w:tc>
          <w:tcPr>
            <w:tcW w:w="20" w:type="dxa"/>
            <w:vAlign w:val="bottom"/>
          </w:tcPr>
          <w:p>
            <w:pPr>
              <w:spacing w:after="0"/>
              <w:rPr>
                <w:sz w:val="13"/>
                <w:szCs w:val="13"/>
                <w:color w:val="auto"/>
              </w:rPr>
            </w:pPr>
          </w:p>
        </w:tc>
        <w:tc>
          <w:tcPr>
            <w:tcW w:w="3760" w:type="dxa"/>
            <w:vAlign w:val="bottom"/>
          </w:tcPr>
          <w:p>
            <w:pPr>
              <w:jc w:val="center"/>
              <w:ind w:left="1754"/>
              <w:spacing w:after="0"/>
              <w:rPr>
                <w:sz w:val="20"/>
                <w:szCs w:val="20"/>
                <w:color w:val="auto"/>
              </w:rPr>
            </w:pPr>
            <w:r>
              <w:rPr>
                <w:rFonts w:ascii="Arial" w:cs="Arial" w:eastAsia="Arial" w:hAnsi="Arial"/>
                <w:sz w:val="13"/>
                <w:szCs w:val="13"/>
                <w:b w:val="1"/>
                <w:bCs w:val="1"/>
                <w:i w:val="1"/>
                <w:iCs w:val="1"/>
                <w:color w:val="auto"/>
                <w:w w:val="86"/>
              </w:rPr>
              <w:t>Incorporation or Organization)</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40" w:type="dxa"/>
            <w:vAlign w:val="bottom"/>
          </w:tcPr>
          <w:p>
            <w:pPr>
              <w:jc w:val="center"/>
              <w:ind w:right="1195"/>
              <w:spacing w:after="0"/>
              <w:rPr>
                <w:sz w:val="20"/>
                <w:szCs w:val="20"/>
                <w:color w:val="auto"/>
              </w:rPr>
            </w:pPr>
            <w:r>
              <w:rPr>
                <w:rFonts w:ascii="Arial" w:cs="Arial" w:eastAsia="Arial" w:hAnsi="Arial"/>
                <w:sz w:val="13"/>
                <w:szCs w:val="13"/>
                <w:b w:val="1"/>
                <w:bCs w:val="1"/>
                <w:i w:val="1"/>
                <w:iCs w:val="1"/>
                <w:color w:val="auto"/>
                <w:w w:val="87"/>
              </w:rPr>
              <w:t>Identification No.)</w:t>
            </w: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7640" w:type="dxa"/>
            <w:vAlign w:val="bottom"/>
            <w:gridSpan w:val="8"/>
          </w:tcPr>
          <w:p>
            <w:pPr>
              <w:jc w:val="center"/>
              <w:ind w:right="3715"/>
              <w:spacing w:after="0"/>
              <w:rPr>
                <w:sz w:val="20"/>
                <w:szCs w:val="20"/>
                <w:color w:val="auto"/>
              </w:rPr>
            </w:pPr>
            <w:r>
              <w:rPr>
                <w:rFonts w:ascii="Arial" w:cs="Arial" w:eastAsia="Arial" w:hAnsi="Arial"/>
                <w:sz w:val="14"/>
                <w:szCs w:val="14"/>
                <w:b w:val="1"/>
                <w:bCs w:val="1"/>
                <w:color w:val="auto"/>
                <w:w w:val="86"/>
              </w:rPr>
              <w:t>333 South Seventh Street, Suite 1000, Minneapolis, MN 55402</w:t>
            </w:r>
          </w:p>
        </w:tc>
      </w:tr>
      <w:tr>
        <w:trPr>
          <w:trHeight w:val="160"/>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7640" w:type="dxa"/>
            <w:vAlign w:val="bottom"/>
            <w:gridSpan w:val="8"/>
          </w:tcPr>
          <w:p>
            <w:pPr>
              <w:jc w:val="center"/>
              <w:ind w:right="3695"/>
              <w:spacing w:after="0"/>
              <w:rPr>
                <w:sz w:val="20"/>
                <w:szCs w:val="20"/>
                <w:color w:val="auto"/>
              </w:rPr>
            </w:pPr>
            <w:r>
              <w:rPr>
                <w:rFonts w:ascii="Arial" w:cs="Arial" w:eastAsia="Arial" w:hAnsi="Arial"/>
                <w:sz w:val="13"/>
                <w:szCs w:val="13"/>
                <w:b w:val="1"/>
                <w:bCs w:val="1"/>
                <w:i w:val="1"/>
                <w:iCs w:val="1"/>
                <w:color w:val="auto"/>
                <w:w w:val="85"/>
              </w:rPr>
              <w:t>(Address of Principal Executive Offices, Including Zip Code)</w:t>
            </w:r>
          </w:p>
        </w:tc>
      </w:tr>
      <w:tr>
        <w:trPr>
          <w:trHeight w:val="204"/>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620" w:type="dxa"/>
            <w:vAlign w:val="bottom"/>
            <w:gridSpan w:val="3"/>
          </w:tcPr>
          <w:p>
            <w:pPr>
              <w:jc w:val="center"/>
              <w:ind w:left="1194"/>
              <w:spacing w:after="0"/>
              <w:rPr>
                <w:sz w:val="20"/>
                <w:szCs w:val="20"/>
                <w:color w:val="auto"/>
              </w:rPr>
            </w:pPr>
            <w:r>
              <w:rPr>
                <w:rFonts w:ascii="Arial" w:cs="Arial" w:eastAsia="Arial" w:hAnsi="Arial"/>
                <w:sz w:val="14"/>
                <w:szCs w:val="14"/>
                <w:b w:val="1"/>
                <w:bCs w:val="1"/>
                <w:color w:val="auto"/>
                <w:w w:val="87"/>
              </w:rPr>
              <w:t>(612) 435-9400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7640" w:type="dxa"/>
            <w:vAlign w:val="bottom"/>
            <w:gridSpan w:val="8"/>
          </w:tcPr>
          <w:p>
            <w:pPr>
              <w:jc w:val="center"/>
              <w:ind w:right="3695"/>
              <w:spacing w:after="0"/>
              <w:rPr>
                <w:sz w:val="20"/>
                <w:szCs w:val="20"/>
                <w:color w:val="auto"/>
              </w:rPr>
            </w:pPr>
            <w:r>
              <w:rPr>
                <w:rFonts w:ascii="Arial" w:cs="Arial" w:eastAsia="Arial" w:hAnsi="Arial"/>
                <w:sz w:val="13"/>
                <w:szCs w:val="13"/>
                <w:b w:val="1"/>
                <w:bCs w:val="1"/>
                <w:i w:val="1"/>
                <w:iCs w:val="1"/>
                <w:color w:val="auto"/>
                <w:w w:val="84"/>
              </w:rPr>
              <w:t>(Registrant’s Telephone Number, Including Area Code)</w:t>
            </w:r>
          </w:p>
        </w:tc>
      </w:tr>
      <w:tr>
        <w:trPr>
          <w:trHeight w:val="218"/>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640" w:type="dxa"/>
            <w:vAlign w:val="bottom"/>
            <w:gridSpan w:val="8"/>
          </w:tcPr>
          <w:p>
            <w:pPr>
              <w:jc w:val="center"/>
              <w:ind w:right="3715"/>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r>
      <w:tr>
        <w:trPr>
          <w:trHeight w:val="190"/>
        </w:trPr>
        <w:tc>
          <w:tcPr>
            <w:tcW w:w="20" w:type="dxa"/>
            <w:vAlign w:val="bottom"/>
          </w:tcPr>
          <w:p>
            <w:pPr>
              <w:spacing w:after="0"/>
              <w:rPr>
                <w:sz w:val="16"/>
                <w:szCs w:val="16"/>
                <w:color w:val="auto"/>
              </w:rPr>
            </w:pPr>
          </w:p>
        </w:tc>
        <w:tc>
          <w:tcPr>
            <w:tcW w:w="3760" w:type="dxa"/>
            <w:vAlign w:val="bottom"/>
            <w:tcBorders>
              <w:bottom w:val="single" w:sz="8" w:color="auto"/>
            </w:tcBorders>
          </w:tcPr>
          <w:p>
            <w:pPr>
              <w:jc w:val="center"/>
              <w:ind w:left="714"/>
              <w:spacing w:after="0"/>
              <w:rPr>
                <w:sz w:val="20"/>
                <w:szCs w:val="20"/>
                <w:color w:val="auto"/>
              </w:rPr>
            </w:pPr>
            <w:r>
              <w:rPr>
                <w:rFonts w:ascii="Arial" w:cs="Arial" w:eastAsia="Arial" w:hAnsi="Arial"/>
                <w:sz w:val="14"/>
                <w:szCs w:val="14"/>
                <w:b w:val="1"/>
                <w:bCs w:val="1"/>
                <w:color w:val="auto"/>
                <w:w w:val="84"/>
              </w:rPr>
              <w:t>Title of each class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ind w:left="492"/>
              <w:spacing w:after="0"/>
              <w:rPr>
                <w:sz w:val="20"/>
                <w:szCs w:val="20"/>
                <w:color w:val="auto"/>
              </w:rPr>
            </w:pPr>
            <w:r>
              <w:rPr>
                <w:rFonts w:ascii="Arial" w:cs="Arial" w:eastAsia="Arial" w:hAnsi="Arial"/>
                <w:sz w:val="14"/>
                <w:szCs w:val="14"/>
                <w:b w:val="1"/>
                <w:bCs w:val="1"/>
                <w:color w:val="auto"/>
                <w:w w:val="86"/>
              </w:rPr>
              <w:t>Trading Symbol</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Name of exchange on which registered</w:t>
            </w:r>
          </w:p>
        </w:tc>
      </w:tr>
      <w:tr>
        <w:trPr>
          <w:trHeight w:val="166"/>
        </w:trPr>
        <w:tc>
          <w:tcPr>
            <w:tcW w:w="20" w:type="dxa"/>
            <w:vAlign w:val="bottom"/>
          </w:tcPr>
          <w:p>
            <w:pPr>
              <w:spacing w:after="0"/>
              <w:rPr>
                <w:sz w:val="14"/>
                <w:szCs w:val="14"/>
                <w:color w:val="auto"/>
              </w:rPr>
            </w:pPr>
          </w:p>
        </w:tc>
        <w:tc>
          <w:tcPr>
            <w:tcW w:w="3760" w:type="dxa"/>
            <w:vAlign w:val="bottom"/>
          </w:tcPr>
          <w:p>
            <w:pPr>
              <w:jc w:val="center"/>
              <w:ind w:left="714"/>
              <w:spacing w:after="0"/>
              <w:rPr>
                <w:sz w:val="20"/>
                <w:szCs w:val="20"/>
                <w:color w:val="auto"/>
              </w:rPr>
            </w:pPr>
            <w:r>
              <w:rPr>
                <w:rFonts w:ascii="Arial" w:cs="Arial" w:eastAsia="Arial" w:hAnsi="Arial"/>
                <w:sz w:val="14"/>
                <w:szCs w:val="14"/>
                <w:color w:val="auto"/>
                <w:w w:val="86"/>
              </w:rPr>
              <w:t>Common Stock, par value $0.001 per share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left="492"/>
              <w:spacing w:after="0"/>
              <w:rPr>
                <w:sz w:val="20"/>
                <w:szCs w:val="20"/>
                <w:color w:val="auto"/>
              </w:rPr>
            </w:pPr>
            <w:r>
              <w:rPr>
                <w:rFonts w:ascii="Arial" w:cs="Arial" w:eastAsia="Arial" w:hAnsi="Arial"/>
                <w:sz w:val="14"/>
                <w:szCs w:val="14"/>
                <w:color w:val="auto"/>
                <w:w w:val="83"/>
              </w:rPr>
              <w:t>SPSC</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Pr>
          <w:p>
            <w:pPr>
              <w:jc w:val="center"/>
              <w:spacing w:after="0"/>
              <w:rPr>
                <w:sz w:val="20"/>
                <w:szCs w:val="20"/>
                <w:color w:val="auto"/>
              </w:rPr>
            </w:pPr>
            <w:r>
              <w:rPr>
                <w:rFonts w:ascii="Arial" w:cs="Arial" w:eastAsia="Arial" w:hAnsi="Arial"/>
                <w:sz w:val="14"/>
                <w:szCs w:val="14"/>
                <w:color w:val="auto"/>
                <w:w w:val="88"/>
              </w:rPr>
              <w:t>The Nasdaq Stock Market LLC (Nasdaq Global Market)</w:t>
            </w:r>
          </w:p>
        </w:tc>
      </w:tr>
      <w:tr>
        <w:trPr>
          <w:trHeight w:val="182"/>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7640" w:type="dxa"/>
            <w:vAlign w:val="bottom"/>
            <w:gridSpan w:val="8"/>
          </w:tcPr>
          <w:p>
            <w:pPr>
              <w:jc w:val="center"/>
              <w:ind w:right="3715"/>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r>
      <w:tr>
        <w:trPr>
          <w:trHeight w:val="17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left="272"/>
              <w:spacing w:after="0"/>
              <w:rPr>
                <w:sz w:val="20"/>
                <w:szCs w:val="20"/>
                <w:color w:val="auto"/>
              </w:rPr>
            </w:pPr>
            <w:r>
              <w:rPr>
                <w:rFonts w:ascii="Arial" w:cs="Arial" w:eastAsia="Arial" w:hAnsi="Arial"/>
                <w:sz w:val="14"/>
                <w:szCs w:val="14"/>
                <w:color w:val="auto"/>
                <w:w w:val="89"/>
              </w:rPr>
              <w:t>None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244"/>
        </w:trPr>
        <w:tc>
          <w:tcPr>
            <w:tcW w:w="6400" w:type="dxa"/>
            <w:vAlign w:val="bottom"/>
            <w:gridSpan w:val="5"/>
          </w:tcPr>
          <w:p>
            <w:pPr>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w:t>
            </w:r>
          </w:p>
        </w:tc>
        <w:tc>
          <w:tcPr>
            <w:tcW w:w="280" w:type="dxa"/>
            <w:vAlign w:val="bottom"/>
          </w:tcPr>
          <w:p>
            <w:pPr>
              <w:ind w:left="80"/>
              <w:spacing w:after="0"/>
              <w:rPr>
                <w:sz w:val="20"/>
                <w:szCs w:val="20"/>
                <w:color w:val="auto"/>
              </w:rPr>
            </w:pPr>
            <w:r>
              <w:rPr>
                <w:rFonts w:ascii="Arial" w:cs="Arial" w:eastAsia="Arial" w:hAnsi="Arial"/>
                <w:sz w:val="14"/>
                <w:szCs w:val="14"/>
                <w:color w:val="auto"/>
                <w:w w:val="74"/>
              </w:rPr>
              <w:t>Yes</w:t>
            </w:r>
          </w:p>
        </w:tc>
        <w:tc>
          <w:tcPr>
            <w:tcW w:w="20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tcPr>
          <w:p>
            <w:pPr>
              <w:spacing w:after="0"/>
              <w:rPr>
                <w:sz w:val="21"/>
                <w:szCs w:val="21"/>
                <w:color w:val="auto"/>
              </w:rPr>
            </w:pPr>
          </w:p>
        </w:tc>
        <w:tc>
          <w:tcPr>
            <w:tcW w:w="4460" w:type="dxa"/>
            <w:vAlign w:val="bottom"/>
            <w:gridSpan w:val="2"/>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16"/>
        </w:trPr>
        <w:tc>
          <w:tcPr>
            <w:tcW w:w="6400" w:type="dxa"/>
            <w:vAlign w:val="bottom"/>
            <w:gridSpan w:val="5"/>
          </w:tcPr>
          <w:p>
            <w:pPr>
              <w:spacing w:after="0"/>
              <w:rPr>
                <w:sz w:val="20"/>
                <w:szCs w:val="20"/>
                <w:color w:val="auto"/>
              </w:rPr>
            </w:pPr>
            <w:r>
              <w:rPr>
                <w:rFonts w:ascii="Arial" w:cs="Arial" w:eastAsia="Arial" w:hAnsi="Arial"/>
                <w:sz w:val="14"/>
                <w:szCs w:val="14"/>
                <w:color w:val="auto"/>
                <w:w w:val="89"/>
              </w:rPr>
              <w:t>Indicate by check mark if the registrant is not required to file reports pursuant to Section 13 or 15(d) of the Act.  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No</w:t>
            </w:r>
          </w:p>
        </w:tc>
        <w:tc>
          <w:tcPr>
            <w:tcW w:w="4540" w:type="dxa"/>
            <w:vAlign w:val="bottom"/>
            <w:gridSpan w:val="3"/>
          </w:tcPr>
          <w:p>
            <w:pPr>
              <w:ind w:left="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30" w:lineRule="exact"/>
        <w:rPr>
          <w:sz w:val="24"/>
          <w:szCs w:val="24"/>
          <w:color w:val="auto"/>
        </w:rPr>
      </w:pPr>
    </w:p>
    <w:p>
      <w:pPr>
        <w:jc w:val="both"/>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right="360"/>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(§229.405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1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66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4" w:lineRule="exact"/>
        <w:rPr>
          <w:sz w:val="24"/>
          <w:szCs w:val="24"/>
          <w:color w:val="auto"/>
        </w:rPr>
      </w:pPr>
    </w:p>
    <w:p>
      <w:pPr>
        <w:ind w:right="34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61" w:lineRule="exact"/>
        <w:tabs>
          <w:tab w:leader="none" w:pos="6260" w:val="left"/>
          <w:tab w:leader="none" w:pos="67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0" w:lineRule="exact"/>
        <w:rPr>
          <w:sz w:val="24"/>
          <w:szCs w:val="24"/>
          <w:color w:val="auto"/>
        </w:rPr>
      </w:pPr>
    </w:p>
    <w:p>
      <w:pPr>
        <w:ind w:right="280"/>
        <w:spacing w:after="0" w:line="318" w:lineRule="auto"/>
        <w:rPr>
          <w:sz w:val="20"/>
          <w:szCs w:val="20"/>
          <w:color w:val="auto"/>
        </w:rPr>
      </w:pPr>
      <w:r>
        <w:rPr>
          <w:rFonts w:ascii="Arial" w:cs="Arial" w:eastAsia="Arial" w:hAnsi="Arial"/>
          <w:sz w:val="12"/>
          <w:szCs w:val="12"/>
          <w:color w:val="auto"/>
        </w:rPr>
        <w:t>As of June 28, 2019, the last business day of the registrant’s most recently completed second fiscal quarter, the aggregate market value of shares of the registrant’s common stock held by non-affiliates of the registrant (based upon the split adjusted closing sale price of $51.11 per share on the Nasdaq Global Market on such date) was approximately $1.8 billion.</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par value $0.001 per share, outstanding as of February 7, 2020 was 34,862,316 shares.</w:t>
      </w:r>
    </w:p>
    <w:p>
      <w:pPr>
        <w:spacing w:after="0" w:line="55"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140"/>
        <w:spacing w:after="0" w:line="318" w:lineRule="auto"/>
        <w:rPr>
          <w:sz w:val="20"/>
          <w:szCs w:val="20"/>
          <w:color w:val="auto"/>
        </w:rPr>
      </w:pPr>
      <w:r>
        <w:rPr>
          <w:rFonts w:ascii="Arial" w:cs="Arial" w:eastAsia="Arial" w:hAnsi="Arial"/>
          <w:sz w:val="14"/>
          <w:szCs w:val="14"/>
          <w:color w:val="auto"/>
        </w:rPr>
        <w:t>Portions of the Company’s definitive Proxy Statement for the Annual Meeting of Stockholders to be held on May 21, 2020 (the “2020 Proxy Statement”), which is expected to be filed within 120 days after the end of the fiscal year covered by this Annual Report on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9"/>
              </w:rPr>
              <w:t>SPS COMMERCE, INC.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gridSpan w:val="11"/>
          </w:tcPr>
          <w:p>
            <w:pPr>
              <w:jc w:val="center"/>
              <w:ind w:right="2340"/>
              <w:spacing w:after="0"/>
              <w:rPr>
                <w:sz w:val="20"/>
                <w:szCs w:val="20"/>
                <w:color w:val="auto"/>
              </w:rPr>
            </w:pPr>
            <w:r>
              <w:rPr>
                <w:rFonts w:ascii="Arial" w:cs="Arial" w:eastAsia="Arial" w:hAnsi="Arial"/>
                <w:sz w:val="18"/>
                <w:szCs w:val="18"/>
                <w:b w:val="1"/>
                <w:bCs w:val="1"/>
                <w:color w:val="auto"/>
                <w:w w:val="99"/>
              </w:rPr>
              <w:t>ANNUAL REPORT ON FORM 10-K</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9520" w:type="dxa"/>
            <w:vAlign w:val="bottom"/>
            <w:gridSpan w:val="2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9520" w:type="dxa"/>
            <w:vAlign w:val="bottom"/>
            <w:gridSpan w:val="23"/>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878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81"/>
              </w:rPr>
            </w:pPr>
            <w:hyperlink w:anchor="page11">
              <w:r>
                <w:rPr>
                  <w:rFonts w:ascii="Arial" w:cs="Arial" w:eastAsia="Arial" w:hAnsi="Arial"/>
                  <w:sz w:val="18"/>
                  <w:szCs w:val="18"/>
                  <w:color w:val="0000EE"/>
                  <w:w w:val="81"/>
                </w:rPr>
                <w:t>Risk Factors</w:t>
              </w:r>
            </w:hyperlink>
          </w:p>
        </w:tc>
        <w:tc>
          <w:tcPr>
            <w:tcW w:w="7940" w:type="dxa"/>
            <w:vAlign w:val="bottom"/>
            <w:gridSpan w:val="1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Unresolved Staff Comments</w:t>
              </w:r>
            </w:hyperlink>
          </w:p>
        </w:tc>
        <w:tc>
          <w:tcPr>
            <w:tcW w:w="6800" w:type="dxa"/>
            <w:vAlign w:val="bottom"/>
            <w:gridSpan w:val="11"/>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77"/>
              </w:rPr>
            </w:pPr>
            <w:hyperlink w:anchor="page26">
              <w:r>
                <w:rPr>
                  <w:rFonts w:ascii="Arial" w:cs="Arial" w:eastAsia="Arial" w:hAnsi="Arial"/>
                  <w:sz w:val="18"/>
                  <w:szCs w:val="18"/>
                  <w:color w:val="0000EE"/>
                  <w:w w:val="77"/>
                </w:rPr>
                <w:t>Properties</w:t>
              </w:r>
            </w:hyperlink>
          </w:p>
        </w:tc>
        <w:tc>
          <w:tcPr>
            <w:tcW w:w="8120" w:type="dxa"/>
            <w:vAlign w:val="bottom"/>
            <w:gridSpan w:val="1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1700" w:type="dxa"/>
            <w:vAlign w:val="bottom"/>
            <w:tcBorders>
              <w:top w:val="single" w:sz="8" w:color="0000EE"/>
            </w:tcBorders>
            <w:gridSpan w:val="7"/>
          </w:tcPr>
          <w:p>
            <w:pPr>
              <w:spacing w:after="0"/>
              <w:rPr>
                <w:sz w:val="24"/>
                <w:szCs w:val="24"/>
                <w:color w:val="auto"/>
              </w:rPr>
            </w:pPr>
          </w:p>
        </w:tc>
        <w:tc>
          <w:tcPr>
            <w:tcW w:w="7080" w:type="dxa"/>
            <w:vAlign w:val="bottom"/>
            <w:gridSpan w:val="1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780" w:type="dxa"/>
            <w:vAlign w:val="bottom"/>
            <w:gridSpan w:val="20"/>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Market for Registrant’s Common Equity, Related Stockholder Matters and Issuer Purchases of Equity Securities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240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50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Changes in and Disagreements With Accountants on Accounting and Financial Disclosure</w:t>
              </w:r>
            </w:hyperlink>
          </w:p>
        </w:tc>
        <w:tc>
          <w:tcPr>
            <w:tcW w:w="234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Borders>
              <w:bottom w:val="single" w:sz="8" w:color="0000EE"/>
            </w:tcBorders>
            <w:gridSpan w:val="7"/>
          </w:tcPr>
          <w:p>
            <w:pPr>
              <w:spacing w:after="0" w:line="196" w:lineRule="exact"/>
              <w:rPr>
                <w:rFonts w:ascii="Arial" w:cs="Arial" w:eastAsia="Arial" w:hAnsi="Arial"/>
                <w:sz w:val="18"/>
                <w:szCs w:val="18"/>
                <w:color w:val="0000EE"/>
                <w:w w:val="84"/>
              </w:rPr>
            </w:pPr>
            <w:hyperlink w:anchor="page77">
              <w:r>
                <w:rPr>
                  <w:rFonts w:ascii="Arial" w:cs="Arial" w:eastAsia="Arial" w:hAnsi="Arial"/>
                  <w:sz w:val="18"/>
                  <w:szCs w:val="18"/>
                  <w:color w:val="0000EE"/>
                  <w:w w:val="84"/>
                </w:rPr>
                <w:t>Controls and Procedures</w:t>
              </w:r>
            </w:hyperlink>
          </w:p>
        </w:tc>
        <w:tc>
          <w:tcPr>
            <w:tcW w:w="7080" w:type="dxa"/>
            <w:vAlign w:val="bottom"/>
            <w:gridSpan w:val="1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PART III</w:t>
              </w:r>
            </w:hyperlink>
          </w:p>
        </w:tc>
        <w:tc>
          <w:tcPr>
            <w:tcW w:w="8780" w:type="dxa"/>
            <w:vAlign w:val="bottom"/>
            <w:gridSpan w:val="20"/>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10.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80" w:type="dxa"/>
            <w:vAlign w:val="bottom"/>
            <w:gridSpan w:val="2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Directors, Executive Officers and Corporate Governance</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79">
              <w:r>
                <w:rPr>
                  <w:rFonts w:ascii="Arial" w:cs="Arial" w:eastAsia="Arial" w:hAnsi="Arial"/>
                  <w:sz w:val="18"/>
                  <w:szCs w:val="18"/>
                  <w:color w:val="0000EE"/>
                  <w:w w:val="86"/>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76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Security Ownership of Certain Beneficial Owners and Management and Related Stockholder Matters</w:t>
              </w:r>
            </w:hyperlink>
          </w:p>
        </w:tc>
        <w:tc>
          <w:tcPr>
            <w:tcW w:w="156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Certain Relationships and Related Transactions, and Director Independence</w:t>
              </w:r>
            </w:hyperlink>
          </w:p>
        </w:tc>
        <w:tc>
          <w:tcPr>
            <w:tcW w:w="3400" w:type="dxa"/>
            <w:vAlign w:val="bottom"/>
            <w:gridSpan w:val="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Principal Accounting Fees and Services</w:t>
              </w:r>
            </w:hyperlink>
          </w:p>
        </w:tc>
        <w:tc>
          <w:tcPr>
            <w:tcW w:w="5980" w:type="dxa"/>
            <w:vAlign w:val="bottom"/>
            <w:gridSpan w:val="1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8"/>
              </w:rPr>
            </w:pPr>
            <w:hyperlink w:anchor="page81">
              <w:r>
                <w:rPr>
                  <w:rFonts w:ascii="Arial" w:cs="Arial" w:eastAsia="Arial" w:hAnsi="Arial"/>
                  <w:sz w:val="18"/>
                  <w:szCs w:val="18"/>
                  <w:b w:val="1"/>
                  <w:bCs w:val="1"/>
                  <w:color w:val="0000EE"/>
                  <w:w w:val="98"/>
                </w:rPr>
                <w:t>PART IV</w:t>
              </w:r>
            </w:hyperlink>
          </w:p>
        </w:tc>
        <w:tc>
          <w:tcPr>
            <w:tcW w:w="8780" w:type="dxa"/>
            <w:vAlign w:val="bottom"/>
            <w:gridSpan w:val="20"/>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Exhibits, Financial Statement Schedules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Form 10-K Summary</w:t>
              </w:r>
            </w:hyperlink>
          </w:p>
        </w:tc>
        <w:tc>
          <w:tcPr>
            <w:tcW w:w="5960" w:type="dxa"/>
            <w:vAlign w:val="bottom"/>
            <w:gridSpan w:val="9"/>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12"/>
        </w:trPr>
        <w:tc>
          <w:tcPr>
            <w:tcW w:w="1500" w:type="dxa"/>
            <w:vAlign w:val="bottom"/>
            <w:gridSpan w:val="4"/>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SIGNATURES</w:t>
              </w:r>
            </w:hyperlink>
          </w:p>
        </w:tc>
        <w:tc>
          <w:tcPr>
            <w:tcW w:w="1480" w:type="dxa"/>
            <w:vAlign w:val="bottom"/>
            <w:tcBorders>
              <w:top w:val="single" w:sz="8" w:color="0000EE"/>
            </w:tcBorders>
            <w:gridSpan w:val="5"/>
          </w:tcPr>
          <w:p>
            <w:pPr>
              <w:spacing w:after="0"/>
              <w:rPr>
                <w:sz w:val="24"/>
                <w:szCs w:val="24"/>
                <w:color w:val="auto"/>
              </w:rPr>
            </w:pPr>
          </w:p>
        </w:tc>
        <w:tc>
          <w:tcPr>
            <w:tcW w:w="7300" w:type="dxa"/>
            <w:vAlign w:val="bottom"/>
            <w:gridSpan w:val="1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Annual Report on Form 10-K, the words “we,” “us,” “our,” the “Company,” and “SPS” refer to SPS Commerce,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43"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 xml:space="preserve">This Annual Report on Form 10-K contains forward-looking statements 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7"/>
          <w:szCs w:val="17"/>
          <w:i w:val="1"/>
          <w:iCs w:val="1"/>
          <w:color w:val="auto"/>
        </w:rPr>
        <w:t xml:space="preserve">“Risk Factors” </w:t>
      </w:r>
      <w:r>
        <w:rPr>
          <w:rFonts w:ascii="Arial" w:cs="Arial" w:eastAsia="Arial" w:hAnsi="Arial"/>
          <w:sz w:val="17"/>
          <w:szCs w:val="17"/>
          <w:color w:val="auto"/>
        </w:rPr>
        <w:t>included in this Annual Report on Form 10-K. Readers are cautioned not to place undue reliance on these forward-looking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(“SEC”) that advise interested parties of the risks and factors that may affect our business.</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80" w:firstLine="598"/>
        <w:spacing w:after="0" w:line="312" w:lineRule="auto"/>
        <w:rPr>
          <w:sz w:val="20"/>
          <w:szCs w:val="20"/>
          <w:color w:val="auto"/>
        </w:rPr>
      </w:pPr>
      <w:r>
        <w:rPr>
          <w:rFonts w:ascii="Arial" w:cs="Arial" w:eastAsia="Arial" w:hAnsi="Arial"/>
          <w:sz w:val="16"/>
          <w:szCs w:val="16"/>
          <w:color w:val="auto"/>
        </w:rPr>
        <w:t>SPS Commerce is a leading provider of cloud-based supply chain management services that make it easier for retailers, suppliers, grocers, distributors, and logistics firms to orchestrate the management of item data, order fulfillment, inventory control, and sales analytics across all channels. Implementing and maintaining a suite of supply chain management capabilities is resource-intensive and is not a core competency for most businesses.</w:t>
      </w:r>
    </w:p>
    <w:p>
      <w:pPr>
        <w:spacing w:after="0" w:line="39"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services SPS Commerce provides enable our customers to increase their supply cycle agility, optimize their inventory levels and sell-through, reduce operational costs and gain increased visibility into customer orders, ensuring that suppliers, grocers, distributors, and logistics firms can satisfy exacting retailer requirements.</w:t>
      </w:r>
    </w:p>
    <w:p>
      <w:pPr>
        <w:spacing w:after="0" w:line="79" w:lineRule="exact"/>
        <w:rPr>
          <w:sz w:val="20"/>
          <w:szCs w:val="20"/>
          <w:color w:val="auto"/>
        </w:rPr>
      </w:pPr>
    </w:p>
    <w:p>
      <w:pPr>
        <w:jc w:val="both"/>
        <w:ind w:right="300" w:firstLine="598"/>
        <w:spacing w:after="0" w:line="302" w:lineRule="auto"/>
        <w:rPr>
          <w:sz w:val="20"/>
          <w:szCs w:val="20"/>
          <w:color w:val="auto"/>
        </w:rPr>
      </w:pPr>
      <w:r>
        <w:rPr>
          <w:rFonts w:ascii="Arial" w:cs="Arial" w:eastAsia="Arial" w:hAnsi="Arial"/>
          <w:sz w:val="16"/>
          <w:szCs w:val="16"/>
          <w:color w:val="auto"/>
        </w:rPr>
        <w:t>As of December 31, 2019, we had approximately 31,000 customers with contracts to pay us monthly fees, which we refer to as recurring revenue customers. We have also generated revenues by providing our cloud-based supply chain management services to an additional 59,000 organizations that, together with our recurring revenue customers, we refer to as our customers. Once connected to the SPS Commerce cloud-based Platform, our customers often require integrations to new organizations that represent an expansion of our cloud-based Platform and new sources of revenues for us.</w:t>
      </w:r>
    </w:p>
    <w:p>
      <w:pPr>
        <w:spacing w:after="0" w:line="46" w:lineRule="exact"/>
        <w:rPr>
          <w:sz w:val="20"/>
          <w:szCs w:val="20"/>
          <w:color w:val="auto"/>
        </w:rPr>
      </w:pPr>
    </w:p>
    <w:p>
      <w:pPr>
        <w:ind w:right="300" w:firstLine="598"/>
        <w:spacing w:after="0" w:line="257" w:lineRule="auto"/>
        <w:rPr>
          <w:sz w:val="20"/>
          <w:szCs w:val="20"/>
          <w:color w:val="auto"/>
        </w:rPr>
      </w:pPr>
      <w:r>
        <w:rPr>
          <w:rFonts w:ascii="Arial" w:cs="Arial" w:eastAsia="Arial" w:hAnsi="Arial"/>
          <w:sz w:val="18"/>
          <w:szCs w:val="18"/>
          <w:color w:val="auto"/>
        </w:rPr>
        <w:t>For the years ended December 31, 2019, 2018 and 2017, we generated revenues of $279.1 million, $248.2 million, and $220.1 million, respectively. Our fiscal quarter ended December 31, 2019 represented our 76th consecutive quarter of increased revenues. Recurring revenues from recurring revenue customers accounted for 94%, 93% and 93% of our total revenues for the years ended December 31, 2019, 2018 and 2017, respectively. Our revenues are not concentrated with any customer, as our largest customer represented less than 1% of total revenues for the years ended December 31, 2019, 2018, and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180" w:firstLine="598"/>
        <w:spacing w:after="0" w:line="312" w:lineRule="auto"/>
        <w:rPr>
          <w:sz w:val="20"/>
          <w:szCs w:val="20"/>
          <w:color w:val="auto"/>
        </w:rPr>
      </w:pPr>
      <w:r>
        <w:rPr>
          <w:rFonts w:ascii="Arial" w:cs="Arial" w:eastAsia="Arial" w:hAnsi="Arial"/>
          <w:sz w:val="16"/>
          <w:szCs w:val="16"/>
          <w:color w:val="auto"/>
        </w:rPr>
        <w:t>SPS Commerce operates one of the largest retail trading partner networks in the world through cloud-based services that improve the way retailers, suppliers, grocers, distributors and logistics firms manage and fulfill orders, administer sell-through performance, and source new items. Approximately 90,000 customers across more than 70 countries are using SPS Commerce solutions to expand and optimize the performance of their trading relationships.</w:t>
      </w:r>
    </w:p>
    <w:p>
      <w:pPr>
        <w:spacing w:after="0" w:line="39"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SPS Commerce business model fundamentally changes how organizations use electronic communication to manage their omnichannel, supply chain, and other business requirements by replacing the collection of traditional, custom-built, point-to-point integrations with a model that facilitates a single automated connection to the entire SPS Commerce network of trading partners.</w:t>
      </w:r>
    </w:p>
    <w:p>
      <w:pPr>
        <w:spacing w:after="0" w:line="73"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From that single connection, a member of our network can make use of the full suite of our services, from fulfillment automation to the analysis and optimization of item sell-through performance, to sourcing new items, retailing relationships, logistics providers, or other services. These cloud services deliver value as stand-alone offerings but can also provide greater value when used collectively. This represents a fundamental change to fulfillment automation and enables inherent adaptability and flexibility not possible with traditional supply chain management system architectures.</w:t>
      </w:r>
    </w:p>
    <w:p>
      <w:pPr>
        <w:spacing w:after="0" w:line="46" w:lineRule="exact"/>
        <w:rPr>
          <w:sz w:val="20"/>
          <w:szCs w:val="20"/>
          <w:color w:val="auto"/>
        </w:rPr>
      </w:pPr>
    </w:p>
    <w:p>
      <w:pPr>
        <w:ind w:right="340" w:firstLine="598"/>
        <w:spacing w:after="0" w:line="297" w:lineRule="auto"/>
        <w:rPr>
          <w:sz w:val="20"/>
          <w:szCs w:val="20"/>
          <w:color w:val="auto"/>
        </w:rPr>
      </w:pPr>
      <w:r>
        <w:rPr>
          <w:rFonts w:ascii="Arial" w:cs="Arial" w:eastAsia="Arial" w:hAnsi="Arial"/>
          <w:sz w:val="16"/>
          <w:szCs w:val="16"/>
          <w:color w:val="auto"/>
        </w:rPr>
        <w:t>Our Fulfillment solution allows customers to comply with numerous rulebooks for retailers, grocers, and distributors. Maintaining current connections with retailers, grocers, and distributors removes the need for their trading partners to continually stay up-to-date with their required rulebook change. The utilization of a cloud services model eliminates (or greatly reduces) the burden on trading partners to support and maintain an on-premise software application, thereby reducing their ongoing operating costs. As the transaction hub for trading partners, we can provide increased performance visibility and data analytics capabilities across their supply chains, each of which is difficult to gain from traditional, point-to-point integration solutions.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 w:name="page5"/>
    <w:bookmarkEnd w:id="4"/>
    <w:p>
      <w:pPr>
        <w:ind w:left="600"/>
        <w:spacing w:after="0"/>
        <w:rPr>
          <w:sz w:val="20"/>
          <w:szCs w:val="20"/>
          <w:color w:val="auto"/>
        </w:rPr>
      </w:pPr>
      <w:r>
        <w:rPr>
          <w:rFonts w:ascii="Arial" w:cs="Arial" w:eastAsia="Arial" w:hAnsi="Arial"/>
          <w:sz w:val="18"/>
          <w:szCs w:val="18"/>
          <w:color w:val="auto"/>
        </w:rPr>
        <w:t>The following services are enabled through the SPS Commerce cloud-based Platform:</w:t>
      </w:r>
    </w:p>
    <w:p>
      <w:pPr>
        <w:spacing w:after="0" w:line="117" w:lineRule="exact"/>
        <w:rPr>
          <w:sz w:val="20"/>
          <w:szCs w:val="20"/>
          <w:color w:val="auto"/>
        </w:rPr>
      </w:pPr>
    </w:p>
    <w:p>
      <w:pPr>
        <w:ind w:left="1200" w:right="340" w:hanging="598"/>
        <w:spacing w:after="0" w:line="308"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Trading Partner Community. </w:t>
      </w:r>
      <w:r>
        <w:rPr>
          <w:rFonts w:ascii="Arial" w:cs="Arial" w:eastAsia="Arial" w:hAnsi="Arial"/>
          <w:sz w:val="17"/>
          <w:szCs w:val="17"/>
          <w:color w:val="auto"/>
        </w:rPr>
        <w:t>The Community solution empowers retailers, grocers, and distributors to introduce changes to their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chain requirements to their trading partner community, and onboard new vendors quickly to receive their first orders.</w:t>
      </w:r>
    </w:p>
    <w:p>
      <w:pPr>
        <w:spacing w:after="0" w:line="38" w:lineRule="exact"/>
        <w:rPr>
          <w:rFonts w:ascii="Arial" w:cs="Arial" w:eastAsia="Arial" w:hAnsi="Arial"/>
          <w:sz w:val="17"/>
          <w:szCs w:val="17"/>
          <w:color w:val="auto"/>
        </w:rPr>
      </w:pPr>
    </w:p>
    <w:p>
      <w:pPr>
        <w:ind w:left="1200" w:right="120" w:hanging="598"/>
        <w:spacing w:after="0" w:line="312"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Trading Partner Fulfillment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Fulfillment solution provides fulfillment automation and replaces or augments an organization’s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staff and trading partner electronic communication infrastructure by enabling easy compliance with retailers’ rulebooks, automatic, digital exchange of information among numerous trading partners through various protocols, and greater visibility into the journey of an order.</w:t>
      </w:r>
    </w:p>
    <w:p>
      <w:pPr>
        <w:spacing w:after="0" w:line="38" w:lineRule="exact"/>
        <w:rPr>
          <w:rFonts w:ascii="Arial" w:cs="Arial" w:eastAsia="Arial" w:hAnsi="Arial"/>
          <w:sz w:val="16"/>
          <w:szCs w:val="16"/>
          <w:color w:val="auto"/>
        </w:rPr>
      </w:pPr>
    </w:p>
    <w:p>
      <w:pPr>
        <w:ind w:left="1200" w:hanging="598"/>
        <w:spacing w:after="0" w:line="264"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Trading Partner Assortment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Assortment solution provides robust, extensible management of supply chain descriptions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measurements, store and shelf dimensions, warehouse dimensions, digital images/video, customer-facing descriptions and measurements, and warehouse information, enabling accurate orders, and rapid fulfillment.</w:t>
      </w:r>
    </w:p>
    <w:p>
      <w:pPr>
        <w:spacing w:after="0" w:line="73" w:lineRule="exact"/>
        <w:rPr>
          <w:rFonts w:ascii="Arial" w:cs="Arial" w:eastAsia="Arial" w:hAnsi="Arial"/>
          <w:sz w:val="18"/>
          <w:szCs w:val="18"/>
          <w:color w:val="auto"/>
        </w:rPr>
      </w:pPr>
    </w:p>
    <w:p>
      <w:pPr>
        <w:ind w:left="1200" w:right="160" w:hanging="598"/>
        <w:spacing w:after="0" w:line="259"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Trading Partner Analytics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Analytics solution consists of data analytics applications that enable our customers to improve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visibility across their supply chains through greater analytics capabilities. When focused on point-of-sale data, for example, retailers and suppliers can ensure inventory is located where demand is highest. Additionally, retailers improve their visibility into supplier performance and their understanding of product sell-through.</w:t>
      </w:r>
    </w:p>
    <w:p>
      <w:pPr>
        <w:spacing w:after="0" w:line="78" w:lineRule="exact"/>
        <w:rPr>
          <w:rFonts w:ascii="Arial" w:cs="Arial" w:eastAsia="Arial" w:hAnsi="Arial"/>
          <w:sz w:val="18"/>
          <w:szCs w:val="18"/>
          <w:color w:val="auto"/>
        </w:rPr>
      </w:pPr>
    </w:p>
    <w:p>
      <w:pPr>
        <w:ind w:left="1200" w:right="120" w:hanging="598"/>
        <w:spacing w:after="0" w:line="264"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Trading Partner Sourcing. </w:t>
      </w:r>
      <w:r>
        <w:rPr>
          <w:rFonts w:ascii="Arial" w:cs="Arial" w:eastAsia="Arial" w:hAnsi="Arial"/>
          <w:sz w:val="18"/>
          <w:szCs w:val="18"/>
          <w:color w:val="auto"/>
        </w:rPr>
        <w:t>Through the Sourcing solution, retailers can leverage our network for the retail industry, and source providers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items, suppliers can connect with new retailers, and the broader retailing community can make connections to expand their business networks and grow.</w:t>
      </w:r>
    </w:p>
    <w:p>
      <w:pPr>
        <w:spacing w:after="0" w:line="73" w:lineRule="exact"/>
        <w:rPr>
          <w:rFonts w:ascii="Arial" w:cs="Arial" w:eastAsia="Arial" w:hAnsi="Arial"/>
          <w:sz w:val="18"/>
          <w:szCs w:val="18"/>
          <w:color w:val="auto"/>
        </w:rPr>
      </w:pPr>
    </w:p>
    <w:p>
      <w:pPr>
        <w:ind w:left="1200" w:right="160" w:hanging="598"/>
        <w:spacing w:after="0" w:line="308"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Other Trading Partner Solutions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a number of peripheral solutions such as barcode labeling, planogram services, and our scan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pack application, which helps trading partners process information to streamline the picking and packaging process.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Sales Sources</w:t>
      </w:r>
    </w:p>
    <w:p>
      <w:pPr>
        <w:spacing w:after="0" w:line="121"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As one of the largest providers of cloud services for retail supply chain management, the trading partner relationships that we enable among our retailer, supplier, grocer, distributor, and logistics customers naturally lead to new customer acquisition opportunities.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Effect”</w:t>
      </w:r>
    </w:p>
    <w:p>
      <w:pPr>
        <w:spacing w:after="0" w:line="117"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Once connected to our network, trading partners can exchange electronic supply chain information with each other. The value of our network increases with the number of trading partners connected to it. The addition of each new customer enables that new customer to communicate with our existing customers and permits our existing customers to do business with the new customer. Additionally, through our Sourcing solution, our community now has a social network focused on facilitating connections and business interactions among retailers and suppliers. This “network effect” of adding additional customers to our solutions’ infrastructure creates a significant opportunity for existing customers to realize incremental sales by working with our new trading partners and vice versa. As a result of this increased volume of activity among our network participants, we earn additional revenues from these participants.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Business Development Efforts</w:t>
      </w:r>
      <w:r>
        <w:rPr>
          <w:rFonts w:ascii="Arial" w:cs="Arial" w:eastAsia="Arial" w:hAnsi="Arial"/>
          <w:sz w:val="18"/>
          <w:szCs w:val="18"/>
          <w:i w:val="1"/>
          <w:iCs w:val="1"/>
          <w:color w:val="auto"/>
        </w:rPr>
        <w:t>.</w:t>
      </w:r>
    </w:p>
    <w:p>
      <w:pPr>
        <w:spacing w:after="0" w:line="117"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Our business development organization is tasked with finding new sources of revenue and the development of new business opportunities through channel partners and other areas that present an opportunity for growth.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Sources</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i w:val="1"/>
          <w:iCs w:val="1"/>
          <w:color w:val="auto"/>
        </w:rPr>
        <w:t xml:space="preserve">Community. </w:t>
      </w:r>
      <w:r>
        <w:rPr>
          <w:rFonts w:ascii="Arial" w:cs="Arial" w:eastAsia="Arial" w:hAnsi="Arial"/>
          <w:sz w:val="16"/>
          <w:szCs w:val="16"/>
          <w:color w:val="auto"/>
        </w:rPr>
        <w:t>As retailers and suppliers reshape how they do business in an omnichannel landscape, they need to bring new capabilities and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their trading partner networks. For instance, a supplier may wish to collaborate with their retailers around point-of-sale analytics data, or a retailer may decide to change the workflow or protocol by which it interacts with its suppliers. In each case, the supplier and retailer may engage us to work with its trading partner base to enable the new capability. Performing these programs on behalf of retailers and suppliers often generates supplier sales leads for us.</w:t>
      </w:r>
    </w:p>
    <w:p>
      <w:pPr>
        <w:spacing w:after="0" w:line="46"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i w:val="1"/>
          <w:iCs w:val="1"/>
          <w:color w:val="auto"/>
        </w:rPr>
        <w:t xml:space="preserve">Referrals from Our Customers. </w:t>
      </w:r>
      <w:r>
        <w:rPr>
          <w:rFonts w:ascii="Arial" w:cs="Arial" w:eastAsia="Arial" w:hAnsi="Arial"/>
          <w:sz w:val="18"/>
          <w:szCs w:val="18"/>
          <w:color w:val="auto"/>
        </w:rPr>
        <w:t>We also receive sales leads from our customers seeking to communicate electronically with their trading partners.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a supplier may refer its third-party logistics provider or manufacturer, which is not in our network, to us.</w:t>
      </w:r>
    </w:p>
    <w:p>
      <w:pPr>
        <w:spacing w:after="0" w:line="62" w:lineRule="exact"/>
        <w:rPr>
          <w:sz w:val="20"/>
          <w:szCs w:val="20"/>
          <w:color w:val="auto"/>
        </w:rPr>
      </w:pPr>
    </w:p>
    <w:p>
      <w:pPr>
        <w:ind w:right="360" w:firstLine="598"/>
        <w:spacing w:after="0" w:line="257" w:lineRule="auto"/>
        <w:rPr>
          <w:sz w:val="20"/>
          <w:szCs w:val="20"/>
          <w:color w:val="auto"/>
        </w:rPr>
      </w:pPr>
      <w:r>
        <w:rPr>
          <w:rFonts w:ascii="Arial" w:cs="Arial" w:eastAsia="Arial" w:hAnsi="Arial"/>
          <w:sz w:val="18"/>
          <w:szCs w:val="18"/>
          <w:i w:val="1"/>
          <w:iCs w:val="1"/>
          <w:color w:val="auto"/>
        </w:rPr>
        <w:t xml:space="preserve">Channel Partners. </w:t>
      </w:r>
      <w:r>
        <w:rPr>
          <w:rFonts w:ascii="Arial" w:cs="Arial" w:eastAsia="Arial" w:hAnsi="Arial"/>
          <w:sz w:val="18"/>
          <w:szCs w:val="18"/>
          <w:color w:val="auto"/>
        </w:rPr>
        <w:t>In addition to the customer acquisition sources identified above, we market and sell our solutions through a variety of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solutions as part of their service offerings.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sell our solutions through a global sales force which is organized as follows:</w:t>
      </w:r>
    </w:p>
    <w:p>
      <w:pPr>
        <w:spacing w:after="0" w:line="117" w:lineRule="exact"/>
        <w:rPr>
          <w:sz w:val="20"/>
          <w:szCs w:val="20"/>
          <w:color w:val="auto"/>
        </w:rPr>
      </w:pPr>
    </w:p>
    <w:p>
      <w:pPr>
        <w:ind w:left="1200" w:hanging="598"/>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Retailer Sales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employ a team of sales representatives who focus on selling our cloud services suite to retailers and distributors.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Supplier Sales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employ a team of supplier sales representatives focused on selling our cloud services suite to suppliers.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Logistic Sales. </w:t>
      </w:r>
      <w:r>
        <w:rPr>
          <w:rFonts w:ascii="Arial" w:cs="Arial" w:eastAsia="Arial" w:hAnsi="Arial"/>
          <w:sz w:val="16"/>
          <w:szCs w:val="16"/>
          <w:color w:val="auto"/>
        </w:rPr>
        <w:t>We employ a team of logistic sales representatives focused on selling our cloud services suite to logistic service providers.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objective is to be the leading global provider of supply chain management solutions. Key elements of our strategy include:</w:t>
      </w:r>
    </w:p>
    <w:p>
      <w:pPr>
        <w:spacing w:after="0" w:line="117" w:lineRule="exact"/>
        <w:rPr>
          <w:sz w:val="20"/>
          <w:szCs w:val="20"/>
          <w:color w:val="auto"/>
        </w:rPr>
      </w:pPr>
    </w:p>
    <w:p>
      <w:pPr>
        <w:ind w:left="1200" w:right="140" w:hanging="598"/>
        <w:spacing w:after="0" w:line="25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Further Penetrate Our Current Market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the global supply chain management market is underpenetrated and, as the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continues to respond to the changing requirements of the omnichannel marketplace, and as the supply chain ecosystem becomes more complex and geographically 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80" w:lineRule="exact"/>
        <w:rPr>
          <w:rFonts w:ascii="Arial" w:cs="Arial" w:eastAsia="Arial" w:hAnsi="Arial"/>
          <w:sz w:val="18"/>
          <w:szCs w:val="18"/>
          <w:color w:val="auto"/>
        </w:rPr>
      </w:pPr>
    </w:p>
    <w:p>
      <w:pPr>
        <w:ind w:left="1200" w:right="80" w:hanging="598"/>
        <w:spacing w:after="0" w:line="255"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Increase Revenues from Our Customer Base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overall customer satisfaction is strong and will lead our customers to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their use of the solutions they have purchased, as well as purchase additional services to continue improving the performance of their trading partner relationships, generating additional revenues for us. We also expect to introduce new solutions to sell to our customers. We believe our position as the incumbent supply chain management solution provider to our customers, our integration into our recurring revenue customers’ business systems, and the modular nature of our cloud-based Platform are conducive to deploying additional solutions with customers.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ind w:left="1200" w:right="520" w:hanging="598"/>
        <w:spacing w:after="0" w:line="308" w:lineRule="auto"/>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Distribution Channels. </w:t>
      </w:r>
      <w:r>
        <w:rPr>
          <w:rFonts w:ascii="Arial" w:cs="Arial" w:eastAsia="Arial" w:hAnsi="Arial"/>
          <w:sz w:val="17"/>
          <w:szCs w:val="17"/>
          <w:color w:val="auto"/>
        </w:rPr>
        <w:t>We intend to grow our business by expanding our sales capacity to gain new customers. We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believe there are valuable opportunities to promote and sell our solutions through collaboration with other providers.</w:t>
      </w:r>
    </w:p>
    <w:p>
      <w:pPr>
        <w:spacing w:after="0" w:line="38" w:lineRule="exact"/>
        <w:rPr>
          <w:rFonts w:ascii="Arial" w:cs="Arial" w:eastAsia="Arial" w:hAnsi="Arial"/>
          <w:sz w:val="17"/>
          <w:szCs w:val="17"/>
          <w:color w:val="auto"/>
        </w:rPr>
      </w:pPr>
    </w:p>
    <w:p>
      <w:pPr>
        <w:ind w:left="1200" w:right="20" w:hanging="598"/>
        <w:spacing w:after="0" w:line="259"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International Presence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presence in Asia Pacific, as well as in Europe, represents a significant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We plan to increase our global sales efforts to obtain new customers around the world. We intend to leverage our current global presence to increase the number of integrations we have with retailers in foreign markets to make our solutions more valuable to their trading partners based overseas.</w:t>
      </w:r>
    </w:p>
    <w:p>
      <w:pPr>
        <w:spacing w:after="0" w:line="78"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Expand Our Services. </w:t>
      </w:r>
      <w:r>
        <w:rPr>
          <w:rFonts w:ascii="Arial" w:cs="Arial" w:eastAsia="Arial" w:hAnsi="Arial"/>
          <w:sz w:val="18"/>
          <w:szCs w:val="18"/>
          <w:color w:val="auto"/>
        </w:rPr>
        <w:t>We intend to further improve and develop the functionality and features of our cloud-based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from time to time, developing new solutions and applications.</w:t>
      </w:r>
    </w:p>
    <w:p>
      <w:pPr>
        <w:spacing w:after="0" w:line="62" w:lineRule="exact"/>
        <w:rPr>
          <w:rFonts w:ascii="Arial" w:cs="Arial" w:eastAsia="Arial" w:hAnsi="Arial"/>
          <w:sz w:val="18"/>
          <w:szCs w:val="18"/>
          <w:color w:val="auto"/>
        </w:rPr>
      </w:pPr>
    </w:p>
    <w:p>
      <w:pPr>
        <w:ind w:left="1200" w:right="100" w:hanging="598"/>
        <w:spacing w:after="0" w:line="276" w:lineRule="auto"/>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Strategic Acquisitions. </w:t>
      </w:r>
      <w:r>
        <w:rPr>
          <w:rFonts w:ascii="Arial" w:cs="Arial" w:eastAsia="Arial" w:hAnsi="Arial"/>
          <w:sz w:val="17"/>
          <w:szCs w:val="17"/>
          <w:color w:val="auto"/>
        </w:rPr>
        <w:t>The fragmented nature of our market provides an opportunity for selective acquisitions. We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evaluate potential acquisitions based on the number of new customers, revenue, functionality, or geographic reach the acquisition would provide relative to the purchase price and our ability to integrate and operate the acquired business. In 2019, we acquired the MAPADOC business, an operating unit of SWK Technologies, Inc., a leading provider of EDI System Automation solutions for the Sage and Acumatica markets. This acquisition further extended the power of our network.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SPS Commerce was an early provider of cloud services to the retail supply chain management industry, launching the first version of what would become our current services in 1997. We use commercially available hardware and cloud services with a combination of proprietary and commercially available software.</w:t>
      </w:r>
    </w:p>
    <w:p>
      <w:pPr>
        <w:spacing w:after="0" w:line="73"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Our cloud service model treats all customers as logically separate tenants within a shared virtual infrastructure.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Our research and development efforts focus on maintaining, improving and enhancing our existing solutions, as well as developing new solutions and applications. Our multi-tenant solutions serve all of our customers, which allows us to maintain relatively low research and development expenses and release software updates more frequently compared to traditional on-premise licensed software solutions that support multiple versions. Our development efforts take place at our U.S. locations in Minnesota and New Jersey, as well as in Melbourne, Australia; Toronto, Canada; and Kiev, Ukraine.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We operate our infrastructure in third-party data centers located in Minnesota, New Jersey, Texas, and Melbourne, Australia, as well as provisioned services in cloud providers. In all cases, infrastructure and services are managed by us.</w:t>
      </w:r>
    </w:p>
    <w:p>
      <w:pPr>
        <w:spacing w:after="0" w:line="62" w:lineRule="exact"/>
        <w:rPr>
          <w:sz w:val="20"/>
          <w:szCs w:val="20"/>
          <w:color w:val="auto"/>
        </w:rPr>
      </w:pPr>
    </w:p>
    <w:p>
      <w:pPr>
        <w:ind w:right="420" w:firstLine="598"/>
        <w:spacing w:after="0" w:line="286" w:lineRule="auto"/>
        <w:rPr>
          <w:sz w:val="20"/>
          <w:szCs w:val="20"/>
          <w:color w:val="auto"/>
        </w:rPr>
      </w:pPr>
      <w:r>
        <w:rPr>
          <w:rFonts w:ascii="Arial" w:cs="Arial" w:eastAsia="Arial" w:hAnsi="Arial"/>
          <w:sz w:val="17"/>
          <w:szCs w:val="17"/>
          <w:color w:val="auto"/>
        </w:rPr>
        <w:t>We have internal and third-party monitoring software that continually checks our cloud-based Platform and key underlying components for continuous availability and performance, helping ensure that the network is always available and providing desired service levels. We have a technology engineering team that includes system provisioning, management, maintenance, monitoring, and back-up.</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 w:name="page8"/>
    <w:bookmarkEnd w:id="7"/>
    <w:p>
      <w:pPr>
        <w:ind w:right="260" w:firstLine="598"/>
        <w:spacing w:after="0" w:line="277" w:lineRule="auto"/>
        <w:rPr>
          <w:sz w:val="20"/>
          <w:szCs w:val="20"/>
          <w:color w:val="auto"/>
        </w:rPr>
      </w:pPr>
      <w:r>
        <w:rPr>
          <w:rFonts w:ascii="Arial" w:cs="Arial" w:eastAsia="Arial" w:hAnsi="Arial"/>
          <w:sz w:val="18"/>
          <w:szCs w:val="18"/>
          <w:color w:val="auto"/>
        </w:rPr>
        <w:t>We operate a service architecture using industry best practices to ensure multiple points of redundancy, high availability, and scale as needed. Our databases are replicated between locations with a defined recovery point objective.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As of December 31, 2019, we had approximately 31,000 recurring revenue customers and approximately 90,000 total customers. Our primary source of revenue is from small- to mid-sized suppliers. We also generate revenues from other members of the supply chain ecosystem, including retailers, distributors, third-party logistics providers, and other trading partners. Our revenues are not concentrated with any customer, as our largest customer represented less than 1% of total revenues for the years ended December 31, 2019, 2018, and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Vendors in the supply chain management industry offer solutions through three delivery methods: traditional on-premise software, cloud-based managed services, and cloud-based full-service solutions.</w:t>
      </w:r>
    </w:p>
    <w:p>
      <w:pPr>
        <w:spacing w:after="0" w:line="62"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market for cloud-based supply chain management solutions is fragmented and rapidly evolving. Cloud service vendors compete directly with each other based on the following:</w:t>
      </w:r>
    </w:p>
    <w:p>
      <w:pPr>
        <w:spacing w:after="0" w:line="62"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breadth of pre-built connections to retailers, third-party logistics providers, and other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history of establishing and maintaining reliable connections with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reputation of the cloud service vendor in the supply chain management industry;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specialization in a customer market segment;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speed and quality with which the cloud service vendor can integrate its customers to their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functionality of the cloud service solution, such as the ability to integrate the solution with a customer’s business systems;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complementary supply chain management solutions the cloud service vendor offers;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training and customer support services provided during and after a customer’s initial integration.</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expect to encounter new and increased competition as this market segment consolidates and matures. Consolidation among cloud service vendors could create a direct competitor that can compete with us more effectively than the numerous, smaller vendors currently offering cloud service supply chain management solutions. Increased competition from cloud service vendors could reduce our market share, revenues, and operating margins or otherwise adversely affect our business.</w:t>
      </w:r>
    </w:p>
    <w:p>
      <w:pPr>
        <w:spacing w:after="0" w:line="79"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Cloud service vendors also compete with traditional on-premise software companies. Traditional on-premise software companies focused on supply chain integration management include IBM Sterling Commerce and OpenText-GXS. These companies offer a “do-it-yourself” method in which customers purchase, install, and manage specialized software, hardware and value-added networks for their supply chain integration needs. This method requires customers to invest in staff to operate and maintain the software. Traditional on-premise software companies use a single-tenant approach in which information maps to retailers are built for and used by one supplier, as compared to cloud service solutions that allow multiple customers to share information maps with a retailer.</w:t>
      </w:r>
    </w:p>
    <w:p>
      <w:pPr>
        <w:spacing w:after="0" w:line="85" w:lineRule="exact"/>
        <w:rPr>
          <w:sz w:val="20"/>
          <w:szCs w:val="20"/>
          <w:color w:val="auto"/>
        </w:rPr>
      </w:pPr>
    </w:p>
    <w:p>
      <w:pPr>
        <w:ind w:right="440" w:firstLine="598"/>
        <w:spacing w:after="0" w:line="312" w:lineRule="auto"/>
        <w:rPr>
          <w:sz w:val="20"/>
          <w:szCs w:val="20"/>
          <w:color w:val="auto"/>
        </w:rPr>
      </w:pPr>
      <w:r>
        <w:rPr>
          <w:rFonts w:ascii="Arial" w:cs="Arial" w:eastAsia="Arial" w:hAnsi="Arial"/>
          <w:sz w:val="16"/>
          <w:szCs w:val="16"/>
          <w:color w:val="auto"/>
        </w:rPr>
        <w:t>Managed service providers focused on the supply chain management market include IBM Sterling Commerce, OpenText GXS, TrueCommerce, DiCentral, B2B Gateway, and many other small providers. These companies offer a cloud-based solution in which they develop and maintain the core technology, while the customer’s internal staff is responsible for the day-to-day customization, optimization, and operations of the technology.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right="220" w:firstLine="598"/>
        <w:spacing w:after="0" w:line="308" w:lineRule="auto"/>
        <w:rPr>
          <w:sz w:val="20"/>
          <w:szCs w:val="20"/>
          <w:color w:val="auto"/>
        </w:rPr>
      </w:pPr>
      <w:r>
        <w:rPr>
          <w:rFonts w:ascii="Arial" w:cs="Arial" w:eastAsia="Arial" w:hAnsi="Arial"/>
          <w:sz w:val="17"/>
          <w:szCs w:val="17"/>
          <w:color w:val="auto"/>
        </w:rPr>
        <w:t>In contrast, full-service providers, including SPS Commerce, offer cloud-based solutions that customize, optimize and operate the technology. This approach offloads the time-intensive process of managing these solutions, which is not a core competency for most businesses.</w:t>
      </w:r>
    </w:p>
    <w:p>
      <w:pPr>
        <w:spacing w:after="0" w:line="38"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Customers of traditional on-premise software providers must typically make significant upfront investments in the supply chain management solutions these competitors provide, which can decrease the customers’ willingness to abandon their investments in favor of a cloud service solution. Cloud service vendors compete with these traditional software solutions based on the total cost of ownership and flexibility.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Content</w:t>
      </w:r>
    </w:p>
    <w:p>
      <w:pPr>
        <w:spacing w:after="0" w:line="12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SPS Commerce relies on a combination of copyright, trademark and trade secret laws as well as confidentiality procedures and contractual provisions to protect our proprietary technology and our brand. We enter into confidentiality and proprietary rights agreements with our employees, consultants and additional third parties, and control access to software, documentation and other proprietary information. We have registered trademarks and pending trademark applications in the U.S. and certain foreign countries.</w:t>
      </w:r>
    </w:p>
    <w:p>
      <w:pPr>
        <w:spacing w:after="0" w:line="79" w:lineRule="exact"/>
        <w:rPr>
          <w:sz w:val="20"/>
          <w:szCs w:val="20"/>
          <w:color w:val="auto"/>
        </w:rPr>
      </w:pPr>
    </w:p>
    <w:p>
      <w:pPr>
        <w:ind w:right="80" w:firstLine="598"/>
        <w:spacing w:after="0" w:line="302" w:lineRule="auto"/>
        <w:rPr>
          <w:sz w:val="20"/>
          <w:szCs w:val="20"/>
          <w:color w:val="auto"/>
        </w:rPr>
      </w:pPr>
      <w:r>
        <w:rPr>
          <w:rFonts w:ascii="Arial" w:cs="Arial" w:eastAsia="Arial" w:hAnsi="Arial"/>
          <w:sz w:val="16"/>
          <w:szCs w:val="16"/>
          <w:color w:val="auto"/>
        </w:rPr>
        <w:t>Depending on the jurisdiction, trademarks are generally valid as long as they are in use or their registrations are properly maintained, and they have not been found to have become generic. Registrations of trademarks can also generally be renewed indefinitely as long as the trademarks are in use. We do not have any patents, but we have pending patent applications. Our trade secrets consist primarily of the software we have developed for our SPS Commerce cloud-based Platform and network. Our software is also protected under copyright law, but we do not have any registered copyrights.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As of December 31, 2019, we had 1,363 employees. We also employ independent contractors to support our operations. We believe that our continued success will depend on our ability to continue to attract and retain skilled technical and sales personnel. We have never had a work stoppage, and none of our employees are represented by a labor union.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 xml:space="preserve">We were originally incorporated as St. Paul Software, Inc., a Minnesota corporation, on January 28, 1987. On May 30, 2001, we reincorporated in Delaware under our current name, SPS Commerce, Inc. Our principal executive offices are located at 333 South Seventh Street, Suite 1000, Minneapolis, Minnesota 55402, and our telephone number is (612) 435-9400. Our website address is </w:t>
      </w:r>
      <w:r>
        <w:rPr>
          <w:rFonts w:ascii="Arial" w:cs="Arial" w:eastAsia="Arial" w:hAnsi="Arial"/>
          <w:sz w:val="17"/>
          <w:szCs w:val="17"/>
          <w:i w:val="1"/>
          <w:iCs w:val="1"/>
          <w:color w:val="auto"/>
        </w:rPr>
        <w:t>www.spscommerce.com</w:t>
      </w:r>
      <w:r>
        <w:rPr>
          <w:rFonts w:ascii="Arial" w:cs="Arial" w:eastAsia="Arial" w:hAnsi="Arial"/>
          <w:sz w:val="17"/>
          <w:szCs w:val="17"/>
          <w:color w:val="auto"/>
        </w:rPr>
        <w:t xml:space="preserve">. Information on our website does not constitute part of this Annual Report on Form 10-K or any other report we file or furnish with the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Stockholders may also request copies of these documents from: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SPS Commerce,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Set forth below are the names, ages and titles of the persons serving as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ind w:left="1140"/>
              <w:spacing w:after="0"/>
              <w:rPr>
                <w:sz w:val="20"/>
                <w:szCs w:val="20"/>
                <w:color w:val="auto"/>
              </w:rPr>
            </w:pPr>
            <w:r>
              <w:rPr>
                <w:rFonts w:ascii="Arial" w:cs="Arial" w:eastAsia="Arial" w:hAnsi="Arial"/>
                <w:sz w:val="18"/>
                <w:szCs w:val="18"/>
                <w:b w:val="1"/>
                <w:bCs w:val="1"/>
                <w:color w:val="auto"/>
              </w:rPr>
              <w:t>Name</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Age</w:t>
            </w:r>
          </w:p>
        </w:tc>
        <w:tc>
          <w:tcPr>
            <w:tcW w:w="6720" w:type="dxa"/>
            <w:vAlign w:val="bottom"/>
          </w:tcPr>
          <w:p>
            <w:pPr>
              <w:ind w:left="304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Archie C. Black</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57</w:t>
            </w:r>
          </w:p>
        </w:tc>
        <w:tc>
          <w:tcPr>
            <w:tcW w:w="260" w:type="dxa"/>
            <w:vAlign w:val="bottom"/>
            <w:tcBorders>
              <w:top w:val="single" w:sz="8" w:color="CFF0FC"/>
            </w:tcBorders>
            <w:shd w:val="clear" w:color="auto" w:fill="CFF0FC"/>
          </w:tcPr>
          <w:p>
            <w:pPr>
              <w:spacing w:after="0"/>
              <w:rPr>
                <w:sz w:val="19"/>
                <w:szCs w:val="19"/>
                <w:color w:val="auto"/>
              </w:rPr>
            </w:pPr>
          </w:p>
        </w:tc>
        <w:tc>
          <w:tcPr>
            <w:tcW w:w="6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J. Frome</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55</w:t>
            </w:r>
          </w:p>
        </w:tc>
        <w:tc>
          <w:tcPr>
            <w:tcW w:w="260" w:type="dxa"/>
            <w:vAlign w:val="bottom"/>
            <w:shd w:val="clear" w:color="auto" w:fill="CFF0FC"/>
          </w:tcPr>
          <w:p>
            <w:pPr>
              <w:spacing w:after="0"/>
              <w:rPr>
                <w:sz w:val="19"/>
                <w:szCs w:val="19"/>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Operating Officer</w:t>
            </w:r>
          </w:p>
        </w:tc>
      </w:tr>
      <w:tr>
        <w:trPr>
          <w:trHeight w:val="554"/>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20" w:type="dxa"/>
            <w:vAlign w:val="bottom"/>
          </w:tcPr>
          <w:p>
            <w:pPr>
              <w:ind w:left="960"/>
              <w:spacing w:after="0"/>
              <w:rPr>
                <w:sz w:val="20"/>
                <w:szCs w:val="20"/>
                <w:color w:val="auto"/>
              </w:rPr>
            </w:pPr>
            <w:r>
              <w:rPr>
                <w:rFonts w:ascii="Arial" w:cs="Arial" w:eastAsia="Arial" w:hAnsi="Arial"/>
                <w:sz w:val="18"/>
                <w:szCs w:val="18"/>
                <w:color w:val="auto"/>
              </w:rPr>
              <w:t>9</w:t>
            </w:r>
          </w:p>
        </w:tc>
      </w:tr>
      <w:tr>
        <w:trPr>
          <w:trHeight w:val="115"/>
        </w:trPr>
        <w:tc>
          <w:tcPr>
            <w:tcW w:w="2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ind w:right="100" w:firstLine="598"/>
        <w:spacing w:after="0" w:line="264" w:lineRule="auto"/>
        <w:rPr>
          <w:sz w:val="20"/>
          <w:szCs w:val="20"/>
          <w:color w:val="auto"/>
        </w:rPr>
      </w:pPr>
      <w:r>
        <w:rPr>
          <w:rFonts w:ascii="Arial" w:cs="Arial" w:eastAsia="Arial" w:hAnsi="Arial"/>
          <w:sz w:val="18"/>
          <w:szCs w:val="18"/>
          <w:color w:val="auto"/>
        </w:rPr>
        <w:t>Archie C. Black has served as our President and Chief Executive Officer and a director since 2001. Previously, Mr. Black served as our Senior Vice President and Chief Financial Officer from 1998 to 2001. Prior to joining us, Mr. Black was a Senior Vice President and Chief Financial Officer at Investment Advisors, Inc. in Minneapolis, Minnesota and also spent three years at Price Waterhouse.</w:t>
      </w:r>
    </w:p>
    <w:p>
      <w:pPr>
        <w:spacing w:after="0" w:line="73"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Kimberly K. Nelson has served as our Executive Vice President and Chief Financial Officer since 2007. Prior to joining us, Ms. Nelson served as the Finance Director, Investor Relations for Amazon.com from 2005 through 2007 and as the Finance Director, Worldwide Application for Amazon.com’s Technology group from 2003 until 2005. Ms. Nelson also served as Amazon.com’s Finance Director, Financial Planning and Analysis from 2000 until 2003.</w:t>
      </w:r>
    </w:p>
    <w:p>
      <w:pPr>
        <w:spacing w:after="0" w:line="39"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James J. Frome has served as our Executive Vice President and Chief Operating Officer since 2012. Previously, Mr. Frome served as our Executive Vice President and Chief Strategy Officer from 2001 to 2012 and as our Vice President of Marketing from 2000 to 2001. Prior to joining us, Mr. Frome served as a Divisional Vice President of Marketing at Sterling Software, Inc. from 1999 to 2000 and as a Senior Product Manager and Director of Product Management at Information Advantage, Inc. from 1993 to 1999.</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 w:name="page11"/>
    <w:bookmarkEnd w:id="10"/>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Set forth below and elsewhere in this Annual Report on Form 10-K, and in other documents we file with the SEC, are risks and uncertainties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could cause our actual results to differ materially from the results contemplated by the forward-looking statements contained in this Annual Report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10-K and in other written and oral communications from time to time. You should carefully consider all of the following risks and the other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this Report and our other filings with the SEC before you decide to invest in our Company or to maintain or increase your investment. Our business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 harmed by any of these risks. The trading price of our common stock could decline due to any of these risks. In assessing these risks, you should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 to the other information contained in this Annual Report on Form 10-K, including our financial statements and related notes.</w:t>
      </w:r>
    </w:p>
    <w:p>
      <w:pPr>
        <w:spacing w:after="0" w:line="103" w:lineRule="exact"/>
        <w:rPr>
          <w:sz w:val="20"/>
          <w:szCs w:val="20"/>
          <w:color w:val="auto"/>
        </w:rPr>
      </w:pPr>
    </w:p>
    <w:p>
      <w:pPr>
        <w:ind w:right="160" w:firstLine="598"/>
        <w:spacing w:after="0" w:line="276" w:lineRule="auto"/>
        <w:rPr>
          <w:sz w:val="20"/>
          <w:szCs w:val="20"/>
          <w:color w:val="auto"/>
        </w:rPr>
      </w:pPr>
      <w:r>
        <w:rPr>
          <w:rFonts w:ascii="Arial" w:cs="Arial" w:eastAsia="Arial" w:hAnsi="Arial"/>
          <w:sz w:val="17"/>
          <w:szCs w:val="17"/>
          <w:i w:val="1"/>
          <w:iCs w:val="1"/>
          <w:color w:val="auto"/>
        </w:rPr>
        <w:t>The risks included in this section are not the only ones we face. We operate in a very competitive and rapidly changing environment. New risk factors emerge from time-to-time, and it is not possible for management to predict all such risk factors, nor can it assess the potential impact of all such risk factors on our business or the extent to which any factor, or combination of factors, may cause actual results to differ materially from those in any forward-looking statements. If any of the following risks actually occur, our business, results of operations, financial condition and future prospects would likely suffer. In that case, the trading price of our common stock could decline, and you may lose all or part of your investment.</w:t>
      </w:r>
    </w:p>
    <w:p>
      <w:pPr>
        <w:spacing w:after="0" w:line="27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If we are unable to attract new customers, or sell additional solutions to existing customers, or if our customers do not increase their use of our solutions, our revenue growth and profitability will be adversely affected.</w:t>
      </w:r>
    </w:p>
    <w:p>
      <w:pPr>
        <w:spacing w:after="0" w:line="58"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To increase our revenues and achieve and maintain profitability, we believe that we must regularly add new customers, sell additional solutions to existing customers, and our customers must increase their use of the solutions for which they currently subscribe. We intend to grow our business by retaining and attracting talent, developing strategic relationships with resellers, including resellers that incorporate our applications in their offerings, and increasing our marketing activities. If we are unable to hire or retain quality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If we fail to sell our solutions to existing or new customers, we will not generate anticipated revenues from these solutions, our operating results will suffer, and we might be unable to grow our revenues or maintain profitability.</w:t>
      </w:r>
    </w:p>
    <w:p>
      <w:pPr>
        <w:spacing w:after="0" w:line="29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do not have long-term contracts with most of our recurring revenue customers, and therefore a lack of success in maintaining or improving forecasted renewal rates will have adverse effects on revenue and financial results.</w:t>
      </w:r>
    </w:p>
    <w:p>
      <w:pPr>
        <w:spacing w:after="0" w:line="58"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Our contracts with our recurring revenue customers typically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would be adversely affected in a short period of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quarterly results of operations may fluctuate in the future, which could result in volatility in our stock price.</w:t>
      </w:r>
    </w:p>
    <w:p>
      <w:pPr>
        <w:spacing w:after="0" w:line="121" w:lineRule="exact"/>
        <w:rPr>
          <w:sz w:val="20"/>
          <w:szCs w:val="20"/>
          <w:color w:val="auto"/>
        </w:rPr>
      </w:pPr>
    </w:p>
    <w:p>
      <w:pPr>
        <w:ind w:right="60" w:firstLine="598"/>
        <w:spacing w:after="0" w:line="312" w:lineRule="auto"/>
        <w:rPr>
          <w:sz w:val="20"/>
          <w:szCs w:val="20"/>
          <w:color w:val="auto"/>
        </w:rPr>
      </w:pPr>
      <w:r>
        <w:rPr>
          <w:rFonts w:ascii="Arial" w:cs="Arial" w:eastAsia="Arial" w:hAnsi="Arial"/>
          <w:sz w:val="16"/>
          <w:szCs w:val="16"/>
          <w:color w:val="auto"/>
        </w:rPr>
        <w:t>Our quarterly revenues and results of operations have varied in the past and may fluctuate as a result of a variety of factors. If our quarterly revenues or results of operations fluctuate or do not meet our guidance, the price of our common stock could decline significantly. Fluctuations in our results of operations may be due to a number of factors, including, but not limited to, those listed below and identified throughout this “Risk Factors” section:</w:t>
      </w:r>
    </w:p>
    <w:p>
      <w:pPr>
        <w:spacing w:after="0" w:line="39" w:lineRule="exact"/>
        <w:rPr>
          <w:sz w:val="20"/>
          <w:szCs w:val="20"/>
          <w:color w:val="auto"/>
        </w:rPr>
      </w:pPr>
    </w:p>
    <w:p>
      <w:pPr>
        <w:ind w:left="1200" w:right="2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and increase sales to customers and attract new customers, including our ability to maintain and increase our number of recurring revenue customers;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introductions of new solutions or upgrades by us or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strength of the U.S and global economy, in particular, as it affects the U.S. retail sector;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condition of our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including entry into the industry by new competitors;</w:t>
      </w:r>
    </w:p>
    <w:p>
      <w:pPr>
        <w:spacing w:after="0" w:line="117" w:lineRule="exact"/>
        <w:rPr>
          <w:rFonts w:ascii="Arial" w:cs="Arial" w:eastAsia="Arial" w:hAnsi="Arial"/>
          <w:sz w:val="18"/>
          <w:szCs w:val="18"/>
          <w:color w:val="auto"/>
        </w:rPr>
      </w:pPr>
    </w:p>
    <w:p>
      <w:pPr>
        <w:ind w:left="1200" w:right="8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our expenses, including stock-based compensation and expenditures related to expanding our operations, supporting new customers, performing research and development, or introducing new solutions;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compliance costs and unforeseen legal expenses, including litigation and settlement costs;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size, and integration success of potential future acquisitions;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payment terms for our solutions;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 or service failures, security breaches or network downtime.</w:t>
      </w:r>
    </w:p>
    <w:p>
      <w:pPr>
        <w:spacing w:after="0" w:line="117"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Due to the foregoing factors, and other risks including those discussed in this Annual Report on Form 10-K, comparing our operating results on a period-to-period basis may not be meaningful. You should not rely on these comparisons of our past results of operations as an indication of our future performance. Our operating results in one or more future quarters may fall below the expectations of securities analysts and investors or below any guidance we may provide to the market. If this occurs, the trading price of our common stock could decline significantly.</w:t>
      </w:r>
    </w:p>
    <w:p>
      <w:pPr>
        <w:spacing w:after="0" w:line="2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Interruptions or delays from third-party data centers or to the telecommunications infrastructure we use or rely on could impair the delivery of our solutions and our business could suffer.</w:t>
      </w:r>
    </w:p>
    <w:p>
      <w:pPr>
        <w:spacing w:after="0" w:line="58"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We use third-party data centers, located in Minnesota, New Jersey, Texas, and Australia, as well as provision services in cloud providers, to conduct our operations. In all cases, infrastructure and services on which our cloud-based Platform runs are managed by us. In addition, our ability to deliver our services depends on the development and maintenance of telecommunications infrastructure by third parties. This includes maintenance of a reliable network backbone with the necessary speed, data capacity, bandwidth capacity, and security. Our operations depend on the protection of the equipment and information we store in these third-party centers, or utilize from third-party telecommunications providers, against damage or service interruptions that may be caused by fire, flood, severe storm, power loss, telecommunications failures, natural disasters, war, criminal act, military action, terrorist attack, financial failure of the service provider, and other events beyond our control. In addition, third party malfeasance, such as intentional misconduct by computer hackers, unauthorized intrusions, computer viruses, ransomware or denial of service attacks, may also cause substantial service disruptions. A prolonged service disruption affecting our solutions for any of the foregoing reasons could damage our reputation with current and potential customers, expose us to liability, cause us to lose recurring revenue customers or otherwise adversely affect our business. We may also incur significant costs for using alternative equipment or taking other actions in preparation for, or in reaction to, events that damage the data centers or telecommunication infrastructure we use or rely on, including the additional expense of transitioning to substitute facilities or service providers.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ind w:right="120" w:firstLine="598"/>
        <w:spacing w:after="0" w:line="286" w:lineRule="auto"/>
        <w:rPr>
          <w:sz w:val="20"/>
          <w:szCs w:val="20"/>
          <w:color w:val="auto"/>
        </w:rPr>
      </w:pPr>
      <w:r>
        <w:rPr>
          <w:rFonts w:ascii="Arial" w:cs="Arial" w:eastAsia="Arial" w:hAnsi="Arial"/>
          <w:sz w:val="17"/>
          <w:szCs w:val="17"/>
          <w:color w:val="auto"/>
        </w:rPr>
        <w:t>Our cloud-based supply chain management solutions are accessed by a large number of customers at the same time. As we continue to expand the number of our customers and solutions available to our customers, we may not be able to scale our solutions and the technology we use or rely upon to meet the increased capacity requirements, which may result in interruptions or delays in service and harm our business.</w:t>
      </w:r>
    </w:p>
    <w:p>
      <w:pPr>
        <w:spacing w:after="0" w:line="270"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The retail industry, which is key to our network, is a prime target for those that seek to steal confidential information and spread computer malware and viruses, and commit hacking, phishing attacks, spamming, ransomware, and pursue other cyber-attacks, any of which could harm our business and cause us to lose the confidence of our customers, which could significantly impact our business and results of operations.</w:t>
      </w:r>
    </w:p>
    <w:p>
      <w:pPr>
        <w:spacing w:after="0" w:line="38" w:lineRule="exact"/>
        <w:rPr>
          <w:sz w:val="20"/>
          <w:szCs w:val="20"/>
          <w:color w:val="auto"/>
        </w:rPr>
      </w:pPr>
    </w:p>
    <w:p>
      <w:pPr>
        <w:ind w:right="60" w:firstLine="598"/>
        <w:spacing w:after="0" w:line="286" w:lineRule="auto"/>
        <w:rPr>
          <w:sz w:val="20"/>
          <w:szCs w:val="20"/>
          <w:color w:val="auto"/>
        </w:rPr>
      </w:pPr>
      <w:r>
        <w:rPr>
          <w:rFonts w:ascii="Arial" w:cs="Arial" w:eastAsia="Arial" w:hAnsi="Arial"/>
          <w:sz w:val="16"/>
          <w:szCs w:val="16"/>
          <w:color w:val="auto"/>
        </w:rPr>
        <w:t>As demonstrated by repeated material and high-profile data security breaches within the retail industry, computer malware, viruses, computer hacking, phishing attacks, spamming, ransomware, and other electronic threats have become more prevalent in our industry, have occurred on our systems in the past, and may occur on our systems in the future. While we continue to expand our focus on this issue and are taking measures to safeguard our solutions and services from cybersecurity threats and vulnerabilities, cyber-attacks and other security incidents continue to evolve in sophistication and</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frequency. Furthermore, given the interconnected nature of the retail supply chain and our significant presence in the retail industry, we believe that we are a particularly attractive target for such attacks. In addition, our connection to the retail industry could present the opportunity for an attack on our system to serve as a way to obtain access into our users’ systems, which could have a material adverse effect on our financial condition and growth prospectus. Our cloud-based Platform and solutions may also be breached due to employee or other error, intentional malfeasance and other third-party acts, and system errors or vulnerabilities, including vulnerabilities of our third-party vendors, customers, or otherwise. Businesses in the retail industry have experienced material sales declines after discovering data security breaches, and our business could be similarly impacted. The security and other costs directed towards reducing the likelihood and risks of an attack are high and may continue to increase. Furthermore, many U.S. states and international jurisdictions have enacted laws requiring companies to notify consumers of data security breaches involving their personal data. These mandatory disclosures regarding a data security breach often lead to widespread negative publicity, which may cause our customers to lose confidence in our solutions and the effectiveness of our data security measures. Reputational value is based in large part on perceptions of subjective qualities. While reputations may take years to build, data security breaches can quickly erode trust and confidence, particularly if they result in adverse mainstream and social media publicity, governmental investigations or litigation. Though it is difficult to determine what harm may directly result from any specific data security breach, any failure to maintain performance, reliability, security and availability of our cloud-based Platform and solutions to the satisfaction of our customers may harm our reputation, impair our ability to retain existing customers and attract new customers and expose us to legal claims and government action, each of which could have a material adverse impact on our financial condition, results of operations and growth prospects.</w:t>
      </w:r>
    </w:p>
    <w:p>
      <w:pPr>
        <w:spacing w:after="0" w:line="28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A failure to protect the integrity and security of our customers’ information and our customers’ information systems which we have access to could expose us to litigation, materially damage our reputation and harm our business, or lead to service disruptions, and the growing costs to avoid or reduce the risks of such a failure could adversely affect our results of operations.</w:t>
      </w:r>
    </w:p>
    <w:p>
      <w:pPr>
        <w:spacing w:after="0" w:line="72" w:lineRule="exact"/>
        <w:rPr>
          <w:sz w:val="20"/>
          <w:szCs w:val="20"/>
          <w:color w:val="auto"/>
        </w:rPr>
      </w:pPr>
    </w:p>
    <w:p>
      <w:pPr>
        <w:ind w:right="180" w:firstLine="598"/>
        <w:spacing w:after="0" w:line="285" w:lineRule="auto"/>
        <w:rPr>
          <w:sz w:val="20"/>
          <w:szCs w:val="20"/>
          <w:color w:val="auto"/>
        </w:rPr>
      </w:pPr>
      <w:r>
        <w:rPr>
          <w:rFonts w:ascii="Arial" w:cs="Arial" w:eastAsia="Arial" w:hAnsi="Arial"/>
          <w:sz w:val="16"/>
          <w:szCs w:val="16"/>
          <w:color w:val="auto"/>
        </w:rPr>
        <w:t>Our business involves the collection and use of confidential information of our customers and their trading partners. The collection and use of this information sometimes require our direct access to our customers’ information systems. Although we are spending greater amounts of money and other resources to address cyber threats, we cannot assure you that these efforts to protect this confidential information and authorized access to such information systems will be successful. Our security measures may be breached as a result of third-party action, including intentional misconduct by computer hackers, employee error, malfeasance or otherwise and result in someone obtaining unauthorized access to our customers’ information and information</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systems. Additionally, third parties may attempt to fraudulently induce employees or customers into disclosing sensitive information such as usernames,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ind w:firstLine="598"/>
        <w:spacing w:after="0" w:line="273" w:lineRule="auto"/>
        <w:rPr>
          <w:sz w:val="20"/>
          <w:szCs w:val="20"/>
          <w:color w:val="auto"/>
        </w:rPr>
      </w:pPr>
      <w:r>
        <w:rPr>
          <w:rFonts w:ascii="Arial" w:cs="Arial" w:eastAsia="Arial" w:hAnsi="Arial"/>
          <w:sz w:val="17"/>
          <w:szCs w:val="17"/>
          <w:color w:val="auto"/>
        </w:rPr>
        <w:t>If our solutions or cloud-based Platform were to be the cause or conduit for any unauthorized access to our customers’ information or systems, including our failure to detect and appropriately respond to such unauthorized access, we could face service disruptions, be subject to legal claims and government action, experience an adverse effect on our reputation and need to incur significant additional costs to protect against similar failures in the future, each of which could adversely impact our financial condition, results of operations and growth prospects. Litigation resulting from such claims may be costly, time-consuming and distracting to management. In addition, because of the critical nature of information security and system access, any actual or perceived failure of our security measures could cause existing or potential customers not to use our solutions and harm our reputation.</w:t>
      </w:r>
    </w:p>
    <w:p>
      <w:pPr>
        <w:spacing w:after="0" w:line="28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58"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Technology solutions like ours may contain undetected defects in the hardware, software, infrastructure, third party components or processes that are part of the solutions we provide. If these defects lead to service failures, we could experience delays or lost revenues, diversion of software engineering resources, negative media attention or increased service costs as a result of performance claims during the period required to correct the cause of the defects. We cannot be certain that defects will be avoided in our upgraded or new solutions, resulting in loss of, or delay in, market acceptance, which could have an adverse effect on our business, results of operations and financial condition.</w:t>
      </w:r>
    </w:p>
    <w:p>
      <w:pPr>
        <w:spacing w:after="0" w:line="64"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Because customers use our cloud-based supply chain management solutions for critical business processes, any defect in our solutions, any disruption to our solutions or any error in execution could cause recurring revenue customers to cancel their contracts with us, cause potential customers to not join our network and harm our reputation. We could also be subject to litigation for actual or alleged losses to our customers’ businesses, which may require us to spend significant time and money in litigation or arbitration or to pay significant settlements or damages. We do not currently maintain any warranty reserves. Moreover, defending a lawsuit, regardless of its merit, could be costly and divert management’s attention and could cause our business to suffer.</w:t>
      </w:r>
    </w:p>
    <w:p>
      <w:pPr>
        <w:spacing w:after="0" w:line="50"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any or all of the damages and other costs of such a claim. Moreover, we cannot assure you that our current liability insurance coverage will continue to be available to us on acceptable terms or at all. The successful assertion against us of one or more large claims that exceeds, or is not insured against by, our insurance coverage, or the occurrence of changes in our liability insurance policy, including an increase in premiums or imposition of large deductible or co-insurance requirements, could have an adverse effect on our business, financial condition and operating results. Even if we succeed in litigation with respect to a claim, we are likely to incur substantial costs and our management’s attention will be diverted from our operations.</w:t>
      </w:r>
    </w:p>
    <w:p>
      <w:pPr>
        <w:spacing w:after="0" w:line="282"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Our business is dependent on our ability to maintain and scale our technical infrastructure, and any failure to effectively maintain or scale such infrastructure could damage our reputation, result in a potential loss of revenue, and adversely affect our financial results.</w:t>
      </w:r>
    </w:p>
    <w:p>
      <w:pPr>
        <w:spacing w:after="0" w:line="34"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Our reputation and ability to attract, retain and serve our customers is dependent upon the reliable performance of our cloud-based Platform and our underlying technical infrastructure and cloud providers. As our user base and the amount and types of information shared on our cloud-based Platform continue to grow, we will need an increasing amount of technical infrastructure, including network capacity and computing power, to continue to satisfy the needs of our users. It is possible that we or our cloud providers may fail to effectively maintain and scale our technical infrastructure to accommodate these increased demands. Any failure to effectively maintain and grow our technical infrastructure could damage our reputation, result in a potential loss of customers, and adversely affect our financial results.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Our inability to adapt to rapid technological change could impair our ability to remain competitive.</w:t>
      </w:r>
    </w:p>
    <w:p>
      <w:pPr>
        <w:spacing w:after="0" w:line="121"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The industry in which we compete is characterized by rapid technological change, frequent introductions of new products and evolving industry standards. Existing products can become obsolete and unmarketable when vendors introduce products utilizing new technologies or new industry standards emerge, and as a result, it is difficult for us to predict the life cycles of our products. Our ability to attract new customers and increase revenues from customers will depend in significant part on our ability to anticipate technological changes, and the corresponding impact on customer needs and evolving requirements, and future industry standards and to continue to enhance our existing solutions or introduce or acquire new solutions on a timely basis to keep pace with such technological developments. The success of our enhanced or new solutions depend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expected revenues. If any of our competitors or new market entrants implement new technologies or upgrades to existing technologies before we are able to implement them, they may be able to provide more effective solutions than ours at lower prices. Any delay or failure in the introduction of new or enhanced solutions could adversely affect our business, results of operations and financial condition. Moreover, the development of new solutions requires substantial investment and we have no assurance that such investments will achieve their expected benefits on a timely manner or at all, either of which could have a material adverse effect on our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protect our intellectual property and proprietary rights adequately, our business could suffer material adverse effects.</w:t>
      </w:r>
    </w:p>
    <w:p>
      <w:pPr>
        <w:spacing w:after="0" w:line="12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believe that proprietary technology is essential to establishing and maintaining our leadership position. We seek to protect our intellectual property through trade secrets, copyrights, confidentiality, non-compete and nondisclosure agreements, license agreements, trademarks, domain names and other measures, some of which afford only limited protection. We do not have any issued patents or registered copyrights. Despite our efforts to protect our proprietary rights, unauthorized parties may attempt to copy or reverse engineer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as great an extent as the laws of the U.S.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74"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and scope of the intellectual property or other proprietary rights of others, the proceedings could be burdensome and expensive, even if we were to prevail. Any such legal proceedings, including litigation, that are pursued in the future could result in substantial costs and diversion of resources and could have a material adverse effect on our business, operating results or financial condition, regardless of whether we prevail in such proceedings.</w:t>
      </w:r>
    </w:p>
    <w:p>
      <w:pPr>
        <w:spacing w:after="0" w:line="27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An assertion by a third party that we are infringing its intellectual property, whether or not correct, could subject us to costly and time-consuming litigation or expensive licenses and our business might be materially harmed.</w:t>
      </w:r>
    </w:p>
    <w:p>
      <w:pPr>
        <w:spacing w:after="0" w:line="58"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supply chain management industry and its enabling technologies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5" w:name="page16"/>
    <w:bookmarkEnd w:id="15"/>
    <w:p>
      <w:pPr>
        <w:ind w:right="40" w:firstLine="598"/>
        <w:spacing w:after="0" w:line="288" w:lineRule="auto"/>
        <w:rPr>
          <w:sz w:val="20"/>
          <w:szCs w:val="20"/>
          <w:color w:val="auto"/>
        </w:rPr>
      </w:pPr>
      <w:r>
        <w:rPr>
          <w:rFonts w:ascii="Arial" w:cs="Arial" w:eastAsia="Arial" w:hAnsi="Arial"/>
          <w:sz w:val="16"/>
          <w:szCs w:val="16"/>
          <w:color w:val="auto"/>
        </w:rPr>
        <w:t>We might not prevail in any intellectual property infringement litigation given, among other reasons, the complex technical issues and inherent uncertainties in such litigation. Moreover, defending such claims, regardless of their merit, could be time-consuming and distracting to management, result in costly litigation or settlement, cause development delays, require us to enter into royalty or licensing agreements or require us to redesign our solutions to avoid infringement. If our solutions violate any third-party proprietary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be unsuccessful and, in any case, might substantially increase our costs and harm our business, financial condition and operating results. We also face risk of infringement or misappropriation claims if we hire an employee or contractor who possesses third party proprietary information and who decides to use such information in connection with our solutions, services, or business processes without such third party’s authorization. Regardless of the source of such misuse of third-party intellectual property, any resulting withdrawal of our solutions from the market might materially harm our business, financial condition and operating results.</w:t>
      </w:r>
    </w:p>
    <w:p>
      <w:pPr>
        <w:spacing w:after="0" w:line="61"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In addition, we incorporate open source software into our cloud-based Platform.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or to discontinue sales of our solutions, or to release our proprietary software code under the terms of an open source license, any of which could have a material adverse effect on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new solutions and changes to existing solutions we pursue could fail to attract or retain customers or generate expected revenues.</w:t>
      </w:r>
    </w:p>
    <w:p>
      <w:pPr>
        <w:spacing w:after="0" w:line="133"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Our ability to retain, increase and engage our customers and to increase our revenues depends heavily on our ability to identify, develop and launch successful new solutions. We may introduce significant changes to our existing solutions or develop and introduce new and unproven solutions which include or use technologies with which we have little or no prior development or operating experience. If new or enhanced solutions fail to garner expected customer demand, we may fail to generate sufficient revenues, operating margin, or other value to justify our investments and our business may be adversely affected.</w:t>
      </w:r>
    </w:p>
    <w:p>
      <w:pPr>
        <w:spacing w:after="0" w:line="258"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The market for cloud-based supply chain management solutions is at a relatively early stage of development. If this market does not develop or develops more slowly than we expect, our revenues may decline or fail to grow and we may incur operating losses.</w:t>
      </w:r>
    </w:p>
    <w:p>
      <w:pPr>
        <w:spacing w:after="0" w:line="34"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We derive, and expect to continue to derive, substantially all of our revenues from providing cloud-based supply chain management solutions to suppliers, retailers, distributors and logistics firms. The market for cloud-based supply chain management solutions is in a relatively early stage of development, and it is uncertain whether these solutions will achieve and sustain high levels of demand and market acceptance. Our success will depend on the willingness of retailers and their trading partners to accept our cloud-based supply chain management solutions as an alternative to traditional licensed hardware and software solutions.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ind w:right="60" w:firstLine="598"/>
        <w:spacing w:after="0" w:line="291" w:lineRule="auto"/>
        <w:rPr>
          <w:sz w:val="20"/>
          <w:szCs w:val="20"/>
          <w:color w:val="auto"/>
        </w:rPr>
      </w:pPr>
      <w:r>
        <w:rPr>
          <w:rFonts w:ascii="Arial" w:cs="Arial" w:eastAsia="Arial" w:hAnsi="Arial"/>
          <w:sz w:val="16"/>
          <w:szCs w:val="16"/>
          <w:color w:val="auto"/>
        </w:rPr>
        <w:t>Some suppliers, retailers, distributors, or logistics firms may be reluctant or unwilling to use our cloud-based supply chain management solutions for a number of reasons, including their existing investments in supply chain management hardware and licensed software and perceived loss of control over users data with a cloud-based solution. Supply chain management functions traditionally have been performed using purchased or licensed hardware and software implemented by each supplier. Because this traditional approach often requires significant initial investments to purchase the necessary technology and to establish systems that comply with retailers’ unique requirements, suppliers may be unwilling to abandon their current solutions for our cloud-based supply chain management solutions. Also, the traditional approach involves suppliers directly owning or controlling the hardware where their data is processed and stored. Some suppliers do not believe that the benefits of cloud-based solutions outweigh concerns over a loss of direct control of their data.</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factors that may limit market acceptance of our cloud-based supply chain management solutions include:</w:t>
      </w:r>
    </w:p>
    <w:p>
      <w:pPr>
        <w:spacing w:after="0" w:line="117"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continuity of service for all users of our cloud-based Platform;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performance and availability of competing solutions;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address suppliers’ confidentiality concerns about information stored within our cloud-based solutions.</w:t>
      </w:r>
    </w:p>
    <w:p>
      <w:pPr>
        <w:spacing w:after="0" w:line="117"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color w:val="auto"/>
        </w:rPr>
        <w:t>If retailers and their trading partners do not perceive the benefits of our cloud-based supply chain management solutions, or if retailers and their trading partners are unwilling to accept our cloud-based Platform as an alternative to the traditional approach, demand for our solutions may not continue to develop or may develop more slowly than we expect, either of which would significantly adversely affect our revenues and growth prospects.</w:t>
      </w:r>
    </w:p>
    <w:p>
      <w:pPr>
        <w:spacing w:after="0" w:line="25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Privacy concerns and laws, evolving regulation of cloud computing, cross-border data transfer restrictions and other domestic or foreign regulations may limit the use and adoption of our solutions and adversely affect our business.</w:t>
      </w:r>
    </w:p>
    <w:p>
      <w:pPr>
        <w:spacing w:after="0" w:line="58"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Regulation related to the provision of services on the internet is increasing, as federal and state governments continue to adopt new laws and regulations addressing data privacy and the collection, processing, storage and use of personal information. In some cases, foreign data privacy laws and regulations, such as the European Union’s General Data Protection Regulation, also governs our processing of personal information. Further, laws are increasingly aimed at the use of personal information for marketing purposes, such as the European Union’s e-Privacy Directive, and the country-specific regulations that implement that directive. Such laws and regulations are subject to differing interpretations and are inconsistent among jurisdictions. These and other requirements could reduce demand for our solutions or restrict our ability to store and process data or, in some cases, impact our ability to offer our services and solutions in certain locations.</w:t>
      </w:r>
    </w:p>
    <w:p>
      <w:pPr>
        <w:spacing w:after="0" w:line="8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solutions to certain customers and could harm our business.</w:t>
      </w:r>
    </w:p>
    <w:p>
      <w:pPr>
        <w:spacing w:after="0" w:line="79"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costs of compliance with and other burdens imposed by laws, regulations and standards are significant and may limit the use and adoption of our services and reduce overall demand for them, or lead to material fines, penalties or liabilities for noncompliance.</w:t>
      </w:r>
    </w:p>
    <w:p>
      <w:pPr>
        <w:spacing w:after="0" w:line="62"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and adoption of our cloud-based solutions.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Evolving regulation of the internet may increase our expenditures related to compliance efforts, which may adversely affect our financial condition.</w:t>
      </w:r>
    </w:p>
    <w:p>
      <w:pPr>
        <w:spacing w:after="0" w:line="144"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As e-commerce continues to evolve, increasing regulation by federal, state or foreign agencies becomes more likely. We are particularly sensitive to these risks because the internet is a critical component of our cloud-based business model. For example, we believe that increased regulation is likely in the area of data privacy, and laws and regulations applying to the solicitation, collection, processing or use of personal or consumer information could affect our customers’ ability to use and share data, potentially reducing demand for solutions accessed via the internet and restricting our ability to store, process and share data with our clients via the internet.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deceleration or decline in the use of the internet and the viability of internet-based services, which could materially harm our business.</w:t>
      </w:r>
    </w:p>
    <w:p>
      <w:pPr>
        <w:spacing w:after="0" w:line="29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Industry-specific regulation is evolving, and unfavorable or burdensome industry-specific laws, regulations or interpretive positions could harm our business.</w:t>
      </w:r>
    </w:p>
    <w:p>
      <w:pPr>
        <w:spacing w:after="0" w:line="58"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spacing w:after="0" w:line="70"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In some cases, industry-specific laws, regulations or interpretive positions may also apply directly to us as a service provider. Any failure or perceived failure by us to comply with such requirements could have an adverse impact on our business.</w:t>
      </w:r>
    </w:p>
    <w:p>
      <w:pPr>
        <w:spacing w:after="0" w:line="27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We rely on third party infrastructure, software and services that could take a significant time, and involve a complex transition, to replace or upgrade.</w:t>
      </w:r>
    </w:p>
    <w:p>
      <w:pPr>
        <w:spacing w:after="0" w:line="58"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We rely on infrastructure, software and services licensed from third parties to offer our cloud-based supply chain management solutions. This infrastructure, software and services, as well as maintenance rights for this infrastructure, software and services,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 be commercially reasonable hardware or software alternatives to the third-party infrastructure, software and services that we currently license. Any such alternatives could be more difficult or costly to replace than the third-party infrastructure, software and services we currently license, and integration of the alternatives into our cloud-based Platform could require significant work and resources and delays, especially if the transition is complex. Any delays or failures associated with our cloud-based Platform could injure our reputation with customers and potential customers and have an adverse effect on our business, results of operations and financial condition.</w:t>
      </w:r>
    </w:p>
    <w:p>
      <w:pPr>
        <w:spacing w:after="0" w:line="27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pursue acquisitions and our potential inability to successfully integrate or otherwise operate newly acquired companies or businesses could adversely affect our financial results.</w:t>
      </w:r>
    </w:p>
    <w:p>
      <w:pPr>
        <w:spacing w:after="0" w:line="58"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color w:val="auto"/>
        </w:rPr>
        <w:t>Our growth plans include evaluations of potential acquisitions of other companies or their businesses. If such evaluations lead to completed acquisitions, we face many risks commonly encountered with growth through acquisitions. These risks include:</w:t>
      </w:r>
    </w:p>
    <w:p>
      <w:pPr>
        <w:spacing w:after="0" w:line="62"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failing to assimilate the operations, customers, and personnel of the acquired company or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disrupting our ongoing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dissipating or distracting our management resources;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dilution to existing stockholders from the issuance of equity securities;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liabilities or other problems associated with the acquired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incurring debt on terms unfavorable to us or that we are unable to repay;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becoming subject to adverse tax consequences, substantial depreciation or deferred compensation charges;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improper compliance with laws and regulations and exposure to other contingent liabilities;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maintain uniform standards, controls and policies;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impairing relationships with employees and customers as a result of changes in management.</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Fully integrating an acquired company or business into our operations may take a significant amount of time. In addition, we may only be able to conduct limited due diligence on an acquired company’s operations. Following an acquisition, we may be subject to liabilities arising from an acquired company’s past or present operations, including liabilities related to data security, encryption and privacy of customer data, and these liabilities may be greater than the warranty and indemnity limitations that we negotiate.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28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Because our long-term success depends, in part, on our ability to expand the sales of our solutions to customers located outside of North America, our business will be susceptible to risks associated with international operations.</w:t>
      </w:r>
    </w:p>
    <w:p>
      <w:pPr>
        <w:spacing w:after="0" w:line="58" w:lineRule="exact"/>
        <w:rPr>
          <w:sz w:val="20"/>
          <w:szCs w:val="20"/>
          <w:color w:val="auto"/>
        </w:rPr>
      </w:pPr>
    </w:p>
    <w:p>
      <w:pPr>
        <w:ind w:right="60" w:firstLine="598"/>
        <w:spacing w:after="0" w:line="308" w:lineRule="auto"/>
        <w:rPr>
          <w:sz w:val="20"/>
          <w:szCs w:val="20"/>
          <w:color w:val="auto"/>
        </w:rPr>
      </w:pPr>
      <w:r>
        <w:rPr>
          <w:rFonts w:ascii="Arial" w:cs="Arial" w:eastAsia="Arial" w:hAnsi="Arial"/>
          <w:sz w:val="17"/>
          <w:szCs w:val="17"/>
          <w:color w:val="auto"/>
        </w:rPr>
        <w:t>Our inexperience in operating our business outside of North America increases the risk that our current and any future international expansion efforts will not be successful. Conducting international operations subjects us to new risks that, generally, we have not faced in the U.S., including:</w:t>
      </w:r>
    </w:p>
    <w:p>
      <w:pPr>
        <w:spacing w:after="0" w:line="38"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misjudging the markets and competitive landscape of foreign jurisdictions;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foreign regulatory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17" w:lineRule="exact"/>
        <w:rPr>
          <w:rFonts w:ascii="Arial" w:cs="Arial" w:eastAsia="Arial" w:hAnsi="Arial"/>
          <w:sz w:val="18"/>
          <w:szCs w:val="18"/>
          <w:color w:val="auto"/>
        </w:rPr>
      </w:pPr>
    </w:p>
    <w:p>
      <w:pPr>
        <w:ind w:left="1200" w:right="3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and restrictions on the repatriation of earnings;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associated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burdens of complying with a wide variety of foreign laws and different legal standards, including laws and regulations related to privacy;</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potential for corruption and bribery;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left="600"/>
        <w:spacing w:after="0"/>
        <w:rPr>
          <w:sz w:val="20"/>
          <w:szCs w:val="20"/>
          <w:color w:val="auto"/>
        </w:rPr>
      </w:pPr>
      <w:r>
        <w:rPr>
          <w:rFonts w:ascii="Arial" w:cs="Arial" w:eastAsia="Arial" w:hAnsi="Arial"/>
          <w:sz w:val="18"/>
          <w:szCs w:val="18"/>
          <w:color w:val="auto"/>
        </w:rPr>
        <w:t>The occurrence of any one of these risks could negatively affect our international business and, consequently, our results of operations</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82" w:lineRule="exact"/>
        <w:rPr>
          <w:sz w:val="20"/>
          <w:szCs w:val="20"/>
          <w:color w:val="auto"/>
        </w:rPr>
      </w:pPr>
    </w:p>
    <w:p>
      <w:pPr>
        <w:ind w:right="80" w:firstLine="598"/>
        <w:spacing w:after="0" w:line="290" w:lineRule="auto"/>
        <w:rPr>
          <w:sz w:val="20"/>
          <w:szCs w:val="20"/>
          <w:color w:val="auto"/>
        </w:rPr>
      </w:pPr>
      <w:r>
        <w:rPr>
          <w:rFonts w:ascii="Arial" w:cs="Arial" w:eastAsia="Arial" w:hAnsi="Arial"/>
          <w:sz w:val="16"/>
          <w:szCs w:val="16"/>
          <w:color w:val="auto"/>
        </w:rPr>
        <w:t>In addition, we operate in parts of the world, such as Ukraine, that are recognized as having governmental corruption problems and where local customs and practices may not foster strict compliance with anti-corruption laws. Our continued operation and potential expansion outside the U.S. could increase the risk of such violations in the future. Despite our training and compliance programs, we cannot assure you that our internal control policies and procedures will protect us from unauthorized, reckless or criminal acts committed by our employees or agents, including by third parties we utilize in foreign jurisdictions.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civil and criminal sanctions and penalties, which could disrupt our business and have a material adverse effect on our reputation, results of operations or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use of open source software in our products may expose us to additional risks and harm our intellectual property.</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Some of our products use or incorporate software that is subject to one or more open source licenses. Open source software is typically licensed under terms that require making the software freely accessible, usable and modifiable. Failure to comply with these licenses may subject us to onerous requirements, such as offering our solutions that incorporate the open source software for no cost or making the source code we create based upon, incorporating, or using the open source software available for modifications or derivative works. If an author or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59"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While we monitor the use of all open source software in our products, processes and technology and work to ensure that no open source software is used in such a way as to require us to disclose the source code to the related product or solution, such use could inadvertently occur. Additionally, if a third-party software provider has incorporated certain types of open source software into software we license from such third party for our products and solutions, we could, under certain circumstances, be required to disclose the source code to our products and solutions. This could harm our intellectual property position and have a material adverse effect on our business, results of operations, cash flow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adversely affected by ongoing developments in Ukraine.</w:t>
      </w:r>
    </w:p>
    <w:p>
      <w:pPr>
        <w:spacing w:after="0" w:line="121" w:lineRule="exact"/>
        <w:rPr>
          <w:sz w:val="20"/>
          <w:szCs w:val="20"/>
          <w:color w:val="auto"/>
        </w:rPr>
      </w:pPr>
    </w:p>
    <w:p>
      <w:pPr>
        <w:jc w:val="both"/>
        <w:ind w:right="40" w:firstLine="598"/>
        <w:spacing w:after="0" w:line="259" w:lineRule="auto"/>
        <w:rPr>
          <w:sz w:val="20"/>
          <w:szCs w:val="20"/>
          <w:color w:val="auto"/>
        </w:rPr>
      </w:pPr>
      <w:r>
        <w:rPr>
          <w:rFonts w:ascii="Arial" w:cs="Arial" w:eastAsia="Arial" w:hAnsi="Arial"/>
          <w:sz w:val="18"/>
          <w:szCs w:val="18"/>
          <w:color w:val="auto"/>
        </w:rPr>
        <w:t>The political and civil situation in Ukraine cannot be accurately predicted since the removal of President Yanukovych from power by the Ukrainian parliament in late February 2014, which was followed by reports of Russian military activity in the Crimean region, and the election of Volodymyr Zelensky in May 2019. Ukraine’s political activities remain fluid and beyond our control. We also cannot predict the outcome of developments there or the reaction to such developments by U.S., European, U.N. or other international authorities.</w:t>
      </w:r>
    </w:p>
    <w:p>
      <w:pPr>
        <w:spacing w:after="0" w:line="79"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We currently engage in software development activities in Ukraine and have been using the services of Ukraine based software developers since 2012 and have an office in Kiev. While we continue to monitor the situation in Ukraine closely, any prolonged or expanded unrest, military activities, or sanctions, should they be implemented, could have a material adverse effect on our operations. Any disruption to our operations may be prolonged and require a transition to non-Ukraine based programmers, which may be more expensive and cause delays in programming deliverables and harm our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Our ability to use our U.S. net operating loss carryforwards might be limited.</w:t>
      </w:r>
    </w:p>
    <w:p>
      <w:pPr>
        <w:spacing w:after="0" w:line="121"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As of December 31, 2019, we had net operating loss carryforwards of $34.0 million for U.S. federal tax purposes. We also had $3.6 million of various state net operating loss carryforwards. The net operating loss carryforwards for federal tax purposes will expire between 2020 and 2039 if not utilized. The net operating loss carryforwards for state tax purposes will expire between 2021 and 2031 if not utilized. To the extent these net operating loss carryforwards are available, we intend to use them to reduce the corporate income tax liability associated with our operations.</w:t>
      </w:r>
    </w:p>
    <w:p>
      <w:pPr>
        <w:spacing w:after="0" w:line="63"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As of December 31, 2019, we had $21.6 million of net operating loss carryforwards subject to Section 382 limitations, of which we believe approximately $17.6 million will expire unused. The remaining $4.0 million is subject to a maximum annual utilization of approximately $1.0 million. This utilization could be further restricted if any ownership changes occur in future years. To the extent our use of net operating loss carryforwards is significantly limited, our taxable income could be subject to corporate income tax earlier than it would if we were able to use net operating loss carryforwards, which could result in lower profits.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operating losses in the past and may incur operating losses in the future.</w:t>
      </w:r>
    </w:p>
    <w:p>
      <w:pPr>
        <w:spacing w:after="0" w:line="121" w:lineRule="exact"/>
        <w:rPr>
          <w:sz w:val="20"/>
          <w:szCs w:val="20"/>
          <w:color w:val="auto"/>
        </w:rPr>
      </w:pPr>
    </w:p>
    <w:p>
      <w:pPr>
        <w:ind w:firstLine="598"/>
        <w:spacing w:after="0" w:line="275" w:lineRule="auto"/>
        <w:rPr>
          <w:sz w:val="20"/>
          <w:szCs w:val="20"/>
          <w:color w:val="auto"/>
        </w:rPr>
      </w:pPr>
      <w:r>
        <w:rPr>
          <w:rFonts w:ascii="Arial" w:cs="Arial" w:eastAsia="Arial" w:hAnsi="Arial"/>
          <w:sz w:val="17"/>
          <w:szCs w:val="17"/>
          <w:color w:val="auto"/>
        </w:rPr>
        <w:t>We began operating our supply chain management solution business in 1997. We have experienced net losses and negative cash flows from operations in the past. As of December 31, 2019, we had retained earnings of $49.0 million. We expect our operating expenses to continue to increase in the future as we expand our operations and increase our customer base due to expected increased sales and marketing expenses, operating costs, research and development costs and general and administration costs. If our revenues do not continue to grow to offset these increased expenses, we may not be profitable. We cannot assure you that we will be able to maintain profitability. You should not consider recent revenue growth as indicative of our future performance. In fact, in future periods, we may not have any revenue growth, or our revenues could decline. In addition, our ability to achieve profitability is subject to a number of risks and uncertainties, including those discussed herein, many of which are beyond our control.</w:t>
      </w:r>
    </w:p>
    <w:p>
      <w:pPr>
        <w:spacing w:after="0" w:line="27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Unanticipated changes in effective tax rates or adverse outcomes resulting from examination of our income or other tax returns could adversely affect our operating results and financial condition.</w:t>
      </w:r>
    </w:p>
    <w:p>
      <w:pPr>
        <w:spacing w:after="0" w:line="58"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We are subject to income taxes in the U.S. and various foreign jurisdictions, and our domestic and international tax liabilities will be subject to the allocation of expenses in differing jurisdictions. Our future effective tax rates could be subject to volatility or adversely affected by a number of factors, including:</w:t>
      </w:r>
    </w:p>
    <w:p>
      <w:pPr>
        <w:spacing w:after="0" w:line="73" w:lineRule="exact"/>
        <w:rPr>
          <w:sz w:val="20"/>
          <w:szCs w:val="20"/>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expected timing and amount of the release of tax valuation allowances;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expiration of, or detrimental changes in, research and development tax credit laws;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tax laws, regulations, accounting principles or interpretations thereof; and</w:t>
      </w:r>
    </w:p>
    <w:p>
      <w:pPr>
        <w:spacing w:after="0" w:line="117" w:lineRule="exact"/>
        <w:rPr>
          <w:rFonts w:ascii="Arial" w:cs="Arial" w:eastAsia="Arial" w:hAnsi="Arial"/>
          <w:sz w:val="18"/>
          <w:szCs w:val="18"/>
          <w:color w:val="auto"/>
        </w:rPr>
      </w:pPr>
    </w:p>
    <w:p>
      <w:pPr>
        <w:ind w:left="1200" w:right="40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1" w:name="page22"/>
    <w:bookmarkEnd w:id="21"/>
    <w:p>
      <w:pPr>
        <w:ind w:left="600"/>
        <w:spacing w:after="0"/>
        <w:rPr>
          <w:sz w:val="20"/>
          <w:szCs w:val="20"/>
          <w:color w:val="auto"/>
        </w:rPr>
      </w:pPr>
      <w:r>
        <w:rPr>
          <w:rFonts w:ascii="Arial" w:cs="Arial" w:eastAsia="Arial" w:hAnsi="Arial"/>
          <w:sz w:val="17"/>
          <w:szCs w:val="17"/>
          <w:color w:val="auto"/>
        </w:rPr>
        <w:t>In addition, we are subject to audits of our income and sales taxes by the Internal Revenue Service and other foreign and state tax authorities.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our operating results and financial condition.</w:t>
      </w:r>
    </w:p>
    <w:p>
      <w:pPr>
        <w:spacing w:after="0" w:line="31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8" w:lineRule="exact"/>
        <w:rPr>
          <w:sz w:val="20"/>
          <w:szCs w:val="20"/>
          <w:color w:val="auto"/>
        </w:rPr>
      </w:pPr>
    </w:p>
    <w:p>
      <w:pPr>
        <w:ind w:right="260" w:firstLine="598"/>
        <w:spacing w:after="0" w:line="286" w:lineRule="auto"/>
        <w:rPr>
          <w:sz w:val="20"/>
          <w:szCs w:val="20"/>
          <w:color w:val="auto"/>
        </w:rPr>
      </w:pPr>
      <w:r>
        <w:rPr>
          <w:rFonts w:ascii="Arial" w:cs="Arial" w:eastAsia="Arial" w:hAnsi="Arial"/>
          <w:sz w:val="17"/>
          <w:szCs w:val="17"/>
          <w:color w:val="auto"/>
        </w:rPr>
        <w:t>The markets for supply chain management solutions are increasingly competitive and global. We expect competition to increase in the future both from existing competitors and new companies that may enter our markets. Increased competition could result in pricing pressure, reduced sales, lower margins or the failure of our solutions to achieve or maintain broad market acceptance. We face competition from:</w:t>
      </w:r>
    </w:p>
    <w:p>
      <w:pPr>
        <w:spacing w:after="0" w:line="57"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cloud service providers that deliver business-to-business information systems using a multi-tenant approach;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traditional on-premise software providers;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managed service providers that combine traditional on-premise software with professional information technology services.</w:t>
      </w:r>
    </w:p>
    <w:p>
      <w:pPr>
        <w:spacing w:after="0" w:line="117"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To remain competitive, we will need to invest continuously in software development, marketing, customer service and support, product delivery and other cloud-based Platform infrastructure. However, we cannot assure you that new or established competitors will not offer solutions that are superior to or lower in price than ours or both. We may not have sufficient resources to continue the investments in all areas of software development, marketing, customer service and support and infrastructure needed to maintain our competitive position. In addition, some of our competitors are better capitalized than us, which may provide them with an advantage in developing, marketing or servicing new solutions. Increased competition could reduce our market share, revenues and operating margins, increase our costs of operations and otherwise adversely affect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Mergers or other strategic transactions involving our competitors could weaken our competitive position, which could harm our operating results.</w:t>
      </w:r>
    </w:p>
    <w:p>
      <w:pPr>
        <w:spacing w:after="0" w:line="144" w:lineRule="exact"/>
        <w:rPr>
          <w:sz w:val="20"/>
          <w:szCs w:val="20"/>
          <w:color w:val="auto"/>
        </w:rPr>
      </w:pPr>
    </w:p>
    <w:p>
      <w:pPr>
        <w:ind w:right="100" w:firstLine="598"/>
        <w:spacing w:after="0" w:line="272" w:lineRule="auto"/>
        <w:rPr>
          <w:sz w:val="20"/>
          <w:szCs w:val="20"/>
          <w:color w:val="auto"/>
        </w:rPr>
      </w:pPr>
      <w:r>
        <w:rPr>
          <w:rFonts w:ascii="Arial" w:cs="Arial" w:eastAsia="Arial" w:hAnsi="Arial"/>
          <w:sz w:val="17"/>
          <w:szCs w:val="17"/>
          <w:color w:val="auto"/>
        </w:rPr>
        <w:t>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New entrants not currently considered to be competitors may also enter the market through acquisitions, partnerships, or strategic relationships. Any such consolidation, acquisition, alliance or cooperative relationship could lead to pricing pressure, loss of customers and our loss of market share and could result in a competitor with greater financial, technical, marketing, service and other resources, all of which could have a material adverse effect on our business, operating results and financial condition. Furthermore, such consolidation and acquisitions will reduce the number of potential acquisition targets for us to pursue.</w:t>
      </w:r>
    </w:p>
    <w:p>
      <w:pPr>
        <w:spacing w:after="0" w:line="322"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Economic weakness and uncertainty could adversely affect our revenue, lengthen our sales cycles and make it more difficult for us to forecast operating results accurately.</w:t>
      </w:r>
    </w:p>
    <w:p>
      <w:pPr>
        <w:spacing w:after="0" w:line="58"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Our revenues depend significantly on general economic conditions and the sustainability and health of retailers. Economic weakness and constrained retail spending adversely affected revenue growth rates in late 2008 and similar circumstances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increases the difficulty of forecasting operating results and making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 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ind w:right="720"/>
        <w:spacing w:after="0" w:line="313" w:lineRule="auto"/>
        <w:rPr>
          <w:sz w:val="20"/>
          <w:szCs w:val="20"/>
          <w:color w:val="auto"/>
        </w:rPr>
      </w:pPr>
      <w:r>
        <w:rPr>
          <w:rFonts w:ascii="Arial" w:cs="Arial" w:eastAsia="Arial" w:hAnsi="Arial"/>
          <w:sz w:val="17"/>
          <w:szCs w:val="17"/>
          <w:b w:val="1"/>
          <w:bCs w:val="1"/>
          <w:color w:val="auto"/>
        </w:rPr>
        <w:t>Our continued growth could strain our personnel resources and infrastructure, and if we are unable to implement appropriate controls and procedures to manage our growth, we may not be able to implement our business plan successfully.</w:t>
      </w:r>
    </w:p>
    <w:p>
      <w:pPr>
        <w:spacing w:after="0" w:line="34"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We have experienced a period of rapid growth in our headcount and operations. To the extent that we are able to sustain such growth, it might place a significant strain on our management, administrative, operational and financial resources and infrastructure. Our success will depend in part upon the ability of our senior management to manage this growth effectively. To do so, we must continue to hire, train and manage new employees as needed. If our new hires perform poorly, if we are unsuccessful in hiring, training, managing and integrating these new employees, if we are not successful in retaining our existing employees, or if our culture is adversely affected by any of the foregoing, our business would be harmed. To manage the expected growth of our operations and personnel, we will need to continue to improve our operational, financial and management controls and our reporting systems and procedures. The additional headcount we expect to be adding will increase our overhead and will make it more difficult for us to offset any future revenue or other performance shortfalls or projected shortfalls by reducing expenses in the short-term. If we fail to successfully manage our growth, we will be unable to execute our business plan as expected.</w:t>
      </w:r>
    </w:p>
    <w:p>
      <w:pPr>
        <w:spacing w:after="0" w:line="28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If we fail to retain members of our senior management team, including our Chief Executive Officer and other key personnel, our business plan would be impacted, and we might not be able to implement our plan successfully.</w:t>
      </w:r>
    </w:p>
    <w:p>
      <w:pPr>
        <w:spacing w:after="0" w:line="58" w:lineRule="exact"/>
        <w:rPr>
          <w:sz w:val="20"/>
          <w:szCs w:val="20"/>
          <w:color w:val="auto"/>
        </w:rPr>
      </w:pPr>
    </w:p>
    <w:p>
      <w:pPr>
        <w:ind w:right="80" w:firstLine="598"/>
        <w:spacing w:after="0" w:line="285" w:lineRule="auto"/>
        <w:rPr>
          <w:sz w:val="20"/>
          <w:szCs w:val="20"/>
          <w:color w:val="auto"/>
        </w:rPr>
      </w:pPr>
      <w:r>
        <w:rPr>
          <w:rFonts w:ascii="Arial" w:cs="Arial" w:eastAsia="Arial" w:hAnsi="Arial"/>
          <w:sz w:val="16"/>
          <w:szCs w:val="16"/>
          <w:color w:val="auto"/>
        </w:rPr>
        <w:t>Given the complex nature of the cloud-based technology through which our business operates and the speed with which such technology advances, our future success is dependent, in large part, upon our ability to attract and retain highly qualified managerial, technical and sales personnel. The loss of any member of our senior management team or key personnel might significantly delay or prevent the achievement of our business objectives and could materially harm our business and our customer relationships. In addition, because of the nature of our business, the loss of any significant number of our existing engineering, project management and sales personnel could have an adverse effect on our business, results of operations and financial</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condition. Competition for talented personnel is intense, and we cannot be certain that we can retain our managerial, technical and sales personnel or that we can attract, assimilate or retain such personnel in the future. Our inability to attract and retain such personnel could have an adverse effect on our business, results of operations and financial condition.</w:t>
      </w:r>
    </w:p>
    <w:p>
      <w:pPr>
        <w:spacing w:after="0" w:line="29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 and investor confidence in our financial reporting.</w:t>
      </w:r>
    </w:p>
    <w:p>
      <w:pPr>
        <w:spacing w:after="0" w:line="72"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periodically.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our business could be harmed and investor confidence in our financial reporting diminished.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ind w:right="320"/>
        <w:spacing w:after="0" w:line="282" w:lineRule="auto"/>
        <w:rPr>
          <w:sz w:val="20"/>
          <w:szCs w:val="20"/>
          <w:color w:val="auto"/>
        </w:rPr>
      </w:pPr>
      <w:r>
        <w:rPr>
          <w:rFonts w:ascii="Arial" w:cs="Arial" w:eastAsia="Arial" w:hAnsi="Arial"/>
          <w:sz w:val="18"/>
          <w:szCs w:val="18"/>
          <w:b w:val="1"/>
          <w:b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8"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We may need to raise additional capital due to shortfalls in cash flow or for other reasons, and we may not be able to obtain debt or additional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64" w:lineRule="exact"/>
        <w:rPr>
          <w:sz w:val="20"/>
          <w:szCs w:val="20"/>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enhance our solutions;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expand our technology development, sales and marketing organizations;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inability to do any of the foregoing could reduce our ability to compete successfully and adversely affect our results of operations.</w:t>
      </w:r>
    </w:p>
    <w:p>
      <w:pPr>
        <w:spacing w:after="0" w:line="329"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If open source, or other no-cost products and services, expand into enterprise application and supply chain software or solutions, our prices, revenues and operating results may decline.</w:t>
      </w:r>
    </w:p>
    <w:p>
      <w:pPr>
        <w:spacing w:after="0" w:line="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open source community is comprised of many different formal and informal groups of software developers and individuals who have created a wide variety of software and have made that software available for use, distribution and modification, often free of charge. Open source software, such as the Linux operating system, has been gaining in popularity among business users. If developers contribute enterprise and supply chain application software to the open source community, or if competitors make such software or service available at no cost, and that software or service has competitive features and scale to support users in our markets, we may need to lower our product pricing and alter our distribution strategy to compete successfully, and our revenues and operating results may decline as a result.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Shares of our common stock were sold in our April 2010 initial public offering at a split adjusted price of $6.00 per share, and through December 31, 2019, our common stock has traded as high as a split adjusted price of $59.14 per share and as low as a split adjusted price of $4.23 per share. An active, liquid and orderly market for our common stock may not be sustained, which could depress the trading price of our common stock. Some of the factors that may cause the market price of our common stock to fluctuate include:</w:t>
      </w:r>
    </w:p>
    <w:p>
      <w:pPr>
        <w:spacing w:after="0" w:line="79" w:lineRule="exact"/>
        <w:rPr>
          <w:sz w:val="20"/>
          <w:szCs w:val="20"/>
          <w:color w:val="auto"/>
        </w:rPr>
      </w:pPr>
    </w:p>
    <w:p>
      <w:pPr>
        <w:ind w:left="1200" w:right="8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guidance and quarterly financial results or the guidance or quarterly financial results of companies perceived to be similar to us;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recorded revenue, even during periods of significant sales order activity;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volume;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any of our solutions to achieve or maintain market acceptance;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valuations of companies perceived to be similar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 of competitive products or services;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solutions, contracts, acquisitions or strategic alliances;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in the United States of America, foreign countries or both;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17" w:lineRule="exact"/>
        <w:rPr>
          <w:sz w:val="20"/>
          <w:szCs w:val="20"/>
          <w:color w:val="auto"/>
        </w:rPr>
      </w:pPr>
    </w:p>
    <w:p>
      <w:pPr>
        <w:jc w:val="both"/>
        <w:ind w:right="100" w:firstLine="598"/>
        <w:spacing w:after="0" w:line="312" w:lineRule="auto"/>
        <w:rPr>
          <w:sz w:val="20"/>
          <w:szCs w:val="20"/>
          <w:color w:val="auto"/>
        </w:rPr>
      </w:pPr>
      <w:r>
        <w:rPr>
          <w:rFonts w:ascii="Arial" w:cs="Arial" w:eastAsia="Arial" w:hAnsi="Arial"/>
          <w:sz w:val="16"/>
          <w:szCs w:val="16"/>
          <w:color w:val="auto"/>
        </w:rPr>
        <w:t>In addition, if the market for software or technology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25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securities or industry analysts cease publishing research or reports about us, our business or our market, or if they publish negative evaluations of our stock, the price of our stock and trading volume could decline.</w:t>
      </w:r>
    </w:p>
    <w:p>
      <w:pPr>
        <w:spacing w:after="0" w:line="5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incorrect or unfavorable research about our business, our stock price would likely decline. In addition, if one or more of these analysts ceases coverage of our company or fails to publish reports on us regularly, demand for our stock could decrease, which could cause our stock price or trading volume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by our existing stockholders could cause our stock price to decline.</w:t>
      </w:r>
    </w:p>
    <w:p>
      <w:pPr>
        <w:spacing w:after="0" w:line="121" w:lineRule="exact"/>
        <w:rPr>
          <w:sz w:val="20"/>
          <w:szCs w:val="20"/>
          <w:color w:val="auto"/>
        </w:rPr>
      </w:pPr>
    </w:p>
    <w:p>
      <w:pPr>
        <w:ind w:right="360" w:firstLine="598"/>
        <w:spacing w:after="0" w:line="259" w:lineRule="auto"/>
        <w:rPr>
          <w:sz w:val="20"/>
          <w:szCs w:val="20"/>
          <w:color w:val="auto"/>
        </w:rPr>
      </w:pPr>
      <w:r>
        <w:rPr>
          <w:rFonts w:ascii="Arial" w:cs="Arial" w:eastAsia="Arial" w:hAnsi="Arial"/>
          <w:sz w:val="18"/>
          <w:szCs w:val="18"/>
          <w:color w:val="auto"/>
        </w:rPr>
        <w:t>If our stockholders sell substantial amounts of our common stock in the public market, the market price of our common stock could decrease significantly. The perception in the public market that our stockholders might sell shares of our common stock could also depress the market price of our common stock. As of December 31, 2019, we had approximately 12.1 million shares of our common stock issuable under approved equity compensation plans which are covered by effective registration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may delay, discourage, or inhibit a takeover that stockholders consider favorable.</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Provisions of our certificate of incorporation and bylaws and applicable provisions of Delaware law may delay, discourage, or inhibit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spacing w:after="0" w:line="79" w:lineRule="exact"/>
        <w:rPr>
          <w:sz w:val="20"/>
          <w:szCs w:val="20"/>
          <w:color w:val="auto"/>
        </w:rPr>
      </w:pPr>
    </w:p>
    <w:p>
      <w:pPr>
        <w:ind w:left="1200" w:right="12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117"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2" w:lineRule="exact"/>
        <w:rPr>
          <w:rFonts w:ascii="Arial" w:cs="Arial" w:eastAsia="Arial" w:hAnsi="Arial"/>
          <w:sz w:val="18"/>
          <w:szCs w:val="18"/>
          <w:color w:val="auto"/>
        </w:rPr>
      </w:pPr>
    </w:p>
    <w:p>
      <w:pPr>
        <w:ind w:left="1200" w:right="100" w:hanging="598"/>
        <w:spacing w:after="0" w:line="264"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firstLine="598"/>
        <w:spacing w:after="0" w:line="257" w:lineRule="auto"/>
        <w:rPr>
          <w:sz w:val="20"/>
          <w:szCs w:val="20"/>
          <w:color w:val="auto"/>
        </w:rPr>
      </w:pPr>
      <w:r>
        <w:rPr>
          <w:rFonts w:ascii="Arial" w:cs="Arial" w:eastAsia="Arial" w:hAnsi="Arial"/>
          <w:sz w:val="18"/>
          <w:szCs w:val="18"/>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declare dividends on our stock in the foreseeable future.</w:t>
      </w:r>
    </w:p>
    <w:p>
      <w:pPr>
        <w:spacing w:after="0" w:line="12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future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9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corporate headquarters, including our principal administrative, marketing, sales, technical support and research and development facilities, are located in Minneapolis, Minnesota where we lease approximately 189,000 square feet under an agreement that expires on April 30, 2025. We have agreed to expand our headquarters premises by approximately 25,000 square feet during 2020. Our lease agreement also includes a further expansion right and a right of first offer to lease certain additional space and two options to extend the term of the lease for five years at a market rate determined in accordance with the lease.</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also have operations in or near:</w:t>
      </w:r>
    </w:p>
    <w:p>
      <w:pPr>
        <w:spacing w:after="0" w:line="117" w:lineRule="exact"/>
        <w:rPr>
          <w:sz w:val="20"/>
          <w:szCs w:val="20"/>
          <w:color w:val="auto"/>
        </w:rPr>
      </w:pPr>
    </w:p>
    <w:p>
      <w:pPr>
        <w:ind w:left="1200" w:right="260" w:hanging="598"/>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Little Falls, New Jersey, where we lease approximately 26,000 square feet under an agreement that expires on June 30, 2023. The lease includes a right of first offer to lease certain additional space and one option to extend the term of the lease for five years at a market rate determined in accordance with the lease.</w:t>
      </w:r>
    </w:p>
    <w:p>
      <w:pPr>
        <w:spacing w:after="0" w:line="73" w:lineRule="exact"/>
        <w:rPr>
          <w:rFonts w:ascii="Arial" w:cs="Arial" w:eastAsia="Arial" w:hAnsi="Arial"/>
          <w:sz w:val="18"/>
          <w:szCs w:val="18"/>
          <w:color w:val="auto"/>
        </w:rPr>
      </w:pPr>
    </w:p>
    <w:p>
      <w:pPr>
        <w:ind w:left="1200" w:right="260" w:hanging="598"/>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Toronto, Ontario, where we lease approximately 17,000 square feet under an agreement that expires on December 31, 2021. The lease includes a right of first offer to lease certain additional space and one option to extend the term of the lease for five years at a market rate determined in accordance with the lease.</w:t>
      </w:r>
    </w:p>
    <w:p>
      <w:pPr>
        <w:spacing w:after="0" w:line="73" w:lineRule="exact"/>
        <w:rPr>
          <w:rFonts w:ascii="Arial" w:cs="Arial" w:eastAsia="Arial" w:hAnsi="Arial"/>
          <w:sz w:val="18"/>
          <w:szCs w:val="18"/>
          <w:color w:val="auto"/>
        </w:rPr>
      </w:pPr>
    </w:p>
    <w:p>
      <w:pPr>
        <w:ind w:left="1200" w:right="260" w:hanging="598"/>
        <w:spacing w:after="0" w:line="342" w:lineRule="auto"/>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Melbourne, Australia, where we lease approximately 11,000 square feet under an agreement that expires on October 15, 2021. The lease includes one option to extend the term of the lease for three years at a market rate determined in accordance with the lease.</w:t>
      </w:r>
    </w:p>
    <w:p>
      <w:pPr>
        <w:spacing w:after="0" w:line="15" w:lineRule="exact"/>
        <w:rPr>
          <w:rFonts w:ascii="Arial" w:cs="Arial" w:eastAsia="Arial" w:hAnsi="Arial"/>
          <w:sz w:val="16"/>
          <w:szCs w:val="16"/>
          <w:color w:val="auto"/>
        </w:rPr>
      </w:pPr>
    </w:p>
    <w:p>
      <w:pPr>
        <w:ind w:left="1200" w:right="60" w:hanging="598"/>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Houston, Texas, where we lease approximately 4,600 square feet under an agreement that expires on January 31, 2022. The lease includes a right of first offer to lease certain additional spaces and one option to extend the term of the lease for up to three years at a market rate determined in accordance with the lease.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26" w:name="page27"/>
    <w:bookmarkEnd w:id="26"/>
    <w:p>
      <w:pPr>
        <w:ind w:left="1200" w:hanging="598"/>
        <w:spacing w:after="0" w:line="26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Sydney, Australia, where we lease approximately 4,000 square feet under an agreement that expires on April 30, 2020. The lease includes a right of first offer to lease certain additional space and one option to extend the term of the lease for three years at a market rate determined in accordance with the lease.</w:t>
      </w:r>
    </w:p>
    <w:p>
      <w:pPr>
        <w:spacing w:after="0" w:line="73" w:lineRule="exact"/>
        <w:rPr>
          <w:rFonts w:ascii="Arial" w:cs="Arial" w:eastAsia="Arial" w:hAnsi="Arial"/>
          <w:sz w:val="18"/>
          <w:szCs w:val="18"/>
          <w:color w:val="auto"/>
        </w:rPr>
      </w:pPr>
    </w:p>
    <w:p>
      <w:pPr>
        <w:ind w:left="1200" w:right="40" w:hanging="598"/>
        <w:spacing w:after="0" w:line="297" w:lineRule="auto"/>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Kiev, Ukraine, where we lease approximately 10,000 square feet under an agreement that expires on April 26, 2020. The lease includes one option to extend the term of the lease for two years and 11 months at a market rate determined in accordance with the lease. We will not renew this lease upon termination as we signed a new lease at a different location in December 2019. The new lease is approximately 17,000 square feet under an agreement that expires on May 31, 2025, includes a right of first offer to lease certain additional space and one option to extend the term for five years and six months at a market rate determined in accordance with the lease.</w:t>
      </w:r>
    </w:p>
    <w:p>
      <w:pPr>
        <w:spacing w:after="0" w:line="50"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We believe that our current facilities are suitable and adequate to meet our current needs and that suitable additional or substitute space will be available as needed to accommodate expansion of our operations.</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or rights to indemnification in connection with potential legal proceedings that may arise.</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has traded on the Nasdaq Global Market under the symbol “SPSC” since April 22, 2010, the date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w:t>
      </w:r>
    </w:p>
    <w:p>
      <w:pPr>
        <w:spacing w:after="0" w:line="62"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As of February 7, 2020, we had 72 stockholders of record of our common stock, excluding holders whose stock is held</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nominee name and/or street name brokerage accounts.</w:t>
      </w:r>
    </w:p>
    <w:p>
      <w:pPr>
        <w:spacing w:after="0" w:line="62" w:lineRule="exact"/>
        <w:rPr>
          <w:sz w:val="20"/>
          <w:szCs w:val="20"/>
          <w:color w:val="auto"/>
        </w:rPr>
      </w:pPr>
    </w:p>
    <w:p>
      <w:pPr>
        <w:ind w:right="80" w:firstLine="598"/>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have not historically paid cash dividends on our common stock. We currently intend to retain our future earnings, if any, to finance</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 and expansion of our business, and, therefore,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and Cumulative Total Return</w:t>
      </w:r>
    </w:p>
    <w:p>
      <w:pPr>
        <w:spacing w:after="0" w:line="121"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i w:val="1"/>
          <w:iCs w:val="1"/>
          <w:color w:val="auto"/>
        </w:rPr>
        <w:t>Notwithstanding any statement to the contrary in any of our previous or future filings with the SEC, the following information relating to the price performance of our common stock shall not be deemed to be “filed” with the SEC or to be “soliciting material” under the Securities Exchange Act of 1934, as amended, (“Exchange Act”), and it shall not be deemed to be incorporated by reference into any of our filings under the (“Securities Act”) of 1933, as amended, or the Securities Act, or the Exchange Act, except to the extent we specifically incorporate it by reference into such filing.</w:t>
      </w:r>
    </w:p>
    <w:p>
      <w:pPr>
        <w:spacing w:after="0" w:line="63" w:lineRule="exact"/>
        <w:rPr>
          <w:sz w:val="20"/>
          <w:szCs w:val="20"/>
          <w:color w:val="auto"/>
        </w:rPr>
      </w:pPr>
    </w:p>
    <w:p>
      <w:pPr>
        <w:ind w:right="200" w:firstLine="598"/>
        <w:spacing w:after="0" w:line="276" w:lineRule="auto"/>
        <w:rPr>
          <w:sz w:val="20"/>
          <w:szCs w:val="20"/>
          <w:color w:val="auto"/>
        </w:rPr>
      </w:pPr>
      <w:r>
        <w:rPr>
          <w:rFonts w:ascii="Arial" w:cs="Arial" w:eastAsia="Arial" w:hAnsi="Arial"/>
          <w:sz w:val="17"/>
          <w:szCs w:val="17"/>
          <w:color w:val="auto"/>
        </w:rPr>
        <w:t>The graph below compares the cumulative total stockholder return of our common stock with that of the Nasdaq US Benchmark TR Index and the Nasdaq US Benchmark Computer Services TR Index from December 31, 2014 through December 31, 2019, utilizing the last trading day of each respective year. The graph assumes that $100 was invested in shares of our common stock, the Nasdaq US Benchmark TR Index and the Nasdaq US Benchmark Computer Services TR Index at the close of market on December 31, 2014, and that dividends, if any, were reinvested. The comparisons in this graph are based on historical data and are not intended to forecast or be indicative of future performance of our common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Returns of SPS Commerce, Inc., Nasdaq US Benchmark TR Index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US Benchmark Computer Services TR Index</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Nasdaq US</w:t>
            </w:r>
          </w:p>
        </w:tc>
        <w:tc>
          <w:tcPr>
            <w:tcW w:w="2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Nasdaq US</w:t>
            </w:r>
          </w:p>
        </w:tc>
      </w:tr>
      <w:tr>
        <w:trPr>
          <w:trHeight w:val="162"/>
        </w:trPr>
        <w:tc>
          <w:tcPr>
            <w:tcW w:w="5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Benchmark</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Benchmark Computer</w:t>
            </w:r>
          </w:p>
        </w:tc>
      </w:tr>
      <w:tr>
        <w:trPr>
          <w:trHeight w:val="171"/>
        </w:trPr>
        <w:tc>
          <w:tcPr>
            <w:tcW w:w="5080" w:type="dxa"/>
            <w:vAlign w:val="bottom"/>
          </w:tcPr>
          <w:p>
            <w:pPr>
              <w:spacing w:after="0"/>
              <w:rPr>
                <w:sz w:val="14"/>
                <w:szCs w:val="14"/>
                <w:color w:val="auto"/>
              </w:rPr>
            </w:pPr>
          </w:p>
        </w:tc>
        <w:tc>
          <w:tcPr>
            <w:tcW w:w="2160" w:type="dxa"/>
            <w:vAlign w:val="bottom"/>
            <w:gridSpan w:val="2"/>
          </w:tcPr>
          <w:p>
            <w:pPr>
              <w:ind w:left="460"/>
              <w:spacing w:after="0"/>
              <w:rPr>
                <w:sz w:val="20"/>
                <w:szCs w:val="20"/>
                <w:color w:val="auto"/>
              </w:rPr>
            </w:pPr>
            <w:r>
              <w:rPr>
                <w:rFonts w:ascii="Arial" w:cs="Arial" w:eastAsia="Arial" w:hAnsi="Arial"/>
                <w:sz w:val="14"/>
                <w:szCs w:val="14"/>
                <w:b w:val="1"/>
                <w:bCs w:val="1"/>
                <w:color w:val="auto"/>
              </w:rPr>
              <w:t>SPS Commerce</w:t>
            </w: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TR Index</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Services TR Index</w:t>
            </w:r>
          </w:p>
        </w:tc>
      </w:tr>
      <w:tr>
        <w:trPr>
          <w:trHeight w:val="223"/>
        </w:trPr>
        <w:tc>
          <w:tcPr>
            <w:tcW w:w="5080" w:type="dxa"/>
            <w:vAlign w:val="bottom"/>
            <w:tcBorders>
              <w:top w:val="single" w:sz="8" w:color="CFF0FC"/>
            </w:tcBorders>
            <w:shd w:val="clear" w:color="auto" w:fill="CFF0FC"/>
          </w:tcPr>
          <w:p>
            <w:pPr>
              <w:jc w:val="right"/>
              <w:ind w:right="2130"/>
              <w:spacing w:after="0"/>
              <w:rPr>
                <w:sz w:val="20"/>
                <w:szCs w:val="20"/>
                <w:color w:val="auto"/>
              </w:rPr>
            </w:pPr>
            <w:r>
              <w:rPr>
                <w:rFonts w:ascii="Arial" w:cs="Arial" w:eastAsia="Arial" w:hAnsi="Arial"/>
                <w:sz w:val="18"/>
                <w:szCs w:val="18"/>
                <w:color w:val="auto"/>
              </w:rPr>
              <w:t>12/31/2014</w:t>
            </w:r>
          </w:p>
        </w:tc>
        <w:tc>
          <w:tcPr>
            <w:tcW w:w="1900" w:type="dxa"/>
            <w:vAlign w:val="bottom"/>
            <w:tcBorders>
              <w:top w:val="single" w:sz="8" w:color="auto"/>
            </w:tcBorders>
            <w:shd w:val="clear" w:color="auto" w:fill="CFF0FC"/>
          </w:tcPr>
          <w:p>
            <w:pPr>
              <w:jc w:val="center"/>
              <w:ind w:left="12"/>
              <w:spacing w:after="0"/>
              <w:rPr>
                <w:sz w:val="20"/>
                <w:szCs w:val="20"/>
                <w:color w:val="auto"/>
              </w:rPr>
            </w:pPr>
            <w:r>
              <w:rPr>
                <w:rFonts w:ascii="Arial" w:cs="Arial" w:eastAsia="Arial" w:hAnsi="Arial"/>
                <w:sz w:val="18"/>
                <w:szCs w:val="18"/>
                <w:color w:val="auto"/>
                <w:w w:val="88"/>
              </w:rPr>
              <w:t>100.0</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12/31/2015</w:t>
            </w:r>
          </w:p>
        </w:tc>
        <w:tc>
          <w:tcPr>
            <w:tcW w:w="1900" w:type="dxa"/>
            <w:vAlign w:val="bottom"/>
          </w:tcPr>
          <w:p>
            <w:pPr>
              <w:jc w:val="center"/>
              <w:ind w:left="12"/>
              <w:spacing w:after="0"/>
              <w:rPr>
                <w:sz w:val="20"/>
                <w:szCs w:val="20"/>
                <w:color w:val="auto"/>
              </w:rPr>
            </w:pPr>
            <w:r>
              <w:rPr>
                <w:rFonts w:ascii="Arial" w:cs="Arial" w:eastAsia="Arial" w:hAnsi="Arial"/>
                <w:sz w:val="18"/>
                <w:szCs w:val="18"/>
                <w:color w:val="auto"/>
                <w:w w:val="88"/>
              </w:rPr>
              <w:t>124.0</w:t>
            </w:r>
          </w:p>
        </w:tc>
        <w:tc>
          <w:tcPr>
            <w:tcW w:w="260" w:type="dxa"/>
            <w:vAlign w:val="bottom"/>
          </w:tcPr>
          <w:p>
            <w:pPr>
              <w:spacing w:after="0"/>
              <w:rPr>
                <w:sz w:val="19"/>
                <w:szCs w:val="19"/>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19"/>
                <w:szCs w:val="19"/>
                <w:color w:val="auto"/>
              </w:rPr>
            </w:pPr>
          </w:p>
        </w:tc>
        <w:tc>
          <w:tcPr>
            <w:tcW w:w="1900" w:type="dxa"/>
            <w:vAlign w:val="bottom"/>
          </w:tcPr>
          <w:p>
            <w:pPr>
              <w:jc w:val="center"/>
              <w:ind w:left="16"/>
              <w:spacing w:after="0"/>
              <w:rPr>
                <w:sz w:val="20"/>
                <w:szCs w:val="20"/>
                <w:color w:val="auto"/>
              </w:rPr>
            </w:pPr>
            <w:r>
              <w:rPr>
                <w:rFonts w:ascii="Arial" w:cs="Arial" w:eastAsia="Arial" w:hAnsi="Arial"/>
                <w:sz w:val="18"/>
                <w:szCs w:val="18"/>
                <w:color w:val="auto"/>
                <w:w w:val="91"/>
              </w:rPr>
              <w:t>97.9</w:t>
            </w:r>
          </w:p>
        </w:tc>
        <w:tc>
          <w:tcPr>
            <w:tcW w:w="120" w:type="dxa"/>
            <w:vAlign w:val="bottom"/>
          </w:tcPr>
          <w:p>
            <w:pPr>
              <w:spacing w:after="0"/>
              <w:rPr>
                <w:sz w:val="19"/>
                <w:szCs w:val="19"/>
                <w:color w:val="auto"/>
              </w:rPr>
            </w:pPr>
          </w:p>
        </w:tc>
      </w:tr>
      <w:tr>
        <w:trPr>
          <w:trHeight w:val="230"/>
        </w:trPr>
        <w:tc>
          <w:tcPr>
            <w:tcW w:w="508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12/30/2016</w:t>
            </w:r>
          </w:p>
        </w:tc>
        <w:tc>
          <w:tcPr>
            <w:tcW w:w="190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8"/>
              </w:rPr>
              <w:t>123.4</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rPr>
              <w:t>113.6</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88"/>
              </w:rPr>
              <w:t>156.9</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12/29/2017</w:t>
            </w:r>
          </w:p>
        </w:tc>
        <w:tc>
          <w:tcPr>
            <w:tcW w:w="1900" w:type="dxa"/>
            <w:vAlign w:val="bottom"/>
          </w:tcPr>
          <w:p>
            <w:pPr>
              <w:jc w:val="center"/>
              <w:ind w:left="12"/>
              <w:spacing w:after="0"/>
              <w:rPr>
                <w:sz w:val="20"/>
                <w:szCs w:val="20"/>
                <w:color w:val="auto"/>
              </w:rPr>
            </w:pPr>
            <w:r>
              <w:rPr>
                <w:rFonts w:ascii="Arial" w:cs="Arial" w:eastAsia="Arial" w:hAnsi="Arial"/>
                <w:sz w:val="18"/>
                <w:szCs w:val="18"/>
                <w:color w:val="auto"/>
                <w:w w:val="91"/>
              </w:rPr>
              <w:t>85.8</w:t>
            </w:r>
          </w:p>
        </w:tc>
        <w:tc>
          <w:tcPr>
            <w:tcW w:w="260" w:type="dxa"/>
            <w:vAlign w:val="bottom"/>
          </w:tcPr>
          <w:p>
            <w:pPr>
              <w:spacing w:after="0"/>
              <w:rPr>
                <w:sz w:val="19"/>
                <w:szCs w:val="19"/>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137.8</w:t>
            </w:r>
          </w:p>
        </w:tc>
        <w:tc>
          <w:tcPr>
            <w:tcW w:w="260" w:type="dxa"/>
            <w:vAlign w:val="bottom"/>
          </w:tcPr>
          <w:p>
            <w:pPr>
              <w:spacing w:after="0"/>
              <w:rPr>
                <w:sz w:val="19"/>
                <w:szCs w:val="19"/>
                <w:color w:val="auto"/>
              </w:rPr>
            </w:pPr>
          </w:p>
        </w:tc>
        <w:tc>
          <w:tcPr>
            <w:tcW w:w="1900" w:type="dxa"/>
            <w:vAlign w:val="bottom"/>
          </w:tcPr>
          <w:p>
            <w:pPr>
              <w:jc w:val="center"/>
              <w:ind w:left="16"/>
              <w:spacing w:after="0"/>
              <w:rPr>
                <w:sz w:val="20"/>
                <w:szCs w:val="20"/>
                <w:color w:val="auto"/>
              </w:rPr>
            </w:pPr>
            <w:r>
              <w:rPr>
                <w:rFonts w:ascii="Arial" w:cs="Arial" w:eastAsia="Arial" w:hAnsi="Arial"/>
                <w:sz w:val="18"/>
                <w:szCs w:val="18"/>
                <w:color w:val="auto"/>
                <w:w w:val="88"/>
              </w:rPr>
              <w:t>127.1</w:t>
            </w:r>
          </w:p>
        </w:tc>
        <w:tc>
          <w:tcPr>
            <w:tcW w:w="120" w:type="dxa"/>
            <w:vAlign w:val="bottom"/>
          </w:tcPr>
          <w:p>
            <w:pPr>
              <w:spacing w:after="0"/>
              <w:rPr>
                <w:sz w:val="19"/>
                <w:szCs w:val="19"/>
                <w:color w:val="auto"/>
              </w:rPr>
            </w:pPr>
          </w:p>
        </w:tc>
      </w:tr>
      <w:tr>
        <w:trPr>
          <w:trHeight w:val="230"/>
        </w:trPr>
        <w:tc>
          <w:tcPr>
            <w:tcW w:w="508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12/31/2018</w:t>
            </w:r>
          </w:p>
        </w:tc>
        <w:tc>
          <w:tcPr>
            <w:tcW w:w="190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8"/>
              </w:rPr>
              <w:t>145.5</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rPr>
              <w:t>130.3</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88"/>
              </w:rPr>
              <w:t>116.3</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12/31/2019</w:t>
            </w:r>
          </w:p>
        </w:tc>
        <w:tc>
          <w:tcPr>
            <w:tcW w:w="1900" w:type="dxa"/>
            <w:vAlign w:val="bottom"/>
          </w:tcPr>
          <w:p>
            <w:pPr>
              <w:jc w:val="center"/>
              <w:ind w:left="12"/>
              <w:spacing w:after="0"/>
              <w:rPr>
                <w:sz w:val="20"/>
                <w:szCs w:val="20"/>
                <w:color w:val="auto"/>
              </w:rPr>
            </w:pPr>
            <w:r>
              <w:rPr>
                <w:rFonts w:ascii="Arial" w:cs="Arial" w:eastAsia="Arial" w:hAnsi="Arial"/>
                <w:sz w:val="18"/>
                <w:szCs w:val="18"/>
                <w:color w:val="auto"/>
                <w:w w:val="88"/>
              </w:rPr>
              <w:t>195.7</w:t>
            </w:r>
          </w:p>
        </w:tc>
        <w:tc>
          <w:tcPr>
            <w:tcW w:w="260" w:type="dxa"/>
            <w:vAlign w:val="bottom"/>
          </w:tcPr>
          <w:p>
            <w:pPr>
              <w:spacing w:after="0"/>
              <w:rPr>
                <w:sz w:val="20"/>
                <w:szCs w:val="20"/>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171.0</w:t>
            </w:r>
          </w:p>
        </w:tc>
        <w:tc>
          <w:tcPr>
            <w:tcW w:w="260" w:type="dxa"/>
            <w:vAlign w:val="bottom"/>
          </w:tcPr>
          <w:p>
            <w:pPr>
              <w:spacing w:after="0"/>
              <w:rPr>
                <w:sz w:val="20"/>
                <w:szCs w:val="20"/>
                <w:color w:val="auto"/>
              </w:rPr>
            </w:pPr>
          </w:p>
        </w:tc>
        <w:tc>
          <w:tcPr>
            <w:tcW w:w="1900" w:type="dxa"/>
            <w:vAlign w:val="bottom"/>
          </w:tcPr>
          <w:p>
            <w:pPr>
              <w:jc w:val="center"/>
              <w:ind w:left="16"/>
              <w:spacing w:after="0"/>
              <w:rPr>
                <w:sz w:val="20"/>
                <w:szCs w:val="20"/>
                <w:color w:val="auto"/>
              </w:rPr>
            </w:pPr>
            <w:r>
              <w:rPr>
                <w:rFonts w:ascii="Arial" w:cs="Arial" w:eastAsia="Arial" w:hAnsi="Arial"/>
                <w:sz w:val="18"/>
                <w:szCs w:val="18"/>
                <w:color w:val="auto"/>
                <w:w w:val="88"/>
              </w:rPr>
              <w:t>148.0</w:t>
            </w:r>
          </w:p>
        </w:tc>
        <w:tc>
          <w:tcPr>
            <w:tcW w:w="120" w:type="dxa"/>
            <w:vAlign w:val="bottom"/>
          </w:tcPr>
          <w:p>
            <w:pPr>
              <w:spacing w:after="0"/>
              <w:rPr>
                <w:sz w:val="20"/>
                <w:szCs w:val="20"/>
                <w:color w:val="auto"/>
              </w:rPr>
            </w:pPr>
          </w:p>
        </w:tc>
      </w:tr>
      <w:tr>
        <w:trPr>
          <w:trHeight w:val="431"/>
        </w:trPr>
        <w:tc>
          <w:tcPr>
            <w:tcW w:w="5080" w:type="dxa"/>
            <w:vAlign w:val="bottom"/>
          </w:tcPr>
          <w:p>
            <w:pPr>
              <w:spacing w:after="0"/>
              <w:rPr>
                <w:sz w:val="24"/>
                <w:szCs w:val="24"/>
                <w:color w:val="auto"/>
              </w:rPr>
            </w:pPr>
          </w:p>
        </w:tc>
        <w:tc>
          <w:tcPr>
            <w:tcW w:w="1900" w:type="dxa"/>
            <w:vAlign w:val="bottom"/>
          </w:tcPr>
          <w:p>
            <w:pPr>
              <w:jc w:val="right"/>
              <w:ind w:right="1092"/>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500380</wp:posOffset>
            </wp:positionV>
            <wp:extent cx="5342890" cy="2667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34289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Sales of 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right="440" w:firstLine="598"/>
        <w:spacing w:after="0" w:line="259" w:lineRule="auto"/>
        <w:rPr>
          <w:sz w:val="20"/>
          <w:szCs w:val="20"/>
          <w:color w:val="auto"/>
        </w:rPr>
      </w:pPr>
      <w:r>
        <w:rPr>
          <w:rFonts w:ascii="Arial" w:cs="Arial" w:eastAsia="Arial" w:hAnsi="Arial"/>
          <w:sz w:val="18"/>
          <w:szCs w:val="18"/>
          <w:color w:val="auto"/>
        </w:rPr>
        <w:t>On November 2, 2017, our board of directors authorized a program to repurchase up to $50.0 million of common stock. Under this program, we repurchased 417,564 shares at a cost of $20.6 million and 579,490 shares at a cost of $19.9 million for the years ended December 31, 2019 and 2018, respectively. On November 2, 2019, $3.7 million expired from the November 2, 2017 repurchase program. Shares have been adjusted for all periods to reflect a two-for-one stock split effective August 22, 2019.</w:t>
      </w:r>
    </w:p>
    <w:p>
      <w:pPr>
        <w:spacing w:after="0" w:line="79"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On November 2, 2019, our board of directors authorized a new program to repurchase up to $50 million of common stock. Under the program, purchases may be made from time to time in the open market over two years. As of December 31, 2019, $50.0 million of the share repurchase authorized was available for future share repurchases.</w:t>
      </w:r>
    </w:p>
    <w:p>
      <w:pPr>
        <w:spacing w:after="0" w:line="73"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The following table presents the total number of shares of our common stock that we purchased during the fourth quarter of 2019, the average price paid per share, the number of shares that we purchased as part of our publicly announced repurchase program and the approximate dollar value of shares that still could be repurchased at the end of the applicable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Publicly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ind w:left="2700"/>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Paid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2"/>
                <w:szCs w:val="12"/>
                <w:b w:val="1"/>
                <w:bCs w:val="1"/>
                <w:color w:val="auto"/>
                <w:w w:val="94"/>
              </w:rPr>
              <w:t>(1)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 xml:space="preserve">Program </w:t>
            </w:r>
            <w:r>
              <w:rPr>
                <w:rFonts w:ascii="Arial" w:cs="Arial" w:eastAsia="Arial" w:hAnsi="Arial"/>
                <w:sz w:val="12"/>
                <w:szCs w:val="12"/>
                <w:b w:val="1"/>
                <w:bCs w:val="1"/>
                <w:color w:val="auto"/>
                <w:w w:val="96"/>
              </w:rPr>
              <w:t>(1)(2)</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1 - 31, 2019</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117,014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117,014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3,703,000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November 1 - 30, 2019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1 - 31, 2019</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 fourth quarter 2019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117,014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48.30</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0" w:right="140" w:hanging="592"/>
        <w:spacing w:after="0" w:line="253" w:lineRule="auto"/>
        <w:tabs>
          <w:tab w:leader="none" w:pos="600" w:val="left"/>
        </w:tabs>
        <w:numPr>
          <w:ilvl w:val="0"/>
          <w:numId w:val="21"/>
        </w:numPr>
        <w:rPr>
          <w:rFonts w:ascii="Arial" w:cs="Arial" w:eastAsia="Arial" w:hAnsi="Arial"/>
          <w:sz w:val="14"/>
          <w:szCs w:val="14"/>
          <w:color w:val="212529"/>
        </w:rPr>
      </w:pPr>
      <w:r>
        <w:rPr>
          <w:rFonts w:ascii="Arial" w:cs="Arial" w:eastAsia="Arial" w:hAnsi="Arial"/>
          <w:sz w:val="14"/>
          <w:szCs w:val="14"/>
          <w:color w:val="212529"/>
        </w:rPr>
        <w:t>Pursuant to a $50.0 million share repurchase program that was announced by our board of directors on November 2, 2017. Under the program, purchases may be made from time to time in the open market through November 2, 2019. This program expired on November 2, 2019 with $3.7 million shares unused for stock repurchases.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 w:name="page30"/>
    <w:bookmarkEnd w:id="29"/>
    <w:p>
      <w:pPr>
        <w:ind w:left="600" w:right="120" w:hanging="592"/>
        <w:spacing w:after="0" w:line="253" w:lineRule="auto"/>
        <w:tabs>
          <w:tab w:leader="none" w:pos="600" w:val="left"/>
        </w:tabs>
        <w:numPr>
          <w:ilvl w:val="0"/>
          <w:numId w:val="22"/>
        </w:numPr>
        <w:rPr>
          <w:rFonts w:ascii="Arial" w:cs="Arial" w:eastAsia="Arial" w:hAnsi="Arial"/>
          <w:sz w:val="14"/>
          <w:szCs w:val="14"/>
          <w:color w:val="212529"/>
        </w:rPr>
      </w:pPr>
      <w:r>
        <w:rPr>
          <w:rFonts w:ascii="Arial" w:cs="Arial" w:eastAsia="Arial" w:hAnsi="Arial"/>
          <w:sz w:val="14"/>
          <w:szCs w:val="14"/>
          <w:color w:val="212529"/>
        </w:rPr>
        <w:t>Pursuant to a $50.0 million share repurchase program that was announced by our board of directors on November 2, 2019. Under the program, purchases may be made from time to time in the open market through November 2, 2021.</w:t>
      </w:r>
    </w:p>
    <w:p>
      <w:pPr>
        <w:spacing w:after="0" w:line="84"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See Note L to our consolidated financial statements, included in this Annual Report on Form 10-K, for additional information regarding our stock repurchase program.</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 xml:space="preserve">The following selected financial data should be read together with our audited consolidated financial statements and the related notes and with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which are included elsewhere in this Annual Report on Form 10-K. Our historical results are not necessarily indicative of results to be expected for any future period.</w:t>
      </w:r>
    </w:p>
    <w:p>
      <w:pPr>
        <w:spacing w:after="0" w:line="73"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The statements of income data for each of the years ended December 31, 2019, 2018 and 2017, the balance sheet data as of December 31, 2019 and 2018, and the operating data relating to Adjusted EBITDA and non-GAAP income per diluted share for each of the years ended December 31, 2019, 2018 and 2017 have been derived from our audited consolidated financial statements, which are included in this Annual Report on Form 10-K.</w:t>
      </w:r>
    </w:p>
    <w:p>
      <w:pPr>
        <w:spacing w:after="0" w:line="39"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statement of income data for the year ended December 31, 2016, the balance sheet data as of December 31, 2017, and the operating data relating to Adjusted EBITDA and non-GAAP income per diluted share for the year ended December 31, 2016 have been derived from our audited consolidated financial statements which are not included in this Annual Report on Form 10-K, but which have been included in prior Annual Reports on Form 10-K filed with the SEC.</w:t>
      </w:r>
    </w:p>
    <w:p>
      <w:pPr>
        <w:spacing w:after="0" w:line="79"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 xml:space="preserve">The statement of income data for the year ended December 31, 2015, the balance sheet data as of December 31, 2016 and 2015, and the operating data relating to Adjusted EBITDA and non-GAAP income per diluted share for each of the year ended December 31, 2015 have been derived from our audited consolidated financial statements which are not included in this Annual Report on Form 10-K, but which have been included in prior Annual Reports on Form 10-K filed with the SEC. These statements do not reflect our adoption of Accounting Standards Update (“ASU”) No.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 and Other Assets and Deferred Costs – Contracts with Customers (Subtopic 340-40)</w:t>
      </w:r>
      <w:r>
        <w:rPr>
          <w:rFonts w:ascii="Arial" w:cs="Arial" w:eastAsia="Arial" w:hAnsi="Arial"/>
          <w:sz w:val="17"/>
          <w:szCs w:val="17"/>
          <w:color w:val="auto"/>
        </w:rPr>
        <w:t>.</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Adjusted EBITDA and non-GAAP income per diluted share are non-GAAP financial measures. We believe that these non-GAAP measures provide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useful information to management and investors regarding certain financial and business trends relating to our financial condition and results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operations. Our management uses these non-GAAP measures to compare the company’s performance to that of prior periods for trend analyses and planning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Adjusted EBITDA is also used for purposes of determining executive and senior management incentive compensation. These measures are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presented to our board of directors.</w:t>
      </w:r>
    </w:p>
    <w:p>
      <w:pPr>
        <w:spacing w:after="0" w:line="103" w:lineRule="exact"/>
        <w:rPr>
          <w:sz w:val="20"/>
          <w:szCs w:val="20"/>
          <w:color w:val="auto"/>
        </w:rPr>
      </w:pPr>
    </w:p>
    <w:p>
      <w:pPr>
        <w:ind w:right="240" w:firstLine="598"/>
        <w:spacing w:after="0" w:line="302" w:lineRule="auto"/>
        <w:rPr>
          <w:sz w:val="20"/>
          <w:szCs w:val="20"/>
          <w:color w:val="auto"/>
        </w:rPr>
      </w:pPr>
      <w:r>
        <w:rPr>
          <w:rFonts w:ascii="Arial" w:cs="Arial" w:eastAsia="Arial" w:hAnsi="Arial"/>
          <w:sz w:val="16"/>
          <w:szCs w:val="16"/>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the company’s financial statements and are subject to inherent limitations. Investors should review the reconciliations of these non-GAAP financial measures to the comparable GAAP financial measures that are included below.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0" w:name="page31"/>
    <w:bookmarkEnd w:id="30"/>
    <w:p>
      <w:pPr>
        <w:ind w:right="280" w:firstLine="598"/>
        <w:spacing w:after="0" w:line="277" w:lineRule="auto"/>
        <w:rPr>
          <w:sz w:val="20"/>
          <w:szCs w:val="20"/>
          <w:color w:val="auto"/>
        </w:rPr>
      </w:pPr>
      <w:r>
        <w:rPr>
          <w:rFonts w:ascii="Arial" w:cs="Arial" w:eastAsia="Arial" w:hAnsi="Arial"/>
          <w:sz w:val="18"/>
          <w:szCs w:val="18"/>
          <w:color w:val="auto"/>
        </w:rPr>
        <w:t>The operating data relating to recurring revenue customers for all periods presented is unaudited and has been derived from our internal records of our operations.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9"/>
          </w:tcPr>
          <w:p>
            <w:pPr>
              <w:jc w:val="center"/>
              <w:ind w:right="44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Statements of Income Data</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279,124</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248,240</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220,085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193,153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Cost of revenues </w:t>
            </w:r>
            <w:r>
              <w:rPr>
                <w:rFonts w:ascii="Arial" w:cs="Arial" w:eastAsia="Arial" w:hAnsi="Arial"/>
                <w:sz w:val="15"/>
                <w:szCs w:val="15"/>
                <w:color w:val="auto"/>
              </w:rPr>
              <w:t>(1)</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92,239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73,625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64,346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186,885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166,492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146,460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128,807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70,140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71,719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71,261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148,479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139,761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136,479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net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earn-out liability</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33,712</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0.96</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0.94</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33,894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34,482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0260" w:type="dxa"/>
            <w:vAlign w:val="bottom"/>
            <w:gridSpan w:val="14"/>
          </w:tcPr>
          <w:p>
            <w:pPr>
              <w:jc w:val="center"/>
              <w:ind w:left="310"/>
              <w:spacing w:after="0"/>
              <w:rPr>
                <w:sz w:val="20"/>
                <w:szCs w:val="20"/>
                <w:color w:val="auto"/>
              </w:rPr>
            </w:pPr>
            <w:r>
              <w:rPr>
                <w:rFonts w:ascii="Arial" w:cs="Arial" w:eastAsia="Arial" w:hAnsi="Arial"/>
                <w:sz w:val="18"/>
                <w:szCs w:val="18"/>
                <w:color w:val="auto"/>
                <w:w w:val="89"/>
              </w:rPr>
              <w:t>Shares and per share data have been adjusted for all periods presented to reflect a two-for-one stock split effective August 22, 2019.</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As of December 31,</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Balance Sheet Data</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179,252</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133,859</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123,127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115,877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223,591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193,093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180,386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156,359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447,440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339,738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354,876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318,974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288,111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257,767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9"/>
          </w:tcPr>
          <w:p>
            <w:pPr>
              <w:jc w:val="center"/>
              <w:ind w:right="460"/>
              <w:spacing w:after="0" w:line="155" w:lineRule="exact"/>
              <w:rPr>
                <w:sz w:val="20"/>
                <w:szCs w:val="20"/>
                <w:color w:val="auto"/>
              </w:rPr>
            </w:pPr>
            <w:r>
              <w:rPr>
                <w:rFonts w:ascii="Arial" w:cs="Arial" w:eastAsia="Arial" w:hAnsi="Arial"/>
                <w:sz w:val="14"/>
                <w:szCs w:val="14"/>
                <w:b w:val="1"/>
                <w:bCs w:val="1"/>
                <w:color w:val="auto"/>
                <w:w w:val="94"/>
              </w:rPr>
              <w:t>(Unaudited, adjusted EBITDA 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Data</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(2)</w:t>
            </w:r>
          </w:p>
        </w:tc>
        <w:tc>
          <w:tcPr>
            <w:tcW w:w="2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69,763</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51,301</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34,170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25,370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diluted share with tax</w:t>
            </w:r>
          </w:p>
        </w:tc>
        <w:tc>
          <w:tcPr>
            <w:tcW w:w="220" w:type="dxa"/>
            <w:vAlign w:val="bottom"/>
            <w:vMerge w:val="restart"/>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460" w:type="dxa"/>
            <w:vAlign w:val="bottom"/>
            <w:gridSpan w:val="2"/>
            <w:vMerge w:val="restart"/>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FF0FC"/>
          </w:tcPr>
          <w:p>
            <w:pPr>
              <w:spacing w:after="0"/>
              <w:rPr>
                <w:sz w:val="18"/>
                <w:szCs w:val="18"/>
                <w:color w:val="auto"/>
              </w:rPr>
            </w:pPr>
          </w:p>
        </w:tc>
        <w:tc>
          <w:tcPr>
            <w:tcW w:w="340" w:type="dxa"/>
            <w:vAlign w:val="bottom"/>
            <w:gridSpan w:val="2"/>
            <w:vMerge w:val="restart"/>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CFF0FC"/>
          </w:tcPr>
          <w:p>
            <w:pPr>
              <w:spacing w:after="0"/>
              <w:rPr>
                <w:sz w:val="18"/>
                <w:szCs w:val="18"/>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FF0FC"/>
          </w:tcPr>
          <w:p>
            <w:pPr>
              <w:spacing w:after="0"/>
              <w:rPr>
                <w:sz w:val="18"/>
                <w:szCs w:val="18"/>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6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(3)</w:t>
            </w:r>
          </w:p>
        </w:tc>
        <w:tc>
          <w:tcPr>
            <w:tcW w:w="220" w:type="dxa"/>
            <w:vAlign w:val="bottom"/>
            <w:vMerge w:val="continue"/>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460" w:type="dxa"/>
            <w:vAlign w:val="bottom"/>
            <w:gridSpan w:val="2"/>
            <w:vMerge w:val="continue"/>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gridSpan w:val="2"/>
            <w:vMerge w:val="continue"/>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 xml:space="preserve">Recurring revenue customers </w:t>
            </w:r>
            <w:r>
              <w:rPr>
                <w:rFonts w:ascii="Arial" w:cs="Arial" w:eastAsia="Arial" w:hAnsi="Arial"/>
                <w:sz w:val="15"/>
                <w:szCs w:val="15"/>
                <w:color w:val="auto"/>
              </w:rPr>
              <w:t>(4)</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30,771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25,751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24,805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left="600"/>
        <w:spacing w:after="0"/>
        <w:rPr>
          <w:sz w:val="20"/>
          <w:szCs w:val="20"/>
          <w:color w:val="auto"/>
        </w:rPr>
      </w:pPr>
      <w:r>
        <w:rPr>
          <w:rFonts w:ascii="Arial" w:cs="Arial" w:eastAsia="Arial" w:hAnsi="Arial"/>
          <w:sz w:val="18"/>
          <w:szCs w:val="18"/>
          <w:color w:val="auto"/>
        </w:rPr>
        <w:t>Per share data have been adjusted for all periods presented to reflect a two-for-one stock split effective August 22, 2019.</w:t>
      </w: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_____________</w:t>
      </w:r>
    </w:p>
    <w:p>
      <w:pPr>
        <w:spacing w:after="0" w:line="31" w:lineRule="exact"/>
        <w:rPr>
          <w:sz w:val="20"/>
          <w:szCs w:val="20"/>
          <w:color w:val="auto"/>
        </w:rPr>
      </w:pPr>
    </w:p>
    <w:p>
      <w:pPr>
        <w:ind w:left="600" w:hanging="592"/>
        <w:spacing w:after="0"/>
        <w:tabs>
          <w:tab w:leader="none" w:pos="600" w:val="left"/>
        </w:tabs>
        <w:numPr>
          <w:ilvl w:val="0"/>
          <w:numId w:val="23"/>
        </w:numPr>
        <w:rPr>
          <w:rFonts w:ascii="Arial" w:cs="Arial" w:eastAsia="Arial" w:hAnsi="Arial"/>
          <w:sz w:val="15"/>
          <w:szCs w:val="15"/>
          <w:color w:val="auto"/>
        </w:rPr>
      </w:pPr>
      <w:r>
        <w:rPr>
          <w:rFonts w:ascii="Arial" w:cs="Arial" w:eastAsia="Arial" w:hAnsi="Arial"/>
          <w:sz w:val="18"/>
          <w:szCs w:val="18"/>
          <w:color w:val="auto"/>
        </w:rPr>
        <w:t>See stock-based compensation disclosures in Note M, expense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hanging="592"/>
        <w:spacing w:after="0" w:line="287"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6"/>
          <w:szCs w:val="16"/>
          <w:color w:val="auto"/>
        </w:rPr>
        <w:t>Adjusted EBITDA consists of net income adjusted for depreciation and amortization, interest expense, interest income, income tax expense, stock-based compensation expense, the discrete impact from tax law change and other adjustments as necessary for a fair presentation. In 2017, the discrete impact from tax law change included $6.8 million of tax expense related to The Tax Cuts and Jobs Act (“Tax Act”) reduction in the corporate tax rate to 21.0% resulting in a decrease in our net deferred tax assets. Other adjustments included the impact of the fair value adjustment for the EDIAdmin earn-out liability in 2019 and 2018, returned escrow shares in 2019 related to the acquisition of ToolBox Solutions (“ToolBox”), loss on disposals in 2019, impairment of internally developed software in 2019, the fair value adjustment for the ToolBox share-based earn-out liability in 2016, as well as the impact of use tax refunds in 2015 related to items previously expensed. We use Adjusted EBITDA as a measure of operating performance because it assists us in comparing performance on a consistent basis, as it removes the impact of our capital structure from our operating results.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to Adjusted EBITDA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9,572</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(2,329)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(1,032)</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(601)</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4,468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Discrete impact from tax law change</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w:t>
            </w: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51,301</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22,620</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right="140" w:hanging="592"/>
        <w:spacing w:after="0" w:line="297" w:lineRule="auto"/>
        <w:tabs>
          <w:tab w:leader="none" w:pos="600" w:val="left"/>
        </w:tabs>
        <w:numPr>
          <w:ilvl w:val="0"/>
          <w:numId w:val="25"/>
        </w:numPr>
        <w:rPr>
          <w:rFonts w:ascii="Arial" w:cs="Arial" w:eastAsia="Arial" w:hAnsi="Arial"/>
          <w:sz w:val="14"/>
          <w:szCs w:val="14"/>
          <w:color w:val="auto"/>
        </w:rPr>
      </w:pPr>
      <w:r>
        <w:rPr>
          <w:rFonts w:ascii="Arial" w:cs="Arial" w:eastAsia="Arial" w:hAnsi="Arial"/>
          <w:sz w:val="16"/>
          <w:szCs w:val="16"/>
          <w:color w:val="auto"/>
        </w:rPr>
        <w:t>Non-GAAP income per share consists of net income plus stock-based compensation expense, 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EDIAdmin earn-out liability in 2019 and 2018, returned escrow shares in 2019 related to the acquisition of ToolBox, depreciation on asset retirements and disposals in 2019, impairment of internally developed software in 2019, and the fair value adjustment for the ToolBox share-based earn-out liability in 2016.</w:t>
      </w:r>
    </w:p>
    <w:p>
      <w:pPr>
        <w:spacing w:after="0" w:line="50" w:lineRule="exact"/>
        <w:rPr>
          <w:rFonts w:ascii="Arial" w:cs="Arial" w:eastAsia="Arial" w:hAnsi="Arial"/>
          <w:sz w:val="14"/>
          <w:szCs w:val="14"/>
          <w:color w:val="auto"/>
        </w:rPr>
      </w:pPr>
    </w:p>
    <w:p>
      <w:pPr>
        <w:ind w:left="600" w:right="340"/>
        <w:spacing w:after="0" w:line="264" w:lineRule="auto"/>
        <w:rPr>
          <w:rFonts w:ascii="Arial" w:cs="Arial" w:eastAsia="Arial" w:hAnsi="Arial"/>
          <w:sz w:val="14"/>
          <w:szCs w:val="14"/>
          <w:color w:val="auto"/>
        </w:rPr>
      </w:pPr>
      <w:r>
        <w:rPr>
          <w:rFonts w:ascii="Arial" w:cs="Arial" w:eastAsia="Arial" w:hAnsi="Arial"/>
          <w:sz w:val="18"/>
          <w:szCs w:val="18"/>
          <w:color w:val="auto"/>
        </w:rPr>
        <w:t>To quantify the tax effects, we recalculate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2" w:name="page33"/>
    <w:bookmarkEnd w:id="32"/>
    <w:p>
      <w:pPr>
        <w:ind w:left="600" w:right="500"/>
        <w:spacing w:after="0" w:line="342" w:lineRule="auto"/>
        <w:rPr>
          <w:sz w:val="20"/>
          <w:szCs w:val="20"/>
          <w:color w:val="auto"/>
        </w:rPr>
      </w:pPr>
      <w:r>
        <w:rPr>
          <w:rFonts w:ascii="Arial" w:cs="Arial" w:eastAsia="Arial" w:hAnsi="Arial"/>
          <w:sz w:val="16"/>
          <w:szCs w:val="16"/>
          <w:color w:val="auto"/>
        </w:rPr>
        <w:t>We believe non-GAAP income per share is useful to an investor because it is widely used to measure a company’s operating performance. The following table provides a reconciliation of net income to non-GAAP income per share (in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Discrete impact from tax law change</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as historically reported</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16,618</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Borders>
              <w:bottom w:val="single" w:sz="8" w:color="CFF0FC"/>
            </w:tcBorders>
          </w:tcPr>
          <w:p>
            <w:pPr>
              <w:spacing w:after="0"/>
              <w:rPr>
                <w:sz w:val="22"/>
                <w:szCs w:val="22"/>
                <w:color w:val="auto"/>
              </w:rPr>
            </w:pPr>
          </w:p>
        </w:tc>
      </w:tr>
      <w:tr>
        <w:trPr>
          <w:trHeight w:val="21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effects of adjustments</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(6,594)</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(4,870)</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FF0FC"/>
          </w:tcPr>
          <w:p>
            <w:pPr>
              <w:spacing w:after="0"/>
              <w:rPr>
                <w:sz w:val="18"/>
                <w:szCs w:val="18"/>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with tax adjustments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33,975</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17,675</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100" w:type="dxa"/>
            <w:vAlign w:val="bottom"/>
            <w:tcBorders>
              <w:bottom w:val="single" w:sz="8" w:color="CFF0FC"/>
            </w:tcBorders>
          </w:tcPr>
          <w:p>
            <w:pPr>
              <w:spacing w:after="0"/>
              <w:rPr>
                <w:sz w:val="22"/>
                <w:szCs w:val="22"/>
                <w:color w:val="auto"/>
              </w:rPr>
            </w:pPr>
          </w:p>
        </w:tc>
      </w:tr>
      <w:tr>
        <w:trPr>
          <w:trHeight w:val="196"/>
        </w:trPr>
        <w:tc>
          <w:tcPr>
            <w:tcW w:w="52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Shares used to compute non-GAAP income</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share</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34,392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33,130</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Non-GAAP income per share with tax adjustments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0.96</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 as historically</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reported</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FF0FC"/>
          </w:tcPr>
          <w:p>
            <w:pPr>
              <w:spacing w:after="0"/>
              <w:rPr>
                <w:sz w:val="19"/>
                <w:szCs w:val="19"/>
                <w:color w:val="auto"/>
              </w:rPr>
            </w:pPr>
          </w:p>
        </w:tc>
      </w:tr>
    </w:tbl>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August 22, 2019.</w:t>
      </w:r>
    </w:p>
    <w:p>
      <w:pPr>
        <w:spacing w:after="0" w:line="117" w:lineRule="exact"/>
        <w:rPr>
          <w:sz w:val="20"/>
          <w:szCs w:val="20"/>
          <w:color w:val="auto"/>
        </w:rPr>
      </w:pPr>
    </w:p>
    <w:p>
      <w:pPr>
        <w:ind w:left="600" w:right="60" w:hanging="592"/>
        <w:spacing w:after="0" w:line="302" w:lineRule="auto"/>
        <w:tabs>
          <w:tab w:leader="none" w:pos="60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This reflects the number of recurring revenue customers at the end of the period. Recurring revenue customers are customers with monthly to annual contracts to pay for recurring monthly services. A small portion of our recurring revenue customers consists of separate units within a larger organization. We treat each of these units, which may include divisions, departments, affiliates and franchises, as distinct customers. Our contracts with our recurring revenue customers typically allow the customer to cancel the contract for any reason with 30 to 90 days’ notice.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63"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79" w:lineRule="exact"/>
        <w:rPr>
          <w:sz w:val="20"/>
          <w:szCs w:val="20"/>
          <w:color w:val="auto"/>
        </w:rPr>
      </w:pPr>
    </w:p>
    <w:p>
      <w:pPr>
        <w:ind w:right="320" w:firstLine="598"/>
        <w:spacing w:after="0" w:line="257" w:lineRule="auto"/>
        <w:rPr>
          <w:sz w:val="20"/>
          <w:szCs w:val="20"/>
          <w:color w:val="auto"/>
        </w:rPr>
      </w:pPr>
      <w:r>
        <w:rPr>
          <w:rFonts w:ascii="Arial" w:cs="Arial" w:eastAsia="Arial" w:hAnsi="Arial"/>
          <w:sz w:val="18"/>
          <w:szCs w:val="18"/>
          <w:color w:val="auto"/>
        </w:rPr>
        <w:t>For the years ended December 31, 2019, 2018 and 2017, we generated revenues of $279.1 million, $248.2 million and $220.1 million, respectively. Our fiscal quarter ended December 31, 2019 represented our 76th consecutive quarter of increased revenues. Recurring revenues from recurring revenue customers accounted for 94%, 93% and 93% of our total revenues for the years ended December 31, 2019, 2018 and 2017, respectively. Our revenues are not concentrated with any customer, as our largest customer represented less than 1% of total revenues for the years ended December 31, 2019, 2018 and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117" w:lineRule="exact"/>
        <w:rPr>
          <w:sz w:val="20"/>
          <w:szCs w:val="20"/>
          <w:color w:val="auto"/>
        </w:rPr>
      </w:pPr>
    </w:p>
    <w:p>
      <w:pPr>
        <w:ind w:right="520" w:firstLine="598"/>
        <w:spacing w:after="0" w:line="264" w:lineRule="auto"/>
        <w:rPr>
          <w:sz w:val="20"/>
          <w:szCs w:val="20"/>
          <w:color w:val="auto"/>
        </w:rPr>
      </w:pPr>
      <w:r>
        <w:rPr>
          <w:rFonts w:ascii="Arial" w:cs="Arial" w:eastAsia="Arial" w:hAnsi="Arial"/>
          <w:sz w:val="18"/>
          <w:szCs w:val="18"/>
          <w:i w:val="1"/>
          <w:iCs w:val="1"/>
          <w:color w:val="auto"/>
        </w:rPr>
        <w:t xml:space="preserve">Trading Partner Community. </w:t>
      </w:r>
      <w:r>
        <w:rPr>
          <w:rFonts w:ascii="Arial" w:cs="Arial" w:eastAsia="Arial" w:hAnsi="Arial"/>
          <w:sz w:val="18"/>
          <w:szCs w:val="18"/>
          <w:color w:val="auto"/>
        </w:rPr>
        <w:t>Our Community solution provides communication programs based on our best practices. These programs enable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from large and small retailers and suppliers to emerging providers of value-added products and services, to establish trading partner relationships with new trading partners to expand their businesses.</w:t>
      </w:r>
    </w:p>
    <w:p>
      <w:pPr>
        <w:spacing w:after="0" w:line="73"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i w:val="1"/>
          <w:iCs w:val="1"/>
          <w:color w:val="auto"/>
        </w:rPr>
        <w:t xml:space="preserve">Trading Partner Fulfillment. </w:t>
      </w:r>
      <w:r>
        <w:rPr>
          <w:rFonts w:ascii="Arial" w:cs="Arial" w:eastAsia="Arial" w:hAnsi="Arial"/>
          <w:sz w:val="18"/>
          <w:szCs w:val="18"/>
          <w:color w:val="auto"/>
        </w:rPr>
        <w:t>Our Fulfillment solution provides fulfillment automation and replaces or augments an organization’s existing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electronic communication infrastructure, enabling suppliers to have visibility into the journey of an order and comply with retailers’ rule books and enabling the electronic exchange of information among numerous trading partners through various protocols.</w:t>
      </w:r>
    </w:p>
    <w:p>
      <w:pPr>
        <w:spacing w:after="0" w:line="73" w:lineRule="exact"/>
        <w:rPr>
          <w:sz w:val="20"/>
          <w:szCs w:val="20"/>
          <w:color w:val="auto"/>
        </w:rPr>
      </w:pPr>
    </w:p>
    <w:p>
      <w:pPr>
        <w:ind w:right="420" w:firstLine="598"/>
        <w:spacing w:after="0" w:line="312" w:lineRule="auto"/>
        <w:rPr>
          <w:sz w:val="20"/>
          <w:szCs w:val="20"/>
          <w:color w:val="auto"/>
        </w:rPr>
      </w:pPr>
      <w:r>
        <w:rPr>
          <w:rFonts w:ascii="Arial" w:cs="Arial" w:eastAsia="Arial" w:hAnsi="Arial"/>
          <w:sz w:val="16"/>
          <w:szCs w:val="16"/>
          <w:i w:val="1"/>
          <w:iCs w:val="1"/>
          <w:color w:val="auto"/>
        </w:rPr>
        <w:t xml:space="preserve">Trading Partner Assortment. </w:t>
      </w:r>
      <w:r>
        <w:rPr>
          <w:rFonts w:ascii="Arial" w:cs="Arial" w:eastAsia="Arial" w:hAnsi="Arial"/>
          <w:sz w:val="16"/>
          <w:szCs w:val="16"/>
          <w:color w:val="auto"/>
        </w:rPr>
        <w:t>Today’s retail marketplace requires the management of numerous individual attributes associated with each item a</w:t>
      </w:r>
      <w:r>
        <w:rPr>
          <w:rFonts w:ascii="Arial" w:cs="Arial" w:eastAsia="Arial" w:hAnsi="Arial"/>
          <w:sz w:val="16"/>
          <w:szCs w:val="16"/>
          <w:i w:val="1"/>
          <w:iCs w:val="1"/>
          <w:color w:val="auto"/>
        </w:rPr>
        <w:t xml:space="preserve"> </w:t>
      </w:r>
      <w:r>
        <w:rPr>
          <w:rFonts w:ascii="Arial" w:cs="Arial" w:eastAsia="Arial" w:hAnsi="Arial"/>
          <w:sz w:val="16"/>
          <w:szCs w:val="16"/>
          <w:color w:val="auto"/>
        </w:rPr>
        <w:t>retailer or supplier sells today. This information can include digital images/video, customer facing descriptions and measurements, and warehouse information. Our Assortment product provides robust, extensible management of this information, enabling accurate orders and rapid fulfillment.</w:t>
      </w:r>
    </w:p>
    <w:p>
      <w:pPr>
        <w:spacing w:after="0" w:line="39"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i w:val="1"/>
          <w:iCs w:val="1"/>
          <w:color w:val="auto"/>
        </w:rPr>
        <w:t xml:space="preserve">Trading Partner Analytics. </w:t>
      </w:r>
      <w:r>
        <w:rPr>
          <w:rFonts w:ascii="Arial" w:cs="Arial" w:eastAsia="Arial" w:hAnsi="Arial"/>
          <w:sz w:val="17"/>
          <w:szCs w:val="17"/>
          <w:color w:val="auto"/>
        </w:rPr>
        <w:t>Our Analytics solution consists of data analytics applications that enable our customers to improve their visibility across,</w:t>
      </w:r>
      <w:r>
        <w:rPr>
          <w:rFonts w:ascii="Arial" w:cs="Arial" w:eastAsia="Arial" w:hAnsi="Arial"/>
          <w:sz w:val="17"/>
          <w:szCs w:val="17"/>
          <w:i w:val="1"/>
          <w:iCs w:val="1"/>
          <w:color w:val="auto"/>
        </w:rPr>
        <w:t xml:space="preserve"> </w:t>
      </w:r>
      <w:r>
        <w:rPr>
          <w:rFonts w:ascii="Arial" w:cs="Arial" w:eastAsia="Arial" w:hAnsi="Arial"/>
          <w:sz w:val="17"/>
          <w:szCs w:val="17"/>
          <w:color w:val="auto"/>
        </w:rPr>
        <w:t>and analysis of, their supply chains. When focused on point-of-sale data, for example, retailers and suppliers can ensure inventory is located where demand is highest. Retailers improve their visibility into supplier performance and their understanding of product sell-through.</w:t>
      </w:r>
    </w:p>
    <w:p>
      <w:pPr>
        <w:spacing w:after="0" w:line="57" w:lineRule="exact"/>
        <w:rPr>
          <w:sz w:val="20"/>
          <w:szCs w:val="20"/>
          <w:color w:val="auto"/>
        </w:rPr>
      </w:pPr>
    </w:p>
    <w:p>
      <w:pPr>
        <w:ind w:right="100" w:firstLine="598"/>
        <w:spacing w:after="0" w:line="308" w:lineRule="auto"/>
        <w:rPr>
          <w:sz w:val="20"/>
          <w:szCs w:val="20"/>
          <w:color w:val="auto"/>
        </w:rPr>
      </w:pPr>
      <w:r>
        <w:rPr>
          <w:rFonts w:ascii="Arial" w:cs="Arial" w:eastAsia="Arial" w:hAnsi="Arial"/>
          <w:sz w:val="17"/>
          <w:szCs w:val="17"/>
          <w:i w:val="1"/>
          <w:iCs w:val="1"/>
          <w:color w:val="auto"/>
        </w:rPr>
        <w:t>Trading Partner Sourcing</w:t>
      </w:r>
      <w:r>
        <w:rPr>
          <w:rFonts w:ascii="Arial" w:cs="Arial" w:eastAsia="Arial" w:hAnsi="Arial"/>
          <w:sz w:val="17"/>
          <w:szCs w:val="17"/>
          <w:color w:val="auto"/>
        </w:rPr>
        <w:t>. Through Retail Universe, our social network for the retail industry, retailers can source providers of new items, suppliers</w:t>
      </w:r>
      <w:r>
        <w:rPr>
          <w:rFonts w:ascii="Arial" w:cs="Arial" w:eastAsia="Arial" w:hAnsi="Arial"/>
          <w:sz w:val="17"/>
          <w:szCs w:val="17"/>
          <w:i w:val="1"/>
          <w:iCs w:val="1"/>
          <w:color w:val="auto"/>
        </w:rPr>
        <w:t xml:space="preserve"> </w:t>
      </w:r>
      <w:r>
        <w:rPr>
          <w:rFonts w:ascii="Arial" w:cs="Arial" w:eastAsia="Arial" w:hAnsi="Arial"/>
          <w:sz w:val="17"/>
          <w:szCs w:val="17"/>
          <w:color w:val="auto"/>
        </w:rPr>
        <w:t>can connect with new retailers and the broader retailing community can make connections to expand their business networks and grow.</w:t>
      </w:r>
    </w:p>
    <w:p>
      <w:pPr>
        <w:spacing w:after="0" w:line="38"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i w:val="1"/>
          <w:iCs w:val="1"/>
          <w:color w:val="auto"/>
        </w:rPr>
        <w:t xml:space="preserve">Other Trading Partner Solutions. </w:t>
      </w:r>
      <w:r>
        <w:rPr>
          <w:rFonts w:ascii="Arial" w:cs="Arial" w:eastAsia="Arial" w:hAnsi="Arial"/>
          <w:sz w:val="18"/>
          <w:szCs w:val="18"/>
          <w:color w:val="auto"/>
        </w:rPr>
        <w:t>We provide a number of peripheral solutions such as barcode labeling, planogram services and our scan and pack</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which helps trading partners process information to streamline the picking and packaging process.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Cost of Revenues and Operating Expenses</w:t>
      </w:r>
    </w:p>
    <w:p>
      <w:pPr>
        <w:spacing w:after="0" w:line="117"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consist primarily of personnel costs for our customer success and implementation teams, customer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application support personnel. Cost of revenues also includes our cost of network services, which is primarily data center costs for the locations where we keep the equipment that serves our customers, cloud provider services, and connectivity costs that facilitate electronic data transmission between our customers and their trading partners.</w:t>
      </w:r>
    </w:p>
    <w:p>
      <w:pPr>
        <w:spacing w:after="0" w:line="79"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personnel costs for our sales, marketing and product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teams, commissions earned by our sales personnel and marketing costs.</w:t>
      </w:r>
    </w:p>
    <w:p>
      <w:pPr>
        <w:spacing w:after="0" w:line="62"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personnel costs for development of new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of existing solutions, net of amounts capitalized as developed software. Our research and development group is also responsible for enhancing existing solutions and applications, internal tools, and developing new information maps that integrate our customers to their trading partners in compliance with those trading partners’ requirements.</w:t>
      </w:r>
    </w:p>
    <w:p>
      <w:pPr>
        <w:spacing w:after="0" w:line="79"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personnel costs for finance, human resources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information technology support, as well as legal, accounting and other fees, such as credit card processing fees.</w:t>
      </w:r>
    </w:p>
    <w:p>
      <w:pPr>
        <w:spacing w:after="0" w:line="62"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i w:val="1"/>
          <w:iCs w:val="1"/>
          <w:color w:val="auto"/>
        </w:rPr>
        <w:t xml:space="preserve">Overhead Allocation. </w:t>
      </w:r>
      <w:r>
        <w:rPr>
          <w:rFonts w:ascii="Arial" w:cs="Arial" w:eastAsia="Arial" w:hAnsi="Arial"/>
          <w:sz w:val="18"/>
          <w:szCs w:val="18"/>
          <w:color w:val="auto"/>
        </w:rPr>
        <w:t>We allocate overhead expenses such as rent, certain employee benefit costs, office supplies and depreciation of general office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to cost of revenues and operating expenses categories based on headcount.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Metrics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 xml:space="preserve">Recurring Revenue Customers. </w:t>
      </w:r>
      <w:r>
        <w:rPr>
          <w:rFonts w:ascii="Arial" w:cs="Arial" w:eastAsia="Arial" w:hAnsi="Arial"/>
          <w:sz w:val="18"/>
          <w:szCs w:val="18"/>
          <w:color w:val="auto"/>
        </w:rPr>
        <w:t>As of December 31, 2019, we had approximately 31,000 customers with contracts to pay us monthly fees,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to as recurring revenue customers. We report recurring revenue customers as of the end of a period. A small portion of our recurring revenue customers consist of separate units within a larger organization. We treat each of these units, which may include divisions, departments, affiliates and franchises, as distinct customers.</w:t>
      </w:r>
    </w:p>
    <w:p>
      <w:pPr>
        <w:spacing w:after="0" w:line="79"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i w:val="1"/>
          <w:iCs w:val="1"/>
          <w:color w:val="auto"/>
        </w:rPr>
        <w:t xml:space="preserve">Average Recurring Revenues Per Recurring Revenue Customer. </w:t>
      </w:r>
      <w:r>
        <w:rPr>
          <w:rFonts w:ascii="Arial" w:cs="Arial" w:eastAsia="Arial" w:hAnsi="Arial"/>
          <w:sz w:val="16"/>
          <w:szCs w:val="16"/>
          <w:color w:val="auto"/>
        </w:rPr>
        <w:t>We calculate average recurring revenues per recurring revenue customer,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also refer to as wallet share, by dividing the recurring revenues from recurring revenue customers for the period by the average of the beginning and ending number of recurring revenue customers for the period. For interim periods, we annualize this number by multiplying the quotient calculated above by the quotient of 12 divided by the number of months in the period. We anticipate that average recurring revenues per recurring revenue customer will continue to increase as we increase the number of solutions we offer and increase the penetration of those solutions across our customer base.</w:t>
      </w:r>
    </w:p>
    <w:p>
      <w:pPr>
        <w:spacing w:after="0" w:line="50"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i w:val="1"/>
          <w:iCs w:val="1"/>
          <w:color w:val="auto"/>
        </w:rPr>
        <w:t xml:space="preserve">Non-GAAP Financial Measures. </w:t>
      </w:r>
      <w:r>
        <w:rPr>
          <w:rFonts w:ascii="Arial" w:cs="Arial" w:eastAsia="Arial" w:hAnsi="Arial"/>
          <w:sz w:val="16"/>
          <w:szCs w:val="16"/>
          <w:color w:val="auto"/>
        </w:rPr>
        <w:t>To supplement our financial statements, we also provide investors with Adjusted EBITDA and non-GAAP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50" w:lineRule="exact"/>
        <w:rPr>
          <w:sz w:val="20"/>
          <w:szCs w:val="20"/>
          <w:color w:val="auto"/>
        </w:rPr>
      </w:pPr>
    </w:p>
    <w:p>
      <w:pPr>
        <w:jc w:val="both"/>
        <w:ind w:right="20" w:firstLine="598"/>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The discussion of our financial condition and results of operations is based upon our consolidated financial statements, which are prepared in accordance with GAAP. The preparation of these consolidated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6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believe that our significant accounting policies, which are described in the notes to our consolidated financial statements, involve a greater degree of judgment and complexity and are material to our financial statement presentation.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 Our set-up fees from customers are one-time revenues that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80" w:lineRule="exact"/>
        <w:rPr>
          <w:sz w:val="20"/>
          <w:szCs w:val="20"/>
          <w:color w:val="auto"/>
        </w:rPr>
      </w:pPr>
    </w:p>
    <w:p>
      <w:pPr>
        <w:jc w:val="both"/>
        <w:ind w:right="600" w:firstLine="598"/>
        <w:spacing w:after="0" w:line="264" w:lineRule="auto"/>
        <w:rPr>
          <w:sz w:val="20"/>
          <w:szCs w:val="20"/>
          <w:color w:val="auto"/>
        </w:rPr>
      </w:pPr>
      <w:r>
        <w:rPr>
          <w:rFonts w:ascii="Arial" w:cs="Arial" w:eastAsia="Arial" w:hAnsi="Arial"/>
          <w:sz w:val="18"/>
          <w:szCs w:val="18"/>
          <w:color w:val="auto"/>
        </w:rPr>
        <w:t>Certain contracts contain set-up fees that constitute a material renewal option right. This material right provides customers a significant future incentive that would not be otherwise available to that customer unless they entered into the contract as the set-up fees will not be incurred again upon contract renewal.</w:t>
      </w:r>
    </w:p>
    <w:p>
      <w:pPr>
        <w:spacing w:after="0" w:line="73"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For our Fulfillment solution, we have determined that the set-up fees and related costs represent a material renewal option right to our customers as they will not be incurred again upon renewal. These set-up fees and related costs are deferred and recognized ratably over two years, which is the estimated period for which a material right is present for our customers.</w:t>
      </w:r>
    </w:p>
    <w:p>
      <w:pPr>
        <w:spacing w:after="0" w:line="73"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For our Analytics solution, we have determined that the set-up fees do not represent a material customer renewal right and, as such, are deferred and recognized ratably over the estimated initial contract term, which is one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117"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Internal-use software consists of capitalized costs incurred during the application development stage, which include costs related to the design of the chosen path, coding, installation of the hardware necessary to run the software, and any testing done before the operational stage. Costs incurred during the preliminary project stage and post-implementation stage are expensed as incurred. Internal-use software is depreciated over the estimated useful life, commencing on the date when the asset is ready for its intended use. Depreciation is computed using the straight-line method. Maintenance and enhancements of internal-use software are expensed as incurred. The assets and related accumulated depreciation are adjusted for asset retirements and disposals with the resulting gain or loss included in our consolidated statements of comprehensive income.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results of operations for the periods indicated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 of revenues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 of revenues</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279,124</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248,240</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30,884</w:t>
            </w: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92,239</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33.0</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81,748</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10,491</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186,885</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166,492</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20,393</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70,140</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71,719</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(1,579)</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28,305</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22,087</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6,218</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44,719</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41,862</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148,479</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8,718</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38,406</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26,731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11,675</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2,947</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(626)</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Change in earn-out liability</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539</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w:t>
            </w:r>
          </w:p>
        </w:tc>
        <w:tc>
          <w:tcPr>
            <w:tcW w:w="4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42,070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28,340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13,730</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33,712</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w:t>
            </w: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revenues resulted from two primary factors: the increase in recurring revenue customers, which is driven by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growth and by business acquisitions, and the increase in average recurring revenues per recurring revenue customer, which we also refer to as wallet share.</w:t>
      </w:r>
    </w:p>
    <w:p>
      <w:pPr>
        <w:spacing w:after="0" w:line="73" w:lineRule="exact"/>
        <w:rPr>
          <w:sz w:val="20"/>
          <w:szCs w:val="20"/>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5% to 30,771 at December 31, 2019 from 29,308 at December 31, 2018.</w:t>
      </w:r>
    </w:p>
    <w:p>
      <w:pPr>
        <w:spacing w:after="0" w:line="117"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Wallet share increased 4% to $8,722 at December 31, 2019 from $8,378 at December 31, 2018. This was primarily attributable to increased usage of our solutions by our recurring revenue customers.</w:t>
      </w:r>
    </w:p>
    <w:p>
      <w:pPr>
        <w:spacing w:after="0" w:line="62"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Recurring revenues from recurring revenue customers increased 14% in 2019, as compared to 2018, and accounted for 94% of our total revenues in 2019, as compared to 93% in 2018. We anticipate that the number of recurring revenue customers and wallet share will continue to increase as we increase the number of solutions we offer and increase the penetration of those solutions across our customer base.</w:t>
      </w:r>
    </w:p>
    <w:p>
      <w:pPr>
        <w:spacing w:after="0" w:line="57" w:lineRule="exact"/>
        <w:rPr>
          <w:sz w:val="20"/>
          <w:szCs w:val="20"/>
          <w:color w:val="auto"/>
        </w:rPr>
      </w:pPr>
    </w:p>
    <w:p>
      <w:pPr>
        <w:jc w:val="both"/>
        <w:ind w:right="80" w:firstLine="598"/>
        <w:spacing w:after="0" w:line="286"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The increase in cost of revenues was primarily due to a $7.1 million increase in personnel-related costs and $0.7 million in stock-based compensation expense, driven by increased salaries and benefits due to business growth and by increased headcount, consulting, and contract labor. As we continued to invest in the infrastructure supporting our cloud-based platform, depreciation expense increased by $2.1 million.</w:t>
      </w:r>
    </w:p>
    <w:p>
      <w:pPr>
        <w:spacing w:after="0" w:line="57"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The decrease in sales and marketing expenses was primarily due to a decrease of $1.5 million in personnel-related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a decrease of $0.8 million in variable compensation earned by sales personnel and partner referrals. The decrease was offset by an increase of $0.3 million in promotional expenses, an increase of $0.3 million in stock-based compensation, and an increase of $0.2 million in software subscriptions.</w:t>
      </w:r>
    </w:p>
    <w:p>
      <w:pPr>
        <w:spacing w:after="0" w:line="39"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expenses was primarily due to a $4.6 million increase in personnel-related costs and a $1.1 million increase in stock-based compensation expense driven by continued business growth which led to increased headcount and increases to expenses for consulting, contract labor, salaries, benefits, and stock-based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ind w:right="180" w:firstLine="59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increase in general and administrative expenses was primarily due to continued business growth, which</w:t>
      </w:r>
      <w:r>
        <w:rPr>
          <w:rFonts w:ascii="Arial" w:cs="Arial" w:eastAsia="Arial" w:hAnsi="Arial"/>
          <w:sz w:val="18"/>
          <w:szCs w:val="18"/>
          <w:i w:val="1"/>
          <w:iCs w:val="1"/>
          <w:color w:val="auto"/>
        </w:rPr>
        <w:t xml:space="preserve"> </w:t>
      </w:r>
      <w:r>
        <w:rPr>
          <w:rFonts w:ascii="Arial" w:cs="Arial" w:eastAsia="Arial" w:hAnsi="Arial"/>
          <w:sz w:val="18"/>
          <w:szCs w:val="18"/>
          <w:color w:val="auto"/>
        </w:rPr>
        <w:t>drove a $1.1 million increase in personnel-related costs (headcount, salaries and benefits) and a $2.3 million increase in software subscriptions, credit card fees, and bad debt expense, offset by a decrease of $0.7 million in charitable contributions.</w:t>
      </w:r>
    </w:p>
    <w:p>
      <w:pPr>
        <w:spacing w:after="0" w:line="73"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The increase in amortization of intangible assets was driven by the amortization of the acquired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EDIAdmin and CovalentWorks in the fourth quarter of 2018 and to MAPADOC in the third quarter of 2019.</w:t>
      </w:r>
    </w:p>
    <w:p>
      <w:pPr>
        <w:spacing w:after="0" w:line="62"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The increase in interest income, net, other income (expense), net, and change in earn-out liability was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interest income from investments, returned escrow shares related to the acquisition of ToolBox, and the decrease in the fair value of the earn-out liability, offset by impairment of internally developed software. The change in fair value of the earn-out liability was driven by an adjustment to the fair value of the EDIAdmin earnout liability due to actual and estimated revenue at the earn-out measurement dates, December 31, 2019 and December 31, 2020.</w:t>
      </w:r>
    </w:p>
    <w:p>
      <w:pPr>
        <w:spacing w:after="0" w:line="46"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The increase in income tax expense was primarily due to the increase in pre-tax net income. See Note N 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Annual Report on Form 10-K, for additional information regarding our income taxes.</w:t>
      </w:r>
    </w:p>
    <w:p>
      <w:pPr>
        <w:spacing w:after="0" w:line="62"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which is a non-GAAP measure of financial performance, consists of net income adjusted for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interest expense, interest income, income tax expense, stock-based compensation expense, and other adjustments as necessary for a fair presentation. Other adjustments included the impact of an earn-out adjustment related to the EDIAdmin acquisition in 2019 and 2018, returned escrow shares in 2019 related to the acquisition of ToolBox, depreciation on asset retirements and disposals in 2019, and an impairment of internally developed software in 2019. The following table provides a reconciliation of net income to Adjusted EBITDA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2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33,712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23,872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16,438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12,686</w:t>
            </w:r>
          </w:p>
        </w:tc>
        <w:tc>
          <w:tcPr>
            <w:tcW w:w="12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6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(2,947)</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(2,329)</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Income tax expense</w:t>
            </w:r>
          </w:p>
        </w:tc>
        <w:tc>
          <w:tcPr>
            <w:tcW w:w="2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6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14,690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12,510</w:t>
            </w:r>
          </w:p>
        </w:tc>
        <w:tc>
          <w:tcPr>
            <w:tcW w:w="12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Adjusted EBITDA</w:t>
            </w:r>
          </w:p>
        </w:tc>
        <w:tc>
          <w:tcPr>
            <w:tcW w:w="26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69,763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51,301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i w:val="1"/>
          <w:iCs w:val="1"/>
          <w:color w:val="auto"/>
        </w:rPr>
        <w:t xml:space="preserve">Non-GAAP Income per Share. </w:t>
      </w:r>
      <w:r>
        <w:rPr>
          <w:rFonts w:ascii="Arial" w:cs="Arial" w:eastAsia="Arial" w:hAnsi="Arial"/>
          <w:sz w:val="17"/>
          <w:szCs w:val="17"/>
          <w:color w:val="auto"/>
        </w:rPr>
        <w:t>Non-GAAP income per share, which is also a non-GAAP measure of financial performance, consists of 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plus stock-based compensation expense, amortization expense related to intangible assets, and other adjustments as necessary for a fair presentation, divided by the weighted average number of shares of common stock outstanding during each period. Other adjustments included the impact of the fair value adjustment for the EDIAdmin share-based earn-out liability in 2019 and 2018, returned escrow shares in 2019 related to the acquisition of ToolBox, depreciation on asset retirements and disposals in 2019, and an impairment of internally developed software in 2019.</w:t>
      </w:r>
    </w:p>
    <w:p>
      <w:pPr>
        <w:spacing w:after="0" w:line="64"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left="60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0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33,712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23,872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14,690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12,510</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effects of adjustments</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(7,304)</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(6,594)</w:t>
            </w: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w:t>
            </w:r>
          </w:p>
        </w:tc>
        <w:tc>
          <w:tcPr>
            <w:tcW w:w="200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45,925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33,975</w:t>
            </w:r>
          </w:p>
        </w:tc>
        <w:tc>
          <w:tcPr>
            <w:tcW w:w="120" w:type="dxa"/>
            <w:vAlign w:val="bottom"/>
            <w:tcBorders>
              <w:bottom w:val="single" w:sz="8" w:color="CFF0FC"/>
            </w:tcBorders>
          </w:tcPr>
          <w:p>
            <w:pPr>
              <w:spacing w:after="0"/>
              <w:rPr>
                <w:sz w:val="22"/>
                <w:szCs w:val="22"/>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non-GAAP income per share</w:t>
            </w:r>
          </w:p>
        </w:tc>
        <w:tc>
          <w:tcPr>
            <w:tcW w:w="20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35,024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34,392</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36,002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35,212</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00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Diluted</w:t>
            </w:r>
          </w:p>
        </w:tc>
        <w:tc>
          <w:tcPr>
            <w:tcW w:w="300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0"/>
                <w:szCs w:val="20"/>
                <w:color w:val="auto"/>
              </w:rPr>
            </w:pP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20"/>
                <w:szCs w:val="20"/>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August 22, 2019.</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jc w:val="both"/>
        <w:ind w:right="100" w:firstLine="877"/>
        <w:spacing w:after="0" w:line="264" w:lineRule="auto"/>
        <w:rPr>
          <w:sz w:val="20"/>
          <w:szCs w:val="20"/>
          <w:color w:val="auto"/>
        </w:rPr>
      </w:pPr>
      <w:r>
        <w:rPr>
          <w:rFonts w:ascii="Arial" w:cs="Arial" w:eastAsia="Arial" w:hAnsi="Arial"/>
          <w:sz w:val="18"/>
          <w:szCs w:val="18"/>
          <w:color w:val="auto"/>
        </w:rPr>
        <w:t>The discussion of our results from operations for the fiscal year ended December 31, 2018 compared to the fiscal year ended December 31, 2017 can be found in Part II, Item 7, “Management’s Discussion and Analysis of Financial Condition and Results of Operations” in the Company’s Annual Report on Form 10-K/A for the year ended December 31, 2018.</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At December 31, 2019, our principal sources of liquidity were cash and cash equivalents, certificates of deposit, and marketable securities totaling $213.5 million, and accounts receivable, net of allowance for doubtful accounts, of $31.5 million, compared to cash and cash equivalents, certificates of deposit, and marketable securities totaling $178.4 million, and accounts receivable, net of allowance for doubtful accounts, of $27.5 million at December 31, 2018.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summarizes the activity within the consolidated statement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4"/>
          </w:tcPr>
          <w:p>
            <w:pPr>
              <w:jc w:val="right"/>
              <w:ind w:right="165"/>
              <w:spacing w:after="0"/>
              <w:rPr>
                <w:sz w:val="20"/>
                <w:szCs w:val="20"/>
                <w:color w:val="auto"/>
              </w:rPr>
            </w:pPr>
            <w:r>
              <w:rPr>
                <w:rFonts w:ascii="Arial" w:cs="Arial" w:eastAsia="Arial" w:hAnsi="Arial"/>
                <w:sz w:val="14"/>
                <w:szCs w:val="14"/>
                <w:b w:val="1"/>
                <w:bCs w:val="1"/>
                <w:color w:val="auto"/>
              </w:rPr>
              <w:t>Year Ended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24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4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55,015</w:t>
            </w:r>
          </w:p>
        </w:tc>
        <w:tc>
          <w:tcPr>
            <w:tcW w:w="120" w:type="dxa"/>
            <w:vAlign w:val="bottom"/>
            <w:shd w:val="clear" w:color="auto" w:fill="CFF0FC"/>
          </w:tcPr>
          <w:p>
            <w:pPr>
              <w:spacing w:after="0"/>
              <w:rPr>
                <w:sz w:val="19"/>
                <w:szCs w:val="19"/>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(14,313)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(40,465)</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40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(12,142)</w:t>
            </w: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(3,775)</w:t>
            </w:r>
          </w:p>
        </w:tc>
      </w:tr>
    </w:tbl>
    <w:p>
      <w:pPr>
        <w:spacing w:after="0" w:line="94" w:lineRule="exact"/>
        <w:rPr>
          <w:sz w:val="20"/>
          <w:szCs w:val="20"/>
          <w:color w:val="auto"/>
        </w:rPr>
      </w:pPr>
    </w:p>
    <w:p>
      <w:pPr>
        <w:ind w:firstLine="877"/>
        <w:spacing w:after="0" w:line="264" w:lineRule="auto"/>
        <w:rPr>
          <w:sz w:val="20"/>
          <w:szCs w:val="20"/>
          <w:color w:val="auto"/>
        </w:rPr>
      </w:pPr>
      <w:r>
        <w:rPr>
          <w:rFonts w:ascii="Arial" w:cs="Arial" w:eastAsia="Arial" w:hAnsi="Arial"/>
          <w:sz w:val="18"/>
          <w:szCs w:val="18"/>
          <w:color w:val="auto"/>
        </w:rPr>
        <w:t>The discussion of our liquidity and capital resources for the fiscal year ended December 31, 2018 compared to the fiscal year ended December 31, 2017 can be found in Part II, Item 7, “Management’s Discussion and Analysis of Financial Condition and Results of Operations” in the Company’s Annual Report on Form 10-K/A for the year ended December 31,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jc w:val="both"/>
        <w:ind w:right="460" w:firstLine="598"/>
        <w:spacing w:after="0" w:line="264" w:lineRule="auto"/>
        <w:rPr>
          <w:sz w:val="20"/>
          <w:szCs w:val="20"/>
          <w:color w:val="auto"/>
        </w:rPr>
      </w:pPr>
      <w:r>
        <w:rPr>
          <w:rFonts w:ascii="Arial" w:cs="Arial" w:eastAsia="Arial" w:hAnsi="Arial"/>
          <w:sz w:val="18"/>
          <w:szCs w:val="18"/>
          <w:color w:val="auto"/>
        </w:rPr>
        <w:t>The increase in operating cash flows was primarily driven by continued business growth, which resulted in increased net income. Additionally, increases were due to changes in deferred income taxes, driven by a method change for deferred revenue, as well as continued acquisitions and business expansions which resulted in increased depreciation and amortization.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117"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change was primarily due to a decrease of $15.8 million in cash used for acquisitions of business and intangible assets, driven by the acquisitions of EDIAdmin and CovalentWorks in 2018. The change was also due to a decrease in purchases of investments in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change was primarily due to a decrease in net proceeds from stock option exercises.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Currency Exchange Rate Changes</w:t>
      </w:r>
    </w:p>
    <w:p>
      <w:pPr>
        <w:spacing w:after="0" w:line="117" w:lineRule="exact"/>
        <w:rPr>
          <w:sz w:val="20"/>
          <w:szCs w:val="20"/>
          <w:color w:val="auto"/>
        </w:rPr>
      </w:pPr>
    </w:p>
    <w:p>
      <w:pPr>
        <w:ind w:right="180" w:firstLine="598"/>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 in foreign currency exchange rates. We maintained approximately 4%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Adequacy of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17" w:lineRule="exact"/>
        <w:rPr>
          <w:rFonts w:ascii="Arial" w:cs="Arial" w:eastAsia="Arial" w:hAnsi="Arial"/>
          <w:sz w:val="18"/>
          <w:szCs w:val="18"/>
          <w:color w:val="auto"/>
        </w:rPr>
      </w:pPr>
    </w:p>
    <w:p>
      <w:pPr>
        <w:ind w:left="1200" w:right="380" w:hanging="598"/>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11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62"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believe our cash, cash equivalents, marketable securities and cash flows from our operations will be sufficient to meet our working capital and capital expenditure requirements for at least the next twelve months.</w:t>
      </w:r>
    </w:p>
    <w:p>
      <w:pPr>
        <w:spacing w:after="0" w:line="62"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contractual obligations and commercial commitments as of December 31, 2019 are summarized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2"/>
                <w:szCs w:val="12"/>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5 Years</w:t>
            </w:r>
          </w:p>
        </w:tc>
        <w:tc>
          <w:tcPr>
            <w:tcW w:w="100" w:type="dxa"/>
            <w:vAlign w:val="bottom"/>
          </w:tcPr>
          <w:p>
            <w:pPr>
              <w:spacing w:after="0"/>
              <w:rPr>
                <w:sz w:val="14"/>
                <w:szCs w:val="14"/>
                <w:color w:val="auto"/>
              </w:rPr>
            </w:pPr>
          </w:p>
        </w:tc>
      </w:tr>
      <w:tr>
        <w:trPr>
          <w:trHeight w:val="224"/>
        </w:trPr>
        <w:tc>
          <w:tcPr>
            <w:tcW w:w="5280" w:type="dxa"/>
            <w:vAlign w:val="bottom"/>
          </w:tcPr>
          <w:p>
            <w:pPr>
              <w:spacing w:after="0"/>
              <w:rPr>
                <w:sz w:val="20"/>
                <w:szCs w:val="20"/>
                <w:color w:val="auto"/>
              </w:rPr>
            </w:pPr>
            <w:r>
              <w:rPr>
                <w:rFonts w:ascii="Arial" w:cs="Arial" w:eastAsia="Arial" w:hAnsi="Arial"/>
                <w:sz w:val="16"/>
                <w:szCs w:val="16"/>
                <w:color w:val="auto"/>
              </w:rPr>
              <w:t>Operating lease obligations, including imputed interest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26,444</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10,691</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9,554</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r>
      <w:tr>
        <w:trPr>
          <w:trHeight w:val="431"/>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left="600"/>
        <w:spacing w:after="0"/>
        <w:rPr>
          <w:sz w:val="20"/>
          <w:szCs w:val="20"/>
          <w:color w:val="auto"/>
        </w:rPr>
      </w:pPr>
      <w:r>
        <w:rPr>
          <w:rFonts w:ascii="Arial" w:cs="Arial" w:eastAsia="Arial" w:hAnsi="Arial"/>
          <w:sz w:val="18"/>
          <w:szCs w:val="18"/>
          <w:color w:val="auto"/>
        </w:rPr>
        <w:t>Our contractual obligations and commercial commitments as of December 31, 2018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8"/>
              </w:rPr>
              <w:t>More Than</w:t>
            </w: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4"/>
                <w:szCs w:val="14"/>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5 Years</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24,878</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7,956</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For information regarding recent accounting pronouncements, refer to Note A, General, in our Notes to Consolidated Financial Statements in the sections entitled “Recently Adopted Accounting Pronouncements” and “Accounting Pronouncements Not Yet Adopted”, included in Part II, Item 8, “Financial Instruments and Supplementary Data” of this Annual Report on Form 10-K.</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i w:val="1"/>
          <w:iCs w:val="1"/>
          <w:color w:val="auto"/>
        </w:rPr>
        <w:t xml:space="preserve">Interest Rate Sensitivity Risk. </w:t>
      </w:r>
      <w:r>
        <w:rPr>
          <w:rFonts w:ascii="Arial" w:cs="Arial" w:eastAsia="Arial" w:hAnsi="Arial"/>
          <w:sz w:val="16"/>
          <w:szCs w:val="16"/>
          <w:color w:val="auto"/>
        </w:rPr>
        <w:t>The principal objectives of our investment activities are to preserve principal, provide liquidity and maximize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did not have any outstanding debt as of December 31, 2019 and 2018. We therefore do not have any material risk to interest rate fluctuations.</w:t>
      </w:r>
    </w:p>
    <w:p>
      <w:pPr>
        <w:spacing w:after="0" w:line="140"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We have revenue, expenses, assets and liabilities that are denominated in currencies other than the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Australian dollar and Canadian dollar. As of December 31, 2019, we maintained approximately 4%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74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5800" w:type="dxa"/>
            <w:vAlign w:val="bottom"/>
          </w:tcPr>
          <w:p>
            <w:pPr>
              <w:spacing w:after="0"/>
              <w:rPr>
                <w:sz w:val="20"/>
                <w:szCs w:val="20"/>
                <w:color w:val="auto"/>
              </w:rPr>
            </w:pPr>
          </w:p>
        </w:tc>
      </w:tr>
      <w:tr>
        <w:trPr>
          <w:trHeight w:val="432"/>
        </w:trPr>
        <w:tc>
          <w:tcPr>
            <w:tcW w:w="5620" w:type="dxa"/>
            <w:vAlign w:val="bottom"/>
            <w:gridSpan w:val="8"/>
          </w:tcPr>
          <w:p>
            <w:pPr>
              <w:spacing w:after="0"/>
              <w:rPr>
                <w:sz w:val="20"/>
                <w:szCs w:val="20"/>
                <w:color w:val="auto"/>
              </w:rPr>
            </w:pPr>
            <w:r>
              <w:rPr>
                <w:rFonts w:ascii="Arial" w:cs="Arial" w:eastAsia="Arial" w:hAnsi="Arial"/>
                <w:sz w:val="18"/>
                <w:szCs w:val="18"/>
                <w:b w:val="1"/>
                <w:bCs w:val="1"/>
                <w:color w:val="auto"/>
                <w:w w:val="89"/>
              </w:rPr>
              <w:t>SPS Commerce, Inc. and Subsidiaries Consolidated Financial Statements</w:t>
            </w:r>
          </w:p>
        </w:tc>
        <w:tc>
          <w:tcPr>
            <w:tcW w:w="5800" w:type="dxa"/>
            <w:vAlign w:val="bottom"/>
          </w:tcPr>
          <w:p>
            <w:pPr>
              <w:spacing w:after="0"/>
              <w:rPr>
                <w:sz w:val="24"/>
                <w:szCs w:val="24"/>
                <w:color w:val="auto"/>
              </w:rPr>
            </w:pPr>
          </w:p>
        </w:tc>
      </w:tr>
      <w:tr>
        <w:trPr>
          <w:trHeight w:val="392"/>
        </w:trPr>
        <w:tc>
          <w:tcPr>
            <w:tcW w:w="562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5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1400" w:type="dxa"/>
            <w:vAlign w:val="bottom"/>
          </w:tcPr>
          <w:p>
            <w:pPr>
              <w:spacing w:after="0"/>
              <w:rPr>
                <w:sz w:val="17"/>
                <w:szCs w:val="17"/>
                <w:color w:val="auto"/>
              </w:rPr>
            </w:pPr>
          </w:p>
        </w:tc>
        <w:tc>
          <w:tcPr>
            <w:tcW w:w="58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5620" w:type="dxa"/>
            <w:vAlign w:val="bottom"/>
            <w:gridSpan w:val="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Comprehensive Income</w:t>
              </w:r>
            </w:hyperlink>
          </w:p>
        </w:tc>
        <w:tc>
          <w:tcPr>
            <w:tcW w:w="58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1880" w:type="dxa"/>
            <w:vAlign w:val="bottom"/>
            <w:gridSpan w:val="2"/>
          </w:tcPr>
          <w:p>
            <w:pPr>
              <w:spacing w:after="0"/>
              <w:rPr>
                <w:sz w:val="17"/>
                <w:szCs w:val="17"/>
                <w:color w:val="auto"/>
              </w:rPr>
            </w:pPr>
          </w:p>
        </w:tc>
        <w:tc>
          <w:tcPr>
            <w:tcW w:w="58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Cash Flows</w:t>
              </w:r>
            </w:hyperlink>
          </w:p>
        </w:tc>
        <w:tc>
          <w:tcPr>
            <w:tcW w:w="2740" w:type="dxa"/>
            <w:vAlign w:val="bottom"/>
            <w:gridSpan w:val="5"/>
          </w:tcPr>
          <w:p>
            <w:pPr>
              <w:spacing w:after="0"/>
              <w:rPr>
                <w:sz w:val="17"/>
                <w:szCs w:val="17"/>
                <w:color w:val="auto"/>
              </w:rPr>
            </w:pPr>
          </w:p>
        </w:tc>
        <w:tc>
          <w:tcPr>
            <w:tcW w:w="58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5620" w:type="dxa"/>
            <w:vAlign w:val="bottom"/>
            <w:gridSpan w:val="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58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885"/>
        </w:trPr>
        <w:tc>
          <w:tcPr>
            <w:tcW w:w="88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0" w:type="dxa"/>
            <w:vAlign w:val="bottom"/>
          </w:tcPr>
          <w:p>
            <w:pPr>
              <w:jc w:val="right"/>
              <w:ind w:right="5530"/>
              <w:spacing w:after="0"/>
              <w:rPr>
                <w:sz w:val="20"/>
                <w:szCs w:val="20"/>
                <w:color w:val="auto"/>
              </w:rPr>
            </w:pPr>
            <w:r>
              <w:rPr>
                <w:rFonts w:ascii="Arial" w:cs="Arial" w:eastAsia="Arial" w:hAnsi="Arial"/>
                <w:sz w:val="18"/>
                <w:szCs w:val="18"/>
                <w:color w:val="auto"/>
                <w:w w:val="79"/>
              </w:rPr>
              <w:t>42</w:t>
            </w:r>
          </w:p>
        </w:tc>
      </w:tr>
      <w:tr>
        <w:trPr>
          <w:trHeight w:val="115"/>
        </w:trPr>
        <w:tc>
          <w:tcPr>
            <w:tcW w:w="8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SPS Commerce, Inc. and subsidiaries (the Company) as of December 31, 2019 and 2018, the related consolidated statements of comprehensive income, stockholders’ equity, and cash flows for each of the years in the three-year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2020 expressed an unqualified opinion on the effectiveness of the Company’s internal control over financial reporting.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As discussed in Note A to the consolidated financial statements, the Company has changed its method of accounting for leases as of January 1, 2019, due to the adoption of Financial Accounting Standards Board’s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Assessment of the capitalized internal costs to develop internal-use software</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discussed in Notes A and G to the consolidated financial statements, the Company capitalizes costs incurred to develop internal-use software during the application development stage. Capitalized internal-use software is recorded within property and equipment and amortized over the expected useful life.</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identified the assessment of the capitalized internal costs to develop internal-use software as a critical audit matter. The assessment required subjective auditor judgment to assess the stage of software development for new internal-use software or upgrades and enhancements for existing internal-use software, which determines when costs should be capitalized.</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primary procedures we performed to address this critical audit matter included the following. We tested certain internal controls over the Company’s internal-use software process. This included controls related to the evaluation and approval of new internal-use software projects or upgrades and enhancements to existing internal-use software projects, monitoring of the software development stage, and capitalization of internal costs. We examined a sample of capitalized internal-use software costs to evaluate costs that were capitalized for new internal-use software or upgrades and enhancements for existing internal-use software. For each sample, we recalculated the capitalized amount based on hours incurred on the project and applicable payroll related costs. To evaluate the capitalized costs and assess the stage of software development, we inquired of the Company’s technology developers performing the internal-use software development activities regarding the specific nature, stage of completion, and hours incurred on the project.</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 KPMG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665" w:right="33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We have audited SPS Commerce, Inc. and subsidiaries’ (the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r>
        <w:rPr>
          <w:rFonts w:ascii="Arial" w:cs="Arial" w:eastAsia="Arial" w:hAnsi="Arial"/>
          <w:sz w:val="16"/>
          <w:szCs w:val="16"/>
          <w:i w:val="1"/>
          <w:iCs w:val="1"/>
          <w:color w:val="auto"/>
        </w:rPr>
        <w:t>.</w:t>
      </w:r>
      <w:r>
        <w:rPr>
          <w:rFonts w:ascii="Arial" w:cs="Arial" w:eastAsia="Arial" w:hAnsi="Arial"/>
          <w:sz w:val="16"/>
          <w:szCs w:val="16"/>
          <w:color w:val="auto"/>
        </w:rPr>
        <w:t xml:space="preserve">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and the related consolidated statements of comprehensive income, stockholders’ equity, and cash flows for each of the years in the three-year period ended December 31, 2019, and related notes (collectively, the consolidated financial statements), and our report dated February 25, 2020, expressed an unqualified opinion on those consolidated financial statements.</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acquired the MAPADOC business during 2019, and management excluded from its assessment of the effectiveness of the Company’s internal control over financial reporting as of December 31, 2019, MAPADOC’s internal control over financial reporting associated with total assets of approximately 3% and total revenues of less than 1%, in the consolidated financial statements of the Company as of and for the year ended December 31, 2019. Our audit of internal control over financial reporting of the Company also excluded an evaluation of the internal control over financial reporting of the MAPADOC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354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179,252</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34,284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35,274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291,621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249,615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22,668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11,667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assets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447,440</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386,123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bottom w:val="single" w:sz="8" w:color="CFF0FC"/>
            </w:tcBorders>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18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4,274</w:t>
            </w:r>
          </w:p>
        </w:tc>
        <w:tc>
          <w:tcPr>
            <w:tcW w:w="16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rent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66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68,030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rent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20,085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liabilities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92,564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2"/>
              </w:rPr>
              <w:t>Common stock, $0.001 par value; 55,000,000 shares authorized; 36,104,619 and 35,515,256 shares issued; and</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34,863,271 and 34,691,472 outstanding, respectively</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Treasury stock, at cost; 1,241,348 and 823,784 shares, respectively</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(46,297)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(25,679)</w:t>
            </w: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354,115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48,973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(1,951)</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(3,218)</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354,876</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318,974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447,440</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386,123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Shares and per share data have been adjusted for all periods presented to reflect a two-for-one stock split effective August 22, 2019.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279,124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248,240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186,885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166,492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22,087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148,479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26,731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Change in earn-out liability</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on investments, net of tax of $122, $132 and $0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w w:val="94"/>
              </w:rPr>
              <w:t>Reclassification of unrealized (gain) loss on investments into earnings, net of tax of</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($133), ($91) and $24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0.69</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34,392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35,212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August 22,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71"/>
        </w:trPr>
        <w:tc>
          <w:tcPr>
            <w:tcW w:w="3520" w:type="dxa"/>
            <w:vAlign w:val="bottom"/>
          </w:tcPr>
          <w:p>
            <w:pPr>
              <w:spacing w:after="0"/>
              <w:rPr>
                <w:sz w:val="14"/>
                <w:szCs w:val="14"/>
                <w:color w:val="auto"/>
              </w:rPr>
            </w:pPr>
          </w:p>
        </w:tc>
        <w:tc>
          <w:tcPr>
            <w:tcW w:w="1900" w:type="dxa"/>
            <w:vAlign w:val="bottom"/>
            <w:gridSpan w:val="6"/>
          </w:tcPr>
          <w:p>
            <w:pPr>
              <w:ind w:left="360"/>
              <w:spacing w:after="0"/>
              <w:rPr>
                <w:sz w:val="20"/>
                <w:szCs w:val="20"/>
                <w:color w:val="auto"/>
              </w:rPr>
            </w:pPr>
            <w:r>
              <w:rPr>
                <w:rFonts w:ascii="Arial" w:cs="Arial" w:eastAsia="Arial" w:hAnsi="Arial"/>
                <w:sz w:val="14"/>
                <w:szCs w:val="14"/>
                <w:b w:val="1"/>
                <w:bCs w:val="1"/>
                <w:color w:val="auto"/>
              </w:rPr>
              <w:t>Common Stock</w:t>
            </w:r>
          </w:p>
        </w:tc>
        <w:tc>
          <w:tcPr>
            <w:tcW w:w="180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26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7"/>
              </w:rPr>
              <w:t>Stockholders'</w:t>
            </w:r>
          </w:p>
        </w:tc>
      </w:tr>
      <w:tr>
        <w:trPr>
          <w:trHeight w:val="156"/>
        </w:trPr>
        <w:tc>
          <w:tcPr>
            <w:tcW w:w="352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7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3"/>
                <w:szCs w:val="13"/>
                <w:color w:val="auto"/>
              </w:rPr>
            </w:pPr>
          </w:p>
        </w:tc>
        <w:tc>
          <w:tcPr>
            <w:tcW w:w="118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3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December 31, 2016</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34,162,290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w:t>
            </w: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286,298</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(25,239)</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(3,326)</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257,767</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12,728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12,728</w:t>
            </w:r>
          </w:p>
        </w:tc>
        <w:tc>
          <w:tcPr>
            <w:tcW w:w="60" w:type="dxa"/>
            <w:vAlign w:val="bottom"/>
          </w:tcPr>
          <w:p>
            <w:pPr>
              <w:spacing w:after="0"/>
              <w:rPr>
                <w:sz w:val="14"/>
                <w:szCs w:val="14"/>
                <w:color w:val="auto"/>
              </w:rPr>
            </w:pPr>
          </w:p>
        </w:tc>
      </w:tr>
      <w:tr>
        <w:trPr>
          <w:trHeight w:val="143"/>
        </w:trPr>
        <w:tc>
          <w:tcPr>
            <w:tcW w:w="35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Exercise of stock options and issuance of restricted</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271,812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1,410</w:t>
            </w:r>
          </w:p>
        </w:tc>
        <w:tc>
          <w:tcPr>
            <w:tcW w:w="60" w:type="dxa"/>
            <w:vAlign w:val="bottom"/>
            <w:shd w:val="clear" w:color="auto" w:fill="CFF0FC"/>
          </w:tcPr>
          <w:p>
            <w:pPr>
              <w:spacing w:after="0"/>
              <w:rPr>
                <w:sz w:val="14"/>
                <w:szCs w:val="14"/>
                <w:color w:val="auto"/>
              </w:rPr>
            </w:pPr>
          </w:p>
        </w:tc>
      </w:tr>
      <w:tr>
        <w:trPr>
          <w:trHeight w:val="143"/>
        </w:trPr>
        <w:tc>
          <w:tcPr>
            <w:tcW w:w="3520" w:type="dxa"/>
            <w:vAlign w:val="bottom"/>
          </w:tcPr>
          <w:p>
            <w:pPr>
              <w:ind w:left="140"/>
              <w:spacing w:after="0" w:line="143" w:lineRule="exact"/>
              <w:rPr>
                <w:sz w:val="20"/>
                <w:szCs w:val="20"/>
                <w:color w:val="auto"/>
              </w:rPr>
            </w:pPr>
            <w:r>
              <w:rPr>
                <w:rFonts w:ascii="Arial" w:cs="Arial" w:eastAsia="Arial" w:hAnsi="Arial"/>
                <w:sz w:val="14"/>
                <w:szCs w:val="14"/>
                <w:color w:val="auto"/>
              </w:rPr>
              <w:t>Cumulative-effect adjustment for previously</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3520" w:type="dxa"/>
            <w:vAlign w:val="bottom"/>
          </w:tcPr>
          <w:p>
            <w:pPr>
              <w:ind w:left="140"/>
              <w:spacing w:after="0"/>
              <w:rPr>
                <w:sz w:val="20"/>
                <w:szCs w:val="20"/>
                <w:color w:val="auto"/>
              </w:rPr>
            </w:pPr>
            <w:r>
              <w:rPr>
                <w:rFonts w:ascii="Arial" w:cs="Arial" w:eastAsia="Arial" w:hAnsi="Arial"/>
                <w:sz w:val="14"/>
                <w:szCs w:val="14"/>
                <w:color w:val="auto"/>
              </w:rPr>
              <w:t>unrecognized excess tax benefits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16,277</w:t>
            </w:r>
          </w:p>
        </w:tc>
        <w:tc>
          <w:tcPr>
            <w:tcW w:w="60" w:type="dxa"/>
            <w:vAlign w:val="bottom"/>
          </w:tcPr>
          <w:p>
            <w:pPr>
              <w:spacing w:after="0"/>
              <w:rPr>
                <w:sz w:val="14"/>
                <w:szCs w:val="14"/>
                <w:color w:val="auto"/>
              </w:rPr>
            </w:pPr>
          </w:p>
        </w:tc>
      </w:tr>
      <w:tr>
        <w:trPr>
          <w:trHeight w:val="162"/>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Employee stock purchase plan</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81,936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1,933</w:t>
            </w:r>
          </w:p>
        </w:tc>
        <w:tc>
          <w:tcPr>
            <w:tcW w:w="60" w:type="dxa"/>
            <w:vAlign w:val="bottom"/>
            <w:shd w:val="clear" w:color="auto" w:fill="CFF0FC"/>
          </w:tcPr>
          <w:p>
            <w:pPr>
              <w:spacing w:after="0"/>
              <w:rPr>
                <w:sz w:val="14"/>
                <w:szCs w:val="14"/>
                <w:color w:val="auto"/>
              </w:rPr>
            </w:pP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Retirement of escrow shares</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(17,732)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(523)</w:t>
            </w:r>
          </w:p>
        </w:tc>
      </w:tr>
      <w:tr>
        <w:trPr>
          <w:trHeight w:val="162"/>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Repurchases of common stock</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(244,294)</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244,294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(5,815)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(5,815)</w:t>
            </w: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351</w:t>
            </w:r>
          </w:p>
        </w:tc>
        <w:tc>
          <w:tcPr>
            <w:tcW w:w="60" w:type="dxa"/>
            <w:vAlign w:val="bottom"/>
          </w:tcPr>
          <w:p>
            <w:pPr>
              <w:spacing w:after="0"/>
              <w:rPr>
                <w:sz w:val="14"/>
                <w:szCs w:val="14"/>
                <w:color w:val="auto"/>
              </w:rPr>
            </w:pPr>
          </w:p>
        </w:tc>
      </w:tr>
      <w:tr>
        <w:trPr>
          <w:trHeight w:val="162"/>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3,944</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3,944</w:t>
            </w:r>
          </w:p>
        </w:tc>
        <w:tc>
          <w:tcPr>
            <w:tcW w:w="60" w:type="dxa"/>
            <w:vAlign w:val="bottom"/>
            <w:shd w:val="clear" w:color="auto" w:fill="CFF0FC"/>
          </w:tcPr>
          <w:p>
            <w:pPr>
              <w:spacing w:after="0"/>
              <w:rPr>
                <w:sz w:val="14"/>
                <w:szCs w:val="14"/>
                <w:color w:val="auto"/>
              </w:rPr>
            </w:pP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Reclassification of loss on investments into earnings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4"/>
                <w:szCs w:val="14"/>
                <w:color w:val="auto"/>
              </w:rPr>
            </w:pPr>
          </w:p>
        </w:tc>
      </w:tr>
      <w:tr>
        <w:trPr>
          <w:trHeight w:val="156"/>
        </w:trPr>
        <w:tc>
          <w:tcPr>
            <w:tcW w:w="3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December 31, 2017</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34,254,012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w:t>
            </w: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244,294</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(5,815)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301,846</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(8,611)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657</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288,111</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11,270</w:t>
            </w:r>
          </w:p>
        </w:tc>
        <w:tc>
          <w:tcPr>
            <w:tcW w:w="60" w:type="dxa"/>
            <w:vAlign w:val="bottom"/>
          </w:tcPr>
          <w:p>
            <w:pPr>
              <w:spacing w:after="0"/>
              <w:rPr>
                <w:sz w:val="14"/>
                <w:szCs w:val="14"/>
                <w:color w:val="auto"/>
              </w:rPr>
            </w:pPr>
          </w:p>
        </w:tc>
      </w:tr>
      <w:tr>
        <w:trPr>
          <w:trHeight w:val="143"/>
        </w:trPr>
        <w:tc>
          <w:tcPr>
            <w:tcW w:w="35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Exercise of stock options and issuance of restricted</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866,398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14,342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14,344</w:t>
            </w:r>
          </w:p>
        </w:tc>
        <w:tc>
          <w:tcPr>
            <w:tcW w:w="60" w:type="dxa"/>
            <w:vAlign w:val="bottom"/>
            <w:shd w:val="clear" w:color="auto" w:fill="CFF0FC"/>
          </w:tcPr>
          <w:p>
            <w:pPr>
              <w:spacing w:after="0"/>
              <w:rPr>
                <w:sz w:val="14"/>
                <w:szCs w:val="14"/>
                <w:color w:val="auto"/>
              </w:rPr>
            </w:pP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Employee stock purchase plan</w:t>
            </w:r>
          </w:p>
        </w:tc>
        <w:tc>
          <w:tcPr>
            <w:tcW w:w="760" w:type="dxa"/>
            <w:vAlign w:val="bottom"/>
          </w:tcPr>
          <w:p>
            <w:pPr>
              <w:jc w:val="right"/>
              <w:spacing w:after="0"/>
              <w:rPr>
                <w:sz w:val="20"/>
                <w:szCs w:val="20"/>
                <w:color w:val="auto"/>
              </w:rPr>
            </w:pPr>
            <w:r>
              <w:rPr>
                <w:rFonts w:ascii="Arial" w:cs="Arial" w:eastAsia="Arial" w:hAnsi="Arial"/>
                <w:sz w:val="14"/>
                <w:szCs w:val="14"/>
                <w:color w:val="auto"/>
              </w:rPr>
              <w:t>69,596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1,745</w:t>
            </w:r>
          </w:p>
        </w:tc>
        <w:tc>
          <w:tcPr>
            <w:tcW w:w="60" w:type="dxa"/>
            <w:vAlign w:val="bottom"/>
          </w:tcPr>
          <w:p>
            <w:pPr>
              <w:spacing w:after="0"/>
              <w:rPr>
                <w:sz w:val="14"/>
                <w:szCs w:val="14"/>
                <w:color w:val="auto"/>
              </w:rPr>
            </w:pPr>
          </w:p>
        </w:tc>
      </w:tr>
      <w:tr>
        <w:trPr>
          <w:trHeight w:val="162"/>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Repurchases of common stock</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(579,490)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579,490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(19,864)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(19,864)</w:t>
            </w: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Stock issued for acquisition</w:t>
            </w:r>
          </w:p>
        </w:tc>
        <w:tc>
          <w:tcPr>
            <w:tcW w:w="760" w:type="dxa"/>
            <w:vAlign w:val="bottom"/>
          </w:tcPr>
          <w:p>
            <w:pPr>
              <w:jc w:val="right"/>
              <w:spacing w:after="0"/>
              <w:rPr>
                <w:sz w:val="20"/>
                <w:szCs w:val="20"/>
                <w:color w:val="auto"/>
              </w:rPr>
            </w:pPr>
            <w:r>
              <w:rPr>
                <w:rFonts w:ascii="Arial" w:cs="Arial" w:eastAsia="Arial" w:hAnsi="Arial"/>
                <w:sz w:val="14"/>
                <w:szCs w:val="14"/>
                <w:color w:val="auto"/>
              </w:rPr>
              <w:t>80,956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3,371</w:t>
            </w:r>
          </w:p>
        </w:tc>
        <w:tc>
          <w:tcPr>
            <w:tcW w:w="60" w:type="dxa"/>
            <w:vAlign w:val="bottom"/>
          </w:tcPr>
          <w:p>
            <w:pPr>
              <w:spacing w:after="0"/>
              <w:rPr>
                <w:sz w:val="14"/>
                <w:szCs w:val="14"/>
                <w:color w:val="auto"/>
              </w:rPr>
            </w:pPr>
          </w:p>
        </w:tc>
      </w:tr>
      <w:tr>
        <w:trPr>
          <w:trHeight w:val="162"/>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23,872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23,872</w:t>
            </w:r>
          </w:p>
        </w:tc>
        <w:tc>
          <w:tcPr>
            <w:tcW w:w="60" w:type="dxa"/>
            <w:vAlign w:val="bottom"/>
            <w:shd w:val="clear" w:color="auto" w:fill="CFF0FC"/>
          </w:tcPr>
          <w:p>
            <w:pPr>
              <w:spacing w:after="0"/>
              <w:rPr>
                <w:sz w:val="14"/>
                <w:szCs w:val="14"/>
                <w:color w:val="auto"/>
              </w:rPr>
            </w:pP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(3,999)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(3,999)</w:t>
            </w:r>
          </w:p>
        </w:tc>
      </w:tr>
      <w:tr>
        <w:trPr>
          <w:trHeight w:val="162"/>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Unrealized gain on investments, net of tax</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60" w:type="dxa"/>
            <w:vAlign w:val="bottom"/>
            <w:shd w:val="clear" w:color="auto" w:fill="CFF0FC"/>
          </w:tcPr>
          <w:p>
            <w:pPr>
              <w:spacing w:after="0"/>
              <w:rPr>
                <w:sz w:val="14"/>
                <w:szCs w:val="14"/>
                <w:color w:val="auto"/>
              </w:rPr>
            </w:pP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Reclassification of gain on investments into earnings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(273)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(273)</w:t>
            </w:r>
          </w:p>
        </w:tc>
      </w:tr>
      <w:tr>
        <w:trPr>
          <w:trHeight w:val="156"/>
        </w:trPr>
        <w:tc>
          <w:tcPr>
            <w:tcW w:w="3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December 31, 2018</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34,691,472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w:t>
            </w: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823,784</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(25,679)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332,574</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15,261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(3,218)</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318,974</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13,365</w:t>
            </w:r>
          </w:p>
        </w:tc>
        <w:tc>
          <w:tcPr>
            <w:tcW w:w="60" w:type="dxa"/>
            <w:vAlign w:val="bottom"/>
          </w:tcPr>
          <w:p>
            <w:pPr>
              <w:spacing w:after="0"/>
              <w:rPr>
                <w:sz w:val="14"/>
                <w:szCs w:val="14"/>
                <w:color w:val="auto"/>
              </w:rPr>
            </w:pPr>
          </w:p>
        </w:tc>
      </w:tr>
      <w:tr>
        <w:trPr>
          <w:trHeight w:val="143"/>
        </w:trPr>
        <w:tc>
          <w:tcPr>
            <w:tcW w:w="35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Exercise of stock options and issuance of restricted</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536,034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6,207</w:t>
            </w:r>
          </w:p>
        </w:tc>
        <w:tc>
          <w:tcPr>
            <w:tcW w:w="60" w:type="dxa"/>
            <w:vAlign w:val="bottom"/>
            <w:shd w:val="clear" w:color="auto" w:fill="CFF0FC"/>
          </w:tcPr>
          <w:p>
            <w:pPr>
              <w:spacing w:after="0"/>
              <w:rPr>
                <w:sz w:val="14"/>
                <w:szCs w:val="14"/>
                <w:color w:val="auto"/>
              </w:rPr>
            </w:pP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Employee stock purchase plan</w:t>
            </w:r>
          </w:p>
        </w:tc>
        <w:tc>
          <w:tcPr>
            <w:tcW w:w="760" w:type="dxa"/>
            <w:vAlign w:val="bottom"/>
          </w:tcPr>
          <w:p>
            <w:pPr>
              <w:jc w:val="right"/>
              <w:spacing w:after="0"/>
              <w:rPr>
                <w:sz w:val="20"/>
                <w:szCs w:val="20"/>
                <w:color w:val="auto"/>
              </w:rPr>
            </w:pPr>
            <w:r>
              <w:rPr>
                <w:rFonts w:ascii="Arial" w:cs="Arial" w:eastAsia="Arial" w:hAnsi="Arial"/>
                <w:sz w:val="14"/>
                <w:szCs w:val="14"/>
                <w:color w:val="auto"/>
              </w:rPr>
              <w:t>58,851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2,269</w:t>
            </w:r>
          </w:p>
        </w:tc>
        <w:tc>
          <w:tcPr>
            <w:tcW w:w="60" w:type="dxa"/>
            <w:vAlign w:val="bottom"/>
          </w:tcPr>
          <w:p>
            <w:pPr>
              <w:spacing w:after="0"/>
              <w:rPr>
                <w:sz w:val="14"/>
                <w:szCs w:val="14"/>
                <w:color w:val="auto"/>
              </w:rPr>
            </w:pPr>
          </w:p>
        </w:tc>
      </w:tr>
      <w:tr>
        <w:trPr>
          <w:trHeight w:val="162"/>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Repurchases of common stock</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(417,564)</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417,564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(20,618)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(20,618)</w:t>
            </w: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Settlement and subsequent return of shares</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(5,522)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(300)</w:t>
            </w:r>
          </w:p>
        </w:tc>
      </w:tr>
      <w:tr>
        <w:trPr>
          <w:trHeight w:val="162"/>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33,712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33,712</w:t>
            </w:r>
          </w:p>
        </w:tc>
        <w:tc>
          <w:tcPr>
            <w:tcW w:w="60" w:type="dxa"/>
            <w:vAlign w:val="bottom"/>
            <w:shd w:val="clear" w:color="auto" w:fill="CFF0FC"/>
          </w:tcPr>
          <w:p>
            <w:pPr>
              <w:spacing w:after="0"/>
              <w:rPr>
                <w:sz w:val="14"/>
                <w:szCs w:val="14"/>
                <w:color w:val="auto"/>
              </w:rPr>
            </w:pP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1,290</w:t>
            </w:r>
          </w:p>
        </w:tc>
        <w:tc>
          <w:tcPr>
            <w:tcW w:w="60" w:type="dxa"/>
            <w:vAlign w:val="bottom"/>
          </w:tcPr>
          <w:p>
            <w:pPr>
              <w:spacing w:after="0"/>
              <w:rPr>
                <w:sz w:val="14"/>
                <w:szCs w:val="14"/>
                <w:color w:val="auto"/>
              </w:rPr>
            </w:pPr>
          </w:p>
        </w:tc>
      </w:tr>
      <w:tr>
        <w:trPr>
          <w:trHeight w:val="162"/>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Unrealized gain on investments, net of tax</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60" w:type="dxa"/>
            <w:vAlign w:val="bottom"/>
            <w:shd w:val="clear" w:color="auto" w:fill="CFF0FC"/>
          </w:tcPr>
          <w:p>
            <w:pPr>
              <w:spacing w:after="0"/>
              <w:rPr>
                <w:sz w:val="14"/>
                <w:szCs w:val="14"/>
                <w:color w:val="auto"/>
              </w:rPr>
            </w:pPr>
          </w:p>
        </w:tc>
      </w:tr>
      <w:tr>
        <w:trPr>
          <w:trHeight w:val="162"/>
        </w:trPr>
        <w:tc>
          <w:tcPr>
            <w:tcW w:w="3520" w:type="dxa"/>
            <w:vAlign w:val="bottom"/>
          </w:tcPr>
          <w:p>
            <w:pPr>
              <w:ind w:left="140"/>
              <w:spacing w:after="0"/>
              <w:rPr>
                <w:sz w:val="20"/>
                <w:szCs w:val="20"/>
                <w:color w:val="auto"/>
              </w:rPr>
            </w:pPr>
            <w:r>
              <w:rPr>
                <w:rFonts w:ascii="Arial" w:cs="Arial" w:eastAsia="Arial" w:hAnsi="Arial"/>
                <w:sz w:val="14"/>
                <w:szCs w:val="14"/>
                <w:color w:val="auto"/>
              </w:rPr>
              <w:t>Reclassification of gain on investments into earnings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(398)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(398)</w:t>
            </w:r>
          </w:p>
        </w:tc>
      </w:tr>
      <w:tr>
        <w:trPr>
          <w:trHeight w:val="162"/>
        </w:trPr>
        <w:tc>
          <w:tcPr>
            <w:tcW w:w="35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Adoption of ASU 2018-02</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FF0FC"/>
          </w:tcPr>
          <w:p>
            <w:pPr>
              <w:spacing w:after="0"/>
              <w:rPr>
                <w:sz w:val="14"/>
                <w:szCs w:val="14"/>
                <w:color w:val="auto"/>
              </w:rPr>
            </w:pPr>
          </w:p>
        </w:tc>
      </w:tr>
      <w:tr>
        <w:trPr>
          <w:trHeight w:val="156"/>
        </w:trPr>
        <w:tc>
          <w:tcPr>
            <w:tcW w:w="3520" w:type="dxa"/>
            <w:vAlign w:val="bottom"/>
          </w:tcPr>
          <w:p>
            <w:pPr>
              <w:spacing w:after="0" w:line="155" w:lineRule="exact"/>
              <w:rPr>
                <w:sz w:val="20"/>
                <w:szCs w:val="20"/>
                <w:color w:val="auto"/>
              </w:rPr>
            </w:pPr>
            <w:r>
              <w:rPr>
                <w:rFonts w:ascii="Arial" w:cs="Arial" w:eastAsia="Arial" w:hAnsi="Arial"/>
                <w:sz w:val="14"/>
                <w:szCs w:val="14"/>
                <w:color w:val="auto"/>
              </w:rPr>
              <w:t>Balances, December 31, 2019</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34,863,271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c>
          <w:tcPr>
            <w:tcW w:w="2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1,241,348</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(46,297</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354,115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(1,951)</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354,876</w:t>
            </w:r>
          </w:p>
        </w:tc>
        <w:tc>
          <w:tcPr>
            <w:tcW w:w="60" w:type="dxa"/>
            <w:vAlign w:val="bottom"/>
          </w:tcPr>
          <w:p>
            <w:pPr>
              <w:spacing w:after="0"/>
              <w:rPr>
                <w:sz w:val="13"/>
                <w:szCs w:val="13"/>
                <w:color w:val="auto"/>
              </w:rPr>
            </w:pPr>
          </w:p>
        </w:tc>
      </w:tr>
      <w:tr>
        <w:trPr>
          <w:trHeight w:val="20"/>
        </w:trPr>
        <w:tc>
          <w:tcPr>
            <w:tcW w:w="3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August 22,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6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33,712</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23,872</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Reconciliation of net income to net cash provided by operating</w:t>
            </w: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earn-out liability</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 and equipment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intangible assets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500"/>
              <w:spacing w:after="0"/>
              <w:rPr>
                <w:sz w:val="20"/>
                <w:szCs w:val="20"/>
                <w:color w:val="auto"/>
              </w:rPr>
            </w:pPr>
            <w:r>
              <w:rPr>
                <w:rFonts w:ascii="Arial" w:cs="Arial" w:eastAsia="Arial" w:hAnsi="Arial"/>
                <w:sz w:val="16"/>
                <w:szCs w:val="16"/>
                <w:color w:val="auto"/>
              </w:rPr>
              <w:t>Other, net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assets and liabilities, net of effects of</w:t>
            </w: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acquisition</w:t>
            </w: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(6,771)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(4,569)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(5,586)</w:t>
            </w: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costs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(1,441)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(5,564)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(7,813)</w:t>
            </w:r>
          </w:p>
        </w:tc>
        <w:tc>
          <w:tcPr>
            <w:tcW w:w="0" w:type="dxa"/>
            <w:vAlign w:val="bottom"/>
          </w:tcPr>
          <w:p>
            <w:pPr>
              <w:spacing w:after="0"/>
              <w:rPr>
                <w:sz w:val="1"/>
                <w:szCs w:val="1"/>
                <w:color w:val="auto"/>
              </w:rPr>
            </w:pP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Other current and non-current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(2,768)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(3,333)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Accrued compensation</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expenses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Deferred revenue</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rent</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Operating leases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1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71,794</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55,015</w:t>
            </w: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31,050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(13,585)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(13,750)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(7,271)</w:t>
            </w:r>
          </w:p>
        </w:tc>
        <w:tc>
          <w:tcPr>
            <w:tcW w:w="0" w:type="dxa"/>
            <w:vAlign w:val="bottom"/>
          </w:tcPr>
          <w:p>
            <w:pPr>
              <w:spacing w:after="0"/>
              <w:rPr>
                <w:sz w:val="1"/>
                <w:szCs w:val="1"/>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color w:val="auto"/>
              </w:rPr>
              <w:t>Purchases of investments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(73,700)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(81,666)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(47,878)</w:t>
            </w: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Maturities of investments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84,472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82,224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color w:val="auto"/>
              </w:rPr>
              <w:t>Acquisition of business and intangible assets, net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(11,500)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(27,273)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6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(14,313)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(40,465)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(22,620)</w:t>
            </w:r>
          </w:p>
        </w:tc>
        <w:tc>
          <w:tcPr>
            <w:tcW w:w="0" w:type="dxa"/>
            <w:vAlign w:val="bottom"/>
          </w:tcPr>
          <w:p>
            <w:pPr>
              <w:spacing w:after="0"/>
              <w:rPr>
                <w:sz w:val="1"/>
                <w:szCs w:val="1"/>
                <w:color w:val="auto"/>
              </w:rPr>
            </w:pPr>
          </w:p>
        </w:tc>
      </w:tr>
      <w:tr>
        <w:trPr>
          <w:trHeight w:val="207"/>
        </w:trPr>
        <w:tc>
          <w:tcPr>
            <w:tcW w:w="55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Repurchases of common stock</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(20,618)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(19,864)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(5,815)</w:t>
            </w:r>
          </w:p>
        </w:tc>
        <w:tc>
          <w:tcPr>
            <w:tcW w:w="0" w:type="dxa"/>
            <w:vAlign w:val="bottom"/>
          </w:tcPr>
          <w:p>
            <w:pPr>
              <w:spacing w:after="0"/>
              <w:rPr>
                <w:sz w:val="1"/>
                <w:szCs w:val="1"/>
                <w:color w:val="auto"/>
              </w:rPr>
            </w:pPr>
          </w:p>
        </w:tc>
      </w:tr>
      <w:tr>
        <w:trPr>
          <w:trHeight w:val="206"/>
        </w:trPr>
        <w:tc>
          <w:tcPr>
            <w:tcW w:w="5560" w:type="dxa"/>
            <w:vAlign w:val="bottom"/>
          </w:tcPr>
          <w:p>
            <w:pPr>
              <w:ind w:left="260"/>
              <w:spacing w:after="0"/>
              <w:rPr>
                <w:sz w:val="20"/>
                <w:szCs w:val="20"/>
                <w:color w:val="auto"/>
              </w:rPr>
            </w:pPr>
            <w:r>
              <w:rPr>
                <w:rFonts w:ascii="Arial" w:cs="Arial" w:eastAsia="Arial" w:hAnsi="Arial"/>
                <w:sz w:val="16"/>
                <w:szCs w:val="16"/>
                <w:color w:val="auto"/>
              </w:rPr>
              <w:t>Net proceeds from exercise of options to purchase common</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380"/>
              <w:spacing w:after="0"/>
              <w:rPr>
                <w:sz w:val="20"/>
                <w:szCs w:val="20"/>
                <w:color w:val="auto"/>
              </w:rPr>
            </w:pPr>
            <w:r>
              <w:rPr>
                <w:rFonts w:ascii="Arial" w:cs="Arial" w:eastAsia="Arial" w:hAnsi="Arial"/>
                <w:sz w:val="16"/>
                <w:szCs w:val="16"/>
                <w:color w:val="auto"/>
              </w:rPr>
              <w:t>stock</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proceeds from employee stock purchase plan</w:t>
            </w:r>
          </w:p>
        </w:tc>
        <w:tc>
          <w:tcPr>
            <w:tcW w:w="1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56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(12,142)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(3,775)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foreign currency exchange rate changes</w:t>
            </w:r>
          </w:p>
        </w:tc>
        <w:tc>
          <w:tcPr>
            <w:tcW w:w="1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6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(43)</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6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1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10,732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year</w:t>
            </w:r>
          </w:p>
        </w:tc>
        <w:tc>
          <w:tcPr>
            <w:tcW w:w="1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133,859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123,127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560" w:type="dxa"/>
            <w:vAlign w:val="bottom"/>
          </w:tcPr>
          <w:p>
            <w:pPr>
              <w:spacing w:after="0"/>
              <w:rPr>
                <w:sz w:val="20"/>
                <w:szCs w:val="20"/>
                <w:color w:val="auto"/>
              </w:rPr>
            </w:pPr>
            <w:r>
              <w:rPr>
                <w:rFonts w:ascii="Arial" w:cs="Arial" w:eastAsia="Arial" w:hAnsi="Arial"/>
                <w:sz w:val="16"/>
                <w:szCs w:val="16"/>
                <w:color w:val="auto"/>
              </w:rPr>
              <w:t>Cash and cash equivalents at end of year</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179,252</w:t>
            </w: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133,859</w:t>
            </w:r>
          </w:p>
        </w:tc>
        <w:tc>
          <w:tcPr>
            <w:tcW w:w="18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123,127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 of cash flow information</w:t>
            </w:r>
          </w:p>
        </w:tc>
        <w:tc>
          <w:tcPr>
            <w:tcW w:w="12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color w:val="auto"/>
              </w:rPr>
              <w:t>Cash paid for income taxes, net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1,534</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financing activities: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500"/>
              <w:spacing w:after="0"/>
              <w:rPr>
                <w:sz w:val="20"/>
                <w:szCs w:val="20"/>
                <w:color w:val="auto"/>
              </w:rPr>
            </w:pPr>
            <w:r>
              <w:rPr>
                <w:rFonts w:ascii="Arial" w:cs="Arial" w:eastAsia="Arial" w:hAnsi="Arial"/>
                <w:sz w:val="16"/>
                <w:szCs w:val="16"/>
                <w:color w:val="auto"/>
              </w:rPr>
              <w:t>Net purchases of property and equipment on account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405</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stock issued for business acquisitions</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3,371</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117"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SPS Commerce is a leading provider of cloud-based supply chain management solutions that make it easier for retailers, suppliers, distributors, and logistics firms to orchestrate the management of item data, order fulfillment, inventory control and sales analytics across all channels. Implementing and maintaining a suite of supply chain management capabilities is resource intensive and is not a core competency for most businesses.</w:t>
      </w:r>
    </w:p>
    <w:p>
      <w:pPr>
        <w:spacing w:after="0" w:line="39"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solutions SPS Commerce provides enable our customers to increase their supply cycle agility, optimize their inventory levels and sell-through, reduce operational costs and gain increased visibility into customer orders, ensuring that suppliers, distributors, and logistics firms can satisfy retailer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181" w:lineRule="exact"/>
        <w:rPr>
          <w:sz w:val="20"/>
          <w:szCs w:val="20"/>
          <w:color w:val="auto"/>
        </w:rPr>
      </w:pPr>
    </w:p>
    <w:p>
      <w:pPr>
        <w:ind w:firstLine="678"/>
        <w:spacing w:after="0" w:line="270" w:lineRule="auto"/>
        <w:rPr>
          <w:sz w:val="20"/>
          <w:szCs w:val="20"/>
          <w:color w:val="auto"/>
        </w:rPr>
      </w:pPr>
      <w:r>
        <w:rPr>
          <w:rFonts w:ascii="Arial" w:cs="Arial" w:eastAsia="Arial" w:hAnsi="Arial"/>
          <w:sz w:val="17"/>
          <w:szCs w:val="17"/>
          <w:color w:val="auto"/>
        </w:rPr>
        <w:t xml:space="preserve">Effective January 1, 2019, we adopted the requirements of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and used the effective date as our date of initial application. Consequently, financial information was not updated and the disclosures required under the new standard were not provided for dates and periods before January 1, 2019. The new standard provides several optional practical expedients in transition. We elected the “package of practical expedients,” which permits us not to reassess under the new standard our prior conclusions about lease identification, lease classification and initial direct costs. We did not elect the use of hindsight or the practical expedient pertaining to land easements, the latter not being applicable to us. The new standard also provides practical expedients for an entity’s ongoing accounting. We elected the short-term lease recognition exemption for all leases that qualify, which means we will not recognize right-of-use (“ROU”) assets or lease liabilities for these leases. This includes not recognizing ROU assets or lease liabilities for existing short-term leases of those assets in transition. We also elected the practical expedient to not separate lease and non-lease components for all leases.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July 25, 2019, we announced that our board of directors declared a two-for-one stock split of our common stock, effected in the form of</w:t>
      </w:r>
    </w:p>
    <w:p>
      <w:pPr>
        <w:spacing w:after="0" w:line="23" w:lineRule="exact"/>
        <w:rPr>
          <w:sz w:val="20"/>
          <w:szCs w:val="20"/>
          <w:color w:val="auto"/>
        </w:rPr>
      </w:pPr>
    </w:p>
    <w:p>
      <w:pPr>
        <w:jc w:val="both"/>
        <w:ind w:right="240"/>
        <w:spacing w:after="0" w:line="277" w:lineRule="auto"/>
        <w:rPr>
          <w:sz w:val="20"/>
          <w:szCs w:val="20"/>
          <w:color w:val="auto"/>
        </w:rPr>
      </w:pPr>
      <w:r>
        <w:rPr>
          <w:rFonts w:ascii="Arial" w:cs="Arial" w:eastAsia="Arial" w:hAnsi="Arial"/>
          <w:sz w:val="17"/>
          <w:szCs w:val="17"/>
          <w:color w:val="auto"/>
        </w:rPr>
        <w:t>a 100 percent stock dividend as of the record date on August 8, 2019. The stock split dividend was distributed on August 22, 2019. Earnings per share and weighted average shares outstanding are presented in this Annual Report on Form 10-K after the effect of the 100 percent stock dividend. The two-for-one stock split is reflected in the share amounts in all periods presented in this Annual Report on Form 10-K.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The functional currency of our foreign operations is generally the applicable local currency. The functional currency is translated into U.S. dollars for balance sheet accounts using current exchange rates in effect as of the balance sheet date and for revenue and expense accounts using an average exchange rate during the fiscal year. The translation adjustments are deferred as a component of other comprehensive income within the consolidated statements of comprehensive income and the consolidated statements of stockholders' equity. Gains or losses resulting from transactions denominated in foreign currencies, if any, are included in other income (expense), net in our consolidated statements of comprehensive income.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00" w:firstLine="598"/>
        <w:spacing w:after="0" w:line="308" w:lineRule="auto"/>
        <w:rPr>
          <w:sz w:val="20"/>
          <w:szCs w:val="20"/>
          <w:color w:val="auto"/>
        </w:rPr>
      </w:pPr>
      <w:r>
        <w:rPr>
          <w:rFonts w:ascii="Arial" w:cs="Arial" w:eastAsia="Arial" w:hAnsi="Arial"/>
          <w:sz w:val="17"/>
          <w:szCs w:val="17"/>
          <w:color w:val="auto"/>
        </w:rPr>
        <w:t>We recognize the fair value of the assets acquired and the liabilities assumed at the acquisition date, separately from goodwill. Goodwill as of the acquisition date is measured as the excess of consideration transferred and the amount of the assets acquired and the liabilities assumed.</w:t>
      </w:r>
    </w:p>
    <w:p>
      <w:pPr>
        <w:spacing w:after="0" w:line="38" w:lineRule="exact"/>
        <w:rPr>
          <w:sz w:val="20"/>
          <w:szCs w:val="20"/>
          <w:color w:val="auto"/>
        </w:rPr>
      </w:pPr>
    </w:p>
    <w:p>
      <w:pPr>
        <w:ind w:right="240" w:firstLine="598"/>
        <w:spacing w:after="0" w:line="297" w:lineRule="auto"/>
        <w:rPr>
          <w:sz w:val="20"/>
          <w:szCs w:val="20"/>
          <w:color w:val="auto"/>
        </w:rPr>
      </w:pPr>
      <w:r>
        <w:rPr>
          <w:rFonts w:ascii="Arial" w:cs="Arial" w:eastAsia="Arial" w:hAnsi="Arial"/>
          <w:sz w:val="16"/>
          <w:szCs w:val="16"/>
          <w:color w:val="auto"/>
        </w:rPr>
        <w:t>Assets acquired include tangible and intangible assets. We use estimates and assumptions that we believe are reasonable as a part of the purchase price allocation, which includes the process to determine the value and useful lives of purchased intangible assets and the process to determine the value of any contingent consideration liabilities. We recorded the acquisition-date fair value of any contingent liabilities, such as earn-out provisions, as part of the consideration transferred. The earn-out liability fair value is subsequently remeasured at each reporting date. The Company evaluates each contingent consideration to determine the valuation approach. See Note E for valuation methods utilized in the fair value remeasurement as of the reporting date.</w:t>
      </w:r>
    </w:p>
    <w:p>
      <w:pPr>
        <w:spacing w:after="0" w:line="50"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Upon the conclusion of the measurement period or final determination of the fair values, whichever comes first, any subsequent adjustments would be recorded in our consolidated statements of comprehensive income.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operate in and report on one segment, which is supply chain management solutions</w:t>
      </w:r>
      <w:r>
        <w:rPr>
          <w:rFonts w:ascii="Arial" w:cs="Arial" w:eastAsia="Arial" w:hAnsi="Arial"/>
          <w:sz w:val="18"/>
          <w:szCs w:val="18"/>
          <w:i w:val="1"/>
          <w:i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17" w:lineRule="exact"/>
        <w:rPr>
          <w:sz w:val="20"/>
          <w:szCs w:val="20"/>
          <w:color w:val="auto"/>
        </w:rPr>
      </w:pPr>
    </w:p>
    <w:p>
      <w:pPr>
        <w:ind w:right="440" w:firstLine="598"/>
        <w:spacing w:after="0" w:line="308" w:lineRule="auto"/>
        <w:rPr>
          <w:sz w:val="20"/>
          <w:szCs w:val="20"/>
          <w:color w:val="auto"/>
        </w:rPr>
      </w:pPr>
      <w:r>
        <w:rPr>
          <w:rFonts w:ascii="Arial" w:cs="Arial" w:eastAsia="Arial" w:hAnsi="Arial"/>
          <w:sz w:val="17"/>
          <w:szCs w:val="17"/>
          <w:color w:val="auto"/>
        </w:rPr>
        <w:t>We rely on hardware and software licensed from third parties to offer our on-demand solutions. Our management believes alternate sources are available; however, disruption or termination of these relationships could adversely affect our operating results in the near term.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and cash equivalents in financial institutions in excess of federally insured limits and accounts receivable. Cash and cash equivalents are held with financial institutions that we believe are subject to minimal risk.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Cash and cash equivalents consist of cash and highly liquid investments with original maturities of less than 90 days. Cash and cash equivalents are stated at fair value.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Management determines the appropriate classification of certificates of deposit and marketable securities at the time of purchase and reevaluates such determination at each balance sheet date. Securities are classified as available for sale and are carried at fair value, with the change in unrealized gains and losses, net of tax, reported as unrealized gains on investments on the consolidated statements of comprehensive income. Fair value is determined based on quoted market rates when observable or utilizing data points that are observable, such as quoted prices, interest rates and yield curves.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460" w:firstLine="598"/>
        <w:spacing w:after="0" w:line="308" w:lineRule="auto"/>
        <w:rPr>
          <w:sz w:val="20"/>
          <w:szCs w:val="20"/>
          <w:color w:val="auto"/>
        </w:rPr>
      </w:pPr>
      <w:r>
        <w:rPr>
          <w:rFonts w:ascii="Arial" w:cs="Arial" w:eastAsia="Arial" w:hAnsi="Arial"/>
          <w:sz w:val="17"/>
          <w:szCs w:val="17"/>
          <w:color w:val="auto"/>
        </w:rPr>
        <w:t>The carrying amounts of our short-term financial instruments, which include cash, cash equivalents, accounts receivable, and accounts payable, approximates fair value due to their short-term nature. Marketable securities are recorded at fair value as further described in Note 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60" w:firstLine="598"/>
        <w:spacing w:after="0" w:line="297" w:lineRule="auto"/>
        <w:rPr>
          <w:sz w:val="20"/>
          <w:szCs w:val="20"/>
          <w:color w:val="auto"/>
        </w:rPr>
      </w:pPr>
      <w:r>
        <w:rPr>
          <w:rFonts w:ascii="Arial" w:cs="Arial" w:eastAsia="Arial" w:hAnsi="Arial"/>
          <w:sz w:val="16"/>
          <w:szCs w:val="16"/>
          <w:color w:val="auto"/>
        </w:rPr>
        <w:t>Accounts receivable are initially recorded upon the sale of solutions to customers. Credit is granted in the normal course of business without collateral. Accounts receivable are stated net of allowances for doubtful accounts, which represent estimated losses resulting from the inability of certain customers to make the required payments. When determining the allowances for doubtful accounts, we take several factors into consideration including the overall composition of the accounts receivable aging, our prior history of accounts receivable write-offs, the type of customers and our experience with specific customers. We write-off accounts receivable when they are determined to be uncollectible. Changes in the allowances for doubtful accounts are recorded as bad debt expense and are included in general and administrative expense in our consolidated statements of comprehensive income.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Property and equipment, including assets acquired under capital lease obligations, are stated at cost, net of accumulated depreciation and amortization. Depreciation and amortization are computed using the straight-line method over the estimated useful lives when placed in service, which are:</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Computer equipment and software: 2 to 3 years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Office equipment and furniture: 5 to 7 years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Leasehold improvements: the shorter of the useful life of the asset or the remaining term of the lease</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Significant additions or improvements extending asset lives beyond one year are capitalized, while repairs and maintenance are charged to expense as incurred.</w:t>
      </w:r>
    </w:p>
    <w:p>
      <w:pPr>
        <w:spacing w:after="0" w:line="6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capitalize and amortize eligible costs to acquire or develop internal-use software that are incurred during the application development stage. Costs incurred during the preliminary project stage and post-implementation stage are expensed as incurred. Internal-use software is depreciated over the estimated useful life, commencing on the date when the asset is ready for its intended use. Depreciation is computed using the straight-line method. Maintenance and enhancements of internal-use software are expensed as incurred.</w:t>
      </w:r>
    </w:p>
    <w:p>
      <w:pPr>
        <w:spacing w:after="0" w:line="79"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The assets and related accumulated depreciation and amortization are adjusted for asset retirements and disposals and abandoned internal-use software with the resulting gain or loss included in our consolidated statements of comprehensive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assets, current operating lease liabilities, and long-term operating lease liabilities in our consolidated balance sheets.</w:t>
      </w:r>
    </w:p>
    <w:p>
      <w:pPr>
        <w:spacing w:after="0" w:line="62" w:lineRule="exact"/>
        <w:rPr>
          <w:sz w:val="20"/>
          <w:szCs w:val="20"/>
          <w:color w:val="auto"/>
        </w:rPr>
      </w:pPr>
    </w:p>
    <w:p>
      <w:pPr>
        <w:ind w:right="40" w:firstLine="598"/>
        <w:spacing w:after="0" w:line="284"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estimate the discount rate for a similar collateralized asset by reviewing quoted costs of borrowing. We use the implicit interest rate when readily determinable. The operating lease ROU asset also includes any lease payments made and lease incentives that have been incurred. The options to extend our leases are not recognized as part of our ROU assets and lease liabilities unless it is reasonably certain that we will exercise that option. Lease expense for lease payments is recognized on a straight-line basis over the lease term. For all leases, we combine non-lease components with the related lease components and account for it as a single lease component. The ROU assets are subject to the same impairment process as our long-lived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assets. Additionally, we review our lease liabilities for remeasurement whenever there is a triggering event or when relevant facts and circumstances change.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Research and development costs primarily include maintenance and data conversion activities related to our cloud-based supply chain management solutions and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Goodwill represents the excess of the purchase price over the fair value of identifiable net assets acquired in business combinations. We test goodwill for impairment annually at November 30, or more frequently if events or changes in circumstances indicate that the asset might be impaired. The impairment test is conducted by comparing the fair value of the net assets with the carrying amount of the reporting unit. We determine the fair value of the reporting unit based on our market capitalization at the testing date. If the carrying amount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 in the consolidated statements of comprehensive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Assets acquired in business combinations may include identifiable intangible assets such as subscriber relationships, developed technology, and non-competition agreements. We recognize separately from goodwill the fair value of the identifiable intangible assets acquired. We have determined the fair value and useful lives of our purchased intangible assets using certain estimates and assumptions that we believe are reasonable.</w:t>
      </w:r>
    </w:p>
    <w:p>
      <w:pPr>
        <w:spacing w:after="0" w:line="57"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which are seven to ten years for subscriber relationships, three to five years for non-competition agreements and three to ten years for technology.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Party Implementation Assets</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Third party implementation costs are capitalized assets included in Other Assets and relate to implementation costs incurred for software hosting arrangements.</w:t>
      </w:r>
    </w:p>
    <w:p>
      <w:pPr>
        <w:spacing w:after="0" w:line="62" w:lineRule="exact"/>
        <w:rPr>
          <w:sz w:val="20"/>
          <w:szCs w:val="20"/>
          <w:color w:val="auto"/>
        </w:rPr>
      </w:pPr>
    </w:p>
    <w:p>
      <w:pPr>
        <w:ind w:right="220" w:firstLine="598"/>
        <w:spacing w:after="0" w:line="342" w:lineRule="auto"/>
        <w:rPr>
          <w:sz w:val="20"/>
          <w:szCs w:val="20"/>
          <w:color w:val="auto"/>
        </w:rPr>
      </w:pPr>
      <w:r>
        <w:rPr>
          <w:rFonts w:ascii="Arial" w:cs="Arial" w:eastAsia="Arial" w:hAnsi="Arial"/>
          <w:sz w:val="16"/>
          <w:szCs w:val="16"/>
          <w:color w:val="auto"/>
        </w:rPr>
        <w:t>Capitalized implementation costs are recognized on a straight-line basis beginning when the application is ready for its intended use and ending on the expected termination date of the hosting arrangement, including consideration of the noncancelable contractual term and reasonably certain renewals.</w:t>
      </w:r>
    </w:p>
    <w:p>
      <w:pPr>
        <w:spacing w:after="0" w:line="16"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The terms are between four and six years for our current hosting arrangements. Recognized expense is reported in general and administrative expense, which is where the hosting arrangement subscriptions are reported.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as the amount by which the carrying amount of a long-lived asset exceeds its fair value.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C for further descriptions of our revenue recognition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Costs</w:t>
      </w:r>
    </w:p>
    <w:p>
      <w:pPr>
        <w:spacing w:after="0" w:line="11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6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Sales commissions relating to recurring revenues are considered incremental and recoverable costs of obtaining a contract with our customer. These commissions are calculated based on estimated annual recurring revenue to be generated over the customer’s initial contract period. These costs are deferred and amortized over the expected period of benefit, which we have determined to be two years. Amortization expense is included in sales and marketing expenses in the accompanying consolidated statements of comprehensive income.</w:t>
      </w:r>
    </w:p>
    <w:p>
      <w:pPr>
        <w:spacing w:after="0" w:line="79"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Customer implementation costs are considered incremental and recoverable costs of obtaining a contract with our customer. These costs are deferred and amortized over the expected period of benefit, which we have determined to be two years. Amortization expense is included in cost of revenues in the accompanying consolidated statements of comprehensive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We recognize the cost of all share-based payments to employees, executive officers, and non-employee members of the Company’s Board of Directors, including grants of stock options, performance share units (“PSUs”), restricted stock units (“RSUs”), restricted stock awards (“RSAs”), and 401(k) stock match in the consolidated financial statements based on the grant date fair value of those awards. This cost is recognized over the period for which an employee is required to provide service in exchange for the award.</w:t>
      </w:r>
    </w:p>
    <w:p>
      <w:pPr>
        <w:spacing w:after="0" w:line="79"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In valuing share-based awards, judgment is required in determining the expected volatility of common stock and the expected term individuals will hold their share-based awards prior to exercising. The expected volatility of the options is based on the historical volatility of our common stock. The expected term of the options is based on the simplified method, which does not consider historical employee exercise behavior. We recognize forfeitures as they occur.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account for income taxes using the asset and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in our judgement, it is more likely than not that some or all of the deferred tax asset will not be realized.</w:t>
      </w:r>
    </w:p>
    <w:p>
      <w:pPr>
        <w:spacing w:after="0" w:line="8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assess our ability to realize our deferred tax assets at the end of each reporting period. Realization of our deferred tax assets is contingent upon future taxable earnings. Accordingly, this assessment requires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80"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jc w:val="both"/>
        <w:ind w:right="980" w:firstLine="598"/>
        <w:spacing w:after="0" w:line="286" w:lineRule="auto"/>
        <w:rPr>
          <w:sz w:val="20"/>
          <w:szCs w:val="20"/>
          <w:color w:val="auto"/>
        </w:rPr>
      </w:pPr>
      <w:r>
        <w:rPr>
          <w:rFonts w:ascii="Arial" w:cs="Arial" w:eastAsia="Arial" w:hAnsi="Arial"/>
          <w:sz w:val="17"/>
          <w:szCs w:val="17"/>
          <w:color w:val="auto"/>
        </w:rPr>
        <w:t>Basic net income per share has been computed using the weighted average number of shares of common stock outstanding during each period. Diluted net income per share also includes the impact of our outstanding potential common shares, including options, RSUs, RSAs, and PSUs. Potential common shares that are anti-dilutive are excluded from the calculation of diluted net income per share.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Standard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 of Issuance</w:t>
            </w: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Adopted</w:t>
            </w:r>
          </w:p>
        </w:tc>
        <w:tc>
          <w:tcPr>
            <w:tcW w:w="35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Effect on the Financial Statements</w:t>
            </w:r>
          </w:p>
        </w:tc>
      </w:tr>
      <w:tr>
        <w:trPr>
          <w:trHeight w:val="209"/>
        </w:trPr>
        <w:tc>
          <w:tcPr>
            <w:tcW w:w="1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2016-02</w:t>
            </w:r>
            <w:r>
              <w:rPr>
                <w:rFonts w:ascii="Arial" w:cs="Arial" w:eastAsia="Arial" w:hAnsi="Arial"/>
                <w:sz w:val="18"/>
                <w:szCs w:val="18"/>
                <w:color w:val="auto"/>
              </w:rPr>
              <w:t>,</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February</w:t>
            </w: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4"/>
              </w:rPr>
              <w:t>Requires all leases with a term greater than 12</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w:t>
            </w: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The adoption of this standard and related</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Leases and all</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months to be recognized in the statements of</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7"/>
              </w:rPr>
              <w:t>amendments resulted in the recognition of</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w w:val="99"/>
              </w:rPr>
              <w:t>related amendments</w:t>
            </w: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financial position and eliminates current real</w:t>
            </w: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approximately $15.7 million in right-of-use</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estate-specific lease guidance, while</w:t>
            </w: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assets and lease liabilities on our balance</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maintaining substantially similar classification</w:t>
            </w: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sheet as of January 1, 2019. Comparative</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criteria for distinguishing between finance</w:t>
            </w: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periods will continue to be measured and</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leases and operating leases.</w:t>
            </w: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0"/>
              </w:rPr>
              <w:t>presented under historical guidance, and only</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the period of adoption and future periods will</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be subject to this ASU. There was no</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cumulative effect on retained earnings or</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other components of equity at the adoption</w:t>
            </w:r>
          </w:p>
        </w:tc>
      </w:tr>
      <w:tr>
        <w:trPr>
          <w:trHeight w:val="230"/>
        </w:trPr>
        <w:tc>
          <w:tcPr>
            <w:tcW w:w="16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6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date. For more information see Note J.</w:t>
            </w:r>
          </w:p>
        </w:tc>
      </w:tr>
      <w:tr>
        <w:trPr>
          <w:trHeight w:val="215"/>
        </w:trPr>
        <w:tc>
          <w:tcPr>
            <w:tcW w:w="1660" w:type="dxa"/>
            <w:vAlign w:val="bottom"/>
          </w:tcPr>
          <w:p>
            <w:pPr>
              <w:spacing w:after="0"/>
              <w:rPr>
                <w:sz w:val="20"/>
                <w:szCs w:val="20"/>
                <w:color w:val="auto"/>
              </w:rPr>
            </w:pPr>
            <w:r>
              <w:rPr>
                <w:rFonts w:ascii="Arial" w:cs="Arial" w:eastAsia="Arial" w:hAnsi="Arial"/>
                <w:sz w:val="18"/>
                <w:szCs w:val="18"/>
                <w:b w:val="1"/>
                <w:bCs w:val="1"/>
                <w:color w:val="auto"/>
              </w:rPr>
              <w:t>ASU 2018-02</w:t>
            </w: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February</w:t>
            </w:r>
          </w:p>
        </w:tc>
        <w:tc>
          <w:tcPr>
            <w:tcW w:w="3680" w:type="dxa"/>
            <w:vAlign w:val="bottom"/>
          </w:tcPr>
          <w:p>
            <w:pPr>
              <w:ind w:left="140"/>
              <w:spacing w:after="0"/>
              <w:rPr>
                <w:sz w:val="20"/>
                <w:szCs w:val="20"/>
                <w:color w:val="auto"/>
              </w:rPr>
            </w:pPr>
            <w:r>
              <w:rPr>
                <w:rFonts w:ascii="Arial" w:cs="Arial" w:eastAsia="Arial" w:hAnsi="Arial"/>
                <w:sz w:val="18"/>
                <w:szCs w:val="18"/>
                <w:color w:val="auto"/>
              </w:rPr>
              <w:t>Allows a reclassification from accumulated</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January</w:t>
            </w:r>
          </w:p>
        </w:tc>
        <w:tc>
          <w:tcPr>
            <w:tcW w:w="3500" w:type="dxa"/>
            <w:vAlign w:val="bottom"/>
          </w:tcPr>
          <w:p>
            <w:pPr>
              <w:ind w:left="200"/>
              <w:spacing w:after="0"/>
              <w:rPr>
                <w:sz w:val="20"/>
                <w:szCs w:val="20"/>
                <w:color w:val="auto"/>
              </w:rPr>
            </w:pPr>
            <w:r>
              <w:rPr>
                <w:rFonts w:ascii="Arial" w:cs="Arial" w:eastAsia="Arial" w:hAnsi="Arial"/>
                <w:sz w:val="18"/>
                <w:szCs w:val="18"/>
                <w:color w:val="auto"/>
                <w:w w:val="93"/>
              </w:rPr>
              <w:t>The adoption of this standard did not have a</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Income Statement -</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3680" w:type="dxa"/>
            <w:vAlign w:val="bottom"/>
          </w:tcPr>
          <w:p>
            <w:pPr>
              <w:ind w:left="140"/>
              <w:spacing w:after="0"/>
              <w:rPr>
                <w:sz w:val="20"/>
                <w:szCs w:val="20"/>
                <w:color w:val="auto"/>
              </w:rPr>
            </w:pPr>
            <w:r>
              <w:rPr>
                <w:rFonts w:ascii="Arial" w:cs="Arial" w:eastAsia="Arial" w:hAnsi="Arial"/>
                <w:sz w:val="18"/>
                <w:szCs w:val="18"/>
                <w:color w:val="auto"/>
              </w:rPr>
              <w:t>other comprehensive income to retained</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500" w:type="dxa"/>
            <w:vAlign w:val="bottom"/>
          </w:tcPr>
          <w:p>
            <w:pPr>
              <w:ind w:left="200"/>
              <w:spacing w:after="0"/>
              <w:rPr>
                <w:sz w:val="20"/>
                <w:szCs w:val="20"/>
                <w:color w:val="auto"/>
              </w:rPr>
            </w:pPr>
            <w:r>
              <w:rPr>
                <w:rFonts w:ascii="Arial" w:cs="Arial" w:eastAsia="Arial" w:hAnsi="Arial"/>
                <w:sz w:val="18"/>
                <w:szCs w:val="18"/>
                <w:color w:val="auto"/>
                <w:w w:val="92"/>
              </w:rPr>
              <w:t>material impact on our consolidated financial</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Reporting</w:t>
            </w:r>
          </w:p>
        </w:tc>
        <w:tc>
          <w:tcPr>
            <w:tcW w:w="136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earnings for stranded tax effects resulting</w:t>
            </w:r>
          </w:p>
        </w:tc>
        <w:tc>
          <w:tcPr>
            <w:tcW w:w="122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statements.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Comprehensive</w:t>
            </w:r>
          </w:p>
        </w:tc>
        <w:tc>
          <w:tcPr>
            <w:tcW w:w="136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from the Tax Cut and Jobs Act of 2017 and</w:t>
            </w:r>
          </w:p>
        </w:tc>
        <w:tc>
          <w:tcPr>
            <w:tcW w:w="12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Income (Topic 220)</w:t>
            </w:r>
          </w:p>
        </w:tc>
        <w:tc>
          <w:tcPr>
            <w:tcW w:w="136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w w:val="93"/>
              </w:rPr>
              <w:t>requires certain disclosures regarding stranded</w:t>
            </w:r>
          </w:p>
        </w:tc>
        <w:tc>
          <w:tcPr>
            <w:tcW w:w="12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tax effects in accumulated other</w:t>
            </w:r>
          </w:p>
        </w:tc>
        <w:tc>
          <w:tcPr>
            <w:tcW w:w="12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20"/>
                <w:szCs w:val="20"/>
                <w:color w:val="auto"/>
              </w:rPr>
            </w:pPr>
          </w:p>
        </w:tc>
        <w:tc>
          <w:tcPr>
            <w:tcW w:w="35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Date of Issuance</w:t>
            </w:r>
          </w:p>
        </w:tc>
        <w:tc>
          <w:tcPr>
            <w:tcW w:w="36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Date of Required</w:t>
            </w:r>
          </w:p>
        </w:tc>
        <w:tc>
          <w:tcPr>
            <w:tcW w:w="35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Effect on the Financial Statements</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362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Adoption</w:t>
            </w:r>
          </w:p>
        </w:tc>
        <w:tc>
          <w:tcPr>
            <w:tcW w:w="3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2016-13</w:t>
            </w:r>
            <w:r>
              <w:rPr>
                <w:rFonts w:ascii="Arial" w:cs="Arial" w:eastAsia="Arial" w:hAnsi="Arial"/>
                <w:sz w:val="18"/>
                <w:szCs w:val="18"/>
                <w:color w:val="auto"/>
              </w:rPr>
              <w:t>,</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June</w:t>
            </w: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The amendment in this update replaces the</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2020</w:t>
            </w: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7"/>
              </w:rPr>
              <w:t>We have evaluated the requirements of this</w:t>
            </w: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Financial</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incurred loss impairment methodology in</w:t>
            </w:r>
          </w:p>
        </w:tc>
        <w:tc>
          <w:tcPr>
            <w:tcW w:w="1320" w:type="dxa"/>
            <w:vAlign w:val="bottom"/>
            <w:shd w:val="clear" w:color="auto" w:fill="CFF0FC"/>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standard on our financial assets and have</w:t>
            </w: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Instruments - Credit</w:t>
            </w:r>
          </w:p>
        </w:tc>
        <w:tc>
          <w:tcPr>
            <w:tcW w:w="1280" w:type="dxa"/>
            <w:vAlign w:val="bottom"/>
            <w:shd w:val="clear" w:color="auto" w:fill="CFF0FC"/>
          </w:tcPr>
          <w:p>
            <w:pPr>
              <w:spacing w:after="0"/>
              <w:rPr>
                <w:sz w:val="18"/>
                <w:szCs w:val="18"/>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current GAAP with a methodology that</w:t>
            </w:r>
          </w:p>
        </w:tc>
        <w:tc>
          <w:tcPr>
            <w:tcW w:w="1320" w:type="dxa"/>
            <w:vAlign w:val="bottom"/>
            <w:shd w:val="clear" w:color="auto" w:fill="CFF0FC"/>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concluded that the adoption of this ASU,</w:t>
            </w: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Losses (Topic 326),</w:t>
            </w:r>
          </w:p>
        </w:tc>
        <w:tc>
          <w:tcPr>
            <w:tcW w:w="1280" w:type="dxa"/>
            <w:vAlign w:val="bottom"/>
            <w:shd w:val="clear" w:color="auto" w:fill="CFF0FC"/>
          </w:tcPr>
          <w:p>
            <w:pPr>
              <w:spacing w:after="0"/>
              <w:rPr>
                <w:sz w:val="18"/>
                <w:szCs w:val="18"/>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5"/>
              </w:rPr>
              <w:t>reflects expected credit losses on instruments</w:t>
            </w:r>
          </w:p>
        </w:tc>
        <w:tc>
          <w:tcPr>
            <w:tcW w:w="1320" w:type="dxa"/>
            <w:vAlign w:val="bottom"/>
            <w:shd w:val="clear" w:color="auto" w:fill="CFF0FC"/>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beginning January 1, 2020, will not have a</w:t>
            </w: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Measurement of</w:t>
            </w:r>
          </w:p>
        </w:tc>
        <w:tc>
          <w:tcPr>
            <w:tcW w:w="1280" w:type="dxa"/>
            <w:vAlign w:val="bottom"/>
            <w:shd w:val="clear" w:color="auto" w:fill="CFF0FC"/>
          </w:tcPr>
          <w:p>
            <w:pPr>
              <w:spacing w:after="0"/>
              <w:rPr>
                <w:sz w:val="18"/>
                <w:szCs w:val="18"/>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within its scope, including trade receivables.</w:t>
            </w:r>
          </w:p>
        </w:tc>
        <w:tc>
          <w:tcPr>
            <w:tcW w:w="1320" w:type="dxa"/>
            <w:vAlign w:val="bottom"/>
            <w:shd w:val="clear" w:color="auto" w:fill="CFF0FC"/>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5"/>
              </w:rPr>
              <w:t>material impact on our consolidated financial</w:t>
            </w: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Credit Losses on</w:t>
            </w:r>
          </w:p>
        </w:tc>
        <w:tc>
          <w:tcPr>
            <w:tcW w:w="1280" w:type="dxa"/>
            <w:vAlign w:val="bottom"/>
            <w:shd w:val="clear" w:color="auto" w:fill="CFF0FC"/>
          </w:tcPr>
          <w:p>
            <w:pPr>
              <w:spacing w:after="0"/>
              <w:rPr>
                <w:sz w:val="18"/>
                <w:szCs w:val="18"/>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This update is intended to provide financial</w:t>
            </w:r>
          </w:p>
        </w:tc>
        <w:tc>
          <w:tcPr>
            <w:tcW w:w="1320" w:type="dxa"/>
            <w:vAlign w:val="bottom"/>
            <w:shd w:val="clear" w:color="auto" w:fill="CFF0FC"/>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w w:val="97"/>
              </w:rPr>
              <w:t>Financial Statements</w:t>
            </w:r>
          </w:p>
        </w:tc>
        <w:tc>
          <w:tcPr>
            <w:tcW w:w="1280" w:type="dxa"/>
            <w:vAlign w:val="bottom"/>
            <w:shd w:val="clear" w:color="auto" w:fill="CFF0FC"/>
          </w:tcPr>
          <w:p>
            <w:pPr>
              <w:spacing w:after="0"/>
              <w:rPr>
                <w:sz w:val="18"/>
                <w:szCs w:val="18"/>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statement users with more decision-useful</w:t>
            </w:r>
          </w:p>
        </w:tc>
        <w:tc>
          <w:tcPr>
            <w:tcW w:w="132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information about the expected credit losses.</w:t>
            </w:r>
          </w:p>
        </w:tc>
        <w:tc>
          <w:tcPr>
            <w:tcW w:w="1320" w:type="dxa"/>
            <w:vAlign w:val="bottom"/>
            <w:shd w:val="clear" w:color="auto" w:fill="CFF0FC"/>
          </w:tcPr>
          <w:p>
            <w:pPr>
              <w:spacing w:after="0"/>
              <w:rPr>
                <w:sz w:val="20"/>
                <w:szCs w:val="20"/>
                <w:color w:val="auto"/>
              </w:rPr>
            </w:pPr>
          </w:p>
        </w:tc>
        <w:tc>
          <w:tcPr>
            <w:tcW w:w="35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Arial" w:cs="Arial" w:eastAsia="Arial" w:hAnsi="Arial"/>
                <w:sz w:val="18"/>
                <w:szCs w:val="18"/>
                <w:b w:val="1"/>
                <w:bCs w:val="1"/>
                <w:color w:val="auto"/>
              </w:rPr>
              <w:t>ASU 2018-13</w:t>
            </w:r>
            <w:r>
              <w:rPr>
                <w:rFonts w:ascii="Arial" w:cs="Arial" w:eastAsia="Arial" w:hAnsi="Arial"/>
                <w:sz w:val="18"/>
                <w:szCs w:val="18"/>
                <w:color w:val="auto"/>
              </w:rPr>
              <w:t>, Fair</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August 2018</w:t>
            </w:r>
          </w:p>
        </w:tc>
        <w:tc>
          <w:tcPr>
            <w:tcW w:w="3620" w:type="dxa"/>
            <w:vAlign w:val="bottom"/>
          </w:tcPr>
          <w:p>
            <w:pPr>
              <w:ind w:left="140"/>
              <w:spacing w:after="0"/>
              <w:rPr>
                <w:sz w:val="20"/>
                <w:szCs w:val="20"/>
                <w:color w:val="auto"/>
              </w:rPr>
            </w:pPr>
            <w:r>
              <w:rPr>
                <w:rFonts w:ascii="Arial" w:cs="Arial" w:eastAsia="Arial" w:hAnsi="Arial"/>
                <w:sz w:val="18"/>
                <w:szCs w:val="18"/>
                <w:color w:val="auto"/>
                <w:w w:val="93"/>
              </w:rPr>
              <w:t>This ASU adds, modifies and removes several</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January 2020</w:t>
            </w:r>
          </w:p>
        </w:tc>
        <w:tc>
          <w:tcPr>
            <w:tcW w:w="3540" w:type="dxa"/>
            <w:vAlign w:val="bottom"/>
          </w:tcPr>
          <w:p>
            <w:pPr>
              <w:ind w:left="120"/>
              <w:spacing w:after="0"/>
              <w:rPr>
                <w:sz w:val="20"/>
                <w:szCs w:val="20"/>
                <w:color w:val="auto"/>
              </w:rPr>
            </w:pPr>
            <w:r>
              <w:rPr>
                <w:rFonts w:ascii="Arial" w:cs="Arial" w:eastAsia="Arial" w:hAnsi="Arial"/>
                <w:sz w:val="18"/>
                <w:szCs w:val="18"/>
                <w:color w:val="auto"/>
                <w:w w:val="96"/>
              </w:rPr>
              <w:t>The adoption of this standard will not have a</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Value Measurement</w:t>
            </w:r>
          </w:p>
        </w:tc>
        <w:tc>
          <w:tcPr>
            <w:tcW w:w="128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w w:val="98"/>
              </w:rPr>
              <w:t>disclosure requirements relative to the three</w:t>
            </w:r>
          </w:p>
        </w:tc>
        <w:tc>
          <w:tcPr>
            <w:tcW w:w="13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w w:val="95"/>
              </w:rPr>
              <w:t>material impact on our consolidated financial</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(Topic 820),</w:t>
            </w:r>
          </w:p>
        </w:tc>
        <w:tc>
          <w:tcPr>
            <w:tcW w:w="128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w w:val="97"/>
              </w:rPr>
              <w:t>levels of inputs used to measure fair value in</w:t>
            </w:r>
          </w:p>
        </w:tc>
        <w:tc>
          <w:tcPr>
            <w:tcW w:w="13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Disclosure</w:t>
            </w:r>
          </w:p>
        </w:tc>
        <w:tc>
          <w:tcPr>
            <w:tcW w:w="128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accordance with Topic 820, Fair Value</w:t>
            </w:r>
          </w:p>
        </w:tc>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Framework -</w:t>
            </w:r>
          </w:p>
        </w:tc>
        <w:tc>
          <w:tcPr>
            <w:tcW w:w="128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Measurement.</w:t>
            </w:r>
          </w:p>
        </w:tc>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Changes to the</w:t>
            </w:r>
          </w:p>
        </w:tc>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Disclosure</w:t>
            </w:r>
          </w:p>
        </w:tc>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Requirements for</w:t>
            </w:r>
          </w:p>
        </w:tc>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Fair Value</w:t>
            </w:r>
          </w:p>
        </w:tc>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Measurement</w:t>
            </w:r>
          </w:p>
        </w:tc>
        <w:tc>
          <w:tcPr>
            <w:tcW w:w="12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2017-04</w:t>
            </w:r>
            <w:r>
              <w:rPr>
                <w:rFonts w:ascii="Arial" w:cs="Arial" w:eastAsia="Arial" w:hAnsi="Arial"/>
                <w:sz w:val="18"/>
                <w:szCs w:val="18"/>
                <w:color w:val="auto"/>
              </w:rPr>
              <w:t>,</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2017</w:t>
            </w: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This amendment eliminates Step 2 from the</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2020</w:t>
            </w: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6"/>
              </w:rPr>
              <w:t>The adoption of this standard will not have a</w:t>
            </w: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Intangibles -</w:t>
            </w:r>
          </w:p>
        </w:tc>
        <w:tc>
          <w:tcPr>
            <w:tcW w:w="1280" w:type="dxa"/>
            <w:vAlign w:val="bottom"/>
            <w:shd w:val="clear" w:color="auto" w:fill="CFF0FC"/>
          </w:tcPr>
          <w:p>
            <w:pPr>
              <w:spacing w:after="0"/>
              <w:rPr>
                <w:sz w:val="18"/>
                <w:szCs w:val="18"/>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 test.</w:t>
            </w:r>
          </w:p>
        </w:tc>
        <w:tc>
          <w:tcPr>
            <w:tcW w:w="1320" w:type="dxa"/>
            <w:vAlign w:val="bottom"/>
            <w:shd w:val="clear" w:color="auto" w:fill="CFF0FC"/>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5"/>
              </w:rPr>
              <w:t>material impact on our consolidated financial</w:t>
            </w: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w:t>
            </w:r>
          </w:p>
        </w:tc>
        <w:tc>
          <w:tcPr>
            <w:tcW w:w="1280" w:type="dxa"/>
            <w:vAlign w:val="bottom"/>
            <w:shd w:val="clear" w:color="auto" w:fill="CFF0FC"/>
          </w:tcPr>
          <w:p>
            <w:pPr>
              <w:spacing w:after="0"/>
              <w:rPr>
                <w:sz w:val="18"/>
                <w:szCs w:val="18"/>
                <w:color w:val="auto"/>
              </w:rPr>
            </w:pPr>
          </w:p>
        </w:tc>
        <w:tc>
          <w:tcPr>
            <w:tcW w:w="36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(Topic 350),</w:t>
            </w:r>
          </w:p>
        </w:tc>
        <w:tc>
          <w:tcPr>
            <w:tcW w:w="1280" w:type="dxa"/>
            <w:vAlign w:val="bottom"/>
            <w:shd w:val="clear" w:color="auto" w:fill="CFF0FC"/>
          </w:tcPr>
          <w:p>
            <w:pPr>
              <w:spacing w:after="0"/>
              <w:rPr>
                <w:sz w:val="18"/>
                <w:szCs w:val="18"/>
                <w:color w:val="auto"/>
              </w:rPr>
            </w:pPr>
          </w:p>
        </w:tc>
        <w:tc>
          <w:tcPr>
            <w:tcW w:w="36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Simplifying the Test</w:t>
            </w:r>
          </w:p>
        </w:tc>
        <w:tc>
          <w:tcPr>
            <w:tcW w:w="1280" w:type="dxa"/>
            <w:vAlign w:val="bottom"/>
            <w:shd w:val="clear" w:color="auto" w:fill="CFF0FC"/>
          </w:tcPr>
          <w:p>
            <w:pPr>
              <w:spacing w:after="0"/>
              <w:rPr>
                <w:sz w:val="18"/>
                <w:szCs w:val="18"/>
                <w:color w:val="auto"/>
              </w:rPr>
            </w:pPr>
          </w:p>
        </w:tc>
        <w:tc>
          <w:tcPr>
            <w:tcW w:w="36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for Goodwill</w:t>
            </w:r>
          </w:p>
        </w:tc>
        <w:tc>
          <w:tcPr>
            <w:tcW w:w="1280" w:type="dxa"/>
            <w:vAlign w:val="bottom"/>
            <w:shd w:val="clear" w:color="auto" w:fill="CFF0FC"/>
          </w:tcPr>
          <w:p>
            <w:pPr>
              <w:spacing w:after="0"/>
              <w:rPr>
                <w:sz w:val="18"/>
                <w:szCs w:val="18"/>
                <w:color w:val="auto"/>
              </w:rPr>
            </w:pPr>
          </w:p>
        </w:tc>
        <w:tc>
          <w:tcPr>
            <w:tcW w:w="36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1280" w:type="dxa"/>
            <w:vAlign w:val="bottom"/>
            <w:shd w:val="clear" w:color="auto" w:fill="CFF0FC"/>
          </w:tcPr>
          <w:p>
            <w:pPr>
              <w:spacing w:after="0"/>
              <w:rPr>
                <w:sz w:val="20"/>
                <w:szCs w:val="20"/>
                <w:color w:val="auto"/>
              </w:rPr>
            </w:pPr>
          </w:p>
        </w:tc>
        <w:tc>
          <w:tcPr>
            <w:tcW w:w="36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5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B – Business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MAPADOC</w:t>
      </w:r>
    </w:p>
    <w:p>
      <w:pPr>
        <w:spacing w:after="0" w:line="121" w:lineRule="exact"/>
        <w:rPr>
          <w:sz w:val="20"/>
          <w:szCs w:val="20"/>
          <w:color w:val="auto"/>
        </w:rPr>
      </w:pPr>
    </w:p>
    <w:p>
      <w:pPr>
        <w:ind w:right="320" w:firstLine="598"/>
        <w:spacing w:after="0" w:line="259" w:lineRule="auto"/>
        <w:rPr>
          <w:sz w:val="20"/>
          <w:szCs w:val="20"/>
          <w:color w:val="auto"/>
        </w:rPr>
      </w:pPr>
      <w:r>
        <w:rPr>
          <w:rFonts w:ascii="Arial" w:cs="Arial" w:eastAsia="Arial" w:hAnsi="Arial"/>
          <w:sz w:val="18"/>
          <w:szCs w:val="18"/>
          <w:color w:val="auto"/>
        </w:rPr>
        <w:t>On August 26, 2019, we completed our asset acquisition of the MAPADOC business, an operating unit of SWK Technologies, Inc., a leading provider of EDI System Automation solutions for the Sage and Acumatica markets. Pursuant to the asset purchase agreement, the purchase price is $11.8 million. The purchase accounting, purchase price allocation, and net working capital adjustment for the MAPADOC acquisition were finalized during the fourth quarter of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200" w:firstLine="598"/>
        <w:spacing w:after="0" w:line="276" w:lineRule="auto"/>
        <w:rPr>
          <w:sz w:val="20"/>
          <w:szCs w:val="20"/>
          <w:color w:val="auto"/>
        </w:rPr>
      </w:pPr>
      <w:r>
        <w:rPr>
          <w:rFonts w:ascii="Arial" w:cs="Arial" w:eastAsia="Arial" w:hAnsi="Arial"/>
          <w:sz w:val="17"/>
          <w:szCs w:val="17"/>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estimated fair values of the assets acquired and liabilities assumed at the acquisition date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82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Goodwill</w:t>
            </w:r>
          </w:p>
        </w:tc>
        <w:tc>
          <w:tcPr>
            <w:tcW w:w="4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0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Deferred revenue</w:t>
            </w:r>
          </w:p>
        </w:tc>
        <w:tc>
          <w:tcPr>
            <w:tcW w:w="4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r>
      <w:tr>
        <w:trPr>
          <w:trHeight w:val="223"/>
        </w:trPr>
        <w:tc>
          <w:tcPr>
            <w:tcW w:w="5340" w:type="dxa"/>
            <w:vAlign w:val="bottom"/>
            <w:tcBorders>
              <w:top w:val="single" w:sz="8" w:color="CFF0FC"/>
              <w:bottom w:val="single" w:sz="8" w:color="CFF0FC"/>
            </w:tcBorders>
            <w:shd w:val="clear" w:color="auto" w:fill="CFF0FC"/>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Estimated</w:t>
            </w:r>
          </w:p>
        </w:tc>
      </w:t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r>
      <w:tr>
        <w:trPr>
          <w:trHeight w:val="171"/>
        </w:trPr>
        <w:tc>
          <w:tcPr>
            <w:tcW w:w="7700" w:type="dxa"/>
            <w:vAlign w:val="bottom"/>
          </w:tcPr>
          <w:p>
            <w:pPr>
              <w:spacing w:after="0"/>
              <w:rPr>
                <w:sz w:val="20"/>
                <w:szCs w:val="20"/>
                <w:color w:val="auto"/>
              </w:rPr>
            </w:pPr>
            <w:r>
              <w:rPr>
                <w:rFonts w:ascii="Arial" w:cs="Arial" w:eastAsia="Arial" w:hAnsi="Arial"/>
                <w:sz w:val="14"/>
                <w:szCs w:val="14"/>
                <w:b w:val="1"/>
                <w:bCs w:val="1"/>
                <w:color w:val="auto"/>
              </w:rPr>
              <w:t>Purchased Intangible Assets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Subscriber relationships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8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for the period from August 26, 2019 through December 31, 2019 was $0.2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EDIAdmin</w:t>
      </w:r>
    </w:p>
    <w:p>
      <w:pPr>
        <w:spacing w:after="0" w:line="121" w:lineRule="exact"/>
        <w:rPr>
          <w:sz w:val="20"/>
          <w:szCs w:val="20"/>
          <w:color w:val="auto"/>
        </w:rPr>
      </w:pPr>
    </w:p>
    <w:p>
      <w:pPr>
        <w:ind w:right="100" w:firstLine="598"/>
        <w:spacing w:after="0" w:line="272" w:lineRule="auto"/>
        <w:rPr>
          <w:sz w:val="20"/>
          <w:szCs w:val="20"/>
          <w:color w:val="auto"/>
        </w:rPr>
      </w:pPr>
      <w:r>
        <w:rPr>
          <w:rFonts w:ascii="Arial" w:cs="Arial" w:eastAsia="Arial" w:hAnsi="Arial"/>
          <w:sz w:val="17"/>
          <w:szCs w:val="17"/>
          <w:color w:val="auto"/>
        </w:rPr>
        <w:t>On October 3, 2018, we completed our asset acquisition of EDIAdmin, a privately held company providing end-to-end integration solutions, featuring a dedicated Integration Platform as a Service (“iPaaS”) called Cloud Hybrid Integration Platform (“CHIP”) and collaborative managed services for leading systems and applications, both cloud and on-premise. Pursuant to the asset purchase agreement, we paid $7.5 million in cash to the owner of EDIAdmin. The purchase accounting for the EDIAdmin acquisition was complete as of December 31, 2018. The purchase agreement also allowed the seller to receive up to $1.7 million in cash, which becomes payable in the first quarter of 2020 and 2021, contingent upon the completion of certain revenue milestones at December 31, 2019 and December 31, 2020. During the year ended December 31, 2019, we recognized other income of $0.4 million in our consolidated statements of comprehensive income due to the remeasurement of the contingent liability. In 2020, we expect to pay $0.5 million for the completion of certain revenue milestones at December 31, 2019. The fair value of the remaining contingent consideration was $0.4 million at December 31, 2019. See Note E for further disclosures on the remeasurement of the contingent liability.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CovalentWorks</w:t>
      </w:r>
    </w:p>
    <w:p>
      <w:pPr>
        <w:spacing w:after="0" w:line="121" w:lineRule="exact"/>
        <w:rPr>
          <w:sz w:val="20"/>
          <w:szCs w:val="20"/>
          <w:color w:val="auto"/>
        </w:rPr>
      </w:pPr>
    </w:p>
    <w:p>
      <w:pPr>
        <w:ind w:right="280" w:firstLine="598"/>
        <w:spacing w:after="0" w:line="302" w:lineRule="auto"/>
        <w:rPr>
          <w:sz w:val="20"/>
          <w:szCs w:val="20"/>
          <w:color w:val="auto"/>
        </w:rPr>
      </w:pPr>
      <w:r>
        <w:rPr>
          <w:rFonts w:ascii="Arial" w:cs="Arial" w:eastAsia="Arial" w:hAnsi="Arial"/>
          <w:sz w:val="16"/>
          <w:szCs w:val="16"/>
          <w:color w:val="auto"/>
        </w:rPr>
        <w:t>On December 18, 2018, we completed our asset acquisition of CovalentWorks, a privately held company providing cloud-based EDI solutions to small- and medium-sized businesses. Pursuant to the asset purchase agreement, we paid $19.4 million in cash and issued $3.4 million in common stock, or 80,956 shares, as adjusted for our two-for-one stock split effective August 22, 2019, to the owners of CovalentWorks. The purchase accounting, purchase price allocation, and net working capital adjustment for the CovalentWorks acquisition were finalized during the first quarter of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Revenue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derive our revenues primarily from the following revenue streams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7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Fulfillment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219,297</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190,783</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164,682</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Analytics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34,260</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262,006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230,654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203,920</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One-time revenues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16,165</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279,124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248,240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220,085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Recurring revenues consist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80"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The deferred revenue liabilities for recurring revenue contracts are for one year or less and recognized on a ratable basis over the contract term. We have applied the optional exemption under Accounting Standards Codification (“ASC”) 606-10-50-14(a) and will not disclose information about the remaining performance obligations for contracts which have original durations of one year or less.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One-time Revenues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117" w:lineRule="exact"/>
        <w:rPr>
          <w:sz w:val="20"/>
          <w:szCs w:val="20"/>
          <w:color w:val="auto"/>
        </w:rPr>
      </w:pPr>
    </w:p>
    <w:p>
      <w:pPr>
        <w:ind w:right="540" w:firstLine="598"/>
        <w:spacing w:after="0" w:line="295" w:lineRule="auto"/>
        <w:rPr>
          <w:sz w:val="20"/>
          <w:szCs w:val="20"/>
          <w:color w:val="auto"/>
        </w:rPr>
      </w:pPr>
      <w:r>
        <w:rPr>
          <w:rFonts w:ascii="Arial" w:cs="Arial" w:eastAsia="Arial" w:hAnsi="Arial"/>
          <w:sz w:val="17"/>
          <w:szCs w:val="17"/>
          <w:color w:val="auto"/>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49" w:lineRule="exact"/>
        <w:rPr>
          <w:sz w:val="20"/>
          <w:szCs w:val="20"/>
          <w:color w:val="auto"/>
        </w:rPr>
      </w:pPr>
    </w:p>
    <w:p>
      <w:pPr>
        <w:jc w:val="both"/>
        <w:ind w:right="540" w:firstLine="598"/>
        <w:spacing w:after="0" w:line="264" w:lineRule="auto"/>
        <w:rPr>
          <w:sz w:val="20"/>
          <w:szCs w:val="20"/>
          <w:color w:val="auto"/>
        </w:rPr>
      </w:pPr>
      <w:r>
        <w:rPr>
          <w:rFonts w:ascii="Arial" w:cs="Arial" w:eastAsia="Arial" w:hAnsi="Arial"/>
          <w:sz w:val="18"/>
          <w:szCs w:val="18"/>
          <w:color w:val="auto"/>
        </w:rPr>
        <w:t>Certain contracts contain set-up fees that constitute a material renewal option right. This material right provides customers a significant future incentive that would not be otherwise available to that customer unless they entered into the contract, as the set-up fees will not be incurred again upon contract renewal.</w:t>
      </w:r>
    </w:p>
    <w:p>
      <w:pPr>
        <w:spacing w:after="0" w:line="73"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For our Fulfillment solution, we have determined that the set-up fees and related costs represent a material renewal option right to our customers as they will not be incurred again upon renewal. These set-up fees and related costs are deferred and recognized ratably over two years, which is the estimated period for which a material right is present for our customers.</w:t>
      </w:r>
    </w:p>
    <w:p>
      <w:pPr>
        <w:spacing w:after="0" w:line="73" w:lineRule="exact"/>
        <w:rPr>
          <w:sz w:val="20"/>
          <w:szCs w:val="20"/>
          <w:color w:val="auto"/>
        </w:rPr>
      </w:pPr>
    </w:p>
    <w:p>
      <w:pPr>
        <w:ind w:right="140" w:firstLine="598"/>
        <w:spacing w:after="0" w:line="293" w:lineRule="auto"/>
        <w:rPr>
          <w:sz w:val="20"/>
          <w:szCs w:val="20"/>
          <w:color w:val="auto"/>
        </w:rPr>
      </w:pPr>
      <w:r>
        <w:rPr>
          <w:rFonts w:ascii="Arial" w:cs="Arial" w:eastAsia="Arial" w:hAnsi="Arial"/>
          <w:sz w:val="18"/>
          <w:szCs w:val="18"/>
          <w:color w:val="auto"/>
        </w:rPr>
        <w:t>For our Analytics solution, we have determined that the set-up fees do not represent a material customer renewal right and, as such, are deferred and recognized ratably over the estimated initial contract term, which is generally one year.</w:t>
      </w:r>
    </w:p>
    <w:p>
      <w:pPr>
        <w:spacing w:after="0" w:line="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160" w:type="dxa"/>
            <w:vAlign w:val="bottom"/>
          </w:tcPr>
          <w:p>
            <w:pPr>
              <w:spacing w:after="0"/>
              <w:rPr>
                <w:sz w:val="20"/>
                <w:szCs w:val="20"/>
                <w:color w:val="auto"/>
              </w:rPr>
            </w:pPr>
          </w:p>
        </w:tc>
        <w:tc>
          <w:tcPr>
            <w:tcW w:w="3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beginning of the year</w:t>
            </w:r>
          </w:p>
        </w:tc>
        <w:tc>
          <w:tcPr>
            <w:tcW w:w="27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2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10,271</w:t>
            </w: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27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(10,395)</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(10,445)</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Balances, at end of the year</w:t>
            </w:r>
          </w:p>
        </w:tc>
        <w:tc>
          <w:tcPr>
            <w:tcW w:w="27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62" w:lineRule="exact"/>
        <w:rPr>
          <w:sz w:val="20"/>
          <w:szCs w:val="20"/>
          <w:color w:val="auto"/>
        </w:rPr>
      </w:pPr>
    </w:p>
    <w:p>
      <w:pPr>
        <w:ind w:right="220" w:firstLine="598"/>
        <w:spacing w:after="0" w:line="286" w:lineRule="auto"/>
        <w:rPr>
          <w:sz w:val="20"/>
          <w:szCs w:val="20"/>
          <w:color w:val="auto"/>
        </w:rPr>
      </w:pPr>
      <w:r>
        <w:rPr>
          <w:rFonts w:ascii="Arial" w:cs="Arial" w:eastAsia="Arial" w:hAnsi="Arial"/>
          <w:sz w:val="17"/>
          <w:szCs w:val="17"/>
          <w:color w:val="auto"/>
        </w:rPr>
        <w:t>Miscellaneous one-time fees consist of professional services and testing and certification. The deferred revenue liability for these one-time fees are for one year or less and recognized at the time service is provided. We have applied the optional exemption under ASC 606-10-50-14(a) to not disclose information about the remaining performance obligations for contracts which have original durations of one year or less.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Deferred Costs</w:t>
      </w:r>
    </w:p>
    <w:p>
      <w:pPr>
        <w:spacing w:after="0" w:line="121"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62" w:lineRule="exact"/>
        <w:rPr>
          <w:sz w:val="20"/>
          <w:szCs w:val="20"/>
          <w:color w:val="auto"/>
        </w:rPr>
      </w:pPr>
    </w:p>
    <w:p>
      <w:pPr>
        <w:jc w:val="both"/>
        <w:ind w:right="260" w:firstLine="598"/>
        <w:spacing w:after="0" w:line="286" w:lineRule="auto"/>
        <w:rPr>
          <w:sz w:val="20"/>
          <w:szCs w:val="20"/>
          <w:color w:val="auto"/>
        </w:rPr>
      </w:pPr>
      <w:r>
        <w:rPr>
          <w:rFonts w:ascii="Arial" w:cs="Arial" w:eastAsia="Arial" w:hAnsi="Arial"/>
          <w:sz w:val="17"/>
          <w:szCs w:val="17"/>
          <w:color w:val="auto"/>
        </w:rPr>
        <w:t>Costs to obtain customer contracts relating to recurring revenues are considered incremental and recoverable costs of obtaining a contract with our customer. These costs are deferred and amortized over the expected period of benefit which we have determined to be two years. Amortization expense is included in sales and marketing expenses in the accompanying consolidated statements of comprehensive income.</w:t>
      </w:r>
    </w:p>
    <w:p>
      <w:pPr>
        <w:spacing w:after="0" w:line="5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Costs to fulfill customer contracts are considered incremental and recoverable costs of obtaining a contract with our customer. These costs are deferred and amortized over the expected period of benefit which we have determined to be two years. Amortization expense is included in cost of revenues in the accompanying consolidated statements of comprehensive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ind w:left="600"/>
        <w:spacing w:after="0"/>
        <w:rPr>
          <w:sz w:val="20"/>
          <w:szCs w:val="20"/>
          <w:color w:val="auto"/>
        </w:rPr>
      </w:pPr>
      <w:r>
        <w:rPr>
          <w:rFonts w:ascii="Arial" w:cs="Arial" w:eastAsia="Arial" w:hAnsi="Arial"/>
          <w:sz w:val="18"/>
          <w:szCs w:val="18"/>
          <w:color w:val="auto"/>
        </w:rPr>
        <w:t>The table below presents the activity of deferred costs and amortization of deferred costs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160" w:type="dxa"/>
            <w:vAlign w:val="bottom"/>
          </w:tcPr>
          <w:p>
            <w:pPr>
              <w:spacing w:after="0"/>
              <w:rPr>
                <w:sz w:val="20"/>
                <w:szCs w:val="20"/>
                <w:color w:val="auto"/>
              </w:rPr>
            </w:pPr>
          </w:p>
        </w:tc>
        <w:tc>
          <w:tcPr>
            <w:tcW w:w="3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beginning of the year</w:t>
            </w:r>
          </w:p>
        </w:tc>
        <w:tc>
          <w:tcPr>
            <w:tcW w:w="27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45,475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2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49,583</w:t>
            </w: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27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(48,417)</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(44,041)</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Balances, at end of the year</w:t>
            </w:r>
          </w:p>
        </w:tc>
        <w:tc>
          <w:tcPr>
            <w:tcW w:w="27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45,475</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Financial Instruments</w:t>
      </w:r>
    </w:p>
    <w:p>
      <w:pPr>
        <w:spacing w:after="0" w:line="121"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We invest primarily in money market funds, certificates of deposit,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investments. As of December 31, 2019 and 2018, all of our investments held were classified as short-term.</w:t>
      </w:r>
    </w:p>
    <w:p>
      <w:pPr>
        <w:spacing w:after="0" w:line="79"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Our short-term marketable securities are classified as available-for-sale. We intend to hold marketable securities until maturity; however, we may sell these securities at any time for use in current operations or for other purposes.</w:t>
      </w:r>
    </w:p>
    <w:p>
      <w:pPr>
        <w:spacing w:after="0" w:line="62"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Our marketable securities are carried at fair value and unrealized gains and losses on these investments, net of taxes, are included in accumulated other comprehensive loss in the consolidated balance sheets. Realized gains or losses are included in other income (expense), net in the consolidated statements of comprehensive income.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equivalents and short-term investments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2"/>
                <w:szCs w:val="12"/>
                <w:color w:val="auto"/>
              </w:rPr>
            </w:pPr>
          </w:p>
        </w:tc>
        <w:tc>
          <w:tcPr>
            <w:tcW w:w="80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5"/>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2"/>
                <w:szCs w:val="12"/>
                <w:color w:val="auto"/>
              </w:rPr>
            </w:pPr>
          </w:p>
        </w:tc>
        <w:tc>
          <w:tcPr>
            <w:tcW w:w="800" w:type="dxa"/>
            <w:vAlign w:val="bottom"/>
          </w:tcPr>
          <w:p>
            <w:pPr>
              <w:jc w:val="center"/>
              <w:ind w:right="16"/>
              <w:spacing w:after="0" w:line="147"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11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80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Gains, net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80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Gains, net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151,266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151,266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109,265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2"/>
                <w:szCs w:val="22"/>
                <w:color w:val="auto"/>
              </w:rPr>
            </w:pPr>
          </w:p>
        </w:tc>
        <w:tc>
          <w:tcPr>
            <w:tcW w:w="14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185,439</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185,550</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153,648</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185,550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6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ind w:right="100" w:firstLine="598"/>
        <w:spacing w:after="0" w:line="264" w:lineRule="auto"/>
        <w:rPr>
          <w:sz w:val="20"/>
          <w:szCs w:val="20"/>
          <w:color w:val="auto"/>
        </w:rPr>
      </w:pPr>
      <w:r>
        <w:rPr>
          <w:rFonts w:ascii="Arial" w:cs="Arial" w:eastAsia="Arial" w:hAnsi="Arial"/>
          <w:sz w:val="18"/>
          <w:szCs w:val="18"/>
          <w:color w:val="auto"/>
        </w:rPr>
        <w:t>As of December 31, 2019, we had less than $0.1 million of unrealized losses and we do not believe any of these unrealized losses represent an other-than-temporary impairment based on our assessment of available evidence. We expect to receive the full principal and interest on all of these cash equivalents, certificates of deposit, and marketable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right="260" w:firstLine="598"/>
        <w:spacing w:after="0" w:line="340" w:lineRule="auto"/>
        <w:rPr>
          <w:sz w:val="20"/>
          <w:szCs w:val="20"/>
          <w:color w:val="auto"/>
        </w:rPr>
      </w:pPr>
      <w:r>
        <w:rPr>
          <w:rFonts w:ascii="Arial" w:cs="Arial" w:eastAsia="Arial" w:hAnsi="Arial"/>
          <w:sz w:val="15"/>
          <w:szCs w:val="15"/>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23" w:lineRule="exact"/>
        <w:rPr>
          <w:sz w:val="20"/>
          <w:szCs w:val="20"/>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200" w:right="240" w:hanging="598"/>
        <w:spacing w:after="0" w:line="259"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78" w:lineRule="exact"/>
        <w:rPr>
          <w:rFonts w:ascii="Arial" w:cs="Arial" w:eastAsia="Arial" w:hAnsi="Arial"/>
          <w:sz w:val="18"/>
          <w:szCs w:val="18"/>
          <w:color w:val="auto"/>
        </w:rPr>
      </w:pPr>
    </w:p>
    <w:p>
      <w:pPr>
        <w:ind w:left="600" w:right="520" w:firstLine="2"/>
        <w:spacing w:after="0" w:line="375" w:lineRule="auto"/>
        <w:tabs>
          <w:tab w:leader="none" w:pos="11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 unobservable inputs to the valuation methodology that are significant to the measurement of fair value of assets or liabilities. We obtain the fair values of our level 2 available-for-sale securities from a professional pricing service.</w:t>
      </w:r>
    </w:p>
    <w:p>
      <w:pPr>
        <w:spacing w:after="0" w:line="1" w:lineRule="exact"/>
        <w:rPr>
          <w:sz w:val="20"/>
          <w:szCs w:val="20"/>
          <w:color w:val="auto"/>
        </w:rPr>
      </w:pPr>
    </w:p>
    <w:p>
      <w:pPr>
        <w:ind w:firstLine="598"/>
        <w:spacing w:after="0" w:line="261" w:lineRule="auto"/>
        <w:rPr>
          <w:sz w:val="20"/>
          <w:szCs w:val="20"/>
          <w:color w:val="auto"/>
        </w:rPr>
      </w:pPr>
      <w:r>
        <w:rPr>
          <w:rFonts w:ascii="Arial" w:cs="Arial" w:eastAsia="Arial" w:hAnsi="Arial"/>
          <w:sz w:val="18"/>
          <w:szCs w:val="18"/>
          <w:color w:val="auto"/>
        </w:rPr>
        <w:t>For the earn-out liability related to the EDIAdmin acquisition, the Company utilized the Monte Carlo simulation method to estimate the fair value of this contingent liability as of the reporting date. Thousands of iterations of the simulation were performed using forecasted revenues to develop a distribution of future values of recurring revenue which, in turn, provide indicated earn-out payments. The total estimated fair value equals the sum of the average present values of the indicated earn-out payments. Changes in assumptions described above could have an impact on the payout of contingent consideration with a maximum payout being $1.7 million.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right="340" w:firstLine="598"/>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940" w:type="dxa"/>
            <w:vAlign w:val="bottom"/>
          </w:tcPr>
          <w:p>
            <w:pPr>
              <w:jc w:val="right"/>
              <w:ind w:right="271"/>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at December 31, 2019:</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Liabilities at December 31, 2019:</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Earn-out liability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Assets at December 31, 2018: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Liabilities at December 31, 2018: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Earn-out liability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1,368</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The portion of the earn-out liability expected to be paid in the first quarter of 2020 has been determined to be $0.5 million, given the completion of certain revenue milestones for the year ending December 31, 2019. As such, $0.5 million of the earn-out consideration is included in accrued expenses in the consolidated balance sheet at December 31, 2019 and transferred from the Level 3 earn-out liability measured at fair value. The remaining earn-out liability is expected to be paid in the first quarter of 2021 and has been measured as Level 3 given the unobservable inputs that are significant to the measurement of the liability. Other than the transfer relating to the EDIAdmin contingent consideration, there were no other transfers in or out of our Level 1, 2, or 3 assets or liabilities during the years ended December 31, 2019 and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business combinations are measured at fair value. For additional information on the Company's business combinations and the related nonrecurring fair value measurement of the assets acquired and liabilities assumed, refer to “Note B, Business Acquisitions”.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F – Allowance for Doubtful Accounts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allowance for doubtful accounts activity, included in accounts receivable, net,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2,590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4"/>
            <w:shd w:val="clear" w:color="auto" w:fill="CFF0FC"/>
          </w:tcPr>
          <w:p>
            <w:pPr>
              <w:jc w:val="right"/>
              <w:ind w:right="150"/>
              <w:spacing w:after="0"/>
              <w:rPr>
                <w:sz w:val="20"/>
                <w:szCs w:val="20"/>
                <w:color w:val="auto"/>
              </w:rPr>
            </w:pPr>
            <w:r>
              <w:rPr>
                <w:rFonts w:ascii="Arial" w:cs="Arial" w:eastAsia="Arial" w:hAnsi="Arial"/>
                <w:sz w:val="18"/>
                <w:szCs w:val="18"/>
                <w:color w:val="auto"/>
              </w:rPr>
              <w:t>(1,961)</w:t>
            </w:r>
          </w:p>
        </w:tc>
        <w:tc>
          <w:tcPr>
            <w:tcW w:w="2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Balance, December 31</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1,392</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NOTE G – Property and Equipment, net</w:t>
            </w: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20" w:type="dxa"/>
            <w:vAlign w:val="bottom"/>
          </w:tcPr>
          <w:p>
            <w:pPr>
              <w:ind w:left="600"/>
              <w:spacing w:after="0"/>
              <w:rPr>
                <w:sz w:val="20"/>
                <w:szCs w:val="20"/>
                <w:color w:val="auto"/>
              </w:rPr>
            </w:pPr>
            <w:r>
              <w:rPr>
                <w:rFonts w:ascii="Arial" w:cs="Arial" w:eastAsia="Arial" w:hAnsi="Arial"/>
                <w:sz w:val="18"/>
                <w:szCs w:val="18"/>
                <w:color w:val="auto"/>
              </w:rPr>
              <w:t>Property and equipment, net included the following (in thousands):</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145"/>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62,132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(50,574)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(41,175)</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80" w:firstLine="598"/>
        <w:spacing w:after="0" w:line="271" w:lineRule="auto"/>
        <w:rPr>
          <w:sz w:val="20"/>
          <w:szCs w:val="20"/>
          <w:color w:val="auto"/>
        </w:rPr>
      </w:pPr>
      <w:r>
        <w:rPr>
          <w:rFonts w:ascii="Arial" w:cs="Arial" w:eastAsia="Arial" w:hAnsi="Arial"/>
          <w:sz w:val="18"/>
          <w:szCs w:val="18"/>
          <w:color w:val="auto"/>
        </w:rPr>
        <w:t>Depreciation and amortization expense of property and equipment, net for fiscal 2019, 2018, and 2017 was $11.1 million, $8.6 million, and $7.2 million, respectively. At December 31, 2019 and 2018, property and equipment, net included approximately $2.0 million and $1.7 million, respectively, of assets held at subsidiary and office locations outside of the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Goodwill and Intangible Assets,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changes in the net carrying amount of goodwill for the years ended December 31, 2019 and 2018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center"/>
              <w:ind w:right="456"/>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69,658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51,613</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Additions from business acquisitions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Balance, December 31</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ind w:right="456"/>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76,845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5"/>
            <w:vMerge w:val="restart"/>
          </w:tcPr>
          <w:p>
            <w:pPr>
              <w:ind w:left="600"/>
              <w:spacing w:after="0"/>
              <w:rPr>
                <w:sz w:val="20"/>
                <w:szCs w:val="20"/>
                <w:color w:val="auto"/>
              </w:rPr>
            </w:pPr>
            <w:r>
              <w:rPr>
                <w:rFonts w:ascii="Arial" w:cs="Arial" w:eastAsia="Arial" w:hAnsi="Arial"/>
                <w:sz w:val="18"/>
                <w:szCs w:val="18"/>
                <w:color w:val="auto"/>
              </w:rPr>
              <w:t>There were no impairment losses in relation to goodwill for the periods presented.</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4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60" w:type="dxa"/>
            <w:vAlign w:val="bottom"/>
          </w:tcPr>
          <w:p>
            <w:pPr>
              <w:ind w:left="600"/>
              <w:spacing w:after="0"/>
              <w:rPr>
                <w:sz w:val="20"/>
                <w:szCs w:val="20"/>
                <w:color w:val="auto"/>
              </w:rPr>
            </w:pPr>
            <w:r>
              <w:rPr>
                <w:rFonts w:ascii="Arial" w:cs="Arial" w:eastAsia="Arial" w:hAnsi="Arial"/>
                <w:sz w:val="18"/>
                <w:szCs w:val="18"/>
                <w:color w:val="auto"/>
                <w:w w:val="98"/>
              </w:rPr>
              <w:t>Intangible assets, net included the following (in thousands):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2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40" w:type="dxa"/>
            <w:vAlign w:val="bottom"/>
            <w:gridSpan w:val="2"/>
          </w:tcPr>
          <w:p>
            <w:pPr>
              <w:jc w:val="center"/>
              <w:ind w:left="58"/>
              <w:spacing w:after="0" w:line="133" w:lineRule="exact"/>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left="58"/>
              <w:spacing w:after="0" w:line="14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020" w:type="dxa"/>
            <w:vAlign w:val="bottom"/>
            <w:gridSpan w:val="4"/>
          </w:tcPr>
          <w:p>
            <w:pPr>
              <w:jc w:val="center"/>
              <w:ind w:right="65"/>
              <w:spacing w:after="0"/>
              <w:rPr>
                <w:sz w:val="20"/>
                <w:szCs w:val="20"/>
                <w:color w:val="auto"/>
              </w:rPr>
            </w:pPr>
            <w:r>
              <w:rPr>
                <w:rFonts w:ascii="Arial" w:cs="Arial" w:eastAsia="Arial" w:hAnsi="Arial"/>
                <w:sz w:val="14"/>
                <w:szCs w:val="14"/>
                <w:b w:val="1"/>
                <w:bCs w:val="1"/>
                <w:color w:val="auto"/>
                <w:w w:val="95"/>
              </w:rPr>
              <w:t>Translation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(27,287)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214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(2,371)</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(2,643)</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54,737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(32,301)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232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1"/>
                <w:szCs w:val="11"/>
                <w:color w:val="auto"/>
              </w:rPr>
            </w:pPr>
          </w:p>
        </w:tc>
        <w:tc>
          <w:tcPr>
            <w:tcW w:w="12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(2,247)</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estimated annual amortization expense related to intangible assets subject to amortization for the next five years and thereafter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50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2021</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4,518</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2023</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Other Assets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changes in the net amount of capitalized implementation costs for software hosting arrangements for the years ended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1340" w:type="dxa"/>
            <w:vAlign w:val="bottom"/>
            <w:shd w:val="clear" w:color="auto" w:fill="CFF0FC"/>
          </w:tcPr>
          <w:p>
            <w:pPr>
              <w:jc w:val="right"/>
              <w:ind w:right="118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Capitalized implementation fees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implementation fees</w:t>
            </w:r>
          </w:p>
        </w:tc>
        <w:tc>
          <w:tcPr>
            <w:tcW w:w="1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Balance, December 31</w:t>
            </w:r>
          </w:p>
        </w:tc>
        <w:tc>
          <w:tcPr>
            <w:tcW w:w="1340" w:type="dxa"/>
            <w:vAlign w:val="bottom"/>
            <w:tcBorders>
              <w:top w:val="single" w:sz="8" w:color="auto"/>
              <w:bottom w:val="single" w:sz="8" w:color="auto"/>
            </w:tcBorders>
          </w:tcPr>
          <w:p>
            <w:pPr>
              <w:jc w:val="right"/>
              <w:ind w:right="118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impairment losses in relation to the capitalized implementation costs for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Leases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obligated under non-cancellable operating leases, primarily for office space and certain equipment,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4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4"/>
              </w:rPr>
              <w:t>Remaining Term</w:t>
            </w:r>
          </w:p>
        </w:tc>
        <w:tc>
          <w:tcPr>
            <w:tcW w:w="380" w:type="dxa"/>
            <w:vAlign w:val="bottom"/>
          </w:tcPr>
          <w:p>
            <w:pPr>
              <w:spacing w:after="0"/>
              <w:rPr>
                <w:sz w:val="12"/>
                <w:szCs w:val="12"/>
                <w:color w:val="auto"/>
              </w:rPr>
            </w:pPr>
          </w:p>
        </w:tc>
        <w:tc>
          <w:tcPr>
            <w:tcW w:w="1600" w:type="dxa"/>
            <w:vAlign w:val="bottom"/>
          </w:tcPr>
          <w:p>
            <w:pPr>
              <w:jc w:val="center"/>
              <w:ind w:right="315"/>
              <w:spacing w:after="0" w:line="147" w:lineRule="exact"/>
              <w:rPr>
                <w:sz w:val="20"/>
                <w:szCs w:val="20"/>
                <w:color w:val="auto"/>
              </w:rPr>
            </w:pPr>
            <w:r>
              <w:rPr>
                <w:rFonts w:ascii="Arial" w:cs="Arial" w:eastAsia="Arial" w:hAnsi="Arial"/>
                <w:sz w:val="14"/>
                <w:szCs w:val="14"/>
                <w:b w:val="1"/>
                <w:bCs w:val="1"/>
                <w:color w:val="auto"/>
                <w:w w:val="92"/>
              </w:rPr>
              <w:t>Right-of-Use Asset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years)</w:t>
            </w:r>
          </w:p>
        </w:tc>
        <w:tc>
          <w:tcPr>
            <w:tcW w:w="380" w:type="dxa"/>
            <w:vAlign w:val="bottom"/>
          </w:tcPr>
          <w:p>
            <w:pPr>
              <w:spacing w:after="0"/>
              <w:rPr>
                <w:sz w:val="14"/>
                <w:szCs w:val="14"/>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Minneapolis, MN lease</w:t>
            </w:r>
          </w:p>
        </w:tc>
        <w:tc>
          <w:tcPr>
            <w:tcW w:w="328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Kiev, Ukraine lease</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Little Falls, NJ lease</w:t>
            </w:r>
          </w:p>
        </w:tc>
        <w:tc>
          <w:tcPr>
            <w:tcW w:w="5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leases</w:t>
            </w:r>
          </w:p>
        </w:tc>
        <w:tc>
          <w:tcPr>
            <w:tcW w:w="5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&lt;1 - 5</w:t>
            </w:r>
          </w:p>
        </w:tc>
        <w:tc>
          <w:tcPr>
            <w:tcW w:w="4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19"/>
                <w:szCs w:val="19"/>
                <w:color w:val="auto"/>
              </w:rPr>
            </w:pPr>
          </w:p>
        </w:tc>
        <w:tc>
          <w:tcPr>
            <w:tcW w:w="328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280" w:type="dxa"/>
            <w:vAlign w:val="bottom"/>
            <w:vMerge w:val="restart"/>
          </w:tcPr>
          <w:p>
            <w:pPr>
              <w:jc w:val="right"/>
              <w:ind w:right="1050"/>
              <w:spacing w:after="0"/>
              <w:rPr>
                <w:sz w:val="20"/>
                <w:szCs w:val="20"/>
                <w:color w:val="auto"/>
              </w:rPr>
            </w:pPr>
            <w:r>
              <w:rPr>
                <w:rFonts w:ascii="Arial" w:cs="Arial" w:eastAsia="Arial" w:hAnsi="Arial"/>
                <w:sz w:val="18"/>
                <w:szCs w:val="18"/>
                <w:color w:val="auto"/>
              </w:rPr>
              <w:t>66</w:t>
            </w: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66" w:name="page67"/>
    <w:bookmarkEnd w:id="66"/>
    <w:p>
      <w:pPr>
        <w:ind w:right="260" w:firstLine="598"/>
        <w:spacing w:after="0" w:line="264" w:lineRule="auto"/>
        <w:rPr>
          <w:sz w:val="20"/>
          <w:szCs w:val="20"/>
          <w:color w:val="auto"/>
        </w:rPr>
      </w:pPr>
      <w:r>
        <w:rPr>
          <w:rFonts w:ascii="Arial" w:cs="Arial" w:eastAsia="Arial" w:hAnsi="Arial"/>
          <w:sz w:val="18"/>
          <w:szCs w:val="18"/>
          <w:color w:val="auto"/>
        </w:rPr>
        <w:t>Some of our leases may include options to extend the leases for up to five years. The options to extend our leases are not recognized as part of our ROU assets and lease liabilities as it is not reasonably certain that we will exercise those options. Additionally, our agreements do not include options to terminate the leases.</w:t>
      </w:r>
    </w:p>
    <w:p>
      <w:pPr>
        <w:spacing w:after="0" w:line="73"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In December 2017, we executed the fourth amendment to our lease agreement for our current headquarters located in Minneapolis, Minnesota where we lease approximately 189,000 square feet under an agreement that expires on April 30, 2025. We have agreed to expand our headquarters by approximately 25,000 square feet during 2020. Our lease agreement also includes a further expansion right and a right of first offer to lease certain additional space and two options to extend the term of the lease for five years at a market rate determined in accordance with the lease. Incentives of $9.9 million are included as a lease component.</w:t>
      </w:r>
    </w:p>
    <w:p>
      <w:pPr>
        <w:spacing w:after="0" w:line="80"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In December 2019, we executed a lease agreement for a new Kiev, Ukraine location, where we lease approximately 17,000 square feet under an agreement that expires on May 31, 2025. The lease includes a right of first offer to lease certain additional space and one option to extend the term for five years and six months at a market rate determined in accordance with the lease. Under a separate lease agreement, we lease approximately 10,000 square feet under an agreement that expires on April 26, 2020, which we will not be renewing upon termination.</w:t>
      </w:r>
    </w:p>
    <w:p>
      <w:pPr>
        <w:spacing w:after="0" w:line="63" w:lineRule="exact"/>
        <w:rPr>
          <w:sz w:val="20"/>
          <w:szCs w:val="20"/>
          <w:color w:val="auto"/>
        </w:rPr>
      </w:pPr>
    </w:p>
    <w:p>
      <w:pPr>
        <w:ind w:right="280" w:firstLine="598"/>
        <w:spacing w:after="0" w:line="286" w:lineRule="auto"/>
        <w:rPr>
          <w:sz w:val="20"/>
          <w:szCs w:val="20"/>
          <w:color w:val="auto"/>
        </w:rPr>
      </w:pPr>
      <w:r>
        <w:rPr>
          <w:rFonts w:ascii="Arial" w:cs="Arial" w:eastAsia="Arial" w:hAnsi="Arial"/>
          <w:sz w:val="17"/>
          <w:szCs w:val="17"/>
          <w:color w:val="auto"/>
        </w:rPr>
        <w:t>In February 2016, we executed the first amendment to our lease agreement for our Little Falls, New Jersey location where we lease approximately 26,000 square feet under an agreement that expires on June 30, 2023. The agreement includes an option to extend the term of the lease for five years at a market rate determined in accordance with the lease. Incentives of $0.9 million are included as a lease component.</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8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FF0FC"/>
            </w:tcBorders>
          </w:tcPr>
          <w:p>
            <w:pPr>
              <w:spacing w:after="0"/>
              <w:rPr>
                <w:sz w:val="19"/>
                <w:szCs w:val="19"/>
                <w:color w:val="auto"/>
              </w:rPr>
            </w:pPr>
          </w:p>
        </w:tc>
      </w:tr>
      <w:tr>
        <w:trPr>
          <w:trHeight w:val="223"/>
        </w:trPr>
        <w:tc>
          <w:tcPr>
            <w:tcW w:w="88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Operating lease cost for short-term leases was not material for the year ended December 31, 2019.</w:t>
      </w:r>
    </w:p>
    <w:p>
      <w:pPr>
        <w:spacing w:after="0" w:line="131"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Rent expense for all operating leases, which includes minimum lease payments and other charges such as common area maintenance fees, charged to operations was as follows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20" w:type="dxa"/>
            <w:vAlign w:val="bottom"/>
            <w:gridSpan w:val="4"/>
          </w:tcPr>
          <w:p>
            <w:pPr>
              <w:jc w:val="right"/>
              <w:ind w:right="607"/>
              <w:spacing w:after="0"/>
              <w:rPr>
                <w:sz w:val="20"/>
                <w:szCs w:val="20"/>
                <w:color w:val="auto"/>
              </w:rPr>
            </w:pPr>
            <w:r>
              <w:rPr>
                <w:rFonts w:ascii="Arial" w:cs="Arial" w:eastAsia="Arial" w:hAnsi="Arial"/>
                <w:sz w:val="14"/>
                <w:szCs w:val="14"/>
                <w:b w:val="1"/>
                <w:bCs w:val="1"/>
                <w:color w:val="auto"/>
                <w:w w:val="94"/>
              </w:rPr>
              <w:t>Year Ended December 31,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7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Rent expense</w:t>
            </w:r>
          </w:p>
        </w:tc>
        <w:tc>
          <w:tcPr>
            <w:tcW w:w="1180" w:type="dxa"/>
            <w:vAlign w:val="bottom"/>
            <w:tcBorders>
              <w:top w:val="single" w:sz="8" w:color="auto"/>
            </w:tcBorders>
            <w:shd w:val="clear" w:color="auto" w:fill="CFF0FC"/>
          </w:tcPr>
          <w:p>
            <w:pPr>
              <w:jc w:val="right"/>
              <w:ind w:right="99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5,577</w:t>
            </w: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4,941</w:t>
            </w:r>
          </w:p>
        </w:tc>
        <w:tc>
          <w:tcPr>
            <w:tcW w:w="120" w:type="dxa"/>
            <w:vAlign w:val="bottom"/>
          </w:tcPr>
          <w:p>
            <w:pPr>
              <w:spacing w:after="0"/>
              <w:rPr>
                <w:sz w:val="19"/>
                <w:szCs w:val="19"/>
                <w:color w:val="auto"/>
              </w:rPr>
            </w:pPr>
          </w:p>
        </w:tc>
      </w:tr>
      <w:tr>
        <w:trPr>
          <w:trHeight w:val="338"/>
        </w:trPr>
        <w:tc>
          <w:tcPr>
            <w:tcW w:w="7260" w:type="dxa"/>
            <w:vAlign w:val="bottom"/>
          </w:tcPr>
          <w:p>
            <w:pPr>
              <w:ind w:left="600"/>
              <w:spacing w:after="0"/>
              <w:rPr>
                <w:sz w:val="20"/>
                <w:szCs w:val="20"/>
                <w:color w:val="auto"/>
              </w:rPr>
            </w:pPr>
            <w:r>
              <w:rPr>
                <w:rFonts w:ascii="Arial" w:cs="Arial" w:eastAsia="Arial" w:hAnsi="Arial"/>
                <w:sz w:val="18"/>
                <w:szCs w:val="18"/>
                <w:color w:val="auto"/>
                <w:w w:val="99"/>
              </w:rPr>
              <w:t>Supplemental cash flow information related to leases was as follows (in thousands):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5"/>
        </w:trPr>
        <w:tc>
          <w:tcPr>
            <w:tcW w:w="7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center"/>
              <w:ind w:right="207"/>
              <w:spacing w:after="0"/>
              <w:rPr>
                <w:sz w:val="20"/>
                <w:szCs w:val="20"/>
                <w:color w:val="auto"/>
              </w:rPr>
            </w:pPr>
            <w:r>
              <w:rPr>
                <w:rFonts w:ascii="Arial" w:cs="Arial" w:eastAsia="Arial" w:hAnsi="Arial"/>
                <w:sz w:val="14"/>
                <w:szCs w:val="14"/>
                <w:b w:val="1"/>
                <w:bCs w:val="1"/>
                <w:color w:val="auto"/>
                <w:w w:val="93"/>
              </w:rPr>
              <w:t>Year Ended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726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6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18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4,383</w:t>
            </w:r>
          </w:p>
        </w:tc>
        <w:tc>
          <w:tcPr>
            <w:tcW w:w="120" w:type="dxa"/>
            <w:vAlign w:val="bottom"/>
          </w:tcPr>
          <w:p>
            <w:pPr>
              <w:spacing w:after="0"/>
              <w:rPr>
                <w:sz w:val="19"/>
                <w:szCs w:val="19"/>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ROU assets obtained in exchange for operating lease liabilities</w:t>
            </w:r>
          </w:p>
        </w:tc>
        <w:tc>
          <w:tcPr>
            <w:tcW w:w="1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120" w:type="dxa"/>
            <w:vAlign w:val="bottom"/>
            <w:shd w:val="clear" w:color="auto" w:fill="CFF0FC"/>
          </w:tcPr>
          <w:p>
            <w:pPr>
              <w:spacing w:after="0"/>
              <w:rPr>
                <w:sz w:val="19"/>
                <w:szCs w:val="19"/>
                <w:color w:val="auto"/>
              </w:rPr>
            </w:pPr>
          </w:p>
        </w:tc>
      </w:tr>
    </w:tbl>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ROU assets obtained in exchange for operating lease liabilities excludes the transition amount of $15.7 million.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3840" w:type="dxa"/>
            <w:vAlign w:val="bottom"/>
            <w:tcBorders>
              <w:top w:val="single" w:sz="8" w:color="CFF0FC"/>
            </w:tcBorders>
            <w:shd w:val="clear" w:color="auto" w:fill="CFF0FC"/>
          </w:tcPr>
          <w:p>
            <w:pPr>
              <w:spacing w:after="0"/>
              <w:rPr>
                <w:sz w:val="19"/>
                <w:szCs w:val="19"/>
                <w:color w:val="auto"/>
              </w:rPr>
            </w:pPr>
          </w:p>
        </w:tc>
        <w:tc>
          <w:tcPr>
            <w:tcW w:w="2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652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r>
      <w:tr>
        <w:trPr>
          <w:trHeight w:val="431"/>
        </w:trPr>
        <w:tc>
          <w:tcPr>
            <w:tcW w:w="4900" w:type="dxa"/>
            <w:vAlign w:val="bottom"/>
          </w:tcPr>
          <w:p>
            <w:pPr>
              <w:spacing w:after="0"/>
              <w:rPr>
                <w:sz w:val="24"/>
                <w:szCs w:val="24"/>
                <w:color w:val="auto"/>
              </w:rPr>
            </w:pPr>
          </w:p>
        </w:tc>
        <w:tc>
          <w:tcPr>
            <w:tcW w:w="3840" w:type="dxa"/>
            <w:vAlign w:val="bottom"/>
          </w:tcPr>
          <w:p>
            <w:pPr>
              <w:jc w:val="right"/>
              <w:ind w:right="2850"/>
              <w:spacing w:after="0"/>
              <w:rPr>
                <w:sz w:val="20"/>
                <w:szCs w:val="20"/>
                <w:color w:val="auto"/>
              </w:rPr>
            </w:pPr>
            <w:r>
              <w:rPr>
                <w:rFonts w:ascii="Arial" w:cs="Arial" w:eastAsia="Arial" w:hAnsi="Arial"/>
                <w:sz w:val="18"/>
                <w:szCs w:val="18"/>
                <w:color w:val="auto"/>
              </w:rPr>
              <w:t>67</w:t>
            </w: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80" w:type="dxa"/>
            <w:vAlign w:val="bottom"/>
          </w:tcPr>
          <w:p>
            <w:pPr>
              <w:ind w:left="580"/>
              <w:spacing w:after="0"/>
              <w:rPr>
                <w:sz w:val="20"/>
                <w:szCs w:val="20"/>
                <w:color w:val="auto"/>
              </w:rPr>
            </w:pPr>
            <w:r>
              <w:rPr>
                <w:rFonts w:ascii="Arial" w:cs="Arial" w:eastAsia="Arial" w:hAnsi="Arial"/>
                <w:sz w:val="18"/>
                <w:szCs w:val="18"/>
                <w:color w:val="auto"/>
                <w:w w:val="94"/>
              </w:rPr>
              <w:t>At December 31, 2019, our future minimum payments under operating leases were as follows (in thousands):</w:t>
            </w:r>
          </w:p>
        </w:tc>
        <w:tc>
          <w:tcPr>
            <w:tcW w:w="1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2021</w:t>
            </w: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2023</w:t>
            </w: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580"/>
              <w:spacing w:after="0"/>
              <w:rPr>
                <w:sz w:val="20"/>
                <w:szCs w:val="20"/>
                <w:color w:val="auto"/>
              </w:rPr>
            </w:pPr>
            <w:r>
              <w:rPr>
                <w:rFonts w:ascii="Arial" w:cs="Arial" w:eastAsia="Arial" w:hAnsi="Arial"/>
                <w:sz w:val="18"/>
                <w:szCs w:val="18"/>
                <w:color w:val="auto"/>
                <w:w w:val="94"/>
              </w:rPr>
              <w:t>At December 31, 2018, our future minimum payments under operating leases were as follows (in thousands):</w:t>
            </w: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2020</w:t>
            </w: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2022</w:t>
            </w: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Contingencies</w:t>
      </w:r>
    </w:p>
    <w:p>
      <w:pPr>
        <w:spacing w:after="0" w:line="121"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We may be involved in various claims and legal actions in the normal course of business. We believe that the outcome of any such claim or legal action is not expected to have a material effect on our financial position, results of operations or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On August 22, 2019, we effected a two-for-one stock split of our common stock. There was no change in the number of our authorized common shares. All share and per share data have been adjusted for all periods presented to reflect the stock split.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w:t>
      </w:r>
    </w:p>
    <w:p>
      <w:pPr>
        <w:spacing w:after="0" w:line="117" w:lineRule="exact"/>
        <w:rPr>
          <w:sz w:val="20"/>
          <w:szCs w:val="20"/>
          <w:color w:val="auto"/>
        </w:rPr>
      </w:pPr>
    </w:p>
    <w:p>
      <w:pPr>
        <w:jc w:val="both"/>
        <w:ind w:right="260" w:firstLine="598"/>
        <w:spacing w:after="0" w:line="329" w:lineRule="auto"/>
        <w:rPr>
          <w:sz w:val="20"/>
          <w:szCs w:val="20"/>
          <w:color w:val="auto"/>
        </w:rPr>
      </w:pPr>
      <w:r>
        <w:rPr>
          <w:rFonts w:ascii="Arial" w:cs="Arial" w:eastAsia="Arial" w:hAnsi="Arial"/>
          <w:sz w:val="16"/>
          <w:szCs w:val="16"/>
          <w:color w:val="auto"/>
        </w:rPr>
        <w:t>In connection with the acquisition of CovalentWorks (see Note B), we issued 80,956 shares of SPS Commerce common stock, as adjusted for our two-for-one stock split effective August 22, 2019, as calculated according to the terms of the purchase agreement. The fair value of the shares we issued of approximately $3.4 million was determined using the closing price of our common stock on December 18, 2018, the closing date of the transaction.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ind w:right="440" w:firstLine="598"/>
        <w:spacing w:after="0" w:line="259" w:lineRule="auto"/>
        <w:rPr>
          <w:sz w:val="20"/>
          <w:szCs w:val="20"/>
          <w:color w:val="auto"/>
        </w:rPr>
      </w:pPr>
      <w:r>
        <w:rPr>
          <w:rFonts w:ascii="Arial" w:cs="Arial" w:eastAsia="Arial" w:hAnsi="Arial"/>
          <w:sz w:val="18"/>
          <w:szCs w:val="18"/>
          <w:color w:val="auto"/>
        </w:rPr>
        <w:t>On November 2, 2017, our board of directors authorized a program to repurchase up to $50.0 million of common stock. Under this program, we repurchased 417,564 shares at a cost of $20.6 million and 579,490 shares at a cost of $19.9 million for the years ended December 31, 2019 and 2018, respectively. On November 2, 2019, $3.7 million expired from the November 2, 2017 repurchase program. Shares have been adjusted for all periods to reflect a two-for-one stock split effective August 22, 2019.</w:t>
      </w:r>
    </w:p>
    <w:p>
      <w:pPr>
        <w:spacing w:after="0" w:line="79" w:lineRule="exact"/>
        <w:rPr>
          <w:sz w:val="20"/>
          <w:szCs w:val="20"/>
          <w:color w:val="auto"/>
        </w:rPr>
      </w:pPr>
    </w:p>
    <w:p>
      <w:pPr>
        <w:ind w:right="60" w:firstLine="598"/>
        <w:spacing w:after="0" w:line="271" w:lineRule="auto"/>
        <w:rPr>
          <w:sz w:val="20"/>
          <w:szCs w:val="20"/>
          <w:color w:val="auto"/>
        </w:rPr>
      </w:pPr>
      <w:r>
        <w:rPr>
          <w:rFonts w:ascii="Arial" w:cs="Arial" w:eastAsia="Arial" w:hAnsi="Arial"/>
          <w:sz w:val="18"/>
          <w:szCs w:val="18"/>
          <w:color w:val="auto"/>
        </w:rPr>
        <w:t>On November 2, 2019, our board of directors authorized a new program to repurchase up to $50 million of common stock. Under the program, purchases may be made from time to time in the open market over two years. As of December 31, 2019, $50.0 million of the share repurchase authorized was available for future share repurchases.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NOTE M – Stock-Based Compensation</w:t>
      </w:r>
    </w:p>
    <w:p>
      <w:pPr>
        <w:spacing w:after="0" w:line="12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restricted stock and RSUs, to employees, non-employee directors and other consultants who provide services to us. RSAs result in the issuance of new shares when granted. For other stock-based awards, new shares are issued when the award is exercised, vested or released according to the terms of the agreement. In February 2019, January 2018 and February 2017, 2,081,488, 2,055,240 and 2,049,736 additional shares, respectively, were reserved for future issuance under our 2010 Equity Incentive Plan. At December 31, 2019, there were approximately 12.1 million shares available for grant under approved equity compensation plans.</w:t>
      </w:r>
    </w:p>
    <w:p>
      <w:pPr>
        <w:spacing w:after="0" w:line="85" w:lineRule="exact"/>
        <w:rPr>
          <w:sz w:val="20"/>
          <w:szCs w:val="20"/>
          <w:color w:val="auto"/>
        </w:rPr>
      </w:pPr>
    </w:p>
    <w:p>
      <w:pPr>
        <w:jc w:val="both"/>
        <w:ind w:right="160" w:firstLine="598"/>
        <w:spacing w:after="0" w:line="286" w:lineRule="auto"/>
        <w:rPr>
          <w:sz w:val="20"/>
          <w:szCs w:val="20"/>
          <w:color w:val="auto"/>
        </w:rPr>
      </w:pPr>
      <w:r>
        <w:rPr>
          <w:rFonts w:ascii="Arial" w:cs="Arial" w:eastAsia="Arial" w:hAnsi="Arial"/>
          <w:sz w:val="17"/>
          <w:szCs w:val="17"/>
          <w:color w:val="auto"/>
        </w:rPr>
        <w:t>During the year ended December 31, 2017, stock-based compensation expense included a one-time $3.6 million charge due to a modification to our Chief Executive Officer’s employment agreement which resulted in immediate vesting, and expensing, of his outstanding stock-based compensation awards based on his retirement eligibility. Stock-based compensation expense was allocated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2,651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40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14,690</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600"/>
              <w:spacing w:after="0"/>
              <w:rPr>
                <w:sz w:val="20"/>
                <w:szCs w:val="20"/>
                <w:color w:val="auto"/>
              </w:rPr>
            </w:pPr>
            <w:r>
              <w:rPr>
                <w:rFonts w:ascii="Arial" w:cs="Arial" w:eastAsia="Arial" w:hAnsi="Arial"/>
                <w:sz w:val="18"/>
                <w:szCs w:val="18"/>
                <w:color w:val="auto"/>
                <w:w w:val="96"/>
              </w:rPr>
              <w:t>Stock-based compensation expense by type was as follows (in thousands):</w:t>
            </w: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38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Options</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Performance Share Units</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Units</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Restricted Stock Awards</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Plan</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401K Stock Match</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14,690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562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9" w:name="page70"/>
    <w:bookmarkEnd w:id="69"/>
    <w:p>
      <w:pPr>
        <w:ind w:right="20" w:firstLine="598"/>
        <w:spacing w:after="0" w:line="277" w:lineRule="auto"/>
        <w:rPr>
          <w:sz w:val="20"/>
          <w:szCs w:val="20"/>
          <w:color w:val="auto"/>
        </w:rPr>
      </w:pPr>
      <w:r>
        <w:rPr>
          <w:rFonts w:ascii="Arial" w:cs="Arial" w:eastAsia="Arial" w:hAnsi="Arial"/>
          <w:sz w:val="18"/>
          <w:szCs w:val="18"/>
          <w:color w:val="auto"/>
        </w:rPr>
        <w:t>As of December 31, 2019, there was approximately $18.7 million of unrecognized stock-based compensation expense under our equity compensation plans, which is expected to be recognized on a straight-line basis over a weighted-average period of 2.5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Stock options generally vest over four years and have a contractual term of seven to ten years from the date of grant. Our stock option activity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786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Options</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Exercise Price</w:t>
            </w:r>
          </w:p>
        </w:tc>
      </w:tr>
      <w:tr>
        <w:trPr>
          <w:trHeight w:val="171"/>
        </w:trPr>
        <w:tc>
          <w:tcPr>
            <w:tcW w:w="7860" w:type="dxa"/>
            <w:vAlign w:val="bottom"/>
          </w:tcPr>
          <w:p>
            <w:pPr>
              <w:spacing w:after="0"/>
              <w:rPr>
                <w:sz w:val="14"/>
                <w:szCs w:val="14"/>
                <w:color w:val="auto"/>
              </w:rPr>
            </w:pPr>
          </w:p>
        </w:tc>
        <w:tc>
          <w:tcPr>
            <w:tcW w:w="158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2,032,024</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345,394</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(131,004)</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(51,752)</w:t>
            </w:r>
          </w:p>
        </w:tc>
        <w:tc>
          <w:tcPr>
            <w:tcW w:w="1580" w:type="dxa"/>
            <w:vAlign w:val="bottom"/>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2,194,662</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362,944</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(688,668)</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(122,470)</w:t>
            </w:r>
          </w:p>
        </w:tc>
        <w:tc>
          <w:tcPr>
            <w:tcW w:w="158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1,746,468</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184,434</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53.92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(346,098)</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(40,892)</w:t>
            </w:r>
          </w:p>
        </w:tc>
        <w:tc>
          <w:tcPr>
            <w:tcW w:w="1580" w:type="dxa"/>
            <w:vAlign w:val="bottom"/>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1,543,912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Of the total outstanding options at December 31, 2019, 1,160,714 were exercisable with a weighted average exercise price of $27.23 per share. The total outstanding options had a weighted average remaining contractual life of 3.6 years.</w:t>
      </w:r>
    </w:p>
    <w:p>
      <w:pPr>
        <w:spacing w:after="0" w:line="62"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table below presents the intrinsic value of options exercised and outstanding and factors related to our stock options (in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options vested</w:t>
            </w:r>
          </w:p>
        </w:tc>
        <w:tc>
          <w:tcPr>
            <w:tcW w:w="1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3,393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11,103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14,852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Intrinsic value of options outstanding</w:t>
            </w:r>
          </w:p>
        </w:tc>
        <w:tc>
          <w:tcPr>
            <w:tcW w:w="1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0"/>
              </w:rPr>
              <w:t>39,194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7,312</w:t>
            </w:r>
          </w:p>
        </w:tc>
        <w:tc>
          <w:tcPr>
            <w:tcW w:w="100" w:type="dxa"/>
            <w:vAlign w:val="bottom"/>
            <w:shd w:val="clear" w:color="auto" w:fill="CFF0FC"/>
          </w:tcPr>
          <w:p>
            <w:pPr>
              <w:spacing w:after="0"/>
              <w:rPr>
                <w:sz w:val="19"/>
                <w:szCs w:val="19"/>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Weighted-average fair value per share of options granted</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16.86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r>
    </w:tbl>
    <w:p>
      <w:pPr>
        <w:spacing w:after="0" w:line="10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 fair values of the options granted were estimated on the date of grant using the Black-Scholes option pricing model with the following weighted-average assumptions:</w:t>
      </w:r>
    </w:p>
    <w:p>
      <w:pPr>
        <w:spacing w:after="0" w:line="257"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3"/>
          </w:tcPr>
          <w:p>
            <w:pPr>
              <w:jc w:val="right"/>
              <w:ind w:right="11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Life (in years)</w:t>
            </w:r>
          </w:p>
        </w:tc>
        <w:tc>
          <w:tcPr>
            <w:tcW w:w="6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4.43</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FF0FC"/>
          </w:tcPr>
          <w:p>
            <w:pPr>
              <w:spacing w:after="0"/>
              <w:rPr>
                <w:sz w:val="19"/>
                <w:szCs w:val="19"/>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r>
      <w:tr>
        <w:trPr>
          <w:trHeight w:val="431"/>
        </w:trPr>
        <w:tc>
          <w:tcPr>
            <w:tcW w:w="6660" w:type="dxa"/>
            <w:vAlign w:val="bottom"/>
          </w:tcPr>
          <w:p>
            <w:pPr>
              <w:ind w:left="5620"/>
              <w:spacing w:after="0"/>
              <w:rPr>
                <w:sz w:val="20"/>
                <w:szCs w:val="20"/>
                <w:color w:val="auto"/>
              </w:rPr>
            </w:pPr>
            <w:r>
              <w:rPr>
                <w:rFonts w:ascii="Arial" w:cs="Arial" w:eastAsia="Arial" w:hAnsi="Arial"/>
                <w:sz w:val="18"/>
                <w:szCs w:val="18"/>
                <w:color w:val="auto"/>
              </w:rPr>
              <w:t>70</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66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0" w:name="page71"/>
    <w:bookmarkEnd w:id="70"/>
    <w:p>
      <w:pPr>
        <w:ind w:right="120" w:firstLine="598"/>
        <w:spacing w:after="0" w:line="259" w:lineRule="auto"/>
        <w:rPr>
          <w:sz w:val="20"/>
          <w:szCs w:val="20"/>
          <w:color w:val="auto"/>
        </w:rPr>
      </w:pPr>
      <w:r>
        <w:rPr>
          <w:rFonts w:ascii="Arial" w:cs="Arial" w:eastAsia="Arial" w:hAnsi="Arial"/>
          <w:sz w:val="18"/>
          <w:szCs w:val="18"/>
          <w:color w:val="auto"/>
        </w:rPr>
        <w:t>The expected volatility of the options is based on the historical volatility of our common stock. We have not issued dividends on our common stock and do not expect to do so in the foreseeable future. The expected term of the options is based on the simplified method which does not consider historical employee exercise behavior. The risk-free interest rate is based on the U.S. Treasury rates at the date of grant with maturity dates approximately equal to the expected life at the grant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and Restricted Stock Units and Awards</w:t>
      </w:r>
    </w:p>
    <w:p>
      <w:pPr>
        <w:spacing w:after="0" w:line="117" w:lineRule="exact"/>
        <w:rPr>
          <w:sz w:val="20"/>
          <w:szCs w:val="20"/>
          <w:color w:val="auto"/>
        </w:rPr>
      </w:pPr>
    </w:p>
    <w:p>
      <w:pPr>
        <w:ind w:right="180" w:firstLine="598"/>
        <w:spacing w:after="0" w:line="273" w:lineRule="auto"/>
        <w:rPr>
          <w:sz w:val="20"/>
          <w:szCs w:val="20"/>
          <w:color w:val="auto"/>
        </w:rPr>
      </w:pPr>
      <w:r>
        <w:rPr>
          <w:rFonts w:ascii="Arial" w:cs="Arial" w:eastAsia="Arial" w:hAnsi="Arial"/>
          <w:sz w:val="17"/>
          <w:szCs w:val="17"/>
          <w:color w:val="auto"/>
        </w:rPr>
        <w:t>In February 2019 and 2018, our executive officers were granted PSU awards with vesting contingent on the Company’s total shareholder return as compared to indexed total shareholder return over the course of a three-year performance period (fiscal years 2018 – 2020 and fiscal years 2019 – 2021, respectively). The grant date fair value was estimated using a Monte Carlo simulation that utilizes multiple input variables that determine the probability of satisfying the performance conditions stipulated in the award and calculates the fair market value for the performance stock units granted. Expense is recognized on a straight-line basis over the performance period, regardless of whether the market condition is satisfied as the likelihood of the market condition being met is included in the fair-value measurement of the award.</w:t>
      </w:r>
    </w:p>
    <w:p>
      <w:pPr>
        <w:spacing w:after="0" w:line="70" w:lineRule="exact"/>
        <w:rPr>
          <w:sz w:val="20"/>
          <w:szCs w:val="20"/>
          <w:color w:val="auto"/>
        </w:rPr>
      </w:pPr>
    </w:p>
    <w:p>
      <w:pPr>
        <w:ind w:right="120" w:firstLine="598"/>
        <w:spacing w:after="0" w:line="307" w:lineRule="auto"/>
        <w:rPr>
          <w:sz w:val="20"/>
          <w:szCs w:val="20"/>
          <w:color w:val="auto"/>
        </w:rPr>
      </w:pPr>
      <w:r>
        <w:rPr>
          <w:rFonts w:ascii="Arial" w:cs="Arial" w:eastAsia="Arial" w:hAnsi="Arial"/>
          <w:sz w:val="16"/>
          <w:szCs w:val="16"/>
          <w:color w:val="auto"/>
        </w:rPr>
        <w:t>In February 2017, our executive officers were granted PSU awards with vesting contingent on successful attainment of pre-determined revenue targets over the course of a three-year performance period (fiscal 2017 – 2019). The fair value is measured as the number of performance shares expected to be earned multiplied by the grant date fair value of our shares. The number of performance shares expected to vest during the current service period is estimated and the fair value of those shares is recognized over the remaining service period less any amounts already recognized.</w:t>
      </w:r>
    </w:p>
    <w:p>
      <w:pPr>
        <w:spacing w:after="0" w:line="44"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RSUs vest over four years and, upon vesting, the holder is entitled to receive shares of our common stock. With RSAs, shares of our common stock are issued when the award is granted and the restrictions lapse over one year.</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PSU and RSU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PSUs and RSUs</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5320" w:type="dxa"/>
            <w:vAlign w:val="bottom"/>
            <w:gridSpan w:val="2"/>
          </w:tcPr>
          <w:p>
            <w:pPr>
              <w:jc w:val="right"/>
              <w:ind w:right="63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Value ($/share)</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374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378,084</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Granted</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422,336</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56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(129,900)</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5600" w:type="dxa"/>
            <w:vAlign w:val="bottom"/>
            <w:gridSpan w:val="3"/>
          </w:tcPr>
          <w:p>
            <w:pPr>
              <w:jc w:val="right"/>
              <w:ind w:right="220"/>
              <w:spacing w:after="0"/>
              <w:rPr>
                <w:sz w:val="20"/>
                <w:szCs w:val="20"/>
                <w:color w:val="auto"/>
              </w:rPr>
            </w:pPr>
            <w:r>
              <w:rPr>
                <w:rFonts w:ascii="Arial" w:cs="Arial" w:eastAsia="Arial" w:hAnsi="Arial"/>
                <w:sz w:val="18"/>
                <w:szCs w:val="18"/>
                <w:color w:val="auto"/>
              </w:rPr>
              <w:t>(26,696)</w:t>
            </w:r>
          </w:p>
        </w:tc>
        <w:tc>
          <w:tcPr>
            <w:tcW w:w="1580" w:type="dxa"/>
            <w:vAlign w:val="bottom"/>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374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643,824</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Granted</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345,590</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56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(163,122)</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5600" w:type="dxa"/>
            <w:vAlign w:val="bottom"/>
            <w:gridSpan w:val="3"/>
          </w:tcPr>
          <w:p>
            <w:pPr>
              <w:jc w:val="right"/>
              <w:ind w:right="220"/>
              <w:spacing w:after="0"/>
              <w:rPr>
                <w:sz w:val="20"/>
                <w:szCs w:val="20"/>
                <w:color w:val="auto"/>
              </w:rPr>
            </w:pPr>
            <w:r>
              <w:rPr>
                <w:rFonts w:ascii="Arial" w:cs="Arial" w:eastAsia="Arial" w:hAnsi="Arial"/>
                <w:sz w:val="18"/>
                <w:szCs w:val="18"/>
                <w:color w:val="auto"/>
              </w:rPr>
              <w:t>(71,622)</w:t>
            </w:r>
          </w:p>
        </w:tc>
        <w:tc>
          <w:tcPr>
            <w:tcW w:w="1580" w:type="dxa"/>
            <w:vAlign w:val="bottom"/>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374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754,670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Granted</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278,622</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56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(206,380)</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5600" w:type="dxa"/>
            <w:vAlign w:val="bottom"/>
            <w:gridSpan w:val="3"/>
          </w:tcPr>
          <w:p>
            <w:pPr>
              <w:jc w:val="right"/>
              <w:ind w:right="220"/>
              <w:spacing w:after="0"/>
              <w:rPr>
                <w:sz w:val="20"/>
                <w:szCs w:val="20"/>
                <w:color w:val="auto"/>
              </w:rPr>
            </w:pPr>
            <w:r>
              <w:rPr>
                <w:rFonts w:ascii="Arial" w:cs="Arial" w:eastAsia="Arial" w:hAnsi="Arial"/>
                <w:sz w:val="18"/>
                <w:szCs w:val="18"/>
                <w:color w:val="auto"/>
              </w:rPr>
              <w:t>(31,826)</w:t>
            </w:r>
          </w:p>
        </w:tc>
        <w:tc>
          <w:tcPr>
            <w:tcW w:w="1580" w:type="dxa"/>
            <w:vAlign w:val="bottom"/>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374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795,086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740" w:type="dxa"/>
            <w:vAlign w:val="bottom"/>
            <w:vMerge w:val="restart"/>
          </w:tcPr>
          <w:p>
            <w:pPr>
              <w:jc w:val="right"/>
              <w:ind w:right="1972"/>
              <w:spacing w:after="0"/>
              <w:rPr>
                <w:sz w:val="20"/>
                <w:szCs w:val="20"/>
                <w:color w:val="auto"/>
              </w:rPr>
            </w:pPr>
            <w:r>
              <w:rPr>
                <w:rFonts w:ascii="Arial" w:cs="Arial" w:eastAsia="Arial" w:hAnsi="Arial"/>
                <w:sz w:val="18"/>
                <w:szCs w:val="18"/>
                <w:color w:val="auto"/>
              </w:rPr>
              <w:t>71</w:t>
            </w: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1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71" w:name="page72"/>
    <w:bookmarkEnd w:id="71"/>
    <w:p>
      <w:pPr>
        <w:ind w:right="80" w:firstLine="598"/>
        <w:spacing w:after="0" w:line="277" w:lineRule="auto"/>
        <w:rPr>
          <w:sz w:val="20"/>
          <w:szCs w:val="20"/>
          <w:color w:val="auto"/>
        </w:rPr>
      </w:pPr>
      <w:r>
        <w:rPr>
          <w:rFonts w:ascii="Arial" w:cs="Arial" w:eastAsia="Arial" w:hAnsi="Arial"/>
          <w:sz w:val="18"/>
          <w:szCs w:val="18"/>
          <w:color w:val="auto"/>
        </w:rPr>
        <w:t>The number of PSUs and RSUs outstanding at December 31, 2019 included 124,786 units that have vested, but the shares of common stock have not yet been issued, pursuant to the terms of the agreement.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RSA activity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7860" w:type="dxa"/>
            <w:vAlign w:val="bottom"/>
          </w:tcPr>
          <w:p>
            <w:pPr>
              <w:spacing w:after="0"/>
              <w:rPr>
                <w:sz w:val="14"/>
                <w:szCs w:val="14"/>
                <w:color w:val="auto"/>
              </w:rPr>
            </w:pPr>
          </w:p>
        </w:tc>
        <w:tc>
          <w:tcPr>
            <w:tcW w:w="980" w:type="dxa"/>
            <w:vAlign w:val="bottom"/>
          </w:tcPr>
          <w:p>
            <w:pPr>
              <w:ind w:left="620"/>
              <w:spacing w:after="0"/>
              <w:rPr>
                <w:sz w:val="20"/>
                <w:szCs w:val="20"/>
                <w:color w:val="auto"/>
              </w:rPr>
            </w:pPr>
            <w:r>
              <w:rPr>
                <w:rFonts w:ascii="Arial" w:cs="Arial" w:eastAsia="Arial" w:hAnsi="Arial"/>
                <w:sz w:val="14"/>
                <w:szCs w:val="14"/>
                <w:b w:val="1"/>
                <w:bCs w:val="1"/>
                <w:color w:val="auto"/>
                <w:w w:val="90"/>
              </w:rPr>
              <w:t>RSAs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Grant Date Fair</w:t>
            </w:r>
          </w:p>
        </w:tc>
      </w:tr>
      <w:tr>
        <w:trPr>
          <w:trHeight w:val="171"/>
        </w:trPr>
        <w:tc>
          <w:tcPr>
            <w:tcW w:w="8840" w:type="dxa"/>
            <w:vAlign w:val="bottom"/>
            <w:gridSpan w:val="2"/>
          </w:tcPr>
          <w:p>
            <w:pPr>
              <w:ind w:left="85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Value ($/share)</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3,048</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84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600" w:type="dxa"/>
            <w:vAlign w:val="bottom"/>
          </w:tcPr>
          <w:p>
            <w:pPr>
              <w:jc w:val="right"/>
              <w:spacing w:after="0"/>
              <w:rPr>
                <w:sz w:val="20"/>
                <w:szCs w:val="20"/>
                <w:color w:val="auto"/>
              </w:rPr>
            </w:pPr>
            <w:r>
              <w:rPr>
                <w:rFonts w:ascii="Arial" w:cs="Arial" w:eastAsia="Arial" w:hAnsi="Arial"/>
                <w:sz w:val="18"/>
                <w:szCs w:val="18"/>
                <w:color w:val="auto"/>
              </w:rPr>
              <w:t>10,908</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29.15</w:t>
            </w:r>
          </w:p>
        </w:tc>
        <w:tc>
          <w:tcPr>
            <w:tcW w:w="120" w:type="dxa"/>
            <w:vAlign w:val="bottom"/>
          </w:tcPr>
          <w:p>
            <w:pPr>
              <w:spacing w:after="0"/>
              <w:rPr>
                <w:sz w:val="19"/>
                <w:szCs w:val="19"/>
                <w:color w:val="auto"/>
              </w:rPr>
            </w:pPr>
          </w:p>
        </w:tc>
      </w:tr>
      <w:tr>
        <w:trPr>
          <w:trHeight w:val="230"/>
        </w:trPr>
        <w:tc>
          <w:tcPr>
            <w:tcW w:w="8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(11,220)</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29.15</w:t>
            </w:r>
          </w:p>
        </w:tc>
        <w:tc>
          <w:tcPr>
            <w:tcW w:w="120" w:type="dxa"/>
            <w:vAlign w:val="bottom"/>
          </w:tcPr>
          <w:p>
            <w:pPr>
              <w:spacing w:after="0"/>
              <w:rPr>
                <w:sz w:val="19"/>
                <w:szCs w:val="19"/>
                <w:color w:val="auto"/>
              </w:rPr>
            </w:pPr>
          </w:p>
        </w:tc>
      </w:tr>
      <w:tr>
        <w:trPr>
          <w:trHeight w:val="230"/>
        </w:trPr>
        <w:tc>
          <w:tcPr>
            <w:tcW w:w="8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Restricted common stock issued</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14,608</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w:t>
            </w:r>
          </w:p>
        </w:tc>
        <w:tc>
          <w:tcPr>
            <w:tcW w:w="120" w:type="dxa"/>
            <w:vAlign w:val="bottom"/>
            <w:shd w:val="clear" w:color="auto" w:fill="CFF0FC"/>
          </w:tcPr>
          <w:p>
            <w:pPr>
              <w:spacing w:after="0"/>
              <w:rPr>
                <w:sz w:val="19"/>
                <w:szCs w:val="19"/>
                <w:color w:val="auto"/>
              </w:rPr>
            </w:pPr>
          </w:p>
        </w:tc>
      </w:tr>
      <w:tr>
        <w:trPr>
          <w:trHeight w:val="230"/>
        </w:trPr>
        <w:tc>
          <w:tcPr>
            <w:tcW w:w="8840" w:type="dxa"/>
            <w:vAlign w:val="bottom"/>
            <w:gridSpan w:val="2"/>
          </w:tcPr>
          <w:p>
            <w:pPr>
              <w:ind w:left="260"/>
              <w:spacing w:after="0"/>
              <w:rPr>
                <w:sz w:val="20"/>
                <w:szCs w:val="20"/>
                <w:color w:val="auto"/>
              </w:rPr>
            </w:pPr>
            <w:r>
              <w:rPr>
                <w:rFonts w:ascii="Arial" w:cs="Arial" w:eastAsia="Arial" w:hAnsi="Arial"/>
                <w:sz w:val="18"/>
                <w:szCs w:val="18"/>
                <w:color w:val="auto"/>
              </w:rPr>
              <w:t>Restrictions lapsed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(13,680)</w:t>
            </w:r>
          </w:p>
        </w:tc>
        <w:tc>
          <w:tcPr>
            <w:tcW w:w="1580" w:type="dxa"/>
            <w:vAlign w:val="bottom"/>
          </w:tcPr>
          <w:p>
            <w:pPr>
              <w:jc w:val="right"/>
              <w:spacing w:after="0"/>
              <w:rPr>
                <w:sz w:val="20"/>
                <w:szCs w:val="20"/>
                <w:color w:val="auto"/>
              </w:rPr>
            </w:pPr>
            <w:r>
              <w:rPr>
                <w:rFonts w:ascii="Arial" w:cs="Arial" w:eastAsia="Arial" w:hAnsi="Arial"/>
                <w:sz w:val="18"/>
                <w:szCs w:val="18"/>
                <w:color w:val="auto"/>
              </w:rPr>
              <w:t>35.60</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84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600" w:type="dxa"/>
            <w:vAlign w:val="bottom"/>
          </w:tcPr>
          <w:p>
            <w:pPr>
              <w:jc w:val="right"/>
              <w:spacing w:after="0"/>
              <w:rPr>
                <w:sz w:val="20"/>
                <w:szCs w:val="20"/>
                <w:color w:val="auto"/>
              </w:rPr>
            </w:pPr>
            <w:r>
              <w:rPr>
                <w:rFonts w:ascii="Arial" w:cs="Arial" w:eastAsia="Arial" w:hAnsi="Arial"/>
                <w:sz w:val="18"/>
                <w:szCs w:val="18"/>
                <w:color w:val="auto"/>
              </w:rPr>
              <w:t>9,840</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51.80</w:t>
            </w:r>
          </w:p>
        </w:tc>
        <w:tc>
          <w:tcPr>
            <w:tcW w:w="120" w:type="dxa"/>
            <w:vAlign w:val="bottom"/>
          </w:tcPr>
          <w:p>
            <w:pPr>
              <w:spacing w:after="0"/>
              <w:rPr>
                <w:sz w:val="19"/>
                <w:szCs w:val="19"/>
                <w:color w:val="auto"/>
              </w:rPr>
            </w:pPr>
          </w:p>
        </w:tc>
      </w:tr>
      <w:tr>
        <w:trPr>
          <w:trHeight w:val="230"/>
        </w:trPr>
        <w:tc>
          <w:tcPr>
            <w:tcW w:w="8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(11,044)</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51.80</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firstLine="598"/>
        <w:spacing w:after="0" w:line="280" w:lineRule="auto"/>
        <w:rPr>
          <w:sz w:val="20"/>
          <w:szCs w:val="20"/>
          <w:color w:val="auto"/>
        </w:rPr>
      </w:pPr>
      <w:r>
        <w:rPr>
          <w:rFonts w:ascii="Arial" w:cs="Arial" w:eastAsia="Arial" w:hAnsi="Arial"/>
          <w:sz w:val="17"/>
          <w:szCs w:val="17"/>
          <w:color w:val="auto"/>
        </w:rPr>
        <w:t>We have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one share of common stock at the beginning or end of each stock purchase period. The plan consists of two six-month offering periods, beginning on January 1 and July 1 of each calendar year. A total of 1.9 million shares of common stock are remaining for issuance under the plan at December 31, 2019.</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ESPP activity was as follows (in thousands, except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00" w:type="dxa"/>
            <w:vAlign w:val="bottom"/>
            <w:tcBorders>
              <w:bottom w:val="single" w:sz="8" w:color="CFF0FC"/>
            </w:tcBorders>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Withholdings for share purchases</w:t>
            </w:r>
          </w:p>
        </w:tc>
        <w:tc>
          <w:tcPr>
            <w:tcW w:w="2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Shares purchased</w:t>
            </w:r>
          </w:p>
        </w:tc>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58,851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69,596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81,936</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each offering period and using the Black-Scholes option pricing model with the following weighted-average assumptions:</w:t>
      </w:r>
    </w:p>
    <w:p>
      <w:pPr>
        <w:spacing w:after="0" w:line="200" w:lineRule="exact"/>
        <w:rPr>
          <w:sz w:val="20"/>
          <w:szCs w:val="20"/>
          <w:color w:val="auto"/>
        </w:rPr>
      </w:pPr>
    </w:p>
    <w:p>
      <w:pPr>
        <w:spacing w:after="0" w:line="273"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3"/>
          </w:tcPr>
          <w:p>
            <w:pPr>
              <w:jc w:val="right"/>
              <w:ind w:right="11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Life (in years)</w:t>
            </w:r>
          </w:p>
        </w:tc>
        <w:tc>
          <w:tcPr>
            <w:tcW w:w="6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FF0FC"/>
          </w:tcPr>
          <w:p>
            <w:pPr>
              <w:spacing w:after="0"/>
              <w:rPr>
                <w:sz w:val="19"/>
                <w:szCs w:val="19"/>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0.90%</w:t>
            </w:r>
          </w:p>
        </w:tc>
      </w:tr>
      <w:tr>
        <w:trPr>
          <w:trHeight w:val="553"/>
        </w:trPr>
        <w:tc>
          <w:tcPr>
            <w:tcW w:w="6660" w:type="dxa"/>
            <w:vAlign w:val="bottom"/>
          </w:tcPr>
          <w:p>
            <w:pPr>
              <w:ind w:left="5620"/>
              <w:spacing w:after="0"/>
              <w:rPr>
                <w:sz w:val="20"/>
                <w:szCs w:val="20"/>
                <w:color w:val="auto"/>
              </w:rPr>
            </w:pPr>
            <w:r>
              <w:rPr>
                <w:rFonts w:ascii="Arial" w:cs="Arial" w:eastAsia="Arial" w:hAnsi="Arial"/>
                <w:sz w:val="18"/>
                <w:szCs w:val="18"/>
                <w:color w:val="auto"/>
              </w:rPr>
              <w:t>72</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66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 N – Income Taxes</w:t>
      </w:r>
    </w:p>
    <w:p>
      <w:pPr>
        <w:spacing w:after="0" w:line="121"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Our provisions for income taxes included current federal, foreign and state income tax expense, as well as deferred tax expense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800" w:type="dxa"/>
            <w:vAlign w:val="bottom"/>
            <w:tcBorders>
              <w:bottom w:val="single" w:sz="8" w:color="CFF0FC"/>
            </w:tcBorders>
          </w:tcPr>
          <w:p>
            <w:pPr>
              <w:spacing w:after="0"/>
              <w:rPr>
                <w:sz w:val="13"/>
                <w:szCs w:val="13"/>
                <w:color w:val="auto"/>
              </w:rPr>
            </w:pPr>
          </w:p>
        </w:tc>
        <w:tc>
          <w:tcPr>
            <w:tcW w:w="29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Federal</w:t>
            </w:r>
          </w:p>
        </w:tc>
        <w:tc>
          <w:tcPr>
            <w:tcW w:w="384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Federal</w:t>
            </w: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19"/>
                <w:szCs w:val="19"/>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(291)</w:t>
            </w: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r>
      <w:tr>
        <w:trPr>
          <w:trHeight w:val="223"/>
        </w:trPr>
        <w:tc>
          <w:tcPr>
            <w:tcW w:w="3800" w:type="dxa"/>
            <w:vAlign w:val="bottom"/>
            <w:tcBorders>
              <w:top w:val="single" w:sz="8" w:color="CFF0FC"/>
              <w:bottom w:val="single" w:sz="8" w:color="CFF0FC"/>
            </w:tcBorders>
            <w:shd w:val="clear" w:color="auto" w:fill="CFF0FC"/>
          </w:tcPr>
          <w:p>
            <w:pPr>
              <w:spacing w:after="0"/>
              <w:rPr>
                <w:sz w:val="19"/>
                <w:szCs w:val="19"/>
                <w:color w:val="auto"/>
              </w:rPr>
            </w:pPr>
          </w:p>
        </w:tc>
        <w:tc>
          <w:tcPr>
            <w:tcW w:w="29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The tax provision for the year ended December 31, 2017 included a $0.4 million reclass of alternative minimum tax (“AMT”) credit carryforwards from the deferred federal provision to current federal provision, of which $0.2 million was refunded in 2019. The remaining unutilized AMT credit carryforwards become partially refundable in 2020 and 2021, and fully refundable in 2022.</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expected federal income tax at the statutory rate to the provision for income taxes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Expected federal income tax at statutory rate</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Tax impact of foreign activity</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Nondeductible executive compensation</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Change in state deferred rate</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(1,252)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(1,843)</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Tax impact of Tax Cuts and Jobs Act</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Tax impact of stock activity</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(2,518)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(2,438)</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Total provision for income taxes</w:t>
            </w:r>
          </w:p>
        </w:tc>
        <w:tc>
          <w:tcPr>
            <w:tcW w:w="2360" w:type="dxa"/>
            <w:vAlign w:val="bottom"/>
          </w:tcPr>
          <w:p>
            <w:pPr>
              <w:spacing w:after="0"/>
              <w:rPr>
                <w:sz w:val="19"/>
                <w:szCs w:val="19"/>
                <w:color w:val="auto"/>
              </w:rPr>
            </w:pPr>
          </w:p>
        </w:tc>
        <w:tc>
          <w:tcPr>
            <w:tcW w:w="82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60" w:type="dxa"/>
            <w:vAlign w:val="bottom"/>
            <w:vMerge w:val="restart"/>
          </w:tcPr>
          <w:p>
            <w:pPr>
              <w:jc w:val="right"/>
              <w:ind w:right="890"/>
              <w:spacing w:after="0"/>
              <w:rPr>
                <w:sz w:val="20"/>
                <w:szCs w:val="20"/>
                <w:color w:val="auto"/>
              </w:rPr>
            </w:pPr>
            <w:r>
              <w:rPr>
                <w:rFonts w:ascii="Arial" w:cs="Arial" w:eastAsia="Arial" w:hAnsi="Arial"/>
                <w:sz w:val="18"/>
                <w:szCs w:val="18"/>
                <w:color w:val="auto"/>
              </w:rPr>
              <w:t>73</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3" w:name="page74"/>
    <w:bookmarkEnd w:id="73"/>
    <w:p>
      <w:pPr>
        <w:ind w:right="160" w:firstLine="598"/>
        <w:spacing w:after="0" w:line="264" w:lineRule="auto"/>
        <w:rPr>
          <w:sz w:val="20"/>
          <w:szCs w:val="20"/>
          <w:color w:val="auto"/>
        </w:rPr>
      </w:pPr>
      <w:r>
        <w:rPr>
          <w:rFonts w:ascii="Arial" w:cs="Arial" w:eastAsia="Arial" w:hAnsi="Arial"/>
          <w:sz w:val="18"/>
          <w:szCs w:val="18"/>
          <w:color w:val="auto"/>
        </w:rPr>
        <w:t>The Tax Act, which was enacted on December 22, 2017, reduced the corporate federal income tax rate to 21.0% effective January 1, 2018, resulting in discrete tax expense of $6.8 million for the reduction of deferred tax assets, for the year ended December 31, 2017. Also, the Tax Act expanded the deduction limits on executive compensation and included transition rules for previously awarded compensation.</w:t>
      </w:r>
    </w:p>
    <w:p>
      <w:pPr>
        <w:spacing w:after="0" w:line="73"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Differences between our effective tax rate and statutory tax rates are primarily due to the federal research and development credit partially offset by permanently non-deductible expenses. Additionally, under ASU 2016-09, excess tax benefits generated upon settlement or exercise of stock awards are recognized as a reduction to income tax expense as a discrete tax item in the period that the event occurs creating potentially significant fluctuation in tax expense by year.</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our deferred tax assets (liabilities)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230"/>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right"/>
              <w:ind w:right="310"/>
              <w:spacing w:after="0" w:line="155"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Net operating loss and credit carryforwards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9,122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3,944</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Accounts receivable allowances</w:t>
            </w:r>
          </w:p>
        </w:tc>
        <w:tc>
          <w:tcPr>
            <w:tcW w:w="3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2,916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Gross deferred tax assets</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16,487</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deferred tax assets</w:t>
            </w: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15,419</w:t>
            </w:r>
          </w:p>
        </w:tc>
        <w:tc>
          <w:tcPr>
            <w:tcW w:w="2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15,035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operations</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(2,787)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Foreign operations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(4,975)</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(2,943)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(13,982)</w:t>
            </w:r>
          </w:p>
        </w:tc>
        <w:tc>
          <w:tcPr>
            <w:tcW w:w="5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(5,955)</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340" w:type="dxa"/>
            <w:vAlign w:val="bottom"/>
            <w:tcBorders>
              <w:top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As of December 31, 2019, we had net operating loss carryforwards of $34.0 million for U.S. federal tax purposes. We also had $3.6 million of various state net operating loss carryforwards. The loss carryforwards for federal tax purposes will expire between 2020 and 2039 if not utilized. The loss carryforwards for state tax purposes will expire between 2021 and 2031 if not utilized.</w:t>
      </w:r>
    </w:p>
    <w:p>
      <w:pPr>
        <w:spacing w:after="0" w:line="73"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Section 382 of the U.S. Internal Revenue Code generally imposes an annual limitation on the amount of net operating loss carryforwards that might be used to offset taxable income when a corporation has undergone significant changes in stock ownership. As of December 31, 2019, we had $21.6 million of net operating loss carryforwards subject to Section 382 limitations, of which we believe approximately $17.6 million of federal losses will expire unused due to Section 382 limitations. The remaining $4.0 million is subject to a maximum annual limitation under Section 382 of approximately $1.0 million. This limitation could be further restricted if any ownership changes occur in future years. Accordingly, our deferred tax assets are reported net of the Section 382 limitations.</w:t>
      </w:r>
    </w:p>
    <w:p>
      <w:pPr>
        <w:spacing w:after="0" w:line="85"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As of December 31, 2019, we had federal research and development credit carryforwards, net of Section 383 limitations, of $4.2 million, which, if not utilized, will begin to expire in 2030. We had state research and development credit carryforwards of $1.4 million which, if not utilized, will begin to expire in 2025.</w:t>
      </w:r>
    </w:p>
    <w:p>
      <w:pPr>
        <w:spacing w:after="0" w:line="73"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As of December 31, 2019, we had a valuation allowance against our deferred tax assets of $1.1 million. The valuation allowance is established for state credit carryforwards that we do not expect to utilize based on our current expectations of future state taxable income.</w:t>
      </w:r>
    </w:p>
    <w:p>
      <w:pPr>
        <w:spacing w:after="0" w:line="62"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We are subject to income taxes for U.S. federal and various state and international jurisdictions. We are generally subject to U.S. federal and state tax examinations for all prior tax years due to our net operating loss carryforwards and the utilization of the carryforwards in years still open under statute.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right="360" w:firstLine="598"/>
        <w:spacing w:after="0" w:line="264" w:lineRule="auto"/>
        <w:rPr>
          <w:sz w:val="20"/>
          <w:szCs w:val="20"/>
          <w:color w:val="auto"/>
        </w:rPr>
      </w:pPr>
      <w:r>
        <w:rPr>
          <w:rFonts w:ascii="Arial" w:cs="Arial" w:eastAsia="Arial" w:hAnsi="Arial"/>
          <w:sz w:val="18"/>
          <w:szCs w:val="18"/>
          <w:color w:val="auto"/>
        </w:rPr>
        <w:t>As of December 31, 2019,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Net Income Per Share</w:t>
      </w:r>
    </w:p>
    <w:p>
      <w:pPr>
        <w:spacing w:after="0" w:line="12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8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12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33,712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23,872</w:t>
            </w:r>
          </w:p>
        </w:tc>
        <w:tc>
          <w:tcPr>
            <w:tcW w:w="1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35,024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PSUs, RSUs and RSAs</w:t>
            </w:r>
          </w:p>
        </w:tc>
        <w:tc>
          <w:tcPr>
            <w:tcW w:w="1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1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36,002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35,212</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12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12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0.94</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0.68</w:t>
            </w:r>
          </w:p>
        </w:tc>
        <w:tc>
          <w:tcPr>
            <w:tcW w:w="18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August 22, 2019.</w:t>
      </w:r>
    </w:p>
    <w:p>
      <w:pPr>
        <w:spacing w:after="0" w:line="144" w:lineRule="exact"/>
        <w:rPr>
          <w:sz w:val="20"/>
          <w:szCs w:val="20"/>
          <w:color w:val="auto"/>
        </w:rPr>
      </w:pPr>
    </w:p>
    <w:p>
      <w:pPr>
        <w:ind w:right="500" w:firstLine="598"/>
        <w:spacing w:after="0" w:line="342" w:lineRule="auto"/>
        <w:rPr>
          <w:sz w:val="20"/>
          <w:szCs w:val="20"/>
          <w:color w:val="auto"/>
        </w:rPr>
      </w:pPr>
      <w:r>
        <w:rPr>
          <w:rFonts w:ascii="Arial" w:cs="Arial" w:eastAsia="Arial" w:hAnsi="Arial"/>
          <w:sz w:val="16"/>
          <w:szCs w:val="16"/>
          <w:color w:val="auto"/>
        </w:rPr>
        <w:t>For the years ended December 31, 2019, 2018 and 2017, the effect of approximately 181,000, approximately 1,000 and approximately 566,000 outstanding potential common shares, respectively, were excluded from the calculation of diluted net income per share as they were anti-dilutive.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Retirement Savings Plan</w:t>
      </w:r>
    </w:p>
    <w:p>
      <w:pPr>
        <w:spacing w:after="0" w:line="121" w:lineRule="exact"/>
        <w:rPr>
          <w:sz w:val="20"/>
          <w:szCs w:val="20"/>
          <w:color w:val="auto"/>
        </w:rPr>
      </w:pPr>
    </w:p>
    <w:p>
      <w:pPr>
        <w:ind w:right="60" w:firstLine="598"/>
        <w:spacing w:after="0" w:line="284" w:lineRule="auto"/>
        <w:rPr>
          <w:sz w:val="20"/>
          <w:szCs w:val="20"/>
          <w:color w:val="auto"/>
        </w:rPr>
      </w:pPr>
      <w:r>
        <w:rPr>
          <w:rFonts w:ascii="Arial" w:cs="Arial" w:eastAsia="Arial" w:hAnsi="Arial"/>
          <w:sz w:val="17"/>
          <w:szCs w:val="17"/>
          <w:color w:val="auto"/>
        </w:rPr>
        <w:t>We sponsor a 401(k) retirement savings plan for our employees. Employees can contribute up to 80% of their compensation, subject to the limits established by law. In 2018, we increased our match to 50% of the employee’s contribution up to the first 6% of pre-tax annual compensation. A portion of our match is in company stock, which is purchased from the open market by our plan provider and immediately deposited into the employee’s 401(k) account. Additionally, we make statutory contributions to retirement plans as required by local foreign government regulations. Our total contributions to the plan were $3.3 million, $2.9 million and $1.6 million for the years ended December 31, 2019, 2018 and 2017,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Related Party Transactions</w:t>
      </w:r>
    </w:p>
    <w:p>
      <w:pPr>
        <w:spacing w:after="0" w:line="121" w:lineRule="exact"/>
        <w:rPr>
          <w:sz w:val="20"/>
          <w:szCs w:val="20"/>
          <w:color w:val="auto"/>
        </w:rPr>
      </w:pPr>
    </w:p>
    <w:p>
      <w:pPr>
        <w:ind w:right="220" w:firstLine="598"/>
        <w:spacing w:after="0" w:line="293" w:lineRule="auto"/>
        <w:rPr>
          <w:sz w:val="20"/>
          <w:szCs w:val="20"/>
          <w:color w:val="auto"/>
        </w:rPr>
      </w:pPr>
      <w:r>
        <w:rPr>
          <w:rFonts w:ascii="Arial" w:cs="Arial" w:eastAsia="Arial" w:hAnsi="Arial"/>
          <w:sz w:val="16"/>
          <w:szCs w:val="16"/>
          <w:color w:val="auto"/>
        </w:rPr>
        <w:t>SPS Commerce Foundation (the “Foundation”) is a Minnesota non-profit organization exempt from federal taxation under Section 501(c)(3) of the Internal Revenue Code. The Foundation was formed in 2015 to engage in, advance, support, promote and administer charitable activities. The directors of the Foundation are also our officers. These officers receive no compensation from the Foundation for the management services performed for the Foundation. The Foundation is not a subsidiary of ours and the financial results of the Foundation are not consolidated with our financial statements. We made no contributions for the year ended December 31, 2019 and we made contributions of $0.7 million and $0.2 million to the Foundation for the years ended December 31, 2018 and 2017, respectively. We have no current legal obligations for future commitments to the Foundation.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R – Selected Quarterly Financial Data (Unaudited)</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our selected unaudited quarterly statements of comprehensive income data (in thousands, except per 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2019</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Dec 31</w:t>
            </w:r>
          </w:p>
        </w:tc>
        <w:tc>
          <w:tcPr>
            <w:tcW w:w="240" w:type="dxa"/>
            <w:vAlign w:val="bottom"/>
          </w:tcPr>
          <w:p>
            <w:pPr>
              <w:spacing w:after="0"/>
              <w:rPr>
                <w:sz w:val="13"/>
                <w:szCs w:val="13"/>
                <w:color w:val="auto"/>
              </w:rPr>
            </w:pPr>
          </w:p>
        </w:tc>
        <w:tc>
          <w:tcPr>
            <w:tcW w:w="11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Sep 30</w:t>
            </w:r>
          </w:p>
        </w:tc>
        <w:tc>
          <w:tcPr>
            <w:tcW w:w="240" w:type="dxa"/>
            <w:vAlign w:val="bottom"/>
          </w:tcPr>
          <w:p>
            <w:pPr>
              <w:spacing w:after="0"/>
              <w:rPr>
                <w:sz w:val="13"/>
                <w:szCs w:val="13"/>
                <w:color w:val="auto"/>
              </w:rPr>
            </w:pPr>
          </w:p>
        </w:tc>
        <w:tc>
          <w:tcPr>
            <w:tcW w:w="9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Jun 30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Mar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72,733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68,529</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84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4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3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2018</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Dec 31</w:t>
            </w:r>
          </w:p>
        </w:tc>
        <w:tc>
          <w:tcPr>
            <w:tcW w:w="240" w:type="dxa"/>
            <w:vAlign w:val="bottom"/>
          </w:tcPr>
          <w:p>
            <w:pPr>
              <w:spacing w:after="0"/>
              <w:rPr>
                <w:sz w:val="13"/>
                <w:szCs w:val="13"/>
                <w:color w:val="auto"/>
              </w:rPr>
            </w:pPr>
          </w:p>
        </w:tc>
        <w:tc>
          <w:tcPr>
            <w:tcW w:w="11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Sep 30</w:t>
            </w:r>
          </w:p>
        </w:tc>
        <w:tc>
          <w:tcPr>
            <w:tcW w:w="240" w:type="dxa"/>
            <w:vAlign w:val="bottom"/>
          </w:tcPr>
          <w:p>
            <w:pPr>
              <w:spacing w:after="0"/>
              <w:rPr>
                <w:sz w:val="13"/>
                <w:szCs w:val="13"/>
                <w:color w:val="auto"/>
              </w:rPr>
            </w:pPr>
          </w:p>
        </w:tc>
        <w:tc>
          <w:tcPr>
            <w:tcW w:w="9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Jun 30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Mar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62,868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61,091</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44,012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84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4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4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6" w:name="page77"/>
    <w:bookmarkEnd w:id="76"/>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We evaluated the effectiveness of the design and operation of our disclosure controls and procedures as of December 31, 2019,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Exchange Act, such as this Annual Report on Form 10-K, is recorded, processed, summarized and reported within the time periods specified in the rules and forms of the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2019, our disclosure controls and procedures were effective.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0" w:lineRule="exact"/>
        <w:rPr>
          <w:sz w:val="20"/>
          <w:szCs w:val="20"/>
          <w:color w:val="auto"/>
        </w:rPr>
      </w:pPr>
    </w:p>
    <w:p>
      <w:pPr>
        <w:ind w:left="1200" w:hanging="598"/>
        <w:spacing w:after="0"/>
        <w:tabs>
          <w:tab w:leader="none" w:pos="1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1200" w:right="160" w:hanging="598"/>
        <w:spacing w:after="0" w:line="342" w:lineRule="auto"/>
        <w:tabs>
          <w:tab w:leader="none" w:pos="1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200" w:right="60" w:hanging="598"/>
        <w:spacing w:after="0" w:line="277"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62"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260" w:firstLine="598"/>
        <w:spacing w:after="0" w:line="286"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and financial officers, we assessed our internal control over financial reporting as of December 31, 2019, based on criteria for effective internal control over financial reporting established in the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w:t>
      </w:r>
    </w:p>
    <w:p>
      <w:pPr>
        <w:spacing w:after="0" w:line="5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Based on this assessment, management concluded that we maintained effective internal control over financial reporting as of December 31, 2019 based on the specified criteria.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7" w:name="page78"/>
    <w:bookmarkEnd w:id="77"/>
    <w:p>
      <w:pPr>
        <w:ind w:firstLine="598"/>
        <w:spacing w:after="0" w:line="273" w:lineRule="auto"/>
        <w:rPr>
          <w:sz w:val="20"/>
          <w:szCs w:val="20"/>
          <w:color w:val="auto"/>
        </w:rPr>
      </w:pPr>
      <w:r>
        <w:rPr>
          <w:rFonts w:ascii="Arial" w:cs="Arial" w:eastAsia="Arial" w:hAnsi="Arial"/>
          <w:sz w:val="17"/>
          <w:szCs w:val="17"/>
          <w:color w:val="auto"/>
        </w:rPr>
        <w:t>For the year ended December 31, 2019, management’s assessment of our internal control over financial reporting excluded the internal control over financial reporting of the MAPADOC business, an operating unit of SWK Technologies, Inc., which was acquired on August 26, 2019. Pursuant to the SEC’s general guidance that an assessment of a recently acquired business may be omitted from our scope for a period not to exceed one year from the date of acquisition, the scope of our most recent assessment did not include MAPADOC. Our assessment of the effectiveness of internal control over financial reporting as of December 31, 2020 will include MAPADOC. As of and for the three and twelve months ended December 31, 2019, MAPADOC represented approximately 3% of our total consolidated assets and less than 1% of our consolidated revenues.</w:t>
      </w:r>
    </w:p>
    <w:p>
      <w:pPr>
        <w:spacing w:after="0" w:line="84" w:lineRule="exact"/>
        <w:rPr>
          <w:sz w:val="20"/>
          <w:szCs w:val="20"/>
          <w:color w:val="auto"/>
        </w:rPr>
      </w:pPr>
    </w:p>
    <w:p>
      <w:pPr>
        <w:ind w:right="640" w:firstLine="598"/>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2019 has been audited by KPMG LLP, our independent registered public accounting firm, as stated in their report, which is included under Item 8 of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most recent fiscal quarter ended December 31, 2019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78" w:name="page79"/>
    <w:bookmarkEnd w:id="78"/>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The information required by this item with respect to executive officers is contained in Item 1 of this Annual Report on Form 10-K under the heading “Information About our Executive Officers” and with respect to other information relating to our directors and executive officers will be set forth in the 2020 Proxy Statement under the caption “Item 1 – Election of Directors,” which will be filed no later than 120 days after the end of the fiscal year covered by this Annual Report on Form 10-K, and is incorporated herein by reference.</w:t>
      </w:r>
    </w:p>
    <w:p>
      <w:pPr>
        <w:spacing w:after="0" w:line="79" w:lineRule="exact"/>
        <w:rPr>
          <w:sz w:val="20"/>
          <w:szCs w:val="20"/>
          <w:color w:val="auto"/>
        </w:rPr>
      </w:pPr>
    </w:p>
    <w:p>
      <w:pPr>
        <w:ind w:right="140" w:firstLine="598"/>
        <w:spacing w:after="0" w:line="342" w:lineRule="auto"/>
        <w:rPr>
          <w:sz w:val="20"/>
          <w:szCs w:val="20"/>
          <w:color w:val="auto"/>
        </w:rPr>
      </w:pPr>
      <w:r>
        <w:rPr>
          <w:rFonts w:ascii="Arial" w:cs="Arial" w:eastAsia="Arial" w:hAnsi="Arial"/>
          <w:sz w:val="16"/>
          <w:szCs w:val="16"/>
          <w:color w:val="auto"/>
        </w:rPr>
        <w:t>The information required by this item under Item 407(c)(3) of Regulation S-K is incorporated herein by reference to the section titled “Information Regarding the Board of Directors and Corporate Governance—Procedures for Selecting and Nominating Director Candidates” of the 2020 Proxy Statement.</w:t>
      </w:r>
    </w:p>
    <w:p>
      <w:pPr>
        <w:spacing w:after="0" w:line="16"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information required by this item under Item 407(d)(4) and (d)(5) of Regulation S-K is incorporated herein by reference to the section titled “Information Regarding the Board of Directors and Corporate Governance—Board Committees” of the 2020 Proxy Statement.</w:t>
      </w:r>
    </w:p>
    <w:p>
      <w:pPr>
        <w:spacing w:after="0" w:line="62"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 xml:space="preserve">We have adopted a code of business conduct applicable to our directors, officers (including our principal executive officer and principal financial officer) and employees. The Code of Conduct is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xml:space="preserve"> under the Investor Relations section. We plan to post on our website at the address described above any future amendments or waivers of our Code of Conduct.</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titled “Executive Compensation,” “Information Regarding the Board of Directors and Corporate Governance—Director Compensation” and “Certain Relationships and Related Transactions—Compensation Committee Interlocks and Insider Participation” of the 2020 Proxy Statement.</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information required by this item is incorporated herein by reference to the section titled “Security Ownership” of the 2020 Proxy Statement.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ind w:right="60" w:firstLine="598"/>
        <w:spacing w:after="0" w:line="312" w:lineRule="auto"/>
        <w:rPr>
          <w:sz w:val="20"/>
          <w:szCs w:val="20"/>
          <w:color w:val="auto"/>
        </w:rPr>
      </w:pPr>
      <w:r>
        <w:rPr>
          <w:rFonts w:ascii="Arial" w:cs="Arial" w:eastAsia="Arial" w:hAnsi="Arial"/>
          <w:sz w:val="16"/>
          <w:szCs w:val="16"/>
          <w:color w:val="auto"/>
        </w:rPr>
        <w:t>The following table summarizes the number of shares of our common stock to be issued upon exercise of outstanding stock options and settlement of restricted stock unit awards granted under our equity plans as of December 31, 2019. The table also includes the weighted-average exercise price of outstanding stock options and the number of shares of our common stock remaining available for future issuance under the plans for all awards.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Number of shares</w:t>
            </w:r>
          </w:p>
        </w:tc>
        <w:tc>
          <w:tcPr>
            <w:tcW w:w="1440" w:type="dxa"/>
            <w:vAlign w:val="bottom"/>
            <w:vMerge w:val="restart"/>
          </w:tcPr>
          <w:p>
            <w:pPr>
              <w:jc w:val="center"/>
              <w:ind w:left="345"/>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Number of shares</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remaining available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440" w:type="dxa"/>
            <w:vAlign w:val="bottom"/>
          </w:tcPr>
          <w:p>
            <w:pPr>
              <w:jc w:val="center"/>
              <w:ind w:left="365"/>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440" w:type="dxa"/>
            <w:vAlign w:val="bottom"/>
          </w:tcPr>
          <w:p>
            <w:pPr>
              <w:jc w:val="center"/>
              <w:ind w:left="345"/>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40" w:type="dxa"/>
            <w:vAlign w:val="bottom"/>
          </w:tcPr>
          <w:p>
            <w:pPr>
              <w:jc w:val="center"/>
              <w:ind w:left="345"/>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(excluding shares</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2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and rights</w:t>
            </w:r>
          </w:p>
        </w:tc>
        <w:tc>
          <w:tcPr>
            <w:tcW w:w="1440" w:type="dxa"/>
            <w:vAlign w:val="bottom"/>
          </w:tcPr>
          <w:p>
            <w:pPr>
              <w:jc w:val="center"/>
              <w:ind w:left="345"/>
              <w:spacing w:after="0"/>
              <w:rPr>
                <w:sz w:val="20"/>
                <w:szCs w:val="20"/>
                <w:color w:val="auto"/>
              </w:rPr>
            </w:pPr>
            <w:r>
              <w:rPr>
                <w:rFonts w:ascii="Arial" w:cs="Arial" w:eastAsia="Arial" w:hAnsi="Arial"/>
                <w:sz w:val="14"/>
                <w:szCs w:val="14"/>
                <w:b w:val="1"/>
                <w:bCs w:val="1"/>
                <w:color w:val="auto"/>
                <w:w w:val="91"/>
              </w:rPr>
              <w:t>and rights</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 first column)</w:t>
            </w:r>
          </w:p>
        </w:tc>
        <w:tc>
          <w:tcPr>
            <w:tcW w:w="0" w:type="dxa"/>
            <w:vAlign w:val="bottom"/>
          </w:tcPr>
          <w:p>
            <w:pPr>
              <w:spacing w:after="0"/>
              <w:rPr>
                <w:sz w:val="1"/>
                <w:szCs w:val="1"/>
                <w:color w:val="auto"/>
              </w:rPr>
            </w:pPr>
          </w:p>
        </w:tc>
      </w:tr>
      <w:tr>
        <w:trPr>
          <w:trHeight w:val="209"/>
        </w:trPr>
        <w:tc>
          <w:tcPr>
            <w:tcW w:w="4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w:t>
            </w:r>
          </w:p>
        </w:tc>
        <w:tc>
          <w:tcPr>
            <w:tcW w:w="180" w:type="dxa"/>
            <w:vAlign w:val="bottom"/>
            <w:tcBorders>
              <w:top w:val="single" w:sz="8" w:color="CFF0FC"/>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approved by stockholders</w:t>
            </w:r>
            <w:r>
              <w:rPr>
                <w:rFonts w:ascii="Arial" w:cs="Arial" w:eastAsia="Arial" w:hAnsi="Arial"/>
                <w:sz w:val="15"/>
                <w:szCs w:val="15"/>
                <w:color w:val="auto"/>
              </w:rPr>
              <w:t>(1)(2)</w:t>
            </w:r>
          </w:p>
        </w:tc>
        <w:tc>
          <w:tcPr>
            <w:tcW w:w="22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 xml:space="preserve">2,338,998  </w:t>
            </w:r>
            <w:r>
              <w:rPr>
                <w:rFonts w:ascii="Arial" w:cs="Arial" w:eastAsia="Arial" w:hAnsi="Arial"/>
                <w:sz w:val="15"/>
                <w:szCs w:val="15"/>
                <w:color w:val="auto"/>
              </w:rPr>
              <w:t>(3)</w:t>
            </w:r>
          </w:p>
        </w:tc>
        <w:tc>
          <w:tcPr>
            <w:tcW w:w="1440" w:type="dxa"/>
            <w:vAlign w:val="bottom"/>
            <w:shd w:val="clear" w:color="auto" w:fill="CFF0FC"/>
          </w:tcPr>
          <w:p>
            <w:pPr>
              <w:jc w:val="right"/>
              <w:ind w:right="6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 xml:space="preserve">30.03  </w:t>
            </w:r>
            <w:r>
              <w:rPr>
                <w:rFonts w:ascii="Arial" w:cs="Arial" w:eastAsia="Arial" w:hAnsi="Arial"/>
                <w:sz w:val="15"/>
                <w:szCs w:val="15"/>
                <w:color w:val="auto"/>
                <w:w w:val="95"/>
              </w:rPr>
              <w:t>(4)</w:t>
            </w:r>
          </w:p>
        </w:tc>
        <w:tc>
          <w:tcPr>
            <w:tcW w:w="2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 xml:space="preserve">13,999,903  </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5"/>
        </w:trPr>
        <w:tc>
          <w:tcPr>
            <w:tcW w:w="456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140"/>
              <w:spacing w:after="0"/>
              <w:rPr>
                <w:sz w:val="20"/>
                <w:szCs w:val="20"/>
                <w:color w:val="auto"/>
              </w:rPr>
            </w:pPr>
            <w:r>
              <w:rPr>
                <w:rFonts w:ascii="Arial" w:cs="Arial" w:eastAsia="Arial" w:hAnsi="Arial"/>
                <w:sz w:val="18"/>
                <w:szCs w:val="18"/>
                <w:color w:val="auto"/>
              </w:rPr>
              <w:t>approved by stockholders</w:t>
            </w:r>
          </w:p>
        </w:tc>
        <w:tc>
          <w:tcPr>
            <w:tcW w:w="2280" w:type="dxa"/>
            <w:vAlign w:val="bottom"/>
            <w:gridSpan w:val="2"/>
          </w:tcPr>
          <w:p>
            <w:pPr>
              <w:jc w:val="center"/>
              <w:ind w:left="984"/>
              <w:spacing w:after="0"/>
              <w:rPr>
                <w:sz w:val="20"/>
                <w:szCs w:val="20"/>
                <w:color w:val="auto"/>
              </w:rPr>
            </w:pPr>
            <w:r>
              <w:rPr>
                <w:rFonts w:ascii="Arial" w:cs="Arial" w:eastAsia="Arial" w:hAnsi="Arial"/>
                <w:sz w:val="18"/>
                <w:szCs w:val="18"/>
                <w:color w:val="auto"/>
                <w:w w:val="88"/>
              </w:rPr>
              <w:t>None</w:t>
            </w:r>
          </w:p>
        </w:tc>
        <w:tc>
          <w:tcPr>
            <w:tcW w:w="144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2300" w:type="dxa"/>
            <w:vAlign w:val="bottom"/>
            <w:gridSpan w:val="2"/>
          </w:tcPr>
          <w:p>
            <w:pPr>
              <w:jc w:val="right"/>
              <w:ind w:right="4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ind w:left="440" w:hanging="432"/>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the 2001 Stock Option Plan, the 2010 Equity Incentive Plan and the Employee Stock Purchase Plan.</w:t>
      </w:r>
    </w:p>
    <w:p>
      <w:pPr>
        <w:spacing w:after="0" w:line="117" w:lineRule="exact"/>
        <w:rPr>
          <w:rFonts w:ascii="Arial" w:cs="Arial" w:eastAsia="Arial" w:hAnsi="Arial"/>
          <w:sz w:val="18"/>
          <w:szCs w:val="18"/>
          <w:color w:val="auto"/>
        </w:rPr>
      </w:pPr>
    </w:p>
    <w:p>
      <w:pPr>
        <w:ind w:left="440" w:right="60" w:hanging="432"/>
        <w:spacing w:after="0" w:line="257"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2010 Equity Incentive Plan contains an “evergreen” provision, pursuant to which the number of shares of common stock reserved for issuance under the 2010 Equity Incentive Plan shall be increased on January 1 of each year beginning in 2011 and ending on January 1, 2020 in an amount equal to the lesser of 6% of the total number of our shares outstanding as of December 31 of the immediately preceding calendar year or a number of shares determined by our board of directors; provided, however, no more than 2,403,000 shares of our common stock may be issued upon the exercise of incentive stock options.</w:t>
      </w:r>
    </w:p>
    <w:p>
      <w:pPr>
        <w:spacing w:after="0" w:line="80" w:lineRule="exact"/>
        <w:rPr>
          <w:rFonts w:ascii="Arial" w:cs="Arial" w:eastAsia="Arial" w:hAnsi="Arial"/>
          <w:sz w:val="18"/>
          <w:szCs w:val="18"/>
          <w:color w:val="auto"/>
        </w:rPr>
      </w:pPr>
    </w:p>
    <w:p>
      <w:pPr>
        <w:ind w:left="440" w:hanging="432"/>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1,543,912 shares subject to outstanding and unexercised stock options and 795,086 shares issuable in settlement of RSU and PSU awards.</w:t>
      </w:r>
    </w:p>
    <w:p>
      <w:pPr>
        <w:spacing w:after="0" w:line="140" w:lineRule="exact"/>
        <w:rPr>
          <w:rFonts w:ascii="Arial" w:cs="Arial" w:eastAsia="Arial" w:hAnsi="Arial"/>
          <w:sz w:val="16"/>
          <w:szCs w:val="16"/>
          <w:color w:val="auto"/>
        </w:rPr>
      </w:pPr>
    </w:p>
    <w:p>
      <w:pPr>
        <w:ind w:left="440" w:hanging="432"/>
        <w:spacing w:after="0" w:line="277"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weighted average exercise price reflects only the outstanding stock options, as the other forms of awards disclosed in this note entail the issuance of shares for the payment of no consideration.</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1,914,581 shares remaining available for future issuance under the Employee Stock Purchase Plan.</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80" w:firstLine="598"/>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sections titled “Certain Relationships and Related Transactions,” and “Information Regarding the Board of Directors and Corporate Governance—Director Independence” of the 2020 Proxy Statement.</w:t>
      </w:r>
    </w:p>
    <w:p>
      <w:pPr>
        <w:spacing w:after="0" w:line="25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titled “Audit Committee Report and Payment of Fees to Our Independent Auditor” of the 2020 Proxy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0" w:name="page81"/>
    <w:bookmarkEnd w:id="80"/>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17" w:lineRule="exact"/>
        <w:rPr>
          <w:sz w:val="20"/>
          <w:szCs w:val="20"/>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Statements: The financial statements filed as a part of this report are listed in Part II, Item 8.</w:t>
      </w:r>
    </w:p>
    <w:p>
      <w:pPr>
        <w:spacing w:after="0" w:line="117"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 Schedules: The schedules are either not applicable or the required information is presented in the consolidated financial statements or notes thereto.</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 The exhibits incorporated by reference or filed as a part of this Annual Report on Form 10-K are listed in the Exhibit Index prior to the signatures to this report.</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i w:val="1"/>
                <w:i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r>
      <w:tr>
        <w:trPr>
          <w:trHeight w:val="123"/>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80"/>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9"/>
        </w:trPr>
        <w:tc>
          <w:tcPr>
            <w:tcW w:w="1120" w:type="dxa"/>
            <w:vAlign w:val="bottom"/>
          </w:tcPr>
          <w:p>
            <w:pPr>
              <w:ind w:left="340"/>
              <w:spacing w:after="0" w:line="149" w:lineRule="exact"/>
              <w:rPr>
                <w:sz w:val="20"/>
                <w:szCs w:val="20"/>
                <w:color w:val="auto"/>
              </w:rPr>
            </w:pPr>
            <w:r>
              <w:rPr>
                <w:rFonts w:ascii="Arial" w:cs="Arial" w:eastAsia="Arial" w:hAnsi="Arial"/>
                <w:sz w:val="14"/>
                <w:szCs w:val="14"/>
                <w:b w:val="1"/>
                <w:bCs w:val="1"/>
                <w:i w:val="1"/>
                <w:iCs w:val="1"/>
                <w:color w:val="auto"/>
              </w:rPr>
              <w:t>Exhibit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560"/>
              <w:spacing w:after="0" w:line="149" w:lineRule="exact"/>
              <w:rPr>
                <w:sz w:val="20"/>
                <w:szCs w:val="20"/>
                <w:color w:val="auto"/>
              </w:rPr>
            </w:pPr>
            <w:r>
              <w:rPr>
                <w:rFonts w:ascii="Arial" w:cs="Arial" w:eastAsia="Arial" w:hAnsi="Arial"/>
                <w:sz w:val="14"/>
                <w:szCs w:val="14"/>
                <w:b w:val="1"/>
                <w:bCs w:val="1"/>
                <w:i w:val="1"/>
                <w:iCs w:val="1"/>
                <w:color w:val="auto"/>
              </w:rPr>
              <w:t>File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8"/>
              </w:rPr>
              <w:t>First</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4"/>
              </w:rPr>
              <w:t>Exhibit</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7"/>
              </w:rPr>
              <w:t>Filed</w:t>
            </w:r>
          </w:p>
        </w:tc>
      </w:tr>
      <w:tr>
        <w:trPr>
          <w:trHeight w:val="167"/>
        </w:trPr>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i w:val="1"/>
                <w:iCs w:val="1"/>
                <w:color w:val="auto"/>
              </w:rPr>
              <w:t>Number</w:t>
            </w: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2"/>
          </w:tcPr>
          <w:p>
            <w:pPr>
              <w:ind w:left="280"/>
              <w:spacing w:after="0"/>
              <w:rPr>
                <w:sz w:val="20"/>
                <w:szCs w:val="20"/>
                <w:color w:val="auto"/>
              </w:rPr>
            </w:pPr>
            <w:r>
              <w:rPr>
                <w:rFonts w:ascii="Arial" w:cs="Arial" w:eastAsia="Arial" w:hAnsi="Arial"/>
                <w:sz w:val="14"/>
                <w:szCs w:val="14"/>
                <w:b w:val="1"/>
                <w:bCs w:val="1"/>
                <w:i w:val="1"/>
                <w:iCs w:val="1"/>
                <w:color w:val="auto"/>
              </w:rPr>
              <w:t>Exhibit Description</w:t>
            </w:r>
          </w:p>
        </w:tc>
        <w:tc>
          <w:tcPr>
            <w:tcW w:w="100" w:type="dxa"/>
            <w:vAlign w:val="bottom"/>
          </w:tcPr>
          <w:p>
            <w:pPr>
              <w:spacing w:after="0"/>
              <w:rPr>
                <w:sz w:val="14"/>
                <w:szCs w:val="14"/>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i w:val="1"/>
                <w:iCs w:val="1"/>
                <w:color w:val="auto"/>
              </w:rPr>
              <w:t>Form</w:t>
            </w:r>
          </w:p>
        </w:tc>
        <w:tc>
          <w:tcPr>
            <w:tcW w:w="100" w:type="dxa"/>
            <w:vAlign w:val="bottom"/>
          </w:tcPr>
          <w:p>
            <w:pPr>
              <w:spacing w:after="0"/>
              <w:rPr>
                <w:sz w:val="14"/>
                <w:szCs w:val="14"/>
                <w:color w:val="auto"/>
              </w:rPr>
            </w:pPr>
          </w:p>
        </w:tc>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Filing</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4"/>
              </w:rPr>
              <w:t>Number</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4"/>
              </w:rPr>
              <w:t>Herewith</w:t>
            </w:r>
          </w:p>
        </w:tc>
      </w:tr>
      <w:tr>
        <w:trPr>
          <w:trHeight w:val="291"/>
        </w:trPr>
        <w:tc>
          <w:tcPr>
            <w:tcW w:w="1120" w:type="dxa"/>
            <w:vAlign w:val="bottom"/>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680" w:type="dxa"/>
            <w:vAlign w:val="bottom"/>
            <w:gridSpan w:val="24"/>
          </w:tcPr>
          <w:p>
            <w:pPr>
              <w:spacing w:after="0"/>
              <w:rPr>
                <w:rFonts w:ascii="Arial" w:cs="Arial" w:eastAsia="Arial" w:hAnsi="Arial"/>
                <w:sz w:val="18"/>
                <w:szCs w:val="18"/>
                <w:color w:val="0000EE"/>
              </w:rPr>
            </w:pPr>
            <w:hyperlink r:id="rId107">
              <w:r>
                <w:rPr>
                  <w:rFonts w:ascii="Arial" w:cs="Arial" w:eastAsia="Arial" w:hAnsi="Arial"/>
                  <w:sz w:val="18"/>
                  <w:szCs w:val="18"/>
                  <w:color w:val="0000EE"/>
                </w:rPr>
                <w:t>Amended and Restated Certificate of</w:t>
              </w:r>
            </w:hyperlink>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S-3</w:t>
            </w:r>
          </w:p>
        </w:tc>
        <w:tc>
          <w:tcPr>
            <w:tcW w:w="1380" w:type="dxa"/>
            <w:vAlign w:val="bottom"/>
          </w:tcPr>
          <w:p>
            <w:pPr>
              <w:spacing w:after="0"/>
              <w:rPr>
                <w:sz w:val="20"/>
                <w:szCs w:val="20"/>
                <w:color w:val="auto"/>
              </w:rPr>
            </w:pPr>
            <w:r>
              <w:rPr>
                <w:rFonts w:ascii="Arial" w:cs="Arial" w:eastAsia="Arial" w:hAnsi="Arial"/>
                <w:sz w:val="18"/>
                <w:szCs w:val="18"/>
                <w:color w:val="auto"/>
              </w:rPr>
              <w:t>333-182097</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06/13/2012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Incorporation</w:t>
              </w:r>
            </w:hyperlink>
          </w:p>
        </w:tc>
        <w:tc>
          <w:tcPr>
            <w:tcW w:w="1680" w:type="dxa"/>
            <w:vAlign w:val="bottom"/>
            <w:tcBorders>
              <w:top w:val="single" w:sz="8" w:color="0000EE"/>
            </w:tcBorders>
            <w:gridSpan w:val="9"/>
          </w:tcPr>
          <w:p>
            <w:pPr>
              <w:spacing w:after="0"/>
              <w:rPr>
                <w:sz w:val="17"/>
                <w:szCs w:val="17"/>
                <w:color w:val="auto"/>
              </w:rPr>
            </w:pPr>
          </w:p>
        </w:tc>
        <w:tc>
          <w:tcPr>
            <w:tcW w:w="102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260" w:type="dxa"/>
            <w:vAlign w:val="bottom"/>
            <w:tcBorders>
              <w:bottom w:val="single" w:sz="8" w:color="0000EE"/>
            </w:tcBorders>
            <w:gridSpan w:val="9"/>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Amended and Restated Bylaws</w:t>
              </w:r>
            </w:hyperlink>
          </w:p>
        </w:tc>
        <w:tc>
          <w:tcPr>
            <w:tcW w:w="1420" w:type="dxa"/>
            <w:vAlign w:val="bottom"/>
            <w:gridSpan w:val="15"/>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10/17/2017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Description of Capital Stock</w:t>
              </w:r>
            </w:hyperlink>
          </w:p>
        </w:tc>
        <w:tc>
          <w:tcPr>
            <w:tcW w:w="1620" w:type="dxa"/>
            <w:vAlign w:val="bottom"/>
            <w:gridSpan w:val="17"/>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680" w:type="dxa"/>
            <w:vAlign w:val="bottom"/>
            <w:gridSpan w:val="24"/>
          </w:tcPr>
          <w:p>
            <w:pPr>
              <w:spacing w:after="0"/>
              <w:rPr>
                <w:rFonts w:ascii="Arial" w:cs="Arial" w:eastAsia="Arial" w:hAnsi="Arial"/>
                <w:sz w:val="18"/>
                <w:szCs w:val="18"/>
                <w:color w:val="0000EE"/>
              </w:rPr>
            </w:pPr>
            <w:hyperlink r:id="rId109">
              <w:r>
                <w:rPr>
                  <w:rFonts w:ascii="Arial" w:cs="Arial" w:eastAsia="Arial" w:hAnsi="Arial"/>
                  <w:sz w:val="18"/>
                  <w:szCs w:val="18"/>
                  <w:color w:val="0000EE"/>
                </w:rPr>
                <w:t>2001 Stock Option Plan**</w:t>
              </w:r>
            </w:hyperlink>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S-1/A</w:t>
            </w:r>
          </w:p>
        </w:tc>
        <w:tc>
          <w:tcPr>
            <w:tcW w:w="1380" w:type="dxa"/>
            <w:vAlign w:val="bottom"/>
          </w:tcPr>
          <w:p>
            <w:pPr>
              <w:spacing w:after="0"/>
              <w:rPr>
                <w:sz w:val="20"/>
                <w:szCs w:val="20"/>
                <w:color w:val="auto"/>
              </w:rPr>
            </w:pPr>
            <w:r>
              <w:rPr>
                <w:rFonts w:ascii="Arial" w:cs="Arial" w:eastAsia="Arial" w:hAnsi="Arial"/>
                <w:sz w:val="18"/>
                <w:szCs w:val="18"/>
                <w:color w:val="auto"/>
              </w:rPr>
              <w:t>333-163476</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01/11/2010</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3600" w:type="dxa"/>
            <w:vAlign w:val="bottom"/>
            <w:tcBorders>
              <w:bottom w:val="single" w:sz="8" w:color="0000EE"/>
            </w:tcBorders>
            <w:gridSpan w:val="21"/>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Incentive Stock Option Agreement under</w:t>
              </w:r>
            </w:hyperlink>
          </w:p>
        </w:tc>
        <w:tc>
          <w:tcPr>
            <w:tcW w:w="80" w:type="dxa"/>
            <w:vAlign w:val="bottom"/>
            <w:gridSpan w:val="3"/>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S-1/A</w:t>
            </w:r>
          </w:p>
        </w:tc>
        <w:tc>
          <w:tcPr>
            <w:tcW w:w="1380" w:type="dxa"/>
            <w:vAlign w:val="bottom"/>
          </w:tcPr>
          <w:p>
            <w:pPr>
              <w:spacing w:after="0"/>
              <w:rPr>
                <w:sz w:val="20"/>
                <w:szCs w:val="20"/>
                <w:color w:val="auto"/>
              </w:rPr>
            </w:pPr>
            <w:r>
              <w:rPr>
                <w:rFonts w:ascii="Arial" w:cs="Arial" w:eastAsia="Arial" w:hAnsi="Arial"/>
                <w:sz w:val="18"/>
                <w:szCs w:val="18"/>
                <w:color w:val="auto"/>
              </w:rPr>
              <w:t>333-163476</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01/11/2010</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4"/>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2001 Stock Option Plan**</w:t>
              </w:r>
            </w:hyperlink>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3520" w:type="dxa"/>
            <w:vAlign w:val="bottom"/>
            <w:tcBorders>
              <w:bottom w:val="single" w:sz="8" w:color="0000EE"/>
            </w:tcBorders>
            <w:gridSpan w:val="18"/>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Form of Non-Statutory Stock Option Agreement</w:t>
              </w:r>
            </w:hyperlink>
          </w:p>
        </w:tc>
        <w:tc>
          <w:tcPr>
            <w:tcW w:w="160" w:type="dxa"/>
            <w:vAlign w:val="bottom"/>
            <w:gridSpan w:val="6"/>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S-1/A</w:t>
            </w:r>
          </w:p>
        </w:tc>
        <w:tc>
          <w:tcPr>
            <w:tcW w:w="1380" w:type="dxa"/>
            <w:vAlign w:val="bottom"/>
          </w:tcPr>
          <w:p>
            <w:pPr>
              <w:spacing w:after="0"/>
              <w:rPr>
                <w:sz w:val="20"/>
                <w:szCs w:val="20"/>
                <w:color w:val="auto"/>
              </w:rPr>
            </w:pPr>
            <w:r>
              <w:rPr>
                <w:rFonts w:ascii="Arial" w:cs="Arial" w:eastAsia="Arial" w:hAnsi="Arial"/>
                <w:sz w:val="18"/>
                <w:szCs w:val="18"/>
                <w:color w:val="auto"/>
              </w:rPr>
              <w:t>333-163476</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01/11/2010</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4"/>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(Director) under 2001 Stock Option Plan**</w:t>
              </w:r>
            </w:hyperlink>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680" w:type="dxa"/>
            <w:vAlign w:val="bottom"/>
            <w:gridSpan w:val="24"/>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2010 Equity Incentive Plan, as amended effective</w:t>
              </w:r>
            </w:hyperlink>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10-K</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02/20/2015</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October 29, 2014**</w:t>
              </w:r>
            </w:hyperlink>
          </w:p>
        </w:tc>
        <w:tc>
          <w:tcPr>
            <w:tcW w:w="2120" w:type="dxa"/>
            <w:vAlign w:val="bottom"/>
            <w:tcBorders>
              <w:top w:val="single" w:sz="8" w:color="0000EE"/>
            </w:tcBorders>
            <w:gridSpan w:val="17"/>
          </w:tcPr>
          <w:p>
            <w:pPr>
              <w:spacing w:after="0"/>
              <w:rPr>
                <w:sz w:val="17"/>
                <w:szCs w:val="17"/>
                <w:color w:val="auto"/>
              </w:rPr>
            </w:pPr>
          </w:p>
        </w:tc>
        <w:tc>
          <w:tcPr>
            <w:tcW w:w="1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3600" w:type="dxa"/>
            <w:vAlign w:val="bottom"/>
            <w:tcBorders>
              <w:bottom w:val="single" w:sz="8" w:color="0000EE"/>
            </w:tcBorders>
            <w:gridSpan w:val="21"/>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Form of Incentive Stock Option Agreement under</w:t>
              </w:r>
            </w:hyperlink>
          </w:p>
        </w:tc>
        <w:tc>
          <w:tcPr>
            <w:tcW w:w="80" w:type="dxa"/>
            <w:vAlign w:val="bottom"/>
            <w:gridSpan w:val="3"/>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02/17/2012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4"/>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2010 Equity Incentive Plan**</w:t>
              </w:r>
            </w:hyperlink>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3520" w:type="dxa"/>
            <w:vAlign w:val="bottom"/>
            <w:tcBorders>
              <w:bottom w:val="single" w:sz="8" w:color="0000EE"/>
            </w:tcBorders>
            <w:gridSpan w:val="18"/>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Form of Non-Statutory Stock Option Agreement</w:t>
              </w:r>
            </w:hyperlink>
          </w:p>
        </w:tc>
        <w:tc>
          <w:tcPr>
            <w:tcW w:w="160" w:type="dxa"/>
            <w:vAlign w:val="bottom"/>
            <w:gridSpan w:val="6"/>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02/17/2012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(Employee) under 2010 Equity Incentive Plan**</w:t>
              </w:r>
            </w:hyperlink>
          </w:p>
        </w:tc>
        <w:tc>
          <w:tcPr>
            <w:tcW w:w="18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3520" w:type="dxa"/>
            <w:vAlign w:val="bottom"/>
            <w:tcBorders>
              <w:bottom w:val="single" w:sz="8" w:color="0000EE"/>
            </w:tcBorders>
            <w:gridSpan w:val="18"/>
          </w:tcPr>
          <w:p>
            <w:pPr>
              <w:spacing w:after="0"/>
              <w:rPr>
                <w:rFonts w:ascii="Arial" w:cs="Arial" w:eastAsia="Arial" w:hAnsi="Arial"/>
                <w:sz w:val="18"/>
                <w:szCs w:val="18"/>
                <w:color w:val="0000EE"/>
                <w:w w:val="92"/>
              </w:rPr>
            </w:pPr>
            <w:hyperlink r:id="rId115">
              <w:r>
                <w:rPr>
                  <w:rFonts w:ascii="Arial" w:cs="Arial" w:eastAsia="Arial" w:hAnsi="Arial"/>
                  <w:sz w:val="18"/>
                  <w:szCs w:val="18"/>
                  <w:color w:val="0000EE"/>
                  <w:w w:val="92"/>
                </w:rPr>
                <w:t>Form of Non-Statutory Stock Option Agreement</w:t>
              </w:r>
            </w:hyperlink>
          </w:p>
        </w:tc>
        <w:tc>
          <w:tcPr>
            <w:tcW w:w="160" w:type="dxa"/>
            <w:vAlign w:val="bottom"/>
            <w:gridSpan w:val="6"/>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02/17/2012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4"/>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(Director) under 2010 Equity Incentive Plan**</w:t>
              </w:r>
            </w:hyperlink>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3540" w:type="dxa"/>
            <w:vAlign w:val="bottom"/>
            <w:tcBorders>
              <w:bottom w:val="single" w:sz="8" w:color="0000EE"/>
            </w:tcBorders>
            <w:gridSpan w:val="19"/>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Form of Restricted Stock Unit Award Agreement</w:t>
              </w:r>
            </w:hyperlink>
          </w:p>
        </w:tc>
        <w:tc>
          <w:tcPr>
            <w:tcW w:w="140" w:type="dxa"/>
            <w:vAlign w:val="bottom"/>
            <w:gridSpan w:val="5"/>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02/15/2017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under 2010 Equity Incentive Plan**</w:t>
              </w:r>
            </w:hyperlink>
          </w:p>
        </w:tc>
        <w:tc>
          <w:tcPr>
            <w:tcW w:w="108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3680" w:type="dxa"/>
            <w:vAlign w:val="bottom"/>
            <w:gridSpan w:val="24"/>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Form of Restricted Stock Award Agreement under</w:t>
              </w:r>
            </w:hyperlink>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10-Q</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05/08/2012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2010 Equity Incentive Plan**</w:t>
              </w:r>
            </w:hyperlink>
          </w:p>
        </w:tc>
        <w:tc>
          <w:tcPr>
            <w:tcW w:w="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3680" w:type="dxa"/>
            <w:vAlign w:val="bottom"/>
            <w:gridSpan w:val="24"/>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Form of Performance Stock Unit Agreement under</w:t>
              </w:r>
            </w:hyperlink>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02/18/2018</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2010 Equity Incentive Plan**</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3680" w:type="dxa"/>
            <w:vAlign w:val="bottom"/>
            <w:gridSpan w:val="24"/>
          </w:tcPr>
          <w:p>
            <w:pPr>
              <w:spacing w:after="0"/>
              <w:rPr>
                <w:rFonts w:ascii="Arial" w:cs="Arial" w:eastAsia="Arial" w:hAnsi="Arial"/>
                <w:sz w:val="18"/>
                <w:szCs w:val="18"/>
                <w:color w:val="0000EE"/>
                <w:w w:val="99"/>
              </w:rPr>
            </w:pPr>
            <w:hyperlink r:id="rId119">
              <w:r>
                <w:rPr>
                  <w:rFonts w:ascii="Arial" w:cs="Arial" w:eastAsia="Arial" w:hAnsi="Arial"/>
                  <w:sz w:val="18"/>
                  <w:szCs w:val="18"/>
                  <w:color w:val="0000EE"/>
                  <w:w w:val="99"/>
                </w:rPr>
                <w:t>Form of Deferred Stock Unit Agreement under</w:t>
              </w:r>
            </w:hyperlink>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10-Q</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04/26/2019</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2010 Equity Incentive Plan</w:t>
              </w:r>
            </w:hyperlink>
          </w:p>
        </w:tc>
        <w:tc>
          <w:tcPr>
            <w:tcW w:w="30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3680" w:type="dxa"/>
            <w:vAlign w:val="bottom"/>
            <w:gridSpan w:val="24"/>
          </w:tcPr>
          <w:p>
            <w:pPr>
              <w:spacing w:after="0"/>
              <w:rPr>
                <w:rFonts w:ascii="Arial" w:cs="Arial" w:eastAsia="Arial" w:hAnsi="Arial"/>
                <w:sz w:val="18"/>
                <w:szCs w:val="18"/>
                <w:color w:val="0000EE"/>
              </w:rPr>
            </w:pPr>
            <w:hyperlink r:id="rId120">
              <w:r>
                <w:rPr>
                  <w:rFonts w:ascii="Arial" w:cs="Arial" w:eastAsia="Arial" w:hAnsi="Arial"/>
                  <w:sz w:val="18"/>
                  <w:szCs w:val="18"/>
                  <w:color w:val="0000EE"/>
                </w:rPr>
                <w:t>Non-Employee Director Compensation</w:t>
              </w:r>
            </w:hyperlink>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10-Q</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04/26/2019</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Summary**</w:t>
              </w:r>
            </w:hyperlink>
          </w:p>
        </w:tc>
        <w:tc>
          <w:tcPr>
            <w:tcW w:w="1940" w:type="dxa"/>
            <w:vAlign w:val="bottom"/>
            <w:tcBorders>
              <w:top w:val="single" w:sz="8" w:color="0000EE"/>
            </w:tcBorders>
            <w:gridSpan w:val="11"/>
          </w:tcPr>
          <w:p>
            <w:pPr>
              <w:spacing w:after="0"/>
              <w:rPr>
                <w:sz w:val="17"/>
                <w:szCs w:val="17"/>
                <w:color w:val="auto"/>
              </w:rPr>
            </w:pPr>
          </w:p>
        </w:tc>
        <w:tc>
          <w:tcPr>
            <w:tcW w:w="860" w:type="dxa"/>
            <w:vAlign w:val="bottom"/>
            <w:gridSpan w:val="12"/>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2880" w:type="dxa"/>
            <w:vAlign w:val="bottom"/>
            <w:tcBorders>
              <w:bottom w:val="single" w:sz="8" w:color="0000EE"/>
            </w:tcBorders>
            <w:gridSpan w:val="13"/>
          </w:tcPr>
          <w:p>
            <w:pPr>
              <w:spacing w:after="0"/>
              <w:rPr>
                <w:rFonts w:ascii="Arial" w:cs="Arial" w:eastAsia="Arial" w:hAnsi="Arial"/>
                <w:sz w:val="18"/>
                <w:szCs w:val="18"/>
                <w:color w:val="0000EE"/>
                <w:w w:val="93"/>
              </w:rPr>
            </w:pPr>
            <w:hyperlink r:id="rId121">
              <w:r>
                <w:rPr>
                  <w:rFonts w:ascii="Arial" w:cs="Arial" w:eastAsia="Arial" w:hAnsi="Arial"/>
                  <w:sz w:val="18"/>
                  <w:szCs w:val="18"/>
                  <w:color w:val="0000EE"/>
                  <w:w w:val="93"/>
                </w:rPr>
                <w:t>Form of Indemnification Agreement for</w:t>
              </w:r>
            </w:hyperlink>
          </w:p>
        </w:tc>
        <w:tc>
          <w:tcPr>
            <w:tcW w:w="800" w:type="dxa"/>
            <w:vAlign w:val="bottom"/>
            <w:gridSpan w:val="11"/>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S-1/A</w:t>
            </w:r>
          </w:p>
        </w:tc>
        <w:tc>
          <w:tcPr>
            <w:tcW w:w="1380" w:type="dxa"/>
            <w:vAlign w:val="bottom"/>
          </w:tcPr>
          <w:p>
            <w:pPr>
              <w:spacing w:after="0"/>
              <w:rPr>
                <w:sz w:val="20"/>
                <w:szCs w:val="20"/>
                <w:color w:val="auto"/>
              </w:rPr>
            </w:pPr>
            <w:r>
              <w:rPr>
                <w:rFonts w:ascii="Arial" w:cs="Arial" w:eastAsia="Arial" w:hAnsi="Arial"/>
                <w:sz w:val="18"/>
                <w:szCs w:val="18"/>
                <w:color w:val="auto"/>
              </w:rPr>
              <w:t>333-163476</w:t>
            </w:r>
          </w:p>
        </w:tc>
        <w:tc>
          <w:tcPr>
            <w:tcW w:w="1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w w:val="88"/>
              </w:rPr>
              <w:t>01/11/2010</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4"/>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Independent Directors</w:t>
              </w:r>
            </w:hyperlink>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57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i w:val="1"/>
                <w:i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80"/>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Exhibit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560"/>
              <w:spacing w:after="0" w:line="149" w:lineRule="exact"/>
              <w:rPr>
                <w:sz w:val="20"/>
                <w:szCs w:val="20"/>
                <w:color w:val="auto"/>
              </w:rPr>
            </w:pPr>
            <w:r>
              <w:rPr>
                <w:rFonts w:ascii="Arial" w:cs="Arial" w:eastAsia="Arial" w:hAnsi="Arial"/>
                <w:sz w:val="14"/>
                <w:szCs w:val="14"/>
                <w:b w:val="1"/>
                <w:bCs w:val="1"/>
                <w:i w:val="1"/>
                <w:iCs w:val="1"/>
                <w:color w:val="auto"/>
              </w:rPr>
              <w:t>File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8"/>
              </w:rPr>
              <w:t>First</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4"/>
              </w:rPr>
              <w:t>Exhibit</w:t>
            </w:r>
          </w:p>
        </w:tc>
        <w:tc>
          <w:tcPr>
            <w:tcW w:w="1160" w:type="dxa"/>
            <w:vAlign w:val="bottom"/>
          </w:tcPr>
          <w:p>
            <w:pPr>
              <w:ind w:left="420"/>
              <w:spacing w:after="0" w:line="149" w:lineRule="exact"/>
              <w:rPr>
                <w:sz w:val="20"/>
                <w:szCs w:val="20"/>
                <w:color w:val="auto"/>
              </w:rPr>
            </w:pPr>
            <w:r>
              <w:rPr>
                <w:rFonts w:ascii="Arial" w:cs="Arial" w:eastAsia="Arial" w:hAnsi="Arial"/>
                <w:sz w:val="14"/>
                <w:szCs w:val="14"/>
                <w:b w:val="1"/>
                <w:bCs w:val="1"/>
                <w:i w:val="1"/>
                <w:iCs w:val="1"/>
                <w:color w:val="auto"/>
              </w:rPr>
              <w:t>Filed</w:t>
            </w:r>
          </w:p>
        </w:tc>
      </w:tr>
      <w:tr>
        <w:trPr>
          <w:trHeight w:val="167"/>
        </w:trPr>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00" w:type="dxa"/>
            <w:vAlign w:val="bottom"/>
            <w:gridSpan w:val="19"/>
          </w:tcPr>
          <w:p>
            <w:pPr>
              <w:ind w:left="280"/>
              <w:spacing w:after="0"/>
              <w:rPr>
                <w:sz w:val="20"/>
                <w:szCs w:val="20"/>
                <w:color w:val="auto"/>
              </w:rPr>
            </w:pPr>
            <w:r>
              <w:rPr>
                <w:rFonts w:ascii="Arial" w:cs="Arial" w:eastAsia="Arial" w:hAnsi="Arial"/>
                <w:sz w:val="14"/>
                <w:szCs w:val="14"/>
                <w:b w:val="1"/>
                <w:bCs w:val="1"/>
                <w:i w:val="1"/>
                <w:iCs w:val="1"/>
                <w:color w:val="auto"/>
              </w:rPr>
              <w:t>Exhibit Description</w:t>
            </w:r>
          </w:p>
        </w:tc>
        <w:tc>
          <w:tcPr>
            <w:tcW w:w="100" w:type="dxa"/>
            <w:vAlign w:val="bottom"/>
          </w:tcPr>
          <w:p>
            <w:pPr>
              <w:spacing w:after="0"/>
              <w:rPr>
                <w:sz w:val="14"/>
                <w:szCs w:val="14"/>
                <w:color w:val="auto"/>
              </w:rPr>
            </w:pP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i w:val="1"/>
                <w:iCs w:val="1"/>
                <w:color w:val="auto"/>
              </w:rPr>
              <w:t>Form</w:t>
            </w:r>
          </w:p>
        </w:tc>
        <w:tc>
          <w:tcPr>
            <w:tcW w:w="1480" w:type="dxa"/>
            <w:vAlign w:val="bottom"/>
            <w:gridSpan w:val="2"/>
          </w:tcPr>
          <w:p>
            <w:pPr>
              <w:ind w:left="440"/>
              <w:spacing w:after="0"/>
              <w:rPr>
                <w:sz w:val="20"/>
                <w:szCs w:val="20"/>
                <w:color w:val="auto"/>
              </w:rPr>
            </w:pPr>
            <w:r>
              <w:rPr>
                <w:rFonts w:ascii="Arial" w:cs="Arial" w:eastAsia="Arial" w:hAnsi="Arial"/>
                <w:sz w:val="14"/>
                <w:szCs w:val="14"/>
                <w:b w:val="1"/>
                <w:bCs w:val="1"/>
                <w:i w:val="1"/>
                <w:iCs w:val="1"/>
                <w:color w:val="auto"/>
              </w:rPr>
              <w:t>Number</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rPr>
              <w:t>Filing</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94"/>
              </w:rPr>
              <w:t>Number</w:t>
            </w:r>
          </w:p>
        </w:tc>
        <w:tc>
          <w:tcPr>
            <w:tcW w:w="1160" w:type="dxa"/>
            <w:vAlign w:val="bottom"/>
          </w:tcPr>
          <w:p>
            <w:pPr>
              <w:ind w:left="300"/>
              <w:spacing w:after="0"/>
              <w:rPr>
                <w:sz w:val="20"/>
                <w:szCs w:val="20"/>
                <w:color w:val="auto"/>
              </w:rPr>
            </w:pPr>
            <w:r>
              <w:rPr>
                <w:rFonts w:ascii="Arial" w:cs="Arial" w:eastAsia="Arial" w:hAnsi="Arial"/>
                <w:sz w:val="14"/>
                <w:szCs w:val="14"/>
                <w:b w:val="1"/>
                <w:bCs w:val="1"/>
                <w:i w:val="1"/>
                <w:iCs w:val="1"/>
                <w:color w:val="auto"/>
              </w:rPr>
              <w:t>Herewith</w:t>
            </w:r>
          </w:p>
        </w:tc>
      </w:tr>
      <w:tr>
        <w:trPr>
          <w:trHeight w:val="169"/>
        </w:trPr>
        <w:tc>
          <w:tcPr>
            <w:tcW w:w="20" w:type="dxa"/>
            <w:vAlign w:val="bottom"/>
          </w:tcPr>
          <w:p>
            <w:pPr>
              <w:spacing w:after="0"/>
              <w:rPr>
                <w:sz w:val="14"/>
                <w:szCs w:val="14"/>
                <w:color w:val="auto"/>
              </w:rPr>
            </w:pPr>
          </w:p>
        </w:tc>
        <w:tc>
          <w:tcPr>
            <w:tcW w:w="11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top w:val="single" w:sz="8" w:color="auto"/>
            </w:tcBorders>
            <w:gridSpan w:val="21"/>
          </w:tcPr>
          <w:p>
            <w:pPr>
              <w:spacing w:after="0" w:line="170"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Form of Indemnification Agreement for Archie C.</w:t>
              </w:r>
            </w:hyperlink>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S-1/A</w:t>
            </w: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333-163476</w:t>
            </w:r>
          </w:p>
        </w:tc>
        <w:tc>
          <w:tcPr>
            <w:tcW w:w="100" w:type="dxa"/>
            <w:vAlign w:val="bottom"/>
          </w:tcPr>
          <w:p>
            <w:pPr>
              <w:spacing w:after="0"/>
              <w:rPr>
                <w:sz w:val="14"/>
                <w:szCs w:val="14"/>
                <w:color w:val="auto"/>
              </w:rPr>
            </w:pPr>
          </w:p>
        </w:tc>
        <w:tc>
          <w:tcPr>
            <w:tcW w:w="1140" w:type="dxa"/>
            <w:vAlign w:val="bottom"/>
            <w:tcBorders>
              <w:top w:val="single" w:sz="8" w:color="auto"/>
            </w:tcBorders>
          </w:tcPr>
          <w:p>
            <w:pPr>
              <w:jc w:val="right"/>
              <w:ind w:right="236"/>
              <w:spacing w:after="0" w:line="170" w:lineRule="exact"/>
              <w:rPr>
                <w:sz w:val="20"/>
                <w:szCs w:val="20"/>
                <w:color w:val="auto"/>
              </w:rPr>
            </w:pPr>
            <w:r>
              <w:rPr>
                <w:rFonts w:ascii="Arial" w:cs="Arial" w:eastAsia="Arial" w:hAnsi="Arial"/>
                <w:sz w:val="18"/>
                <w:szCs w:val="18"/>
                <w:color w:val="auto"/>
                <w:w w:val="88"/>
              </w:rPr>
              <w:t>01/11/2010</w:t>
            </w:r>
          </w:p>
        </w:tc>
        <w:tc>
          <w:tcPr>
            <w:tcW w:w="100" w:type="dxa"/>
            <w:vAlign w:val="bottom"/>
          </w:tcPr>
          <w:p>
            <w:pPr>
              <w:spacing w:after="0"/>
              <w:rPr>
                <w:sz w:val="14"/>
                <w:szCs w:val="14"/>
                <w:color w:val="auto"/>
              </w:rPr>
            </w:pPr>
          </w:p>
        </w:tc>
        <w:tc>
          <w:tcPr>
            <w:tcW w:w="11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10.19</w:t>
            </w: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Black**</w:t>
              </w:r>
            </w:hyperlink>
          </w:p>
        </w:tc>
        <w:tc>
          <w:tcPr>
            <w:tcW w:w="3020" w:type="dxa"/>
            <w:vAlign w:val="bottom"/>
            <w:tcBorders>
              <w:top w:val="single" w:sz="8" w:color="0000EE"/>
            </w:tcBorders>
            <w:gridSpan w:val="18"/>
          </w:tcPr>
          <w:p>
            <w:pPr>
              <w:spacing w:after="0"/>
              <w:rPr>
                <w:sz w:val="17"/>
                <w:szCs w:val="17"/>
                <w:color w:val="auto"/>
              </w:rPr>
            </w:pPr>
          </w:p>
        </w:tc>
        <w:tc>
          <w:tcPr>
            <w:tcW w:w="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3680" w:type="dxa"/>
            <w:vAlign w:val="bottom"/>
            <w:gridSpan w:val="22"/>
          </w:tcPr>
          <w:p>
            <w:pPr>
              <w:spacing w:after="0"/>
              <w:rPr>
                <w:rFonts w:ascii="Arial" w:cs="Arial" w:eastAsia="Arial" w:hAnsi="Arial"/>
                <w:sz w:val="18"/>
                <w:szCs w:val="18"/>
                <w:color w:val="0000EE"/>
                <w:w w:val="96"/>
              </w:rPr>
            </w:pPr>
            <w:hyperlink r:id="rId125">
              <w:r>
                <w:rPr>
                  <w:rFonts w:ascii="Arial" w:cs="Arial" w:eastAsia="Arial" w:hAnsi="Arial"/>
                  <w:sz w:val="18"/>
                  <w:szCs w:val="18"/>
                  <w:color w:val="0000EE"/>
                  <w:w w:val="96"/>
                </w:rPr>
                <w:t>Employment Agreement between the Company</w:t>
              </w:r>
            </w:hyperlink>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S-1/A</w:t>
            </w:r>
          </w:p>
        </w:tc>
        <w:tc>
          <w:tcPr>
            <w:tcW w:w="1380" w:type="dxa"/>
            <w:vAlign w:val="bottom"/>
          </w:tcPr>
          <w:p>
            <w:pPr>
              <w:spacing w:after="0"/>
              <w:rPr>
                <w:sz w:val="20"/>
                <w:szCs w:val="20"/>
                <w:color w:val="auto"/>
              </w:rPr>
            </w:pPr>
            <w:r>
              <w:rPr>
                <w:rFonts w:ascii="Arial" w:cs="Arial" w:eastAsia="Arial" w:hAnsi="Arial"/>
                <w:sz w:val="18"/>
                <w:szCs w:val="18"/>
                <w:color w:val="auto"/>
              </w:rPr>
              <w:t>333-163476</w:t>
            </w:r>
          </w:p>
        </w:tc>
        <w:tc>
          <w:tcPr>
            <w:tcW w:w="100" w:type="dxa"/>
            <w:vAlign w:val="bottom"/>
          </w:tcPr>
          <w:p>
            <w:pPr>
              <w:spacing w:after="0"/>
              <w:rPr>
                <w:sz w:val="24"/>
                <w:szCs w:val="24"/>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w w:val="88"/>
              </w:rPr>
              <w:t>03/05/2010</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and Archie C. Black**</w:t>
              </w:r>
            </w:hyperlink>
          </w:p>
        </w:tc>
        <w:tc>
          <w:tcPr>
            <w:tcW w:w="26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3220" w:type="dxa"/>
            <w:vAlign w:val="bottom"/>
            <w:tcBorders>
              <w:bottom w:val="single" w:sz="8" w:color="0000EE"/>
            </w:tcBorders>
            <w:gridSpan w:val="15"/>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Form of Executive Severance and Change in</w:t>
              </w:r>
            </w:hyperlink>
          </w:p>
        </w:tc>
        <w:tc>
          <w:tcPr>
            <w:tcW w:w="460" w:type="dxa"/>
            <w:vAlign w:val="bottom"/>
            <w:gridSpan w:val="7"/>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S-K</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w w:val="88"/>
              </w:rPr>
              <w:t>02/03/2016</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r:id="rId126">
              <w:r>
                <w:rPr>
                  <w:rFonts w:ascii="Arial" w:cs="Arial" w:eastAsia="Arial" w:hAnsi="Arial"/>
                  <w:sz w:val="18"/>
                  <w:szCs w:val="18"/>
                  <w:color w:val="0000EE"/>
                  <w:w w:val="96"/>
                </w:rPr>
                <w:t>Control Agreement**</w:t>
              </w:r>
            </w:hyperlink>
          </w:p>
        </w:tc>
        <w:tc>
          <w:tcPr>
            <w:tcW w:w="2040" w:type="dxa"/>
            <w:vAlign w:val="bottom"/>
            <w:gridSpan w:val="18"/>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3680" w:type="dxa"/>
            <w:vAlign w:val="bottom"/>
            <w:gridSpan w:val="22"/>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Standard Form Office Lease, dated as of February</w:t>
              </w:r>
            </w:hyperlink>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w w:val="88"/>
              </w:rPr>
              <w:t>02/17/2012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14, 2012, by and between the registrant and</w:t>
              </w:r>
            </w:hyperlink>
          </w:p>
        </w:tc>
        <w:tc>
          <w:tcPr>
            <w:tcW w:w="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CSDV-MN Limited Partnership</w:t>
              </w:r>
            </w:hyperlink>
          </w:p>
        </w:tc>
        <w:tc>
          <w:tcPr>
            <w:tcW w:w="840" w:type="dxa"/>
            <w:vAlign w:val="bottom"/>
            <w:tcBorders>
              <w:top w:val="single" w:sz="8" w:color="0000EE"/>
            </w:tcBorders>
            <w:gridSpan w:val="4"/>
          </w:tcPr>
          <w:p>
            <w:pPr>
              <w:spacing w:after="0"/>
              <w:rPr>
                <w:sz w:val="17"/>
                <w:szCs w:val="17"/>
                <w:color w:val="auto"/>
              </w:rPr>
            </w:pPr>
          </w:p>
        </w:tc>
        <w:tc>
          <w:tcPr>
            <w:tcW w:w="54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Management Incentive Plan**</w:t>
              </w:r>
            </w:hyperlink>
          </w:p>
        </w:tc>
        <w:tc>
          <w:tcPr>
            <w:tcW w:w="1480" w:type="dxa"/>
            <w:vAlign w:val="bottom"/>
            <w:gridSpan w:val="14"/>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w w:val="88"/>
              </w:rPr>
              <w:t>02/03/2016</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3680" w:type="dxa"/>
            <w:vAlign w:val="bottom"/>
            <w:gridSpan w:val="22"/>
          </w:tcPr>
          <w:p>
            <w:pPr>
              <w:spacing w:after="0"/>
              <w:rPr>
                <w:rFonts w:ascii="Arial" w:cs="Arial" w:eastAsia="Arial" w:hAnsi="Arial"/>
                <w:sz w:val="18"/>
                <w:szCs w:val="18"/>
                <w:color w:val="0000EE"/>
              </w:rPr>
            </w:pPr>
            <w:hyperlink r:id="rId129">
              <w:r>
                <w:rPr>
                  <w:rFonts w:ascii="Arial" w:cs="Arial" w:eastAsia="Arial" w:hAnsi="Arial"/>
                  <w:sz w:val="18"/>
                  <w:szCs w:val="18"/>
                  <w:color w:val="0000EE"/>
                </w:rPr>
                <w:t>Executive Severance and Change in Control</w:t>
              </w:r>
            </w:hyperlink>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380" w:type="dxa"/>
            <w:vAlign w:val="bottom"/>
          </w:tcPr>
          <w:p>
            <w:pPr>
              <w:spacing w:after="0"/>
              <w:rPr>
                <w:sz w:val="20"/>
                <w:szCs w:val="20"/>
                <w:color w:val="auto"/>
              </w:rPr>
            </w:pPr>
            <w:r>
              <w:rPr>
                <w:rFonts w:ascii="Arial" w:cs="Arial" w:eastAsia="Arial" w:hAnsi="Arial"/>
                <w:sz w:val="18"/>
                <w:szCs w:val="18"/>
                <w:color w:val="auto"/>
              </w:rPr>
              <w:t>001-34702</w:t>
            </w:r>
          </w:p>
        </w:tc>
        <w:tc>
          <w:tcPr>
            <w:tcW w:w="100" w:type="dxa"/>
            <w:vAlign w:val="bottom"/>
          </w:tcPr>
          <w:p>
            <w:pPr>
              <w:spacing w:after="0"/>
              <w:rPr>
                <w:sz w:val="24"/>
                <w:szCs w:val="24"/>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w w:val="88"/>
              </w:rPr>
              <w:t>11/17/2017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129">
              <w:r>
                <w:rPr>
                  <w:rFonts w:ascii="Arial" w:cs="Arial" w:eastAsia="Arial" w:hAnsi="Arial"/>
                  <w:sz w:val="18"/>
                  <w:szCs w:val="18"/>
                  <w:color w:val="0000EE"/>
                  <w:w w:val="94"/>
                </w:rPr>
                <w:t>Agreement**</w:t>
              </w:r>
            </w:hyperlink>
          </w:p>
        </w:tc>
        <w:tc>
          <w:tcPr>
            <w:tcW w:w="2200" w:type="dxa"/>
            <w:vAlign w:val="bottom"/>
            <w:tcBorders>
              <w:top w:val="single" w:sz="8" w:color="0000EE"/>
            </w:tcBorders>
            <w:gridSpan w:val="11"/>
          </w:tcPr>
          <w:p>
            <w:pPr>
              <w:spacing w:after="0"/>
              <w:rPr>
                <w:sz w:val="17"/>
                <w:szCs w:val="17"/>
                <w:color w:val="auto"/>
              </w:rPr>
            </w:pPr>
          </w:p>
        </w:tc>
        <w:tc>
          <w:tcPr>
            <w:tcW w:w="50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0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Subsidiaries of the registrant</w:t>
              </w:r>
            </w:hyperlink>
          </w:p>
        </w:tc>
        <w:tc>
          <w:tcPr>
            <w:tcW w:w="1600" w:type="dxa"/>
            <w:vAlign w:val="bottom"/>
            <w:gridSpan w:val="15"/>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7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88">
              <w:r>
                <w:rPr>
                  <w:rFonts w:ascii="Arial" w:cs="Arial" w:eastAsia="Arial" w:hAnsi="Arial"/>
                  <w:sz w:val="18"/>
                  <w:szCs w:val="18"/>
                  <w:color w:val="0000EE"/>
                  <w:w w:val="93"/>
                </w:rPr>
                <w:t>Consent of KPMG LLP</w:t>
              </w:r>
            </w:hyperlink>
          </w:p>
        </w:tc>
        <w:tc>
          <w:tcPr>
            <w:tcW w:w="1960" w:type="dxa"/>
            <w:vAlign w:val="bottom"/>
            <w:gridSpan w:val="17"/>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3440" w:type="dxa"/>
            <w:vAlign w:val="bottom"/>
            <w:tcBorders>
              <w:bottom w:val="single" w:sz="8" w:color="0000EE"/>
            </w:tcBorders>
            <w:gridSpan w:val="17"/>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Power of Attorney (included on signature page)</w:t>
              </w:r>
            </w:hyperlink>
          </w:p>
        </w:tc>
        <w:tc>
          <w:tcPr>
            <w:tcW w:w="24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3680" w:type="dxa"/>
            <w:vAlign w:val="bottom"/>
            <w:gridSpan w:val="2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Certification of Principal Executive Officer</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pursuant to Rules 13a-14(a) under the Securities</w:t>
              </w:r>
            </w:hyperlink>
          </w:p>
        </w:tc>
        <w:tc>
          <w:tcPr>
            <w:tcW w:w="2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2"/>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Exchange Act of 1934, as amended</w:t>
              </w:r>
            </w:hyperlink>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312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90">
              <w:r>
                <w:rPr>
                  <w:rFonts w:ascii="Arial" w:cs="Arial" w:eastAsia="Arial" w:hAnsi="Arial"/>
                  <w:sz w:val="18"/>
                  <w:szCs w:val="18"/>
                  <w:color w:val="0000EE"/>
                  <w:w w:val="95"/>
                </w:rPr>
                <w:t>Certification of Principal Financial Officer</w:t>
              </w:r>
            </w:hyperlink>
          </w:p>
        </w:tc>
        <w:tc>
          <w:tcPr>
            <w:tcW w:w="56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pursuant to Rules 13a-14(a) under the Securities</w:t>
              </w:r>
            </w:hyperlink>
          </w:p>
        </w:tc>
        <w:tc>
          <w:tcPr>
            <w:tcW w:w="2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2"/>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Exchange Act of 1934, as amended</w:t>
              </w:r>
            </w:hyperlink>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3680" w:type="dxa"/>
            <w:vAlign w:val="bottom"/>
            <w:gridSpan w:val="22"/>
          </w:tcPr>
          <w:p>
            <w:pPr>
              <w:spacing w:after="0"/>
              <w:rPr>
                <w:rFonts w:ascii="Arial" w:cs="Arial" w:eastAsia="Arial" w:hAnsi="Arial"/>
                <w:sz w:val="18"/>
                <w:szCs w:val="18"/>
                <w:color w:val="0000EE"/>
                <w:w w:val="95"/>
              </w:rPr>
            </w:pPr>
            <w:hyperlink w:anchor="page91">
              <w:r>
                <w:rPr>
                  <w:rFonts w:ascii="Arial" w:cs="Arial" w:eastAsia="Arial" w:hAnsi="Arial"/>
                  <w:sz w:val="18"/>
                  <w:szCs w:val="18"/>
                  <w:color w:val="0000EE"/>
                  <w:w w:val="95"/>
                </w:rPr>
                <w:t>Certification of Chief Executive Officer and Chief</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64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Financial Officer pursuant to 18 U.S.C. Sec. 1350,</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as adopted pursuant to Section 906 of the</w:t>
              </w:r>
            </w:hyperlink>
          </w:p>
        </w:tc>
        <w:tc>
          <w:tcPr>
            <w:tcW w:w="70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Sarbanes-Oxley Act of 2002</w:t>
              </w:r>
            </w:hyperlink>
          </w:p>
        </w:tc>
        <w:tc>
          <w:tcPr>
            <w:tcW w:w="1620" w:type="dxa"/>
            <w:vAlign w:val="bottom"/>
            <w:gridSpan w:val="16"/>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44"/>
        </w:trPr>
        <w:tc>
          <w:tcPr>
            <w:tcW w:w="112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680" w:type="dxa"/>
            <w:vAlign w:val="bottom"/>
            <w:gridSpan w:val="22"/>
          </w:tcPr>
          <w:p>
            <w:pPr>
              <w:spacing w:after="0"/>
              <w:rPr>
                <w:sz w:val="20"/>
                <w:szCs w:val="20"/>
                <w:color w:val="auto"/>
              </w:rPr>
            </w:pPr>
            <w:r>
              <w:rPr>
                <w:rFonts w:ascii="Arial" w:cs="Arial" w:eastAsia="Arial" w:hAnsi="Arial"/>
                <w:sz w:val="18"/>
                <w:szCs w:val="18"/>
                <w:color w:val="auto"/>
              </w:rPr>
              <w:t>Interactive Data Files Pursuant to Rule 405 of</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22"/>
          </w:tcPr>
          <w:p>
            <w:pPr>
              <w:spacing w:after="0"/>
              <w:rPr>
                <w:sz w:val="20"/>
                <w:szCs w:val="20"/>
                <w:color w:val="auto"/>
              </w:rPr>
            </w:pPr>
            <w:r>
              <w:rPr>
                <w:rFonts w:ascii="Arial" w:cs="Arial" w:eastAsia="Arial" w:hAnsi="Arial"/>
                <w:sz w:val="18"/>
                <w:szCs w:val="18"/>
                <w:color w:val="auto"/>
              </w:rPr>
              <w:t>Regulation S-T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23"/>
        </w:trPr>
        <w:tc>
          <w:tcPr>
            <w:tcW w:w="1120" w:type="dxa"/>
            <w:vAlign w:val="bottom"/>
            <w:gridSpan w:val="2"/>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680" w:type="dxa"/>
            <w:vAlign w:val="bottom"/>
            <w:gridSpan w:val="22"/>
          </w:tcPr>
          <w:p>
            <w:pPr>
              <w:spacing w:after="0"/>
              <w:rPr>
                <w:sz w:val="20"/>
                <w:szCs w:val="20"/>
                <w:color w:val="auto"/>
              </w:rPr>
            </w:pPr>
            <w:r>
              <w:rPr>
                <w:rFonts w:ascii="Arial" w:cs="Arial" w:eastAsia="Arial" w:hAnsi="Arial"/>
                <w:sz w:val="18"/>
                <w:szCs w:val="18"/>
                <w:color w:val="auto"/>
                <w:w w:val="94"/>
              </w:rPr>
              <w:t>The cover page from the Annual Report on Form</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22"/>
          </w:tcPr>
          <w:p>
            <w:pPr>
              <w:spacing w:after="0"/>
              <w:rPr>
                <w:sz w:val="20"/>
                <w:szCs w:val="20"/>
                <w:color w:val="auto"/>
              </w:rPr>
            </w:pPr>
            <w:r>
              <w:rPr>
                <w:rFonts w:ascii="Arial" w:cs="Arial" w:eastAsia="Arial" w:hAnsi="Arial"/>
                <w:sz w:val="18"/>
                <w:szCs w:val="18"/>
                <w:color w:val="auto"/>
              </w:rPr>
              <w:t>10-K for the year ended December 31, 2019,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22"/>
          </w:tcPr>
          <w:p>
            <w:pPr>
              <w:spacing w:after="0"/>
              <w:rPr>
                <w:sz w:val="20"/>
                <w:szCs w:val="20"/>
                <w:color w:val="auto"/>
              </w:rPr>
            </w:pPr>
            <w:r>
              <w:rPr>
                <w:rFonts w:ascii="Arial" w:cs="Arial" w:eastAsia="Arial" w:hAnsi="Arial"/>
                <w:sz w:val="18"/>
                <w:szCs w:val="18"/>
                <w:color w:val="auto"/>
              </w:rPr>
              <w:t>formatted in Inline XBRL.</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07" w:lineRule="exact"/>
        <w:rPr>
          <w:sz w:val="20"/>
          <w:szCs w:val="20"/>
          <w:color w:val="auto"/>
        </w:rPr>
      </w:pPr>
    </w:p>
    <w:p>
      <w:pPr>
        <w:ind w:left="5620" w:right="5620" w:hanging="5612"/>
        <w:spacing w:after="0" w:line="624" w:lineRule="auto"/>
        <w:tabs>
          <w:tab w:leader="none" w:pos="5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February 25, 2020</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ARCHIE C. BLACK</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9"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7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Exchange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25, 2020.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Name and Signature</w:t>
            </w:r>
          </w:p>
        </w:tc>
        <w:tc>
          <w:tcPr>
            <w:tcW w:w="20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12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31"/>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ARCHIE C. BLACK</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 President and 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20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KIMBERLY K. NELSON</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20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J. LEESTMA</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B. RAMSEY</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MARTY M. RÉAUME</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Marty M. Réaume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TAMI L. RELLER</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Tami L. Reller</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PHILIP E. SORAN</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SVEN A. WEHRWEIN</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850"/>
        </w:trPr>
        <w:tc>
          <w:tcPr>
            <w:tcW w:w="1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84</w:t>
            </w: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The summary of the general terms and provisions of the capital stock of SPS Commerce, Inc.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does not purport to be complete and is subject to and qualified by reference to the Company’s Eighth Amended and Restated Certificate of Incorporation (the “</w:t>
      </w:r>
      <w:r>
        <w:rPr>
          <w:rFonts w:ascii="Arial" w:cs="Arial" w:eastAsia="Arial" w:hAnsi="Arial"/>
          <w:sz w:val="18"/>
          <w:szCs w:val="18"/>
          <w:u w:val="single" w:color="auto"/>
          <w:color w:val="auto"/>
        </w:rPr>
        <w:t>Certificate</w:t>
      </w:r>
      <w:r>
        <w:rPr>
          <w:rFonts w:ascii="Arial" w:cs="Arial" w:eastAsia="Arial" w:hAnsi="Arial"/>
          <w:sz w:val="18"/>
          <w:szCs w:val="18"/>
          <w:color w:val="auto"/>
        </w:rPr>
        <w:t>”), and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and together with the Certificate, the “</w:t>
      </w:r>
      <w:r>
        <w:rPr>
          <w:rFonts w:ascii="Arial" w:cs="Arial" w:eastAsia="Arial" w:hAnsi="Arial"/>
          <w:sz w:val="18"/>
          <w:szCs w:val="18"/>
          <w:u w:val="single" w:color="auto"/>
          <w:color w:val="auto"/>
        </w:rPr>
        <w:t>Charter Documents</w:t>
      </w:r>
      <w:r>
        <w:rPr>
          <w:rFonts w:ascii="Arial" w:cs="Arial" w:eastAsia="Arial" w:hAnsi="Arial"/>
          <w:sz w:val="18"/>
          <w:szCs w:val="18"/>
          <w:color w:val="auto"/>
        </w:rPr>
        <w:t>”), each of which is incorporated herein by reference and attached as an exhibit to the Company’s most recent Annual Report on Form 10-K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For additional information, please read the Company’s Charter Documents and the applicable provisions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The Company is authorized to issue up to 55,000,000 shares of common stock, par value $0.001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5,000,000 shares of preferred stock, par value $0.001 per share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is authorized at any time and from time to time, subject to any limitations prescribed by law, to provide for the issuance of Preferred Stock in one or more series, and by filing a certificate pursuant to the applicable law of the State of Delaware, to establish from time to time the number of shares to be included in each such series, and to fix by resolution the designation, powers, preferences and rights of the shares of such series and any qualifications, limitations or restrictions thereof. The number of authorized shares of Preferred Stock may be increased or decreased (but not below the number of shares thereof then outstanding) by the affirmative vote of the holders of a majority of the Common Stock, without a vote of the holders of the Preferred Stock, or of any series thereof, unless a vote of any such holders is required pursuant to the certificate or certificates establishing the series of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The holders of shares of the Common Stock are entitled to one vote per share for each share of Common Stock owned of record on all matters submitted to a vote of stockholders, including, but not limited to, the election of directors. All matters submitted to a vote of stockholders at a meeting of the stockholders shall be decided by a majority vote of the number of shares entitled to vote represented at the meeting, in person or by proxy, except as otherwise provided by law, the Certificate or the Bylaws. Subject to the rights of the holders of any series of Preferred Stock to elect directors under specified circumstances, each director shall be elected by the vote of a majority of the votes cast with respect to that director nominee at any meeting of stockholders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The Common Stock does not have cumulative voting rights.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Subject to the rights of the holders of Preferred Stock and any other class or series having a preference as to dividends over the Common Stock then outstanding, the holders of the Common Stock are entitled to receive, to the extent permitted by law, such dividends as may be declared from time to time by the Board upon the terms and conditions provided by law and the Certificate.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firstLine="877"/>
        <w:spacing w:after="0" w:line="308" w:lineRule="auto"/>
        <w:rPr>
          <w:sz w:val="20"/>
          <w:szCs w:val="20"/>
          <w:color w:val="auto"/>
        </w:rPr>
      </w:pPr>
      <w:r>
        <w:rPr>
          <w:rFonts w:ascii="Arial" w:cs="Arial" w:eastAsia="Arial" w:hAnsi="Arial"/>
          <w:sz w:val="17"/>
          <w:szCs w:val="17"/>
          <w:color w:val="auto"/>
        </w:rPr>
        <w:t>Upon the voluntary or involuntary liquidation, dissolution, distribution of assets or winding-up of the Company, the holders of the Common Stock are entitled to share ratably in all assets remaining after payment of liabilities and the liquidation preferences of any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 and Preferences</w:t>
      </w:r>
    </w:p>
    <w:p>
      <w:pPr>
        <w:spacing w:after="0" w:line="225" w:lineRule="exact"/>
        <w:rPr>
          <w:sz w:val="20"/>
          <w:szCs w:val="20"/>
          <w:color w:val="auto"/>
        </w:rPr>
      </w:pPr>
    </w:p>
    <w:p>
      <w:pPr>
        <w:jc w:val="both"/>
        <w:ind w:right="20" w:firstLine="877"/>
        <w:spacing w:after="0" w:line="264" w:lineRule="auto"/>
        <w:rPr>
          <w:sz w:val="20"/>
          <w:szCs w:val="20"/>
          <w:color w:val="auto"/>
        </w:rPr>
      </w:pPr>
      <w:r>
        <w:rPr>
          <w:rFonts w:ascii="Arial" w:cs="Arial" w:eastAsia="Arial" w:hAnsi="Arial"/>
          <w:sz w:val="18"/>
          <w:szCs w:val="18"/>
          <w:color w:val="auto"/>
        </w:rPr>
        <w:t>Our Common Stock has no sinking fund or redemption provisions or preemptive, conversion or exchange rights. The absence of preemptive rights could result in a dilution of the interest of investors should additional capital stock be issued. Holders of Common Stock may not act by written consent in lieu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currently traded on the Nasdaq Stock Market under the symbol “SPSC.”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Anti-Takeover Effects</w:t>
      </w:r>
    </w:p>
    <w:p>
      <w:pPr>
        <w:spacing w:after="0" w:line="162"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Some provisions of our Charter Documents may have the effect of making it more difficult for a third party to acquire, or of discouraging a third party from attempting to acquire control of the Company. This could limit the price that certain investors might be willing to pay in the future for our Common Stock.</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Among other things, our Charter Documents:</w:t>
      </w:r>
    </w:p>
    <w:p>
      <w:pPr>
        <w:spacing w:after="0" w:line="158"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allow the Company to issue Preferred Stock without any vote or further action by our stockholders;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eliminate the ability of stockholders to act by written consent without a meeting; and</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allow the Company to specify procedures for director nominations by stockholders and submission of other proposals for consideration at stockholder meetings.</w:t>
      </w:r>
    </w:p>
    <w:p>
      <w:pPr>
        <w:spacing w:after="0" w:line="103"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The Company is subject to provisions of Delaware law that could also delay or make more difficult a merger, tender offer or proxy contest involving the Company. In particular, Section 203 of the DGCL prohibits a Delaware corporation from engaging in any business combination with any interested stockholder for a period of three years from such interested stockholder’s acquisition (together with affiliates or associates) of 15% of more of our voting stock unless the transaction meets certain conditions.</w:t>
      </w:r>
    </w:p>
    <w:p>
      <w:pPr>
        <w:spacing w:after="0" w:line="11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The possible issuance of Preferred Stock, the procedures required for director nominations and stockholder proposals and Delaware law could have the effect of delaying, deferring or preventing a change in control of the Company, including without limitation discouraging a proxy contest or making more difficult the acquisition of a substantial block of the Company’s Common Stock.</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5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List of SPS Commerce, Inc. Subsidiaries</w:t>
      </w:r>
    </w:p>
    <w:p>
      <w:pPr>
        <w:sectPr>
          <w:pgSz w:w="11900" w:h="16838" w:orient="portrait"/>
          <w:cols w:equalWidth="0" w:num="1">
            <w:col w:w="11000"/>
          </w:cols>
          <w:pgMar w:left="240" w:top="364" w:right="6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Company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Incorporation/Organization</w:t>
      </w:r>
    </w:p>
    <w:p>
      <w:pPr>
        <w:spacing w:after="0" w:line="200" w:lineRule="exact"/>
        <w:rPr>
          <w:sz w:val="20"/>
          <w:szCs w:val="20"/>
          <w:color w:val="auto"/>
        </w:rPr>
      </w:pPr>
    </w:p>
    <w:p>
      <w:pPr>
        <w:sectPr>
          <w:pgSz w:w="11900" w:h="16838" w:orient="portrait"/>
          <w:cols w:equalWidth="0" w:num="2">
            <w:col w:w="6620" w:space="720"/>
            <w:col w:w="3660"/>
          </w:cols>
          <w:pgMar w:left="240" w:top="364" w:right="65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SPS Commerce Australia Pty Ltd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SPS Commerce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Edifice Japan G.K.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Ukraine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Commerce Canada,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SPS Commerce Netherlands B.V.</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ectPr>
          <w:pgSz w:w="11900" w:h="16838" w:orient="portrait"/>
          <w:cols w:equalWidth="0" w:num="2">
            <w:col w:w="6620" w:space="720"/>
            <w:col w:w="3660"/>
          </w:cols>
          <w:pgMar w:left="240" w:top="364" w:right="65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S-3 (No. 333-192392, 333-182097 and 333-17 4026) and on Form S-8 (Nos. 333-229838, 333-222438, 333-222435, 333-216288, 333-209721, 333-201673, 333-193544, 333-185972, 333-182007, 333-179236, 333-172073, 333-167315 and 333-167314) of SPS Commerce, Inc. of our report dated February 25, 2020, with respect to the consolidated balance sheets of SPS Commerce, Inc. and subsidiaries as of December 31, 2019 and 2018, and the related consolidated statements of comprehensive income, stockholders’ equity and cash flows for each of the years in the three-year period ended December 31, 2019, and the related notes (collectively, the consolidated financial statements), and the effectiveness of internal control over financial reporting as of December 31, 2019, which reports appear in the December 31, 2019 annual report on Form 10-K of SPS Commerce, Inc.</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Our report dated February 25, 2020 on the consolidated financial statements refers to a change in the method of accounting for leases on January 1, 2019, due to the adoption of Financial Accounting Standards Board’s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report dated February 25, 2020 on the effectiveness of internal control over financial reporting as of December 31, 2019, contains an explanatory paragraph that states management acquired the MAPADOC business during 2019, and has excluded from its assessment of the effectiveness of internal control over financial reporting as of December 31, 2019, MAPADOC’s internal control over financial reporting associated with approximately three percent of total assets and less than one percent of total revenues in the consolidated financial statements of SPS Commerce, Inc. as of and for the year ended December 31, 2019. Our audit of internal control over financial reporting of SPS Commerce, Inc. also excluded an evaluation of the internal control over financial reporting of the MAPADOC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25" w:lineRule="exact"/>
        <w:rPr>
          <w:rFonts w:ascii="Arial" w:cs="Arial" w:eastAsia="Arial" w:hAnsi="Arial"/>
          <w:sz w:val="18"/>
          <w:szCs w:val="18"/>
          <w:color w:val="auto"/>
        </w:rPr>
      </w:pPr>
    </w:p>
    <w:p>
      <w:pPr>
        <w:jc w:val="both"/>
        <w:ind w:left="880" w:right="80" w:hanging="440"/>
        <w:spacing w:after="0" w:line="264"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40" w:hanging="440"/>
        <w:spacing w:after="0" w:line="308"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80" w:hanging="440"/>
        <w:spacing w:after="0" w:line="264"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20" w:hanging="442"/>
        <w:spacing w:after="0" w:line="286" w:lineRule="auto"/>
        <w:tabs>
          <w:tab w:leader="none" w:pos="17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442"/>
        <w:spacing w:after="0" w:line="264" w:lineRule="auto"/>
        <w:tabs>
          <w:tab w:leader="none" w:pos="1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180" w:hanging="442"/>
        <w:spacing w:after="0" w:line="264" w:lineRule="auto"/>
        <w:tabs>
          <w:tab w:leader="none" w:pos="1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220" w:hanging="442"/>
        <w:spacing w:after="0" w:line="286" w:lineRule="auto"/>
        <w:tabs>
          <w:tab w:leader="none" w:pos="17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60" w:hanging="440"/>
        <w:spacing w:after="0" w:line="342"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80" w:hanging="442"/>
        <w:spacing w:after="0" w:line="342" w:lineRule="auto"/>
        <w:tabs>
          <w:tab w:leader="none" w:pos="17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00" w:hanging="442"/>
        <w:spacing w:after="0" w:line="277" w:lineRule="auto"/>
        <w:tabs>
          <w:tab w:leader="none" w:pos="1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25" w:lineRule="exact"/>
        <w:rPr>
          <w:rFonts w:ascii="Arial" w:cs="Arial" w:eastAsia="Arial" w:hAnsi="Arial"/>
          <w:sz w:val="18"/>
          <w:szCs w:val="18"/>
          <w:color w:val="auto"/>
        </w:rPr>
      </w:pPr>
    </w:p>
    <w:p>
      <w:pPr>
        <w:jc w:val="both"/>
        <w:ind w:left="880" w:right="80" w:hanging="440"/>
        <w:spacing w:after="0" w:line="264"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40" w:hanging="440"/>
        <w:spacing w:after="0" w:line="308"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80" w:hanging="440"/>
        <w:spacing w:after="0" w:line="264"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20" w:hanging="442"/>
        <w:spacing w:after="0" w:line="286" w:lineRule="auto"/>
        <w:tabs>
          <w:tab w:leader="none" w:pos="17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442"/>
        <w:spacing w:after="0" w:line="264" w:lineRule="auto"/>
        <w:tabs>
          <w:tab w:leader="none" w:pos="17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180" w:hanging="442"/>
        <w:spacing w:after="0" w:line="264" w:lineRule="auto"/>
        <w:tabs>
          <w:tab w:leader="none" w:pos="17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220" w:hanging="442"/>
        <w:spacing w:after="0" w:line="286" w:lineRule="auto"/>
        <w:tabs>
          <w:tab w:leader="none" w:pos="17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60" w:hanging="440"/>
        <w:spacing w:after="0" w:line="342"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80" w:hanging="442"/>
        <w:spacing w:after="0" w:line="342" w:lineRule="auto"/>
        <w:tabs>
          <w:tab w:leader="none" w:pos="17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00" w:hanging="442"/>
        <w:spacing w:after="0" w:line="277" w:lineRule="auto"/>
        <w:tabs>
          <w:tab w:leader="none" w:pos="17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877"/>
        <w:spacing w:after="0" w:line="312" w:lineRule="auto"/>
        <w:rPr>
          <w:sz w:val="20"/>
          <w:szCs w:val="20"/>
          <w:color w:val="auto"/>
        </w:rPr>
      </w:pPr>
      <w:r>
        <w:rPr>
          <w:rFonts w:ascii="Arial" w:cs="Arial" w:eastAsia="Arial" w:hAnsi="Arial"/>
          <w:sz w:val="16"/>
          <w:szCs w:val="16"/>
          <w:color w:val="auto"/>
        </w:rPr>
        <w:t>In connection with the Annual Report on Form 10-K of SPS Commerce, Inc. (the “Company”) for the period ended December 31, 2019,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147" w:lineRule="exact"/>
        <w:rPr>
          <w:sz w:val="20"/>
          <w:szCs w:val="20"/>
          <w:color w:val="auto"/>
        </w:rPr>
      </w:pPr>
    </w:p>
    <w:p>
      <w:pPr>
        <w:ind w:left="1300" w:hanging="428"/>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428"/>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2"/>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2"/>
    </w:lvl>
  </w:abstractNum>
  <w:abstractNum w:abstractNumId="24">
    <w:nsid w:val="6CEAF087"/>
    <w:multiLevelType w:val="hybridMultilevel"/>
    <w:lvl w:ilvl="0">
      <w:lvlJc w:val="left"/>
      <w:lvlText w:val="(%1)"/>
      <w:numFmt w:val="decimal"/>
      <w:start w:val="3"/>
    </w:lvl>
  </w:abstractNum>
  <w:abstractNum w:abstractNumId="25">
    <w:nsid w:val="22221A70"/>
    <w:multiLevelType w:val="hybridMultilevel"/>
    <w:lvl w:ilvl="0">
      <w:lvlJc w:val="left"/>
      <w:lvlText w:val="(%1)"/>
      <w:numFmt w:val="decimal"/>
      <w:start w:val="4"/>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07" Type="http://schemas.openxmlformats.org/officeDocument/2006/relationships/hyperlink" Target="http://www.sec.gov/Archives/edgar/data/1092699/000119312512269607/d365652dex41.htm" TargetMode="External"/><Relationship Id="rId108" Type="http://schemas.openxmlformats.org/officeDocument/2006/relationships/hyperlink" Target="http://www.sec.gov/Archives/edgar/data/1092699/000119312517311896/d430310dex31.htm" TargetMode="External"/><Relationship Id="rId109" Type="http://schemas.openxmlformats.org/officeDocument/2006/relationships/hyperlink" Target="http://www.sec.gov/Archives/edgar/data/1092699/000095012310001751/c54716a1exv10w3.htm" TargetMode="External"/><Relationship Id="rId110" Type="http://schemas.openxmlformats.org/officeDocument/2006/relationships/hyperlink" Target="http://www.sec.gov/Archives/edgar/data/1092699/000095012310001751/c54716a1exv10w4.htm" TargetMode="External"/><Relationship Id="rId111" Type="http://schemas.openxmlformats.org/officeDocument/2006/relationships/hyperlink" Target="http://www.sec.gov/Archives/edgar/data/1092699/000095012310001751/c54716a1exv10w5.htm" TargetMode="External"/><Relationship Id="rId112" Type="http://schemas.openxmlformats.org/officeDocument/2006/relationships/hyperlink" Target="http://www.sec.gov/Archives/edgar/data/1092699/000119312515056499/d845442dex106.htm" TargetMode="External"/><Relationship Id="rId113" Type="http://schemas.openxmlformats.org/officeDocument/2006/relationships/hyperlink" Target="http://www.sec.gov/Archives/edgar/data/1092699/000119312512067639/d303784dex102.htm" TargetMode="External"/><Relationship Id="rId114" Type="http://schemas.openxmlformats.org/officeDocument/2006/relationships/hyperlink" Target="http://www.sec.gov/Archives/edgar/data/1092699/000119312512067639/d303784dex103.htm" TargetMode="External"/><Relationship Id="rId115" Type="http://schemas.openxmlformats.org/officeDocument/2006/relationships/hyperlink" Target="http://www.sec.gov/Archives/edgar/data/1092699/000119312512067639/d303784dex104.htm" TargetMode="External"/><Relationship Id="rId116" Type="http://schemas.openxmlformats.org/officeDocument/2006/relationships/hyperlink" Target="http://www.sec.gov/Archives/edgar/data/1092699/000119312517045225/d348307dex992.htm" TargetMode="External"/><Relationship Id="rId117" Type="http://schemas.openxmlformats.org/officeDocument/2006/relationships/hyperlink" Target="http://www.sec.gov/Archives/edgar/data/1092699/000119312512218022/d343890dex106.htm" TargetMode="External"/><Relationship Id="rId118" Type="http://schemas.openxmlformats.org/officeDocument/2006/relationships/hyperlink" Target="http://www.sec.gov/Archives/edgar/data/1092699/000119312518034816/d525819dex101.htm" TargetMode="External"/><Relationship Id="rId119" Type="http://schemas.openxmlformats.org/officeDocument/2006/relationships/hyperlink" Target="http://www.sec.gov/Archives/edgar/data/1092699/000156459019013342/spsc-ex102_266.htm" TargetMode="External"/><Relationship Id="rId120" Type="http://schemas.openxmlformats.org/officeDocument/2006/relationships/hyperlink" Target="http://www.sec.gov/Archives/edgar/data/0001092699/000156459018017749/spsc-ex101_193.htm" TargetMode="External"/><Relationship Id="rId121" Type="http://schemas.openxmlformats.org/officeDocument/2006/relationships/hyperlink" Target="http://www.sec.gov/Archives/edgar/data/1092699/000095012310001751/c54716a1exv10w18.htm" TargetMode="External"/><Relationship Id="rId124" Type="http://schemas.openxmlformats.org/officeDocument/2006/relationships/hyperlink" Target="http://www.sec.gov/Archives/edgar/data/1092699/000095012310001751/c54716a1exv10w19.htm" TargetMode="External"/><Relationship Id="rId125" Type="http://schemas.openxmlformats.org/officeDocument/2006/relationships/hyperlink" Target="http://www.sec.gov/Archives/edgar/data/1092699/000095012310021606/c54716a3exv10w20.htm" TargetMode="External"/><Relationship Id="rId126" Type="http://schemas.openxmlformats.org/officeDocument/2006/relationships/hyperlink" Target="http://www.sec.gov/Archives/edgar/data/1092699/000119312516449360/d113029dex101.htm" TargetMode="External"/><Relationship Id="rId127" Type="http://schemas.openxmlformats.org/officeDocument/2006/relationships/hyperlink" Target="http://www.sec.gov/Archives/edgar/data/1092699/000119312512067639/d303784dex101.htm" TargetMode="External"/><Relationship Id="rId128" Type="http://schemas.openxmlformats.org/officeDocument/2006/relationships/hyperlink" Target="http://www.sec.gov/Archives/edgar/data/1092699/000119312516449360/d113029dex102.htm" TargetMode="External"/><Relationship Id="rId129" Type="http://schemas.openxmlformats.org/officeDocument/2006/relationships/hyperlink" Target="http://www.sec.gov/Archives/edgar/data/1092699/000119312517347093/d493658dex101.htm" TargetMode="External"/><Relationship Id="rId130" Type="http://schemas.openxmlformats.org/officeDocument/2006/relationships/hyperlink" Target="http://www.sec.gov/Archives/edgar/data/0001092699/000156459019003903/spsc-10k_2018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2020-02-25T17:36:20Z</dcterms:created>
  <dcterms:modified xsi:type="dcterms:W3CDTF">2020-02-25T17:36:20Z</dcterms:modified>
</cp:coreProperties>
</file>