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354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88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880" w:type="dxa"/>
            <w:vAlign w:val="bottom"/>
            <w:tcBorders>
              <w:bottom w:val="single" w:sz="8" w:color="auto"/>
            </w:tcBorders>
          </w:tcPr>
          <w:p>
            <w:pPr>
              <w:spacing w:after="0"/>
              <w:rPr>
                <w:sz w:val="17"/>
                <w:szCs w:val="17"/>
                <w:color w:val="auto"/>
              </w:rPr>
            </w:pPr>
          </w:p>
        </w:tc>
      </w:tr>
      <w:tr>
        <w:trPr>
          <w:trHeight w:val="397"/>
        </w:trPr>
        <w:tc>
          <w:tcPr>
            <w:tcW w:w="4360" w:type="dxa"/>
            <w:vAlign w:val="bottom"/>
            <w:gridSpan w:val="4"/>
          </w:tcPr>
          <w:p>
            <w:pPr>
              <w:ind w:left="840"/>
              <w:spacing w:after="0"/>
              <w:rPr>
                <w:sz w:val="20"/>
                <w:szCs w:val="20"/>
                <w:color w:val="auto"/>
              </w:rPr>
            </w:pPr>
            <w:r>
              <w:rPr>
                <w:rFonts w:ascii="Arial" w:cs="Arial" w:eastAsia="Arial" w:hAnsi="Arial"/>
                <w:sz w:val="18"/>
                <w:szCs w:val="18"/>
                <w:b w:val="1"/>
                <w:bCs w:val="1"/>
                <w:color w:val="auto"/>
              </w:rPr>
              <w:t>Commission file number 001-34702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SPS COMMERCE,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41-2015127</w:t>
      </w:r>
    </w:p>
    <w:p>
      <w:pPr>
        <w:spacing w:after="0" w:line="44"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ind w:left="202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8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400" w:space="720"/>
            <w:col w:w="33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333 South Seventh Street, Suite 1000, Minneapolis, MN 55402</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44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4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8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6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686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320" w:type="dxa"/>
            <w:vAlign w:val="bottom"/>
          </w:tcPr>
          <w:p>
            <w:pPr>
              <w:ind w:left="6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70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32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bl>
    <w:p>
      <w:pPr>
        <w:spacing w:after="0" w:line="136"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par value $0.001 per share, outstanding at July 24, 2013 was 15,143,247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gridSpan w:val="8"/>
          </w:tcPr>
          <w:p>
            <w:pPr>
              <w:jc w:val="center"/>
              <w:ind w:right="1940"/>
              <w:spacing w:after="0"/>
              <w:rPr>
                <w:sz w:val="20"/>
                <w:szCs w:val="20"/>
                <w:color w:val="auto"/>
              </w:rPr>
            </w:pPr>
            <w:r>
              <w:rPr>
                <w:rFonts w:ascii="Arial" w:cs="Arial" w:eastAsia="Arial" w:hAnsi="Arial"/>
                <w:sz w:val="18"/>
                <w:szCs w:val="18"/>
                <w:b w:val="1"/>
                <w:bCs w:val="1"/>
                <w:color w:val="auto"/>
                <w:w w:val="96"/>
              </w:rPr>
              <w:t>SPS COMMERCE, INC.</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gridSpan w:val="8"/>
          </w:tcPr>
          <w:p>
            <w:pPr>
              <w:jc w:val="center"/>
              <w:ind w:right="1960"/>
              <w:spacing w:after="0"/>
              <w:rPr>
                <w:sz w:val="20"/>
                <w:szCs w:val="20"/>
                <w:color w:val="auto"/>
              </w:rPr>
            </w:pPr>
            <w:r>
              <w:rPr>
                <w:rFonts w:ascii="Arial" w:cs="Arial" w:eastAsia="Arial" w:hAnsi="Arial"/>
                <w:sz w:val="18"/>
                <w:szCs w:val="18"/>
                <w:b w:val="1"/>
                <w:bCs w:val="1"/>
                <w:color w:val="auto"/>
                <w:w w:val="97"/>
              </w:rPr>
              <w:t>QUARTERLY REPORT ON FORM 10-Q</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80" w:type="dxa"/>
            <w:vAlign w:val="bottom"/>
            <w:gridSpan w:val="6"/>
          </w:tcPr>
          <w:p>
            <w:pPr>
              <w:jc w:val="center"/>
              <w:ind w:right="3920"/>
              <w:spacing w:after="0"/>
              <w:rPr>
                <w:sz w:val="20"/>
                <w:szCs w:val="20"/>
                <w:color w:val="auto"/>
              </w:rPr>
            </w:pPr>
            <w:r>
              <w:rPr>
                <w:rFonts w:ascii="Arial" w:cs="Arial" w:eastAsia="Arial" w:hAnsi="Arial"/>
                <w:sz w:val="18"/>
                <w:szCs w:val="18"/>
                <w:b w:val="1"/>
                <w:bCs w:val="1"/>
                <w:color w:val="auto"/>
              </w:rPr>
              <w:t>INDEX</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3000" w:type="dxa"/>
            <w:vAlign w:val="bottom"/>
            <w:gridSpan w:val="12"/>
            <w:vMerge w:val="restart"/>
          </w:tcPr>
          <w:p>
            <w:pPr>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7220" w:type="dxa"/>
            <w:vAlign w:val="bottom"/>
            <w:gridSpan w:val="9"/>
            <w:vMerge w:val="restart"/>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8"/>
        </w:trPr>
        <w:tc>
          <w:tcPr>
            <w:tcW w:w="3000" w:type="dxa"/>
            <w:vAlign w:val="bottom"/>
            <w:tcBorders>
              <w:bottom w:val="single" w:sz="8" w:color="0000EE"/>
            </w:tcBorders>
            <w:gridSpan w:val="12"/>
            <w:vMerge w:val="continue"/>
          </w:tcPr>
          <w:p>
            <w:pPr>
              <w:spacing w:after="0"/>
              <w:rPr>
                <w:sz w:val="14"/>
                <w:szCs w:val="14"/>
                <w:color w:val="auto"/>
              </w:rPr>
            </w:pPr>
          </w:p>
        </w:tc>
        <w:tc>
          <w:tcPr>
            <w:tcW w:w="7220" w:type="dxa"/>
            <w:vAlign w:val="bottom"/>
            <w:gridSpan w:val="9"/>
            <w:vMerge w:val="continue"/>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48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Financial Statements</w:t>
              </w:r>
            </w:hyperlink>
          </w:p>
        </w:tc>
        <w:tc>
          <w:tcPr>
            <w:tcW w:w="7860" w:type="dxa"/>
            <w:vAlign w:val="bottom"/>
            <w:gridSpan w:val="14"/>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34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2013 (unaudited)</w:t>
              </w:r>
            </w:hyperlink>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and December 31, 2012</w:t>
              </w:r>
            </w:hyperlink>
          </w:p>
        </w:tc>
        <w:tc>
          <w:tcPr>
            <w:tcW w:w="4220" w:type="dxa"/>
            <w:vAlign w:val="bottom"/>
            <w:gridSpan w:val="4"/>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20" w:type="dxa"/>
            <w:vAlign w:val="bottom"/>
            <w:tcBorders>
              <w:bottom w:val="single" w:sz="8" w:color="0000EE"/>
            </w:tcBorders>
            <w:gridSpan w:val="18"/>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Operations for the three and six months ended June 30, 2013 and 2012 (unaudited)</w:t>
              </w:r>
            </w:hyperlink>
          </w:p>
        </w:tc>
        <w:tc>
          <w:tcPr>
            <w:tcW w:w="7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98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for the six months ended June 30, 2013 and 2012 (unaudited)</w:t>
              </w:r>
            </w:hyperlink>
          </w:p>
        </w:tc>
        <w:tc>
          <w:tcPr>
            <w:tcW w:w="1360" w:type="dxa"/>
            <w:vAlign w:val="bottom"/>
            <w:gridSpan w:val="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6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Notes to Condensed Consolidated Financial Statements (unaudited)</w:t>
              </w:r>
            </w:hyperlink>
          </w:p>
        </w:tc>
        <w:tc>
          <w:tcPr>
            <w:tcW w:w="458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40" w:type="dxa"/>
            <w:vAlign w:val="bottom"/>
            <w:gridSpan w:val="1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Management’s Discussion and Analysis of Financial Condition and Results of Operations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24"/>
                <w:szCs w:val="24"/>
                <w:color w:val="auto"/>
              </w:rPr>
            </w:pPr>
          </w:p>
        </w:tc>
        <w:tc>
          <w:tcPr>
            <w:tcW w:w="304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9">
              <w:r>
                <w:rPr>
                  <w:rFonts w:ascii="Arial" w:cs="Arial" w:eastAsia="Arial" w:hAnsi="Arial"/>
                  <w:sz w:val="18"/>
                  <w:szCs w:val="18"/>
                  <w:color w:val="0000EE"/>
                  <w:w w:val="87"/>
                </w:rPr>
                <w:t>Controls and Procedures</w:t>
              </w:r>
            </w:hyperlink>
          </w:p>
        </w:tc>
        <w:tc>
          <w:tcPr>
            <w:tcW w:w="7580" w:type="dxa"/>
            <w:vAlign w:val="bottom"/>
            <w:gridSpan w:val="11"/>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0220" w:type="dxa"/>
            <w:vAlign w:val="bottom"/>
            <w:gridSpan w:val="21"/>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PART II. OTHER INFORMATION</w:t>
              </w:r>
            </w:hyperlink>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w:t>
            </w:r>
          </w:p>
        </w:tc>
        <w:tc>
          <w:tcPr>
            <w:tcW w:w="1820" w:type="dxa"/>
            <w:vAlign w:val="bottom"/>
            <w:tcBorders>
              <w:top w:val="single" w:sz="8" w:color="0000EE"/>
            </w:tcBorders>
            <w:gridSpan w:val="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Legal Proceedings</w:t>
              </w:r>
            </w:hyperlink>
          </w:p>
        </w:tc>
        <w:tc>
          <w:tcPr>
            <w:tcW w:w="7520" w:type="dxa"/>
            <w:vAlign w:val="bottom"/>
            <w:gridSpan w:val="10"/>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8040" w:type="dxa"/>
            <w:vAlign w:val="bottom"/>
            <w:gridSpan w:val="1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10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4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Unregistered Sales of Equity Securities and Use of Proceeds</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20">
              <w:r>
                <w:rPr>
                  <w:rFonts w:ascii="Arial" w:cs="Arial" w:eastAsia="Arial" w:hAnsi="Arial"/>
                  <w:sz w:val="18"/>
                  <w:szCs w:val="18"/>
                  <w:color w:val="0000EE"/>
                  <w:w w:val="88"/>
                </w:rPr>
                <w:t>Defaults Upon Senior Securities</w:t>
              </w:r>
            </w:hyperlink>
          </w:p>
        </w:tc>
        <w:tc>
          <w:tcPr>
            <w:tcW w:w="1960" w:type="dxa"/>
            <w:vAlign w:val="bottom"/>
            <w:tcBorders>
              <w:top w:val="single" w:sz="8" w:color="0000EE"/>
            </w:tcBorders>
          </w:tcPr>
          <w:p>
            <w:pPr>
              <w:spacing w:after="0"/>
              <w:rPr>
                <w:sz w:val="24"/>
                <w:szCs w:val="24"/>
                <w:color w:val="auto"/>
              </w:rPr>
            </w:pPr>
          </w:p>
        </w:tc>
        <w:tc>
          <w:tcPr>
            <w:tcW w:w="5100" w:type="dxa"/>
            <w:vAlign w:val="bottom"/>
            <w:gridSpan w:val="7"/>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Mine Safety Disclosures</w:t>
              </w:r>
            </w:hyperlink>
          </w:p>
        </w:tc>
        <w:tc>
          <w:tcPr>
            <w:tcW w:w="7600" w:type="dxa"/>
            <w:vAlign w:val="bottom"/>
            <w:gridSpan w:val="12"/>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340" w:type="dxa"/>
            <w:vAlign w:val="bottom"/>
            <w:gridSpan w:val="1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Other Information</w:t>
              </w:r>
            </w:hyperlink>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3"/>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Exhibits</w:t>
              </w:r>
            </w:hyperlink>
          </w:p>
        </w:tc>
        <w:tc>
          <w:tcPr>
            <w:tcW w:w="8060" w:type="dxa"/>
            <w:vAlign w:val="bottom"/>
            <w:gridSpan w:val="16"/>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880" w:type="dxa"/>
            <w:vAlign w:val="bottom"/>
            <w:gridSpan w:val="2"/>
          </w:tcPr>
          <w:p>
            <w:pPr>
              <w:spacing w:after="0" w:line="196" w:lineRule="exact"/>
              <w:rPr>
                <w:rFonts w:ascii="Arial" w:cs="Arial" w:eastAsia="Arial" w:hAnsi="Arial"/>
                <w:sz w:val="18"/>
                <w:szCs w:val="18"/>
                <w:b w:val="1"/>
                <w:bCs w:val="1"/>
                <w:color w:val="0000EE"/>
                <w:w w:val="92"/>
              </w:rPr>
            </w:pPr>
            <w:hyperlink w:anchor="page21">
              <w:r>
                <w:rPr>
                  <w:rFonts w:ascii="Arial" w:cs="Arial" w:eastAsia="Arial" w:hAnsi="Arial"/>
                  <w:sz w:val="18"/>
                  <w:szCs w:val="18"/>
                  <w:b w:val="1"/>
                  <w:bCs w:val="1"/>
                  <w:color w:val="0000EE"/>
                  <w:w w:val="92"/>
                </w:rPr>
                <w:t>Signatures</w:t>
              </w:r>
            </w:hyperlink>
          </w:p>
        </w:tc>
        <w:tc>
          <w:tcPr>
            <w:tcW w:w="60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INFORMATION</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This Quarterly Report on Form 10-Q contains forward-looking statements regarding us, our business prospects and our results of operations that are subject to certain risks and uncertainties posed by many factors and events that could cause our actual business, prospects and results of operations to differ materially from those that may be anticipated by such forward-looking statements. Factors that could cause or contribute to such differences include, but are not limited to, those described under the heading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included in our Annual Report on Form 10-K for the year ended December 31, 2012 as filed with the Securities and Exchange Commission. Readers are cautioned not to place undue reliance on these forward-looking statements, which speak only as of the date of this report.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Commission that advise interested parties of the risks and factors that may affect our business.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5"/>
              </w:rPr>
              <w:t>June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9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9400" w:type="dxa"/>
            <w:vAlign w:val="bottom"/>
            <w:shd w:val="clear" w:color="auto" w:fill="CCEEFF"/>
          </w:tcPr>
          <w:p>
            <w:pPr>
              <w:ind w:left="4200"/>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66,050</w:t>
            </w: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Accounts receivable, less allowance for doubtful accounts of $239 and $227, respectively</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11,707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10,940</w:t>
            </w: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costs, current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7,346</w:t>
            </w: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Deferred income taxes, current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1,732</w:t>
            </w: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100" w:type="dxa"/>
            <w:vAlign w:val="bottom"/>
            <w:shd w:val="clear" w:color="auto" w:fill="CCEEFF"/>
          </w:tcPr>
          <w:p>
            <w:pPr>
              <w:spacing w:after="0"/>
              <w:rPr>
                <w:sz w:val="18"/>
                <w:szCs w:val="18"/>
                <w:color w:val="auto"/>
              </w:rPr>
            </w:pPr>
          </w:p>
        </w:tc>
      </w:tr>
      <w:tr>
        <w:trPr>
          <w:trHeight w:val="221"/>
        </w:trPr>
        <w:tc>
          <w:tcPr>
            <w:tcW w:w="9400" w:type="dxa"/>
            <w:vAlign w:val="bottom"/>
          </w:tcPr>
          <w:p>
            <w:pPr>
              <w:ind w:left="880"/>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99,827</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91,511</w:t>
            </w:r>
          </w:p>
        </w:tc>
      </w:tr>
      <w:tr>
        <w:trPr>
          <w:trHeight w:val="218"/>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7,670</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25,487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25,487</w:t>
            </w:r>
          </w:p>
        </w:tc>
      </w:tr>
      <w:tr>
        <w:trPr>
          <w:trHeight w:val="216"/>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20,240</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costs, net of current portion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3,202</w:t>
            </w: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Deferred income taxes, net of current portion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10,822</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10,853</w:t>
            </w: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non-current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r>
      <w:tr>
        <w:trPr>
          <w:trHeight w:val="222"/>
        </w:trPr>
        <w:tc>
          <w:tcPr>
            <w:tcW w:w="94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167,988</w:t>
            </w:r>
          </w:p>
        </w:tc>
        <w:tc>
          <w:tcPr>
            <w:tcW w:w="4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159,201</w:t>
            </w:r>
          </w:p>
        </w:tc>
      </w:tr>
      <w:tr>
        <w:trPr>
          <w:trHeight w:val="20"/>
        </w:trPr>
        <w:tc>
          <w:tcPr>
            <w:tcW w:w="9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9400" w:type="dxa"/>
            <w:vAlign w:val="bottom"/>
            <w:shd w:val="clear" w:color="auto" w:fill="CCEEFF"/>
          </w:tcPr>
          <w:p>
            <w:pPr>
              <w:ind w:left="262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1,857</w:t>
            </w: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6,511</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6,038</w:t>
            </w: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w:t>
            </w:r>
          </w:p>
        </w:tc>
      </w:tr>
      <w:tr>
        <w:trPr>
          <w:trHeight w:val="223"/>
        </w:trPr>
        <w:tc>
          <w:tcPr>
            <w:tcW w:w="9400" w:type="dxa"/>
            <w:vAlign w:val="bottom"/>
          </w:tcPr>
          <w:p>
            <w:pPr>
              <w:ind w:left="440"/>
              <w:spacing w:after="0"/>
              <w:rPr>
                <w:sz w:val="20"/>
                <w:szCs w:val="20"/>
                <w:color w:val="auto"/>
              </w:rPr>
            </w:pPr>
            <w:r>
              <w:rPr>
                <w:rFonts w:ascii="Arial" w:cs="Arial" w:eastAsia="Arial" w:hAnsi="Arial"/>
                <w:sz w:val="18"/>
                <w:szCs w:val="18"/>
                <w:color w:val="auto"/>
              </w:rPr>
              <w:t>Deferred revenue, current</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100" w:type="dxa"/>
            <w:vAlign w:val="bottom"/>
          </w:tcPr>
          <w:p>
            <w:pPr>
              <w:spacing w:after="0"/>
              <w:rPr>
                <w:sz w:val="19"/>
                <w:szCs w:val="19"/>
                <w:color w:val="auto"/>
              </w:rPr>
            </w:pPr>
          </w:p>
        </w:tc>
      </w:tr>
      <w:tr>
        <w:trPr>
          <w:trHeight w:val="216"/>
        </w:trPr>
        <w:tc>
          <w:tcPr>
            <w:tcW w:w="9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14,471</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 less current portion</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8,312</w:t>
            </w:r>
          </w:p>
        </w:tc>
      </w:tr>
      <w:tr>
        <w:trPr>
          <w:trHeight w:val="223"/>
        </w:trPr>
        <w:tc>
          <w:tcPr>
            <w:tcW w:w="9400" w:type="dxa"/>
            <w:vAlign w:val="bottom"/>
          </w:tcPr>
          <w:p>
            <w:pPr>
              <w:ind w:left="440"/>
              <w:spacing w:after="0"/>
              <w:rPr>
                <w:sz w:val="20"/>
                <w:szCs w:val="20"/>
                <w:color w:val="auto"/>
              </w:rPr>
            </w:pPr>
            <w:r>
              <w:rPr>
                <w:rFonts w:ascii="Arial" w:cs="Arial" w:eastAsia="Arial" w:hAnsi="Arial"/>
                <w:sz w:val="18"/>
                <w:szCs w:val="18"/>
                <w:color w:val="auto"/>
              </w:rPr>
              <w:t>Deferred rent</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19"/>
                <w:szCs w:val="19"/>
                <w:color w:val="auto"/>
              </w:rPr>
            </w:pPr>
          </w:p>
        </w:tc>
      </w:tr>
      <w:tr>
        <w:trPr>
          <w:trHeight w:val="216"/>
        </w:trPr>
        <w:tc>
          <w:tcPr>
            <w:tcW w:w="9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28,460</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24,384</w:t>
            </w:r>
          </w:p>
        </w:tc>
      </w:tr>
      <w:tr>
        <w:trPr>
          <w:trHeight w:val="221"/>
        </w:trPr>
        <w:tc>
          <w:tcPr>
            <w:tcW w:w="94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Preferred stock, $0.001 par value; 5,000,000 shares authorized; 0 shares issued and outstanding</w:t>
            </w:r>
          </w:p>
        </w:tc>
        <w:tc>
          <w:tcPr>
            <w:tcW w:w="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Common stock, $0.001 par value; 55,000,000 shares authorized; 15,141,076 and 14,812,759 shares issued and</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outstanding, respectively</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940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186,869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182,645</w:t>
            </w:r>
          </w:p>
        </w:tc>
      </w:tr>
      <w:tr>
        <w:trPr>
          <w:trHeight w:val="216"/>
        </w:trPr>
        <w:tc>
          <w:tcPr>
            <w:tcW w:w="9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(47,356)</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(47,843)</w:t>
            </w:r>
          </w:p>
        </w:tc>
      </w:tr>
      <w:tr>
        <w:trPr>
          <w:trHeight w:val="230"/>
        </w:trPr>
        <w:tc>
          <w:tcPr>
            <w:tcW w:w="9400" w:type="dxa"/>
            <w:vAlign w:val="bottom"/>
          </w:tcPr>
          <w:p>
            <w:pPr>
              <w:ind w:left="88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139,528</w:t>
            </w:r>
          </w:p>
        </w:tc>
        <w:tc>
          <w:tcPr>
            <w:tcW w:w="4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134,817</w:t>
            </w:r>
          </w:p>
        </w:tc>
        <w:tc>
          <w:tcPr>
            <w:tcW w:w="100" w:type="dxa"/>
            <w:vAlign w:val="bottom"/>
          </w:tcPr>
          <w:p>
            <w:pPr>
              <w:spacing w:after="0"/>
              <w:rPr>
                <w:sz w:val="20"/>
                <w:szCs w:val="20"/>
                <w:color w:val="auto"/>
              </w:rPr>
            </w:pPr>
          </w:p>
        </w:tc>
      </w:tr>
      <w:tr>
        <w:trPr>
          <w:trHeight w:val="216"/>
        </w:trPr>
        <w:tc>
          <w:tcPr>
            <w:tcW w:w="9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167,988</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159,201</w:t>
            </w:r>
          </w:p>
        </w:tc>
      </w:tr>
      <w:tr>
        <w:trPr>
          <w:trHeight w:val="20"/>
        </w:trPr>
        <w:tc>
          <w:tcPr>
            <w:tcW w:w="9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 except per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0"/>
              </w:rPr>
              <w:t>Three Months Ended</w:t>
            </w:r>
          </w:p>
        </w:tc>
        <w:tc>
          <w:tcPr>
            <w:tcW w:w="100" w:type="dxa"/>
            <w:vAlign w:val="bottom"/>
          </w:tcPr>
          <w:p>
            <w:pPr>
              <w:spacing w:after="0"/>
              <w:rPr>
                <w:sz w:val="14"/>
                <w:szCs w:val="14"/>
                <w:color w:val="auto"/>
              </w:rPr>
            </w:pPr>
          </w:p>
        </w:tc>
        <w:tc>
          <w:tcPr>
            <w:tcW w:w="15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2012</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25,658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17,821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49,410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34,355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Cost of revenues</w:t>
            </w:r>
          </w:p>
        </w:tc>
        <w:tc>
          <w:tcPr>
            <w:tcW w:w="1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15,009</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17,715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12,978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34,401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25,064</w:t>
            </w:r>
          </w:p>
        </w:tc>
        <w:tc>
          <w:tcPr>
            <w:tcW w:w="0" w:type="dxa"/>
            <w:vAlign w:val="bottom"/>
          </w:tcPr>
          <w:p>
            <w:pPr>
              <w:spacing w:after="0"/>
              <w:rPr>
                <w:sz w:val="1"/>
                <w:szCs w:val="1"/>
                <w:color w:val="auto"/>
              </w:rPr>
            </w:pPr>
          </w:p>
        </w:tc>
      </w:tr>
      <w:tr>
        <w:trPr>
          <w:trHeight w:val="222"/>
        </w:trPr>
        <w:tc>
          <w:tcPr>
            <w:tcW w:w="65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18,872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2,657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5,160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17,232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12,227</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33,724</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56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677</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ind w:left="860"/>
              <w:spacing w:after="0"/>
              <w:rPr>
                <w:sz w:val="20"/>
                <w:szCs w:val="20"/>
                <w:color w:val="auto"/>
              </w:rPr>
            </w:pPr>
            <w:r>
              <w:rPr>
                <w:rFonts w:ascii="Arial" w:cs="Arial" w:eastAsia="Arial" w:hAnsi="Arial"/>
                <w:sz w:val="18"/>
                <w:szCs w:val="18"/>
                <w:color w:val="auto"/>
              </w:rPr>
              <w:t>Total other expense, net</w:t>
            </w: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540" w:type="dxa"/>
            <w:vAlign w:val="bottom"/>
            <w:vMerge w:val="continue"/>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Income tax expense</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6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Diluted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0.03</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used to compute net income per share</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420"/>
              <w:spacing w:after="0"/>
              <w:rPr>
                <w:sz w:val="20"/>
                <w:szCs w:val="20"/>
                <w:color w:val="auto"/>
              </w:rPr>
            </w:pPr>
            <w:r>
              <w:rPr>
                <w:rFonts w:ascii="Arial" w:cs="Arial" w:eastAsia="Arial" w:hAnsi="Arial"/>
                <w:sz w:val="18"/>
                <w:szCs w:val="18"/>
                <w:color w:val="auto"/>
              </w:rPr>
              <w:t>Basic</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15,076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12,284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14,983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15,785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13,026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15,677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13,106</w:t>
            </w: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487</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 and amortization of property and equipment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2,035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128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(951)</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Deferred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(1,265)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2,512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128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128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4,571</w:t>
            </w: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(1,737)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8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(1,737)</w:t>
            </w:r>
          </w:p>
        </w:tc>
        <w:tc>
          <w:tcPr>
            <w:tcW w:w="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Net proceeds from exercise of options to purchase common stock</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exercise of options to purchase common stock</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Net proceeds from employee stock purchase plan</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2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9,084</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66,050</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31,985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75,134</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35,501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SPS COMMERCE,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General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Description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are a leading provider of on-demand supply chain management solutions, providing prewired, proven integrations and comprehensive retail performance analytics to thousands of customers worldwide. We provide our solutions through the SPS Commerce platform, a cloud-based software suite that improves the way suppliers, retailers, distributors and other customers manage and fulfill orders. We deliver our solutions to our customers over the Internet using a Software-as-a-Service model and derive the majority of our revenues from thousands of monthly recurring subscriptions from businesses that utilize our solutions.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accounting principles generally accepted in the United States of America (“GAAP”) for interim financial information and with the instructions to Form 10-Q and Rule 10-01 of Regulation S-X. Accordingly, these condensed consolidated financial statements do not include all of the information and notes required by GAAP. We have included all normal recurring adjustments considered necessary to give a fair statement of our financial position, results of operations and cash flows for the interim periods shown. Operating results for these interim periods are not necessarily indicative of the results to be expected for the full year. The December 31, 2012 balance sheet data was derived from our audited financial statements at that date. For further information, refer to the consolidated financial statements and accompanying notes for the year ended December 31, 2012 included in our Annual Report on Form 10-K as filed with the Securities and Exchange Commission on March 6, 2013.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six months ended June 30, 2013, there were no material changes in our significant accounting policies. See Note A to the consolidated financial statements included in our Annual Report on Form 10-K for the year ended December 31, 2012, as filed with the Securities and Exchange Commission on March 6, 2013, for additional information regarding our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have evaluated all recent accounting pronouncements and believe that none of them will have a material effect on our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Intangible Assets,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included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color w:val="auto"/>
              </w:rPr>
              <w:t>June 30, 2013</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color w:val="auto"/>
                <w:w w:val="91"/>
              </w:rPr>
              <w:t>December 31, 2012</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1"/>
        </w:trPr>
        <w:tc>
          <w:tcPr>
            <w:tcW w:w="6060" w:type="dxa"/>
            <w:vAlign w:val="bottom"/>
          </w:tcPr>
          <w:p>
            <w:pPr>
              <w:spacing w:after="0"/>
              <w:rPr>
                <w:sz w:val="11"/>
                <w:szCs w:val="11"/>
                <w:color w:val="auto"/>
              </w:rPr>
            </w:pPr>
          </w:p>
        </w:tc>
        <w:tc>
          <w:tcPr>
            <w:tcW w:w="720" w:type="dxa"/>
            <w:vAlign w:val="bottom"/>
            <w:gridSpan w:val="2"/>
          </w:tcPr>
          <w:p>
            <w:pPr>
              <w:ind w:left="40"/>
              <w:spacing w:after="0" w:line="131" w:lineRule="exact"/>
              <w:rPr>
                <w:sz w:val="20"/>
                <w:szCs w:val="20"/>
                <w:color w:val="auto"/>
              </w:rPr>
            </w:pPr>
            <w:r>
              <w:rPr>
                <w:rFonts w:ascii="Arial" w:cs="Arial" w:eastAsia="Arial" w:hAnsi="Arial"/>
                <w:sz w:val="14"/>
                <w:szCs w:val="14"/>
                <w:color w:val="auto"/>
              </w:rPr>
              <w:t>Carrying</w:t>
            </w:r>
          </w:p>
        </w:tc>
        <w:tc>
          <w:tcPr>
            <w:tcW w:w="160" w:type="dxa"/>
            <w:vAlign w:val="bottom"/>
          </w:tcPr>
          <w:p>
            <w:pPr>
              <w:spacing w:after="0"/>
              <w:rPr>
                <w:sz w:val="11"/>
                <w:szCs w:val="11"/>
                <w:color w:val="auto"/>
              </w:rPr>
            </w:pPr>
          </w:p>
        </w:tc>
        <w:tc>
          <w:tcPr>
            <w:tcW w:w="900" w:type="dxa"/>
            <w:vAlign w:val="bottom"/>
            <w:gridSpan w:val="3"/>
          </w:tcPr>
          <w:p>
            <w:pPr>
              <w:spacing w:after="0" w:line="131" w:lineRule="exact"/>
              <w:rPr>
                <w:sz w:val="20"/>
                <w:szCs w:val="20"/>
                <w:color w:val="auto"/>
              </w:rPr>
            </w:pPr>
            <w:r>
              <w:rPr>
                <w:rFonts w:ascii="Arial" w:cs="Arial" w:eastAsia="Arial" w:hAnsi="Arial"/>
                <w:sz w:val="14"/>
                <w:szCs w:val="14"/>
                <w:color w:val="auto"/>
              </w:rPr>
              <w:t>Accumulated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tcPr>
          <w:p>
            <w:pPr>
              <w:jc w:val="right"/>
              <w:ind w:right="100"/>
              <w:spacing w:after="0" w:line="131" w:lineRule="exact"/>
              <w:rPr>
                <w:sz w:val="20"/>
                <w:szCs w:val="20"/>
                <w:color w:val="auto"/>
              </w:rPr>
            </w:pPr>
            <w:r>
              <w:rPr>
                <w:rFonts w:ascii="Arial" w:cs="Arial" w:eastAsia="Arial" w:hAnsi="Arial"/>
                <w:sz w:val="14"/>
                <w:szCs w:val="14"/>
                <w:color w:val="auto"/>
                <w:w w:val="98"/>
              </w:rPr>
              <w:t>Carrying</w:t>
            </w:r>
          </w:p>
        </w:tc>
        <w:tc>
          <w:tcPr>
            <w:tcW w:w="240" w:type="dxa"/>
            <w:vAlign w:val="bottom"/>
          </w:tcPr>
          <w:p>
            <w:pPr>
              <w:spacing w:after="0"/>
              <w:rPr>
                <w:sz w:val="11"/>
                <w:szCs w:val="11"/>
                <w:color w:val="auto"/>
              </w:rPr>
            </w:pPr>
          </w:p>
        </w:tc>
        <w:tc>
          <w:tcPr>
            <w:tcW w:w="960" w:type="dxa"/>
            <w:vAlign w:val="bottom"/>
            <w:gridSpan w:val="3"/>
          </w:tcPr>
          <w:p>
            <w:pPr>
              <w:spacing w:after="0" w:line="131" w:lineRule="exact"/>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9"/>
        </w:trPr>
        <w:tc>
          <w:tcPr>
            <w:tcW w:w="6060" w:type="dxa"/>
            <w:vAlign w:val="bottom"/>
          </w:tcPr>
          <w:p>
            <w:pPr>
              <w:spacing w:after="0"/>
              <w:rPr>
                <w:sz w:val="13"/>
                <w:szCs w:val="13"/>
                <w:color w:val="auto"/>
              </w:rPr>
            </w:pPr>
          </w:p>
        </w:tc>
        <w:tc>
          <w:tcPr>
            <w:tcW w:w="72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3"/>
                <w:szCs w:val="13"/>
                <w:color w:val="auto"/>
              </w:rPr>
            </w:pPr>
          </w:p>
        </w:tc>
        <w:tc>
          <w:tcPr>
            <w:tcW w:w="900" w:type="dxa"/>
            <w:vAlign w:val="bottom"/>
            <w:gridSpan w:val="3"/>
          </w:tcPr>
          <w:p>
            <w:pPr>
              <w:spacing w:after="0" w:line="159" w:lineRule="exact"/>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3"/>
                <w:szCs w:val="13"/>
                <w:color w:val="auto"/>
              </w:rPr>
            </w:pPr>
          </w:p>
        </w:tc>
        <w:tc>
          <w:tcPr>
            <w:tcW w:w="74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Net</w:t>
            </w:r>
          </w:p>
        </w:tc>
        <w:tc>
          <w:tcPr>
            <w:tcW w:w="140" w:type="dxa"/>
            <w:vAlign w:val="bottom"/>
          </w:tcPr>
          <w:p>
            <w:pPr>
              <w:spacing w:after="0"/>
              <w:rPr>
                <w:sz w:val="13"/>
                <w:szCs w:val="13"/>
                <w:color w:val="auto"/>
              </w:rPr>
            </w:pPr>
          </w:p>
        </w:tc>
        <w:tc>
          <w:tcPr>
            <w:tcW w:w="64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3"/>
                <w:szCs w:val="13"/>
                <w:color w:val="auto"/>
              </w:rPr>
            </w:pPr>
          </w:p>
        </w:tc>
        <w:tc>
          <w:tcPr>
            <w:tcW w:w="960" w:type="dxa"/>
            <w:vAlign w:val="bottom"/>
            <w:gridSpan w:val="3"/>
          </w:tcPr>
          <w:p>
            <w:pPr>
              <w:spacing w:after="0" w:line="159" w:lineRule="exact"/>
              <w:rPr>
                <w:sz w:val="20"/>
                <w:szCs w:val="20"/>
                <w:color w:val="auto"/>
              </w:rPr>
            </w:pPr>
            <w:r>
              <w:rPr>
                <w:rFonts w:ascii="Arial" w:cs="Arial" w:eastAsia="Arial" w:hAnsi="Arial"/>
                <w:sz w:val="14"/>
                <w:szCs w:val="14"/>
                <w:color w:val="auto"/>
              </w:rPr>
              <w:t>Amortization</w:t>
            </w:r>
          </w:p>
        </w:tc>
        <w:tc>
          <w:tcPr>
            <w:tcW w:w="60" w:type="dxa"/>
            <w:vAlign w:val="bottom"/>
          </w:tcPr>
          <w:p>
            <w:pPr>
              <w:spacing w:after="0"/>
              <w:rPr>
                <w:sz w:val="13"/>
                <w:szCs w:val="13"/>
                <w:color w:val="auto"/>
              </w:rPr>
            </w:pPr>
          </w:p>
        </w:tc>
        <w:tc>
          <w:tcPr>
            <w:tcW w:w="68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Net</w:t>
            </w:r>
          </w:p>
        </w:tc>
      </w:tr>
      <w:tr>
        <w:trPr>
          <w:trHeight w:val="210"/>
        </w:trPr>
        <w:tc>
          <w:tcPr>
            <w:tcW w:w="6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Subscriber relationships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$23,160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(5,113)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$18,047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$23,160</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(3,850)</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$19,310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580" w:type="dxa"/>
            <w:vAlign w:val="bottom"/>
          </w:tcPr>
          <w:p>
            <w:pPr>
              <w:jc w:val="right"/>
              <w:spacing w:after="0"/>
              <w:rPr>
                <w:sz w:val="20"/>
                <w:szCs w:val="20"/>
                <w:color w:val="auto"/>
              </w:rPr>
            </w:pPr>
            <w:r>
              <w:rPr>
                <w:rFonts w:ascii="Arial" w:cs="Arial" w:eastAsia="Arial" w:hAnsi="Arial"/>
                <w:sz w:val="18"/>
                <w:szCs w:val="18"/>
                <w:color w:val="auto"/>
              </w:rPr>
              <w:t>1,710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(951)</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759</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1,710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(780)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8"/>
                <w:szCs w:val="18"/>
                <w:color w:val="auto"/>
              </w:rPr>
            </w:pPr>
          </w:p>
        </w:tc>
      </w:tr>
      <w:tr>
        <w:trPr>
          <w:trHeight w:val="27"/>
        </w:trPr>
        <w:tc>
          <w:tcPr>
            <w:tcW w:w="60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24,870</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(6,064)</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18,806</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24,870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(4,630)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20,240</w:t>
            </w:r>
          </w:p>
        </w:tc>
        <w:tc>
          <w:tcPr>
            <w:tcW w:w="100" w:type="dxa"/>
            <w:vAlign w:val="bottom"/>
            <w:shd w:val="clear" w:color="auto" w:fill="CCEEFF"/>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0" w:firstLine="456"/>
        <w:spacing w:after="0" w:line="268" w:lineRule="auto"/>
        <w:rPr>
          <w:sz w:val="20"/>
          <w:szCs w:val="20"/>
          <w:color w:val="auto"/>
        </w:rPr>
      </w:pPr>
      <w:r>
        <w:rPr>
          <w:rFonts w:ascii="Arial" w:cs="Arial" w:eastAsia="Arial" w:hAnsi="Arial"/>
          <w:sz w:val="18"/>
          <w:szCs w:val="18"/>
          <w:color w:val="auto"/>
        </w:rPr>
        <w:t>Amortization expense for intangible assets was $717,000 and $1.4 million for the three and six months ended June 30, 2013, and $260,000 and $520,000 for the three and six months ended June 30, 2012, respectively.</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7660" w:type="dxa"/>
            <w:vAlign w:val="bottom"/>
            <w:gridSpan w:val="2"/>
          </w:tcPr>
          <w:p>
            <w:pPr>
              <w:spacing w:after="0"/>
              <w:rPr>
                <w:sz w:val="20"/>
                <w:szCs w:val="20"/>
                <w:color w:val="auto"/>
              </w:rPr>
            </w:pPr>
            <w:r>
              <w:rPr>
                <w:rFonts w:ascii="Arial" w:cs="Arial" w:eastAsia="Arial" w:hAnsi="Arial"/>
                <w:sz w:val="18"/>
                <w:szCs w:val="18"/>
                <w:color w:val="auto"/>
                <w:w w:val="98"/>
              </w:rPr>
              <w:t>At June 30, 2013, future amortization expense for intangible assets was as follows (in thousands):</w:t>
            </w: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6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2014</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2016</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Thereafter</w:t>
            </w:r>
          </w:p>
        </w:tc>
        <w:tc>
          <w:tcPr>
            <w:tcW w:w="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table above does not include amounts related to non-competition agreements where the term of the agreement has not yet started. The term of such agreements, and the related amortization, begins with the termination of employment of the respective employee(s).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Line of Credit</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have a revolving credit agreement with JPMorgan Chase Bank, N.A. which provides for a $20 million revolving credit facility that we may draw upon from time to time, subject to certain terms and conditions, and will mature on September 30, 2016.</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 were no borrowings outstanding at June 30, 2013 and we were in compliance with all covenants under the revolving credit agreement as of that date.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Accrued Expenses and Other Current Liabilities</w:t>
      </w:r>
    </w:p>
    <w:p>
      <w:pPr>
        <w:spacing w:after="0" w:line="96"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the second quarter of 2013, we entered into an agreement to purchase software licenses. At June 30, 2013, our future payments under this agreement, which are included in accrued expenses and other current liabilities in our consolidated balance sheets, were approximately $900,000 for the remainder of 2013 and approximately $1.4 million for 2014.</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Stock-Based Compensation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equity compensation plans provide for the grant of incentive and nonqualified stock options, as well as other stock-based awards including restricted stock, to employees, non-employee directors and other consultants who provide services to us. Restricted stock awards result in the issuance of new shares when granted. For other stock-based awards, new shares are issued when the award is exercised or vested. In January 2013, 888,765 additional shares were reserved for future issuance under our 2010 Equity Incentive Plan. At June 30, 2013, there were approximately 1.8 million shares available for grant under approved equity compensation plans.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recorded non-cash stock-based compensation expense of $1.1 million and $2.0 million for the three and six months ended June 30, 2013, and $715,000 and $1.3 million for the three and six months ended June 30, 2012, respectively. This expense was allocated as follows (in thousands):</w:t>
      </w:r>
    </w:p>
    <w:p>
      <w:pPr>
        <w:spacing w:after="0" w:line="1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4"/>
          </w:tcPr>
          <w:p>
            <w:pPr>
              <w:jc w:val="center"/>
              <w:ind w:right="32"/>
              <w:spacing w:after="0"/>
              <w:rPr>
                <w:sz w:val="20"/>
                <w:szCs w:val="20"/>
                <w:color w:val="auto"/>
              </w:rPr>
            </w:pPr>
            <w:r>
              <w:rPr>
                <w:rFonts w:ascii="Arial" w:cs="Arial" w:eastAsia="Arial" w:hAnsi="Arial"/>
                <w:sz w:val="14"/>
                <w:szCs w:val="14"/>
                <w:color w:val="auto"/>
                <w:w w:val="87"/>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ind w:left="80"/>
              <w:spacing w:after="0"/>
              <w:rPr>
                <w:sz w:val="20"/>
                <w:szCs w:val="20"/>
                <w:color w:val="auto"/>
              </w:rPr>
            </w:pPr>
            <w:r>
              <w:rPr>
                <w:rFonts w:ascii="Arial" w:cs="Arial" w:eastAsia="Arial" w:hAnsi="Arial"/>
                <w:sz w:val="14"/>
                <w:szCs w:val="14"/>
                <w:color w:val="auto"/>
              </w:rPr>
              <w:t>Six Months Ended</w:t>
            </w:r>
          </w:p>
        </w:tc>
      </w:tr>
      <w:tr>
        <w:trPr>
          <w:trHeight w:val="159"/>
        </w:trPr>
        <w:tc>
          <w:tcPr>
            <w:tcW w:w="7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left="240"/>
              <w:spacing w:after="0" w:line="159" w:lineRule="exact"/>
              <w:rPr>
                <w:sz w:val="20"/>
                <w:szCs w:val="20"/>
                <w:color w:val="auto"/>
              </w:rPr>
            </w:pPr>
            <w:r>
              <w:rPr>
                <w:rFonts w:ascii="Arial" w:cs="Arial" w:eastAsia="Arial" w:hAnsi="Arial"/>
                <w:sz w:val="14"/>
                <w:szCs w:val="14"/>
                <w:color w:val="auto"/>
                <w:w w:val="85"/>
              </w:rPr>
              <w:t>June 30,</w:t>
            </w:r>
          </w:p>
        </w:tc>
        <w:tc>
          <w:tcPr>
            <w:tcW w:w="1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spacing w:after="0" w:line="159" w:lineRule="exact"/>
              <w:rPr>
                <w:sz w:val="20"/>
                <w:szCs w:val="20"/>
                <w:color w:val="auto"/>
              </w:rPr>
            </w:pPr>
            <w:r>
              <w:rPr>
                <w:rFonts w:ascii="Arial" w:cs="Arial" w:eastAsia="Arial" w:hAnsi="Arial"/>
                <w:sz w:val="14"/>
                <w:szCs w:val="14"/>
                <w:color w:val="auto"/>
              </w:rPr>
              <w:t>June 30,</w:t>
            </w: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7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0"/>
              <w:spacing w:after="0" w:line="142" w:lineRule="exact"/>
              <w:rPr>
                <w:sz w:val="20"/>
                <w:szCs w:val="20"/>
                <w:color w:val="auto"/>
              </w:rPr>
            </w:pPr>
            <w:r>
              <w:rPr>
                <w:rFonts w:ascii="Arial" w:cs="Arial" w:eastAsia="Arial" w:hAnsi="Arial"/>
                <w:sz w:val="14"/>
                <w:szCs w:val="14"/>
                <w:color w:val="auto"/>
                <w:w w:val="89"/>
              </w:rPr>
              <w:t>2013</w:t>
            </w:r>
          </w:p>
        </w:tc>
        <w:tc>
          <w:tcPr>
            <w:tcW w:w="38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2012</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color w:val="auto"/>
                <w:w w:val="83"/>
              </w:rPr>
              <w:t>2013</w:t>
            </w: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w w:val="89"/>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Sales and marketing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18"/>
                <w:szCs w:val="18"/>
                <w:color w:val="auto"/>
              </w:rPr>
            </w:pPr>
          </w:p>
        </w:tc>
      </w:tr>
      <w:tr>
        <w:trPr>
          <w:trHeight w:val="216"/>
        </w:trPr>
        <w:tc>
          <w:tcPr>
            <w:tcW w:w="728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16"/>
        </w:trPr>
        <w:tc>
          <w:tcPr>
            <w:tcW w:w="7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353</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8"/>
                <w:szCs w:val="18"/>
                <w:color w:val="auto"/>
              </w:rPr>
            </w:pPr>
          </w:p>
        </w:tc>
      </w:tr>
      <w:tr>
        <w:trPr>
          <w:trHeight w:val="222"/>
        </w:trPr>
        <w:tc>
          <w:tcPr>
            <w:tcW w:w="728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1,111</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715</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2,035</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1,327</w:t>
            </w:r>
          </w:p>
        </w:tc>
        <w:tc>
          <w:tcPr>
            <w:tcW w:w="100" w:type="dxa"/>
            <w:vAlign w:val="bottom"/>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0" w:firstLine="456"/>
        <w:spacing w:after="0" w:line="268" w:lineRule="auto"/>
        <w:rPr>
          <w:sz w:val="20"/>
          <w:szCs w:val="20"/>
          <w:color w:val="auto"/>
        </w:rPr>
      </w:pPr>
      <w:r>
        <w:rPr>
          <w:rFonts w:ascii="Arial" w:cs="Arial" w:eastAsia="Arial" w:hAnsi="Arial"/>
          <w:sz w:val="18"/>
          <w:szCs w:val="18"/>
          <w:color w:val="auto"/>
        </w:rPr>
        <w:t>As of June 30, 2013, there was approximately $9.3 million of unrecognized stock-based compensation expense under our equity compensation plans, which is expected to be recognized on a straight line basis over a weighted average period of 2.9 years.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90" w:lineRule="exact"/>
        <w:rPr>
          <w:sz w:val="20"/>
          <w:szCs w:val="20"/>
          <w:color w:val="auto"/>
        </w:rPr>
      </w:pPr>
    </w:p>
    <w:p>
      <w:pPr>
        <w:jc w:val="both"/>
        <w:ind w:right="420" w:firstLine="456"/>
        <w:spacing w:after="0" w:line="268" w:lineRule="auto"/>
        <w:rPr>
          <w:sz w:val="20"/>
          <w:szCs w:val="20"/>
          <w:color w:val="auto"/>
        </w:rPr>
      </w:pPr>
      <w:r>
        <w:rPr>
          <w:rFonts w:ascii="Arial" w:cs="Arial" w:eastAsia="Arial" w:hAnsi="Arial"/>
          <w:sz w:val="18"/>
          <w:szCs w:val="18"/>
          <w:color w:val="auto"/>
        </w:rPr>
        <w:t>Stock options generally vest over four years and have a contractual term of seven to ten years from the date of grant. Our stock option activity was as follows: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4"/>
          </w:tcPr>
          <w:p>
            <w:pPr>
              <w:jc w:val="center"/>
              <w:ind w:left="112"/>
              <w:spacing w:after="0"/>
              <w:rPr>
                <w:sz w:val="20"/>
                <w:szCs w:val="20"/>
                <w:color w:val="auto"/>
              </w:rPr>
            </w:pPr>
            <w:r>
              <w:rPr>
                <w:rFonts w:ascii="Arial" w:cs="Arial" w:eastAsia="Arial" w:hAnsi="Arial"/>
                <w:sz w:val="14"/>
                <w:szCs w:val="14"/>
                <w:color w:val="auto"/>
                <w:w w:val="85"/>
              </w:rPr>
              <w:t>Weighted Average</w:t>
            </w: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10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Options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Exercise Price</w:t>
            </w:r>
          </w:p>
        </w:tc>
      </w:tr>
      <w:tr>
        <w:trPr>
          <w:trHeight w:val="159"/>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760" w:type="dxa"/>
            <w:vAlign w:val="bottom"/>
          </w:tcPr>
          <w:p>
            <w:pPr>
              <w:jc w:val="right"/>
              <w:ind w:right="238"/>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($/share)</w:t>
            </w:r>
          </w:p>
        </w:tc>
      </w:tr>
      <w:tr>
        <w:trPr>
          <w:trHeight w:val="210"/>
        </w:trPr>
        <w:tc>
          <w:tcPr>
            <w:tcW w:w="2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1,370,141</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217,457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(285,496)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6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(10,120)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2013</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1,291,982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Of the total outstanding options at June 30, 2013, 702,687 were exercisable with a weighted average exercise price of $11.37 per share. The total outstanding options had a weighted average remaining contractual life of 6.3 years.</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weighted average fair value per share of options granted during the first six months of 2013 was $14.26 and this was estimated on the date of grant using the Black-Scholes option pricing model with the following assumptions: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7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27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4.75</w:t>
            </w: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Weighted-average risk-free interest rate</w:t>
            </w:r>
          </w:p>
        </w:tc>
        <w:tc>
          <w:tcPr>
            <w:tcW w:w="2760" w:type="dxa"/>
            <w:vAlign w:val="bottom"/>
          </w:tcPr>
          <w:p>
            <w:pPr>
              <w:jc w:val="right"/>
              <w:spacing w:after="0"/>
              <w:rPr>
                <w:sz w:val="20"/>
                <w:szCs w:val="20"/>
                <w:color w:val="auto"/>
              </w:rPr>
            </w:pPr>
            <w:r>
              <w:rPr>
                <w:rFonts w:ascii="Arial" w:cs="Arial" w:eastAsia="Arial" w:hAnsi="Arial"/>
                <w:sz w:val="18"/>
                <w:szCs w:val="18"/>
                <w:color w:val="auto"/>
              </w:rPr>
              <w:t>0.84%</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and Awards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Restricted stock units vest over four years and, upon vesting, the holder is entitled to receive shares of our common stock. With restricted stock awards, shares of our common stock are issued when the award is granted and the restrictions lapse over one year.</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units activity was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4"/>
          </w:tcPr>
          <w:p>
            <w:pPr>
              <w:jc w:val="right"/>
              <w:ind w:right="120"/>
              <w:spacing w:after="0"/>
              <w:rPr>
                <w:sz w:val="20"/>
                <w:szCs w:val="20"/>
                <w:color w:val="auto"/>
              </w:rPr>
            </w:pPr>
            <w:r>
              <w:rPr>
                <w:rFonts w:ascii="Arial" w:cs="Arial" w:eastAsia="Arial" w:hAnsi="Arial"/>
                <w:sz w:val="14"/>
                <w:szCs w:val="14"/>
                <w:color w:val="auto"/>
              </w:rPr>
              <w:t>Weighted Average</w:t>
            </w: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Grant Date Fair</w:t>
            </w:r>
          </w:p>
        </w:tc>
      </w:tr>
      <w:tr>
        <w:trPr>
          <w:trHeight w:val="159"/>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620" w:type="dxa"/>
            <w:vAlign w:val="bottom"/>
          </w:tcPr>
          <w:p>
            <w:pPr>
              <w:jc w:val="right"/>
              <w:ind w:right="156"/>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spacing w:after="0" w:line="159" w:lineRule="exact"/>
              <w:rPr>
                <w:sz w:val="20"/>
                <w:szCs w:val="20"/>
                <w:color w:val="auto"/>
              </w:rPr>
            </w:pPr>
            <w:r>
              <w:rPr>
                <w:rFonts w:ascii="Arial" w:cs="Arial" w:eastAsia="Arial" w:hAnsi="Arial"/>
                <w:sz w:val="14"/>
                <w:szCs w:val="14"/>
                <w:color w:val="auto"/>
              </w:rPr>
              <w:t>Value ($/share)</w:t>
            </w: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2012</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68,241</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Granted</w:t>
            </w:r>
          </w:p>
        </w:tc>
        <w:tc>
          <w:tcPr>
            <w:tcW w:w="620" w:type="dxa"/>
            <w:vAlign w:val="bottom"/>
          </w:tcPr>
          <w:p>
            <w:pPr>
              <w:jc w:val="right"/>
              <w:spacing w:after="0"/>
              <w:rPr>
                <w:sz w:val="20"/>
                <w:szCs w:val="20"/>
                <w:color w:val="auto"/>
              </w:rPr>
            </w:pPr>
            <w:r>
              <w:rPr>
                <w:rFonts w:ascii="Arial" w:cs="Arial" w:eastAsia="Arial" w:hAnsi="Arial"/>
                <w:sz w:val="18"/>
                <w:szCs w:val="18"/>
                <w:color w:val="auto"/>
              </w:rPr>
              <w:t>57,362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Vested and common stock issued</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(14,472)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2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(1,783)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2013</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109,348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number of restricted stock units outstanding at June 30, 2013 included 3,482 units that have vested but shares of common stock have not yet been issued pursuant to the terms of the agreement.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restricted stock awards activity was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40" w:type="dxa"/>
            <w:vAlign w:val="bottom"/>
            <w:gridSpan w:val="4"/>
          </w:tcPr>
          <w:p>
            <w:pPr>
              <w:jc w:val="right"/>
              <w:ind w:right="120"/>
              <w:spacing w:after="0"/>
              <w:rPr>
                <w:sz w:val="20"/>
                <w:szCs w:val="20"/>
                <w:color w:val="auto"/>
              </w:rPr>
            </w:pPr>
            <w:r>
              <w:rPr>
                <w:rFonts w:ascii="Arial" w:cs="Arial" w:eastAsia="Arial" w:hAnsi="Arial"/>
                <w:sz w:val="14"/>
                <w:szCs w:val="14"/>
                <w:color w:val="auto"/>
              </w:rPr>
              <w:t>Weighted Average</w:t>
            </w: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Grant Date Fair</w:t>
            </w:r>
          </w:p>
        </w:tc>
      </w:tr>
      <w:tr>
        <w:trPr>
          <w:trHeight w:val="159"/>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500" w:type="dxa"/>
            <w:vAlign w:val="bottom"/>
          </w:tcPr>
          <w:p>
            <w:pPr>
              <w:jc w:val="right"/>
              <w:ind w:right="96"/>
              <w:spacing w:after="0" w:line="15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w w:val="83"/>
              </w:rPr>
              <w:t>Value ($/share)</w:t>
            </w: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2012</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5,275</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Restricted common stock issued</w:t>
            </w:r>
          </w:p>
        </w:tc>
        <w:tc>
          <w:tcPr>
            <w:tcW w:w="500" w:type="dxa"/>
            <w:vAlign w:val="bottom"/>
          </w:tcPr>
          <w:p>
            <w:pPr>
              <w:jc w:val="right"/>
              <w:spacing w:after="0"/>
              <w:rPr>
                <w:sz w:val="20"/>
                <w:szCs w:val="20"/>
                <w:color w:val="auto"/>
              </w:rPr>
            </w:pPr>
            <w:r>
              <w:rPr>
                <w:rFonts w:ascii="Arial" w:cs="Arial" w:eastAsia="Arial" w:hAnsi="Arial"/>
                <w:sz w:val="18"/>
                <w:szCs w:val="18"/>
                <w:color w:val="auto"/>
              </w:rPr>
              <w:t>5,688</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Restrictions lapsed</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(6,697)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2013</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employee stock purchase plan allows participating employees to purchase shares of our common stock at a discount through payroll deductions. The plan is available to all employees subject to certain eligibility requirements. Participating employees may purchase common stock, on a voluntary after tax basis, at a price that is the lower of 85% of the fair market value of one share of common stock at the beginning or end of each stock purchase period. The plan consists of two six-month offering periods, beginning on January 1 and July 1 of each calendar year. A total of 1.2 million shares of common stock are reserved for issuance under the plan.</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For the offering period that began on January 1, 2013 and ended June 30, 2013, we withheld approximately $551,000 from employees participating in the plan. On June 30, 2013, 17,386 shares were purchased on behalf of the employees participating in the plan and approximately 1.2 million shares were available for future purchases.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For the three and six months ended June 30, 2013, we recorded approximately $90,000 and $183,000 of stock-based compensation expense associated with the employee stock purchase plan. The fair value was estimated based on the market price of our common stock at the beginning of the offering period, which was $37.27 per share, and using the Black-Scholes option pricing model with the following assumptions:</w:t>
      </w:r>
    </w:p>
    <w:p>
      <w:pPr>
        <w:spacing w:after="0" w:line="155"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00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5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0.50</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00" w:type="dxa"/>
            <w:vAlign w:val="bottom"/>
          </w:tcPr>
          <w:p>
            <w:pPr>
              <w:jc w:val="right"/>
              <w:spacing w:after="0"/>
              <w:rPr>
                <w:sz w:val="20"/>
                <w:szCs w:val="20"/>
                <w:color w:val="auto"/>
              </w:rPr>
            </w:pPr>
            <w:r>
              <w:rPr>
                <w:rFonts w:ascii="Arial" w:cs="Arial" w:eastAsia="Arial" w:hAnsi="Arial"/>
                <w:sz w:val="18"/>
                <w:szCs w:val="18"/>
                <w:color w:val="auto"/>
              </w:rPr>
              <w:t>0.12%</w:t>
            </w:r>
          </w:p>
        </w:tc>
      </w:tr>
      <w:tr>
        <w:trPr>
          <w:trHeight w:val="356"/>
        </w:trPr>
        <w:tc>
          <w:tcPr>
            <w:tcW w:w="2760" w:type="dxa"/>
            <w:vAlign w:val="bottom"/>
          </w:tcPr>
          <w:p>
            <w:pPr>
              <w:spacing w:after="0"/>
              <w:rPr>
                <w:sz w:val="24"/>
                <w:szCs w:val="24"/>
                <w:color w:val="auto"/>
              </w:rPr>
            </w:pPr>
          </w:p>
        </w:tc>
        <w:tc>
          <w:tcPr>
            <w:tcW w:w="5000" w:type="dxa"/>
            <w:vAlign w:val="bottom"/>
          </w:tcPr>
          <w:p>
            <w:pPr>
              <w:jc w:val="right"/>
              <w:ind w:right="3752"/>
              <w:spacing w:after="0"/>
              <w:rPr>
                <w:sz w:val="20"/>
                <w:szCs w:val="20"/>
                <w:color w:val="auto"/>
              </w:rPr>
            </w:pPr>
            <w:r>
              <w:rPr>
                <w:rFonts w:ascii="Arial" w:cs="Arial" w:eastAsia="Arial" w:hAnsi="Arial"/>
                <w:sz w:val="18"/>
                <w:szCs w:val="18"/>
                <w:color w:val="auto"/>
              </w:rPr>
              <w:t>9</w:t>
            </w:r>
          </w:p>
        </w:tc>
      </w:tr>
    </w:tbl>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Income Taxes</w:t>
      </w:r>
    </w:p>
    <w:p>
      <w:pPr>
        <w:spacing w:after="0" w:line="96" w:lineRule="exact"/>
        <w:rPr>
          <w:sz w:val="20"/>
          <w:szCs w:val="20"/>
          <w:color w:val="auto"/>
        </w:rPr>
      </w:pPr>
    </w:p>
    <w:p>
      <w:pPr>
        <w:ind w:right="500" w:firstLine="456"/>
        <w:spacing w:after="0" w:line="255" w:lineRule="auto"/>
        <w:rPr>
          <w:sz w:val="20"/>
          <w:szCs w:val="20"/>
          <w:color w:val="auto"/>
        </w:rPr>
      </w:pPr>
      <w:r>
        <w:rPr>
          <w:rFonts w:ascii="Arial" w:cs="Arial" w:eastAsia="Arial" w:hAnsi="Arial"/>
          <w:sz w:val="18"/>
          <w:szCs w:val="18"/>
          <w:color w:val="auto"/>
        </w:rPr>
        <w:t>We recorded income tax expense of $169,000 and $103,000 for the three and six months ended June 30, 2013. We recorded income tax expense of $300,000 and $453,000 for the three and six months ended June 30, 2012. We record our interim provision for income taxes based on our estimated annual effective tax rate for the year. Differences between our effective tax rate and statutory tax rates are primarily due to the impact of meals, entertainment and employee stock purchase plan expenses, as well as the federal R&amp;D credit. Our provisions for income taxes included current foreign and state income tax expense, as well as deferred tax expense.</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decrease in income tax expense for the six months ended June 30, 2013, compared to the six months ended June 30, 2012, was primarily due to a discrete tax benefit of $117,000 in 2013 for the retroactive benefit of the 2012 federal R&amp;D credit. The American Taxpayer Relief Act of 2012 was enacted on January 2, 2013 and extended the federal R&amp;D credit from January 1, 2012 through December 31, 2013.</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are subject to income taxes in the U.S. federal and various state and international jurisdictions. As of June 30, 2013, we are generally subject to tax examinations for all prior years due to our net operating loss carryforwards.</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of June 30, 2013, we do not have any unrecognized tax benefits. It is our practice to recognize interest and penalties accrued on any unrecognized tax benefits as a component of income tax expense. We do not expect any material changes in our unrecognized tax positions over the next 12 months.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Net Income Per Share</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Basic net income per share has been computed using the weighted average number of shares of common stock outstanding during each period. Diluted net income per share also includes the impact of our outstanding potential common shares, including options and restricted stock units. Potential common shares that are anti-dilutive are excluded from the calculation of diluted net income per share.</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table presents the components of the computation of basic and diluted net income per share for the periods indicated (in thousands, except per share amounts):</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ind w:left="180"/>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ind w:left="2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59"/>
        </w:trPr>
        <w:tc>
          <w:tcPr>
            <w:tcW w:w="54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2"/>
          </w:tcPr>
          <w:p>
            <w:pPr>
              <w:jc w:val="right"/>
              <w:ind w:right="120"/>
              <w:spacing w:after="0" w:line="159" w:lineRule="exact"/>
              <w:rPr>
                <w:sz w:val="20"/>
                <w:szCs w:val="20"/>
                <w:color w:val="auto"/>
              </w:rPr>
            </w:pPr>
            <w:r>
              <w:rPr>
                <w:rFonts w:ascii="Arial" w:cs="Arial" w:eastAsia="Arial" w:hAnsi="Arial"/>
                <w:sz w:val="14"/>
                <w:szCs w:val="14"/>
                <w:color w:val="auto"/>
                <w:w w:val="85"/>
              </w:rPr>
              <w:t>June 30,</w:t>
            </w:r>
          </w:p>
        </w:tc>
        <w:tc>
          <w:tcPr>
            <w:tcW w:w="50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140"/>
              <w:spacing w:after="0" w:line="159" w:lineRule="exact"/>
              <w:rPr>
                <w:sz w:val="20"/>
                <w:szCs w:val="20"/>
                <w:color w:val="auto"/>
              </w:rPr>
            </w:pPr>
            <w:r>
              <w:rPr>
                <w:rFonts w:ascii="Arial" w:cs="Arial" w:eastAsia="Arial" w:hAnsi="Arial"/>
                <w:sz w:val="14"/>
                <w:szCs w:val="14"/>
                <w:color w:val="auto"/>
                <w:w w:val="85"/>
              </w:rPr>
              <w:t>June 30,</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40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w w:val="96"/>
              </w:rPr>
              <w:t>2013</w:t>
            </w: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rPr>
              <w:t>2012</w:t>
            </w: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w w:val="96"/>
              </w:rPr>
              <w:t>2013</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288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426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Weighted average common shares outstanding, basic</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15,076</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12,284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14,983</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Options to purchase common stock</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880"/>
              <w:spacing w:after="0"/>
              <w:rPr>
                <w:sz w:val="20"/>
                <w:szCs w:val="20"/>
                <w:color w:val="auto"/>
              </w:rPr>
            </w:pPr>
            <w:r>
              <w:rPr>
                <w:rFonts w:ascii="Arial" w:cs="Arial" w:eastAsia="Arial" w:hAnsi="Arial"/>
                <w:sz w:val="18"/>
                <w:szCs w:val="18"/>
                <w:color w:val="auto"/>
              </w:rPr>
              <w:t>Restricted stock units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Employee stock purchase plan</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440"/>
              <w:spacing w:after="0"/>
              <w:rPr>
                <w:sz w:val="20"/>
                <w:szCs w:val="20"/>
                <w:color w:val="auto"/>
              </w:rPr>
            </w:pPr>
            <w:r>
              <w:rPr>
                <w:rFonts w:ascii="Arial" w:cs="Arial" w:eastAsia="Arial" w:hAnsi="Arial"/>
                <w:sz w:val="18"/>
                <w:szCs w:val="18"/>
                <w:color w:val="auto"/>
              </w:rPr>
              <w:t>Weighted average common shares outstanding, diluted</w:t>
            </w:r>
          </w:p>
        </w:tc>
        <w:tc>
          <w:tcPr>
            <w:tcW w:w="1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00" w:type="dxa"/>
            <w:vAlign w:val="bottom"/>
            <w:vMerge w:val="continue"/>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15,785</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13,026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15,677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440"/>
              <w:spacing w:after="0"/>
              <w:rPr>
                <w:sz w:val="20"/>
                <w:szCs w:val="20"/>
                <w:color w:val="auto"/>
              </w:rPr>
            </w:pPr>
            <w:r>
              <w:rPr>
                <w:rFonts w:ascii="Arial" w:cs="Arial" w:eastAsia="Arial" w:hAnsi="Arial"/>
                <w:sz w:val="18"/>
                <w:szCs w:val="18"/>
                <w:color w:val="auto"/>
              </w:rPr>
              <w:t>Basic</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0.03</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0.03</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For each of the three and six months ended June 30, 2013, the effect of approximately 16,000 outstanding potential common shares were excluded from the calculation of diluted net income per share because they were anti-dilutive. For each of the three and six months ended June 30, 2012, the effect of approximately 22,000 outstanding potential common shares were excluded from the calculation of diluted net income per share because they were anti-dilutive.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16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leading provider of on-demand supply chain management solutions, providing prewired, proven integrations and comprehensive retail performance analytics to thousands of customers worldwide. We provide our solutions through the SPS Commerce platform, a cloud-based software suite that improves the way suppliers, retailers, distributors and other customers manage and fulfill orders. We deliver our solutions to our customers over the Internet using a Software-as-a-Service model and derive the majority of our revenues from thousands of monthly recurring subscriptions from businesses that utilize our solutions.</w:t>
      </w:r>
    </w:p>
    <w:p>
      <w:pPr>
        <w:spacing w:after="0" w:line="143"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We plan to continue to grow our business by further penetrating the supply chain management market, increasing revenues from our customers as their businesses grow, expanding our distribution channels, expanding our international presence and developing new solutions and applications. We also intend to selectively pursue acquisitions that will add customers, allow us to expand into new regions or allow us to offer new functionalities.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Terms and Metrics</w:t>
      </w:r>
    </w:p>
    <w:p>
      <w:pPr>
        <w:spacing w:after="0" w:line="9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We have several key financial terms and metrics, including annualized average recurring revenues per recurring revenue customer, which we also refer to as wallet share. During the six months ended June 30, 2013, there were no changes in the definitions of our key financial terms and metrics, which are discussed in more detail under the heading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included in our Annual Report on Form 10-K for the year ended December 31, 2012 as filed with the Securities and Exchange Commission on March 6, 2013.</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To supplement our financial statements, we also provide investors with Adjusted EBITDA and non-GAAP income per share, both of which are non-GAAP financial measures. We believe that these non-GAAP measures provide useful information to management and investors regarding certain financial and business trends relating to our financial condition and results of operations. Our management uses these non-GAAP measures to compare the company’s performance to that of prior periods for trend analyses and planning purposes. Adjusted EBITDA is also used for purposes of determining executive and senior management incentive compensation. These measures are also presented to our board of directors.</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These non-GAAP measures should not be considered a substitute for, or superior to, financial measures calculated in accordance with generally accepted accounting principles in the United States of America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This discussion of our financial condition and results of operations is based upon our financial statements, which are prepared in accordance with GAAP. The preparation of these financial statements requires us to make estimates, judgments and assumptions that affect the reported amounts of assets, liabilities, revenues, costs and expenses and related disclosures. We base our estimates of the carrying value of certain assets and liabilities on historical experience and on various other assumptions that we believe to be reasonable. On an ongoing basis, we evaluate our estimates and assumptions. Our actual results may differ from these estimates under different assumptions or conditions.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of our significant accounting policies, the following accounting policies involve a greater degree of judgment, complexity and effect on materiality. A critical accounting policy is one that is both material to the presentation of our financial statements and requires us to make difficult, subjective or complex judgments for uncertain matters that could have a material effect on our financial condition and results of operations. Accordingly, we believe that our policies for revenue recognition, the allowance for doubtful accounts, income taxes, stock-based compensation and the valuation of goodwill and intangible assets are the most critical to aid in fully understanding and evaluating our financial condition and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six months ended June 30, 2013, there were no significant changes in our critical accounting policies or estimates.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See Note A to our consolidated financial statements included in this Quarterly Report on Form 10-Q and in our Annual Report on Form 10-K for the year ended December 31, 2012, as filed with the Securities and Exchange Commission on March 6, 2013, for additional information regarding our critical accounting policies, as well as a description of our other significant accounting policies.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our results of operations for the periods indicated (dollars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color w:val="auto"/>
              </w:rPr>
              <w:t>Three Months Ended June 30,</w:t>
            </w:r>
          </w:p>
        </w:tc>
        <w:tc>
          <w:tcPr>
            <w:tcW w:w="9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Change</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6"/>
              <w:spacing w:after="0" w:line="142" w:lineRule="exact"/>
              <w:rPr>
                <w:sz w:val="20"/>
                <w:szCs w:val="20"/>
                <w:color w:val="auto"/>
              </w:rPr>
            </w:pPr>
            <w:r>
              <w:rPr>
                <w:rFonts w:ascii="Arial" w:cs="Arial" w:eastAsia="Arial" w:hAnsi="Arial"/>
                <w:sz w:val="14"/>
                <w:szCs w:val="14"/>
                <w:color w:val="auto"/>
                <w:w w:val="83"/>
              </w:rPr>
              <w:t>2013</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5"/>
              <w:spacing w:after="0" w:line="142" w:lineRule="exact"/>
              <w:rPr>
                <w:sz w:val="20"/>
                <w:szCs w:val="20"/>
                <w:color w:val="auto"/>
              </w:rPr>
            </w:pPr>
            <w:r>
              <w:rPr>
                <w:rFonts w:ascii="Arial" w:cs="Arial" w:eastAsia="Arial" w:hAnsi="Arial"/>
                <w:sz w:val="14"/>
                <w:szCs w:val="14"/>
                <w:color w:val="auto"/>
                <w:w w:val="83"/>
              </w:rPr>
              <w:t>2012</w:t>
            </w:r>
          </w:p>
        </w:tc>
        <w:tc>
          <w:tcPr>
            <w:tcW w:w="400" w:type="dxa"/>
            <w:vAlign w:val="bottom"/>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400" w:type="dxa"/>
            <w:vAlign w:val="bottom"/>
          </w:tcPr>
          <w:p>
            <w:pPr>
              <w:spacing w:after="0"/>
              <w:rPr>
                <w:sz w:val="12"/>
                <w:szCs w:val="12"/>
                <w:color w:val="auto"/>
              </w:rPr>
            </w:pPr>
          </w:p>
        </w:tc>
        <w:tc>
          <w:tcPr>
            <w:tcW w:w="900" w:type="dxa"/>
            <w:vAlign w:val="bottom"/>
          </w:tcPr>
          <w:p>
            <w:pPr>
              <w:jc w:val="right"/>
              <w:ind w:right="495"/>
              <w:spacing w:after="0" w:line="142"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25,658</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17,821</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93"/>
              </w:rPr>
              <w:t>$ 7,837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Cost of revenues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7,943</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4,843</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27.2</w:t>
            </w:r>
          </w:p>
        </w:tc>
        <w:tc>
          <w:tcPr>
            <w:tcW w:w="900" w:type="dxa"/>
            <w:vAlign w:val="bottom"/>
          </w:tcPr>
          <w:p>
            <w:pPr>
              <w:jc w:val="right"/>
              <w:ind w:right="235"/>
              <w:spacing w:after="0"/>
              <w:rPr>
                <w:sz w:val="20"/>
                <w:szCs w:val="20"/>
                <w:color w:val="auto"/>
              </w:rPr>
            </w:pPr>
            <w:r>
              <w:rPr>
                <w:rFonts w:ascii="Arial" w:cs="Arial" w:eastAsia="Arial" w:hAnsi="Arial"/>
                <w:sz w:val="18"/>
                <w:szCs w:val="18"/>
                <w:color w:val="auto"/>
              </w:rPr>
              <w:t>3,100</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17,715</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12,978</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72.8</w:t>
            </w: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4,737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9,647</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6,972</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39.1</w:t>
            </w: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2,675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2,657</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1,830</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10.3</w:t>
            </w:r>
          </w:p>
        </w:tc>
        <w:tc>
          <w:tcPr>
            <w:tcW w:w="900" w:type="dxa"/>
            <w:vAlign w:val="bottom"/>
          </w:tcPr>
          <w:p>
            <w:pPr>
              <w:jc w:val="right"/>
              <w:ind w:right="235"/>
              <w:spacing w:after="0"/>
              <w:rPr>
                <w:sz w:val="20"/>
                <w:szCs w:val="20"/>
                <w:color w:val="auto"/>
              </w:rPr>
            </w:pPr>
            <w:r>
              <w:rPr>
                <w:rFonts w:ascii="Arial" w:cs="Arial" w:eastAsia="Arial" w:hAnsi="Arial"/>
                <w:sz w:val="18"/>
                <w:szCs w:val="18"/>
                <w:color w:val="auto"/>
              </w:rPr>
              <w:t>827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4,211</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3,165</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17.8</w:t>
            </w: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1,046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717</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260</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1.5</w:t>
            </w:r>
          </w:p>
        </w:tc>
        <w:tc>
          <w:tcPr>
            <w:tcW w:w="900" w:type="dxa"/>
            <w:vAlign w:val="bottom"/>
          </w:tcPr>
          <w:p>
            <w:pPr>
              <w:jc w:val="right"/>
              <w:ind w:right="235"/>
              <w:spacing w:after="0"/>
              <w:rPr>
                <w:sz w:val="20"/>
                <w:szCs w:val="20"/>
                <w:color w:val="auto"/>
              </w:rPr>
            </w:pPr>
            <w:r>
              <w:rPr>
                <w:rFonts w:ascii="Arial" w:cs="Arial" w:eastAsia="Arial" w:hAnsi="Arial"/>
                <w:sz w:val="18"/>
                <w:szCs w:val="18"/>
                <w:color w:val="auto"/>
              </w:rPr>
              <w:t>457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175.8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17,232</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12,227</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68.6</w:t>
            </w: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5,005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vMerge w:val="restart"/>
          </w:tcPr>
          <w:p>
            <w:pPr>
              <w:ind w:left="860"/>
              <w:spacing w:after="0"/>
              <w:rPr>
                <w:sz w:val="20"/>
                <w:szCs w:val="20"/>
                <w:color w:val="auto"/>
              </w:rPr>
            </w:pPr>
            <w:r>
              <w:rPr>
                <w:rFonts w:ascii="Arial" w:cs="Arial" w:eastAsia="Arial" w:hAnsi="Arial"/>
                <w:sz w:val="18"/>
                <w:szCs w:val="18"/>
                <w:color w:val="auto"/>
              </w:rPr>
              <w:t>Income from operations</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4.2</w:t>
            </w:r>
          </w:p>
        </w:tc>
        <w:tc>
          <w:tcPr>
            <w:tcW w:w="900" w:type="dxa"/>
            <w:vAlign w:val="bottom"/>
            <w:vMerge w:val="restart"/>
          </w:tcPr>
          <w:p>
            <w:pPr>
              <w:jc w:val="right"/>
              <w:ind w:right="175"/>
              <w:spacing w:after="0"/>
              <w:rPr>
                <w:sz w:val="20"/>
                <w:szCs w:val="20"/>
                <w:color w:val="auto"/>
              </w:rPr>
            </w:pPr>
            <w:r>
              <w:rPr>
                <w:rFonts w:ascii="Arial" w:cs="Arial" w:eastAsia="Arial" w:hAnsi="Arial"/>
                <w:sz w:val="18"/>
                <w:szCs w:val="18"/>
                <w:color w:val="auto"/>
              </w:rPr>
              <w:t>(268)</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30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483</w:t>
            </w:r>
          </w:p>
        </w:tc>
        <w:tc>
          <w:tcPr>
            <w:tcW w:w="1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751</w:t>
            </w:r>
          </w:p>
        </w:tc>
        <w:tc>
          <w:tcPr>
            <w:tcW w:w="134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900" w:type="dxa"/>
            <w:vAlign w:val="bottom"/>
          </w:tcPr>
          <w:p>
            <w:pPr>
              <w:jc w:val="right"/>
              <w:ind w:right="235"/>
              <w:spacing w:after="0"/>
              <w:rPr>
                <w:sz w:val="20"/>
                <w:szCs w:val="20"/>
                <w:color w:val="auto"/>
              </w:rPr>
            </w:pPr>
            <w:r>
              <w:rPr>
                <w:rFonts w:ascii="Arial" w:cs="Arial" w:eastAsia="Arial" w:hAnsi="Arial"/>
                <w:sz w:val="18"/>
                <w:szCs w:val="18"/>
                <w:color w:val="auto"/>
              </w:rPr>
              <w:t>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9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vMerge w:val="restart"/>
          </w:tcPr>
          <w:p>
            <w:pPr>
              <w:ind w:left="860"/>
              <w:spacing w:after="0"/>
              <w:rPr>
                <w:sz w:val="20"/>
                <w:szCs w:val="20"/>
                <w:color w:val="auto"/>
              </w:rPr>
            </w:pPr>
            <w:r>
              <w:rPr>
                <w:rFonts w:ascii="Arial" w:cs="Arial" w:eastAsia="Arial" w:hAnsi="Arial"/>
                <w:sz w:val="18"/>
                <w:szCs w:val="18"/>
                <w:color w:val="auto"/>
              </w:rPr>
              <w:t>Total other expense, net</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(0.1)</w:t>
            </w:r>
          </w:p>
        </w:tc>
        <w:tc>
          <w:tcPr>
            <w:tcW w:w="900" w:type="dxa"/>
            <w:vAlign w:val="bottom"/>
            <w:vMerge w:val="restart"/>
          </w:tcPr>
          <w:p>
            <w:pPr>
              <w:jc w:val="right"/>
              <w:ind w:right="175"/>
              <w:spacing w:after="0"/>
              <w:rPr>
                <w:sz w:val="20"/>
                <w:szCs w:val="20"/>
                <w:color w:val="auto"/>
              </w:rPr>
            </w:pPr>
            <w:r>
              <w:rPr>
                <w:rFonts w:ascii="Arial" w:cs="Arial" w:eastAsia="Arial" w:hAnsi="Arial"/>
                <w:sz w:val="18"/>
                <w:szCs w:val="18"/>
                <w:color w:val="auto"/>
              </w:rPr>
              <w:t>(1)</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34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w:t>
            </w:r>
          </w:p>
        </w:tc>
        <w:tc>
          <w:tcPr>
            <w:tcW w:w="9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(269)</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Income tax expense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(300)</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900" w:type="dxa"/>
            <w:vAlign w:val="bottom"/>
          </w:tcPr>
          <w:p>
            <w:pPr>
              <w:jc w:val="right"/>
              <w:ind w:right="235"/>
              <w:spacing w:after="0"/>
              <w:rPr>
                <w:sz w:val="20"/>
                <w:szCs w:val="20"/>
                <w:color w:val="auto"/>
              </w:rPr>
            </w:pPr>
            <w:r>
              <w:rPr>
                <w:rFonts w:ascii="Arial" w:cs="Arial" w:eastAsia="Arial" w:hAnsi="Arial"/>
                <w:sz w:val="18"/>
                <w:szCs w:val="18"/>
                <w:color w:val="auto"/>
              </w:rPr>
              <w:t>131</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w:t>
            </w:r>
          </w:p>
        </w:tc>
        <w:tc>
          <w:tcPr>
            <w:tcW w:w="9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(138)</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color w:val="auto"/>
              </w:rPr>
              <w:t>Six Months Ended June 30,</w:t>
            </w:r>
          </w:p>
        </w:tc>
        <w:tc>
          <w:tcPr>
            <w:tcW w:w="94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Change</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6"/>
              <w:spacing w:after="0" w:line="142" w:lineRule="exact"/>
              <w:rPr>
                <w:sz w:val="20"/>
                <w:szCs w:val="20"/>
                <w:color w:val="auto"/>
              </w:rPr>
            </w:pPr>
            <w:r>
              <w:rPr>
                <w:rFonts w:ascii="Arial" w:cs="Arial" w:eastAsia="Arial" w:hAnsi="Arial"/>
                <w:sz w:val="14"/>
                <w:szCs w:val="14"/>
                <w:color w:val="auto"/>
                <w:w w:val="83"/>
              </w:rPr>
              <w:t>2013</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75"/>
              <w:spacing w:after="0" w:line="142" w:lineRule="exact"/>
              <w:rPr>
                <w:sz w:val="20"/>
                <w:szCs w:val="20"/>
                <w:color w:val="auto"/>
              </w:rPr>
            </w:pPr>
            <w:r>
              <w:rPr>
                <w:rFonts w:ascii="Arial" w:cs="Arial" w:eastAsia="Arial" w:hAnsi="Arial"/>
                <w:sz w:val="14"/>
                <w:szCs w:val="14"/>
                <w:color w:val="auto"/>
                <w:w w:val="83"/>
              </w:rPr>
              <w:t>2012</w:t>
            </w:r>
          </w:p>
        </w:tc>
        <w:tc>
          <w:tcPr>
            <w:tcW w:w="400" w:type="dxa"/>
            <w:vAlign w:val="bottom"/>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4"/>
                <w:szCs w:val="14"/>
                <w:color w:val="auto"/>
              </w:rPr>
              <w:t>% of revenue</w:t>
            </w:r>
          </w:p>
        </w:tc>
        <w:tc>
          <w:tcPr>
            <w:tcW w:w="400" w:type="dxa"/>
            <w:vAlign w:val="bottom"/>
          </w:tcPr>
          <w:p>
            <w:pPr>
              <w:spacing w:after="0"/>
              <w:rPr>
                <w:sz w:val="12"/>
                <w:szCs w:val="12"/>
                <w:color w:val="auto"/>
              </w:rPr>
            </w:pPr>
          </w:p>
        </w:tc>
        <w:tc>
          <w:tcPr>
            <w:tcW w:w="900" w:type="dxa"/>
            <w:vAlign w:val="bottom"/>
          </w:tcPr>
          <w:p>
            <w:pPr>
              <w:jc w:val="right"/>
              <w:ind w:right="495"/>
              <w:spacing w:after="0" w:line="142"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93"/>
              <w:spacing w:after="0" w:line="142"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49,410</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34,355</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w w:val="86"/>
              </w:rPr>
              <w:t>$15,055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Cost of revenues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83"/>
              </w:rPr>
              <w:t>15,009</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9,291</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27.0</w:t>
            </w:r>
          </w:p>
        </w:tc>
        <w:tc>
          <w:tcPr>
            <w:tcW w:w="900" w:type="dxa"/>
            <w:vAlign w:val="bottom"/>
          </w:tcPr>
          <w:p>
            <w:pPr>
              <w:jc w:val="right"/>
              <w:ind w:right="235"/>
              <w:spacing w:after="0"/>
              <w:rPr>
                <w:sz w:val="20"/>
                <w:szCs w:val="20"/>
                <w:color w:val="auto"/>
              </w:rPr>
            </w:pPr>
            <w:r>
              <w:rPr>
                <w:rFonts w:ascii="Arial" w:cs="Arial" w:eastAsia="Arial" w:hAnsi="Arial"/>
                <w:sz w:val="18"/>
                <w:szCs w:val="18"/>
                <w:color w:val="auto"/>
              </w:rPr>
              <w:t>5,718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34,401</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69.6</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25,064</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73.0</w:t>
            </w: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9,337</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marketing</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18,872</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13,419</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39.1</w:t>
            </w: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5,453</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5,160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3,562</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10.4</w:t>
            </w:r>
          </w:p>
        </w:tc>
        <w:tc>
          <w:tcPr>
            <w:tcW w:w="900" w:type="dxa"/>
            <w:vAlign w:val="bottom"/>
          </w:tcPr>
          <w:p>
            <w:pPr>
              <w:jc w:val="right"/>
              <w:ind w:right="235"/>
              <w:spacing w:after="0"/>
              <w:rPr>
                <w:sz w:val="20"/>
                <w:szCs w:val="20"/>
                <w:color w:val="auto"/>
              </w:rPr>
            </w:pPr>
            <w:r>
              <w:rPr>
                <w:rFonts w:ascii="Arial" w:cs="Arial" w:eastAsia="Arial" w:hAnsi="Arial"/>
                <w:sz w:val="18"/>
                <w:szCs w:val="18"/>
                <w:color w:val="auto"/>
              </w:rPr>
              <w:t>1,598</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8,258</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6,353</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18.5</w:t>
            </w: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1,905</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1,434</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520</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1.5</w:t>
            </w:r>
          </w:p>
        </w:tc>
        <w:tc>
          <w:tcPr>
            <w:tcW w:w="900" w:type="dxa"/>
            <w:vAlign w:val="bottom"/>
          </w:tcPr>
          <w:p>
            <w:pPr>
              <w:jc w:val="right"/>
              <w:ind w:right="235"/>
              <w:spacing w:after="0"/>
              <w:rPr>
                <w:sz w:val="20"/>
                <w:szCs w:val="20"/>
                <w:color w:val="auto"/>
              </w:rPr>
            </w:pPr>
            <w:r>
              <w:rPr>
                <w:rFonts w:ascii="Arial" w:cs="Arial" w:eastAsia="Arial" w:hAnsi="Arial"/>
                <w:sz w:val="18"/>
                <w:szCs w:val="18"/>
                <w:color w:val="auto"/>
              </w:rPr>
              <w:t>914</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175.8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33,724</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3"/>
              </w:rPr>
              <w:t>23,854</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69.4</w:t>
            </w: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9,870</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vMerge w:val="restart"/>
          </w:tcPr>
          <w:p>
            <w:pPr>
              <w:ind w:left="860"/>
              <w:spacing w:after="0"/>
              <w:rPr>
                <w:sz w:val="20"/>
                <w:szCs w:val="20"/>
                <w:color w:val="auto"/>
              </w:rPr>
            </w:pPr>
            <w:r>
              <w:rPr>
                <w:rFonts w:ascii="Arial" w:cs="Arial" w:eastAsia="Arial" w:hAnsi="Arial"/>
                <w:sz w:val="18"/>
                <w:szCs w:val="18"/>
                <w:color w:val="auto"/>
              </w:rPr>
              <w:t>Income from operations</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3.5</w:t>
            </w:r>
          </w:p>
        </w:tc>
        <w:tc>
          <w:tcPr>
            <w:tcW w:w="900" w:type="dxa"/>
            <w:vAlign w:val="bottom"/>
            <w:vMerge w:val="restart"/>
          </w:tcPr>
          <w:p>
            <w:pPr>
              <w:jc w:val="right"/>
              <w:ind w:right="175"/>
              <w:spacing w:after="0"/>
              <w:rPr>
                <w:sz w:val="20"/>
                <w:szCs w:val="20"/>
                <w:color w:val="auto"/>
              </w:rPr>
            </w:pPr>
            <w:r>
              <w:rPr>
                <w:rFonts w:ascii="Arial" w:cs="Arial" w:eastAsia="Arial" w:hAnsi="Arial"/>
                <w:sz w:val="18"/>
                <w:szCs w:val="18"/>
                <w:color w:val="auto"/>
              </w:rPr>
              <w:t>(533)</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30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677</w:t>
            </w:r>
          </w:p>
        </w:tc>
        <w:tc>
          <w:tcPr>
            <w:tcW w:w="1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1,210</w:t>
            </w:r>
          </w:p>
        </w:tc>
        <w:tc>
          <w:tcPr>
            <w:tcW w:w="134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0.1</w:t>
            </w:r>
          </w:p>
        </w:tc>
        <w:tc>
          <w:tcPr>
            <w:tcW w:w="900" w:type="dxa"/>
            <w:vAlign w:val="bottom"/>
          </w:tcPr>
          <w:p>
            <w:pPr>
              <w:jc w:val="right"/>
              <w:ind w:right="235"/>
              <w:spacing w:after="0"/>
              <w:rPr>
                <w:sz w:val="20"/>
                <w:szCs w:val="20"/>
                <w:color w:val="auto"/>
              </w:rPr>
            </w:pPr>
            <w:r>
              <w:rPr>
                <w:rFonts w:ascii="Arial" w:cs="Arial" w:eastAsia="Arial" w:hAnsi="Arial"/>
                <w:sz w:val="18"/>
                <w:szCs w:val="18"/>
                <w:color w:val="auto"/>
              </w:rPr>
              <w:t>17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expense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9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(29)</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vMerge w:val="restart"/>
          </w:tcPr>
          <w:p>
            <w:pPr>
              <w:ind w:left="860"/>
              <w:spacing w:after="0"/>
              <w:rPr>
                <w:sz w:val="20"/>
                <w:szCs w:val="20"/>
                <w:color w:val="auto"/>
              </w:rPr>
            </w:pPr>
            <w:r>
              <w:rPr>
                <w:rFonts w:ascii="Arial" w:cs="Arial" w:eastAsia="Arial" w:hAnsi="Arial"/>
                <w:sz w:val="18"/>
                <w:szCs w:val="18"/>
                <w:color w:val="auto"/>
              </w:rPr>
              <w:t>Total other expense, net</w:t>
            </w: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(0.2)</w:t>
            </w:r>
          </w:p>
        </w:tc>
        <w:tc>
          <w:tcPr>
            <w:tcW w:w="900" w:type="dxa"/>
            <w:vAlign w:val="bottom"/>
            <w:vMerge w:val="restart"/>
          </w:tcPr>
          <w:p>
            <w:pPr>
              <w:jc w:val="right"/>
              <w:ind w:right="175"/>
              <w:spacing w:after="0"/>
              <w:rPr>
                <w:sz w:val="20"/>
                <w:szCs w:val="20"/>
                <w:color w:val="auto"/>
              </w:rPr>
            </w:pPr>
            <w:r>
              <w:rPr>
                <w:rFonts w:ascii="Arial" w:cs="Arial" w:eastAsia="Arial" w:hAnsi="Arial"/>
                <w:sz w:val="18"/>
                <w:szCs w:val="18"/>
                <w:color w:val="auto"/>
              </w:rPr>
              <w:t>(12)</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vMerge w:val="continue"/>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13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134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6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1,135</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w:t>
            </w:r>
          </w:p>
        </w:tc>
        <w:tc>
          <w:tcPr>
            <w:tcW w:w="9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(545)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Income tax expense</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900" w:type="dxa"/>
            <w:vAlign w:val="bottom"/>
          </w:tcPr>
          <w:p>
            <w:pPr>
              <w:jc w:val="right"/>
              <w:ind w:right="235"/>
              <w:spacing w:after="0"/>
              <w:rPr>
                <w:sz w:val="20"/>
                <w:szCs w:val="20"/>
                <w:color w:val="auto"/>
              </w:rPr>
            </w:pPr>
            <w:r>
              <w:rPr>
                <w:rFonts w:ascii="Arial" w:cs="Arial" w:eastAsia="Arial" w:hAnsi="Arial"/>
                <w:sz w:val="18"/>
                <w:szCs w:val="18"/>
                <w:color w:val="auto"/>
              </w:rPr>
              <w:t>350</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487</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682</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9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(195)</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right"/>
        <w:ind w:right="5620"/>
        <w:spacing w:after="0" w:line="440" w:lineRule="auto"/>
        <w:rPr>
          <w:sz w:val="20"/>
          <w:szCs w:val="20"/>
          <w:color w:val="auto"/>
        </w:rPr>
      </w:pPr>
      <w:r>
        <w:rPr>
          <w:rFonts w:ascii="Arial" w:cs="Arial" w:eastAsia="Arial" w:hAnsi="Arial"/>
          <w:sz w:val="18"/>
          <w:szCs w:val="18"/>
          <w:color w:val="auto"/>
        </w:rPr>
        <w:t>Due to rounding, totals may not equal the sum of the line items in the table above. 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June 30, 2013 compared to Three and Six Months Ended June 30, 2012</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the three months ended June 30, 2013 increased $7.8 million, or 44%, to $25.7 million from $17.8 million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2012. Our fiscal quarter ended June 30, 2013 represented our 50</w:t>
      </w:r>
      <w:r>
        <w:rPr>
          <w:rFonts w:ascii="Arial" w:cs="Arial" w:eastAsia="Arial" w:hAnsi="Arial"/>
          <w:sz w:val="11"/>
          <w:szCs w:val="11"/>
          <w:color w:val="auto"/>
        </w:rPr>
        <w:t>th</w:t>
      </w:r>
      <w:r>
        <w:rPr>
          <w:rFonts w:ascii="Arial" w:cs="Arial" w:eastAsia="Arial" w:hAnsi="Arial"/>
          <w:sz w:val="18"/>
          <w:szCs w:val="18"/>
          <w:color w:val="auto"/>
        </w:rPr>
        <w:t xml:space="preserve"> consecutive quarter of increased revenues. Revenues for the six months ended June 30, 2013 increased $15.1 million, or 44%, to $49.4 million from $34.4 million for the same period in 2012.</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The increase in revenues for both the three and six month periods resulted from two primary factors: the increase in recurring revenue customers and the increase in annualized average recurring revenues per recurring revenue customer, which we also refer to as wallet share.</w:t>
      </w:r>
    </w:p>
    <w:p>
      <w:pPr>
        <w:spacing w:after="0" w:line="4" w:lineRule="exact"/>
        <w:rPr>
          <w:sz w:val="20"/>
          <w:szCs w:val="20"/>
          <w:color w:val="auto"/>
        </w:rPr>
      </w:pPr>
    </w:p>
    <w:p>
      <w:pPr>
        <w:ind w:left="1120" w:hanging="315"/>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number of recurring revenue customers increased 11% to 18,871 at June 30, 2013 from 17,035 at June 30, 2012.</w:t>
      </w:r>
    </w:p>
    <w:p>
      <w:pPr>
        <w:spacing w:after="0" w:line="90" w:lineRule="exact"/>
        <w:rPr>
          <w:rFonts w:ascii="Arial" w:cs="Arial" w:eastAsia="Arial" w:hAnsi="Arial"/>
          <w:sz w:val="18"/>
          <w:szCs w:val="18"/>
          <w:color w:val="auto"/>
        </w:rPr>
      </w:pPr>
    </w:p>
    <w:p>
      <w:pPr>
        <w:ind w:left="1120" w:hanging="315"/>
        <w:spacing w:after="0" w:line="306" w:lineRule="auto"/>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Annualized average recurring revenues per recurring revenue customer increased 33% to $4,869 for the three months ended June 30, 2013 from $3,668 for the same period in 2012. This increase in wallet share was primarily attributable to increased fees resulting from increased usage of our solutions by our recurring revenue customers and growth in larger customers, including those acquired from Edifice in 2012.</w:t>
      </w:r>
    </w:p>
    <w:p>
      <w:pPr>
        <w:spacing w:after="0" w:line="10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Recurring revenues from recurring revenue customers accounted for 88% and 89% of our total revenues for the three and six months ended June 30, 2013, compared to 86% for each of the same periods in 2012. We anticipate that the number of recurring revenue customers and the recurring revenues per recurring revenue customer will continue to increase as we increase the number of solutions we offer and increase the penetration of those solutions across our customer base.</w:t>
      </w:r>
    </w:p>
    <w:p>
      <w:pPr>
        <w:spacing w:after="0" w:line="143"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for the three months ended June 30, 2013 increased $3.1 million, or 64%, to $7.9 million from $4.8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2012. Cost of revenues for the six months ended June 30, 2013 increased $5.7 million, or 62%, to $15.0 million from $9.3 million for the same period in 2012. The increase in cost of revenues for both the three and six month periods in 2013 was primarily due to increased headcount in 2013 which resulted in higher personnel costs. Also contributing to the increase were higher expenses for depreciation and occupancy in 2013 as compared to 2012. As a percentage of revenues, cost of revenues was 31% and 30% for the three and six months ended June 30, 2013, compared to 27% for each of the same periods in 2012. Going forward, we anticipate that cost of revenues will increase in absolute dollars as we continue to expand our business.</w:t>
      </w:r>
    </w:p>
    <w:p>
      <w:pPr>
        <w:spacing w:after="0" w:line="120" w:lineRule="exact"/>
        <w:rPr>
          <w:sz w:val="20"/>
          <w:szCs w:val="20"/>
          <w:color w:val="auto"/>
        </w:rPr>
      </w:pPr>
    </w:p>
    <w:p>
      <w:pPr>
        <w:ind w:right="340" w:firstLine="456"/>
        <w:spacing w:after="0" w:line="305" w:lineRule="auto"/>
        <w:rPr>
          <w:sz w:val="20"/>
          <w:szCs w:val="20"/>
          <w:color w:val="auto"/>
        </w:rPr>
      </w:pPr>
      <w:r>
        <w:rPr>
          <w:rFonts w:ascii="Arial" w:cs="Arial" w:eastAsia="Arial" w:hAnsi="Arial"/>
          <w:sz w:val="15"/>
          <w:szCs w:val="15"/>
          <w:i w:val="1"/>
          <w:iCs w:val="1"/>
          <w:color w:val="auto"/>
        </w:rPr>
        <w:t xml:space="preserve">Sales and Marketing Expenses. </w:t>
      </w:r>
      <w:r>
        <w:rPr>
          <w:rFonts w:ascii="Arial" w:cs="Arial" w:eastAsia="Arial" w:hAnsi="Arial"/>
          <w:sz w:val="15"/>
          <w:szCs w:val="15"/>
          <w:color w:val="auto"/>
        </w:rPr>
        <w:t>Sales and marketing expenses for the three months ended June 30, 2013 increased $2.7 million, or 38%, to $9.6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from $7.0 million for the same period in 2012. Sales and marketing expenses for the six months ended June 30, 2013 increased $5.5 million, or 41%, to</w:t>
      </w:r>
    </w:p>
    <w:p>
      <w:pPr>
        <w:ind w:right="80"/>
        <w:spacing w:after="0" w:line="290" w:lineRule="auto"/>
        <w:rPr>
          <w:sz w:val="20"/>
          <w:szCs w:val="20"/>
          <w:color w:val="auto"/>
        </w:rPr>
      </w:pPr>
      <w:r>
        <w:rPr>
          <w:rFonts w:ascii="Arial" w:cs="Arial" w:eastAsia="Arial" w:hAnsi="Arial"/>
          <w:sz w:val="16"/>
          <w:szCs w:val="16"/>
          <w:color w:val="auto"/>
        </w:rPr>
        <w:t>$18.9 million from $13.4 million for the same period in 2012. The increase in sales and marketing expenses for both the three and six month periods in 2013 was primarily due to increased headcount in 2013, which resulted in higher personnel costs, as well as increased commissions earned by sales personnel from new business. We also had increased expenses for depreciation, stock-based compensation and occupancy in 2013 as compared to 2012. As a percentage of revenues, sales and marketing expenses were 38% for each of the three and six months ended June 30, 2013 compared to 39% for each of the comparable periods in 2012. As we expand our business, we will continue to add resources to our sales and marketing efforts over time, and we expect that these expenses will continue to increase in absolute dollars.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i w:val="1"/>
          <w:iCs w:val="1"/>
          <w:color w:val="auto"/>
        </w:rPr>
        <w:t xml:space="preserve">Research and Development Expenses. </w:t>
      </w:r>
      <w:r>
        <w:rPr>
          <w:rFonts w:ascii="Arial" w:cs="Arial" w:eastAsia="Arial" w:hAnsi="Arial"/>
          <w:sz w:val="15"/>
          <w:szCs w:val="15"/>
          <w:color w:val="auto"/>
        </w:rPr>
        <w:t>Research and development expenses for the three months ended June 30, 2013 increased $827,000, or 45%, to $2.7</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from $1.8 million for the same period in 2012. Research and development expenses for the six months ended June 30, 2013 increased $1.6 million, or 45%, to $5.2 million from $3.6 million for the same period in 2012. The increase in research and development expenses for both the three and six month periods in 2013 was primarily due to increased headcount in 2013, which resulted in higher personnel costs, as well as increased depreciation expense in 2013 as compared to 2012. As a percentage of revenues, research and development expenses were 10% for each of the three and six months ended June 30, 2013 and 2012. As we enhance and expand our solutions and applications, we expect that research and development expenses will continue to increase in absolute dollars.</w:t>
      </w:r>
    </w:p>
    <w:p>
      <w:pPr>
        <w:spacing w:after="0" w:line="10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for the three months ended June 30, 2013 increased $1.0 million, or 33%, to</w:t>
      </w:r>
      <w:r>
        <w:rPr>
          <w:rFonts w:ascii="Arial" w:cs="Arial" w:eastAsia="Arial" w:hAnsi="Arial"/>
          <w:sz w:val="16"/>
          <w:szCs w:val="16"/>
          <w:i w:val="1"/>
          <w:iCs w:val="1"/>
          <w:color w:val="auto"/>
        </w:rPr>
        <w:t xml:space="preserve"> </w:t>
      </w:r>
      <w:r>
        <w:rPr>
          <w:rFonts w:ascii="Arial" w:cs="Arial" w:eastAsia="Arial" w:hAnsi="Arial"/>
          <w:sz w:val="16"/>
          <w:szCs w:val="16"/>
          <w:color w:val="auto"/>
        </w:rPr>
        <w:t>$4.2 million from $3.2 million for the same period in 2012. General and administrative expenses for the six months ended June 30, 2013 increased $1.9 million, or 30%, to $8.3 million from $6.4 million for the same period in 2012. The increase in general and administrative expenses for both the three and six month periods in 2013 was primarily due to increased headcount in 2013, which resulted in higher personnel costs, as well as increased stock-based compensation, depreciation and software maintenance expenses. As a percentage of revenues, general and administrative expenses were approximately 16% for each of the three and six months ended June 30, 2013 compared to approximately 18% for each of the same periods in 2012. Going forward, we expect that general and administrative expenses will continue to increase in absolute dollars as we expand our business.</w:t>
      </w:r>
    </w:p>
    <w:p>
      <w:pPr>
        <w:spacing w:after="0" w:line="118"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Amortization expense was $717,000 and $1.4 million for the three and six months ended June 30, 2013,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$260,000 and $520,000 for the same periods in 2012. The increase in amortization expense in 2013 from 2012 was the result of the August 2012 acquisition of Edifice.</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Income Tax Expense. </w:t>
      </w:r>
      <w:r>
        <w:rPr>
          <w:rFonts w:ascii="Arial" w:cs="Arial" w:eastAsia="Arial" w:hAnsi="Arial"/>
          <w:sz w:val="16"/>
          <w:szCs w:val="16"/>
          <w:color w:val="auto"/>
        </w:rPr>
        <w:t>We recorded income tax expense of $169,000 and $103,000 for the three and six months ended June 30, 2013, compared to $300,000</w:t>
      </w:r>
      <w:r>
        <w:rPr>
          <w:rFonts w:ascii="Arial" w:cs="Arial" w:eastAsia="Arial" w:hAnsi="Arial"/>
          <w:sz w:val="16"/>
          <w:szCs w:val="16"/>
          <w:i w:val="1"/>
          <w:iCs w:val="1"/>
          <w:color w:val="auto"/>
        </w:rPr>
        <w:t xml:space="preserve"> </w:t>
      </w:r>
      <w:r>
        <w:rPr>
          <w:rFonts w:ascii="Arial" w:cs="Arial" w:eastAsia="Arial" w:hAnsi="Arial"/>
          <w:sz w:val="16"/>
          <w:szCs w:val="16"/>
          <w:color w:val="auto"/>
        </w:rPr>
        <w:t>and $453,000 for the three and six months ended June 30, 2012. We record our interim provision for income taxes based on our estimated annual effective tax rate for the year. Differences between our effective tax rate and statutory tax rates are primarily due to the impact of meals, entertainment and employee stock purchase plan expenses, as well as the federal R&amp;D credit. Our provisions for income taxes included current foreign and state income tax expense, as well as deferred tax expense. The decrease in income tax expense for the six months ended June 30, 2013, compared to the six months ended June 30, 2012, was primarily due to a discrete tax benefit of $117,000 in 2013 for the retroactive benefit of the 2012 federal R&amp;D credit. The American Taxpayer Relief Act of 2012 was enacted on January 2, 2013 and extended the federal R&amp;D credit from January 1, 2012 through December 31, 2013.</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Adjusted EBITDA, which is a non-GAAP measure of financial performance, consists of net income plus depreciation and amortization,</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expense, interest income, income tax expense and non-cash, stock-based compensation expense. We use Adjusted EBITDA as a measure of operating performance because it assists us in comparing performance on a consistent basis, as it removes from our operating results the impact of our capital structure.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Adjusted EBITDA (in thousands):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6"/>
          </w:tcPr>
          <w:p>
            <w:pPr>
              <w:jc w:val="right"/>
              <w:ind w:right="360"/>
              <w:spacing w:after="0"/>
              <w:rPr>
                <w:sz w:val="20"/>
                <w:szCs w:val="20"/>
                <w:color w:val="auto"/>
              </w:rPr>
            </w:pPr>
            <w:r>
              <w:rPr>
                <w:rFonts w:ascii="Arial" w:cs="Arial" w:eastAsia="Arial" w:hAnsi="Arial"/>
                <w:sz w:val="14"/>
                <w:szCs w:val="14"/>
                <w:color w:val="auto"/>
                <w:w w:val="87"/>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jc w:val="right"/>
              <w:ind w:right="300"/>
              <w:spacing w:after="0"/>
              <w:rPr>
                <w:sz w:val="20"/>
                <w:szCs w:val="20"/>
                <w:color w:val="auto"/>
              </w:rPr>
            </w:pPr>
            <w:r>
              <w:rPr>
                <w:rFonts w:ascii="Arial" w:cs="Arial" w:eastAsia="Arial" w:hAnsi="Arial"/>
                <w:sz w:val="14"/>
                <w:szCs w:val="14"/>
                <w:color w:val="auto"/>
                <w:w w:val="95"/>
              </w:rPr>
              <w:t>Six Months Ended</w:t>
            </w:r>
          </w:p>
        </w:tc>
        <w:tc>
          <w:tcPr>
            <w:tcW w:w="0" w:type="dxa"/>
            <w:vAlign w:val="bottom"/>
          </w:tcPr>
          <w:p>
            <w:pPr>
              <w:spacing w:after="0"/>
              <w:rPr>
                <w:sz w:val="1"/>
                <w:szCs w:val="1"/>
                <w:color w:val="auto"/>
              </w:rPr>
            </w:pPr>
          </w:p>
        </w:tc>
      </w:tr>
      <w:tr>
        <w:trPr>
          <w:trHeight w:val="159"/>
        </w:trPr>
        <w:tc>
          <w:tcPr>
            <w:tcW w:w="7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right"/>
              <w:spacing w:after="0" w:line="159" w:lineRule="exact"/>
              <w:rPr>
                <w:sz w:val="20"/>
                <w:szCs w:val="20"/>
                <w:color w:val="auto"/>
              </w:rPr>
            </w:pPr>
            <w:r>
              <w:rPr>
                <w:rFonts w:ascii="Arial" w:cs="Arial" w:eastAsia="Arial" w:hAnsi="Arial"/>
                <w:sz w:val="14"/>
                <w:szCs w:val="14"/>
                <w:color w:val="auto"/>
              </w:rPr>
              <w:t>June 30,</w:t>
            </w:r>
          </w:p>
        </w:tc>
        <w:tc>
          <w:tcPr>
            <w:tcW w:w="4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4"/>
          </w:tcPr>
          <w:p>
            <w:pPr>
              <w:jc w:val="right"/>
              <w:spacing w:after="0" w:line="159" w:lineRule="exact"/>
              <w:rPr>
                <w:sz w:val="20"/>
                <w:szCs w:val="20"/>
                <w:color w:val="auto"/>
              </w:rPr>
            </w:pPr>
            <w:r>
              <w:rPr>
                <w:rFonts w:ascii="Arial" w:cs="Arial" w:eastAsia="Arial" w:hAnsi="Arial"/>
                <w:sz w:val="14"/>
                <w:szCs w:val="14"/>
                <w:color w:val="auto"/>
              </w:rPr>
              <w:t>June 30,</w:t>
            </w:r>
          </w:p>
        </w:tc>
        <w:tc>
          <w:tcPr>
            <w:tcW w:w="4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color w:val="auto"/>
                <w:w w:val="83"/>
              </w:rPr>
              <w:t>2013</w:t>
            </w:r>
          </w:p>
        </w:tc>
        <w:tc>
          <w:tcPr>
            <w:tcW w:w="2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9"/>
              </w:rPr>
              <w:t>2012</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color w:val="auto"/>
                <w:w w:val="83"/>
              </w:rPr>
              <w:t>2013</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color w:val="auto"/>
                <w:w w:val="89"/>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ind w:left="440"/>
              <w:spacing w:after="0"/>
              <w:rPr>
                <w:sz w:val="20"/>
                <w:szCs w:val="20"/>
                <w:color w:val="auto"/>
              </w:rPr>
            </w:pPr>
            <w:r>
              <w:rPr>
                <w:rFonts w:ascii="Arial" w:cs="Arial" w:eastAsia="Arial" w:hAnsi="Arial"/>
                <w:sz w:val="18"/>
                <w:szCs w:val="18"/>
                <w:color w:val="auto"/>
              </w:rPr>
              <w:t>Depreciation and amortization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1,182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2,353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1,244</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1,434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7220" w:type="dxa"/>
            <w:vAlign w:val="bottom"/>
          </w:tcPr>
          <w:p>
            <w:pPr>
              <w:ind w:left="44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34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2,334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4,332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2,871</w:t>
            </w:r>
          </w:p>
        </w:tc>
        <w:tc>
          <w:tcPr>
            <w:tcW w:w="0" w:type="dxa"/>
            <w:vAlign w:val="bottom"/>
          </w:tcPr>
          <w:p>
            <w:pPr>
              <w:spacing w:after="0"/>
              <w:rPr>
                <w:sz w:val="1"/>
                <w:szCs w:val="1"/>
                <w:color w:val="auto"/>
              </w:rPr>
            </w:pPr>
          </w:p>
        </w:tc>
      </w:tr>
      <w:tr>
        <w:trPr>
          <w:trHeight w:val="217"/>
        </w:trPr>
        <w:tc>
          <w:tcPr>
            <w:tcW w:w="7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1,111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2,035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1,327</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2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3,445</w:t>
            </w:r>
          </w:p>
        </w:tc>
        <w:tc>
          <w:tcPr>
            <w:tcW w:w="3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2,340</w:t>
            </w:r>
          </w:p>
        </w:tc>
        <w:tc>
          <w:tcPr>
            <w:tcW w:w="2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6,367</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4,198</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i w:val="1"/>
          <w:iCs w:val="1"/>
          <w:color w:val="auto"/>
        </w:rPr>
        <w:t xml:space="preserve">Non-GAAP Income Per Share. </w:t>
      </w:r>
      <w:r>
        <w:rPr>
          <w:rFonts w:ascii="Arial" w:cs="Arial" w:eastAsia="Arial" w:hAnsi="Arial"/>
          <w:sz w:val="18"/>
          <w:szCs w:val="18"/>
          <w:color w:val="auto"/>
        </w:rPr>
        <w:t>Non-GAAP income per share, which is also a non-GAAP measure of financial performance, consists of net income plus</w:t>
      </w:r>
      <w:r>
        <w:rPr>
          <w:rFonts w:ascii="Arial" w:cs="Arial" w:eastAsia="Arial" w:hAnsi="Arial"/>
          <w:sz w:val="18"/>
          <w:szCs w:val="18"/>
          <w:i w:val="1"/>
          <w:iCs w:val="1"/>
          <w:color w:val="auto"/>
        </w:rPr>
        <w:t xml:space="preserve"> </w:t>
      </w:r>
      <w:r>
        <w:rPr>
          <w:rFonts w:ascii="Arial" w:cs="Arial" w:eastAsia="Arial" w:hAnsi="Arial"/>
          <w:sz w:val="18"/>
          <w:szCs w:val="18"/>
          <w:color w:val="auto"/>
        </w:rPr>
        <w:t>non-cash, stock-based compensation expense and amortization expense related to intangible assets divided by the weighted average number of shares of common stock outstanding during each period. We believe non-GAAP income per share is useful to an investor because it is widely used to measure a company’s operating performance.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net income to non-GAAP income per share (in thousands, except per share amounts):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154"/>
              <w:spacing w:after="0"/>
              <w:rPr>
                <w:sz w:val="20"/>
                <w:szCs w:val="20"/>
                <w:color w:val="auto"/>
              </w:rPr>
            </w:pPr>
            <w:r>
              <w:rPr>
                <w:rFonts w:ascii="Arial" w:cs="Arial" w:eastAsia="Arial" w:hAnsi="Arial"/>
                <w:sz w:val="14"/>
                <w:szCs w:val="14"/>
                <w:color w:val="auto"/>
                <w:w w:val="97"/>
              </w:rPr>
              <w:t>Three Months Ended</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5"/>
          </w:tcPr>
          <w:p>
            <w:pPr>
              <w:ind w:left="220"/>
              <w:spacing w:after="0"/>
              <w:rPr>
                <w:sz w:val="20"/>
                <w:szCs w:val="20"/>
                <w:color w:val="auto"/>
              </w:rPr>
            </w:pPr>
            <w:r>
              <w:rPr>
                <w:rFonts w:ascii="Arial" w:cs="Arial" w:eastAsia="Arial" w:hAnsi="Arial"/>
                <w:sz w:val="14"/>
                <w:szCs w:val="14"/>
                <w:color w:val="auto"/>
              </w:rPr>
              <w:t>Six Months Ended</w:t>
            </w:r>
          </w:p>
        </w:tc>
      </w:tr>
      <w:tr>
        <w:trPr>
          <w:trHeight w:val="159"/>
        </w:trPr>
        <w:tc>
          <w:tcPr>
            <w:tcW w:w="44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43"/>
              <w:spacing w:after="0" w:line="159" w:lineRule="exact"/>
              <w:rPr>
                <w:sz w:val="20"/>
                <w:szCs w:val="20"/>
                <w:color w:val="auto"/>
              </w:rPr>
            </w:pPr>
            <w:r>
              <w:rPr>
                <w:rFonts w:ascii="Arial" w:cs="Arial" w:eastAsia="Arial" w:hAnsi="Arial"/>
                <w:sz w:val="14"/>
                <w:szCs w:val="14"/>
                <w:color w:val="auto"/>
                <w:w w:val="81"/>
              </w:rPr>
              <w:t>June 30,</w:t>
            </w:r>
          </w:p>
        </w:tc>
        <w:tc>
          <w:tcPr>
            <w:tcW w:w="480" w:type="dxa"/>
            <w:vAlign w:val="bottom"/>
            <w:tcBorders>
              <w:bottom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12"/>
              <w:spacing w:after="0" w:line="159" w:lineRule="exact"/>
              <w:rPr>
                <w:sz w:val="20"/>
                <w:szCs w:val="20"/>
                <w:color w:val="auto"/>
              </w:rPr>
            </w:pPr>
            <w:r>
              <w:rPr>
                <w:rFonts w:ascii="Arial" w:cs="Arial" w:eastAsia="Arial" w:hAnsi="Arial"/>
                <w:sz w:val="14"/>
                <w:szCs w:val="14"/>
                <w:color w:val="auto"/>
                <w:w w:val="81"/>
              </w:rPr>
              <w:t>June 30,</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460" w:type="dxa"/>
            <w:vAlign w:val="bottom"/>
            <w:tcBorders>
              <w:bottom w:val="single" w:sz="8" w:color="CCEEFF"/>
            </w:tcBorders>
          </w:tcPr>
          <w:p>
            <w:pPr>
              <w:spacing w:after="0"/>
              <w:rPr>
                <w:sz w:val="12"/>
                <w:szCs w:val="12"/>
                <w:color w:val="auto"/>
              </w:rPr>
            </w:pPr>
          </w:p>
        </w:tc>
        <w:tc>
          <w:tcPr>
            <w:tcW w:w="2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2013</w:t>
            </w: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color w:val="auto"/>
                <w:w w:val="96"/>
              </w:rPr>
              <w:t>2012</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color w:val="auto"/>
              </w:rPr>
              <w:t>2013</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Stock-based compensation expense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1,111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715</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2,035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w:t>
            </w:r>
          </w:p>
        </w:tc>
        <w:tc>
          <w:tcPr>
            <w:tcW w:w="2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8"/>
                <w:szCs w:val="18"/>
                <w:color w:val="auto"/>
              </w:rPr>
            </w:pPr>
          </w:p>
        </w:tc>
      </w:tr>
      <w:tr>
        <w:trPr>
          <w:trHeight w:val="222"/>
        </w:trPr>
        <w:tc>
          <w:tcPr>
            <w:tcW w:w="4460" w:type="dxa"/>
            <w:vAlign w:val="bottom"/>
          </w:tcPr>
          <w:p>
            <w:pPr>
              <w:spacing w:after="0"/>
              <w:rPr>
                <w:sz w:val="20"/>
                <w:szCs w:val="20"/>
                <w:color w:val="auto"/>
              </w:rPr>
            </w:pPr>
            <w:r>
              <w:rPr>
                <w:rFonts w:ascii="Arial" w:cs="Arial" w:eastAsia="Arial" w:hAnsi="Arial"/>
                <w:sz w:val="18"/>
                <w:szCs w:val="18"/>
                <w:color w:val="auto"/>
              </w:rPr>
              <w:t>Non-GAAP income</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2,116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1,401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3,956</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non-GAAP income per share</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Basic</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15,076</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12,284</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14,983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12,224</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15,785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13,026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15,677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13,106</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Non-GAAP income per share</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8"/>
                <w:szCs w:val="18"/>
                <w:color w:val="auto"/>
              </w:rPr>
            </w:pPr>
          </w:p>
        </w:tc>
      </w:tr>
      <w:tr>
        <w:trPr>
          <w:trHeight w:val="222"/>
        </w:trPr>
        <w:tc>
          <w:tcPr>
            <w:tcW w:w="4460" w:type="dxa"/>
            <w:vAlign w:val="bottom"/>
          </w:tcPr>
          <w:p>
            <w:pPr>
              <w:ind w:left="440"/>
              <w:spacing w:after="0"/>
              <w:rPr>
                <w:sz w:val="20"/>
                <w:szCs w:val="20"/>
                <w:color w:val="auto"/>
              </w:rPr>
            </w:pPr>
            <w:r>
              <w:rPr>
                <w:rFonts w:ascii="Arial" w:cs="Arial" w:eastAsia="Arial" w:hAnsi="Arial"/>
                <w:sz w:val="18"/>
                <w:szCs w:val="18"/>
                <w:color w:val="auto"/>
              </w:rPr>
              <w:t>Diluted</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19"/>
                <w:szCs w:val="19"/>
                <w:color w:val="auto"/>
              </w:rPr>
            </w:pPr>
          </w:p>
        </w:tc>
      </w:tr>
      <w:tr>
        <w:trPr>
          <w:trHeight w:val="356"/>
        </w:trPr>
        <w:tc>
          <w:tcPr>
            <w:tcW w:w="4460" w:type="dxa"/>
            <w:vAlign w:val="bottom"/>
          </w:tcPr>
          <w:p>
            <w:pPr>
              <w:spacing w:after="0"/>
              <w:rPr>
                <w:sz w:val="24"/>
                <w:szCs w:val="24"/>
                <w:color w:val="auto"/>
              </w:rPr>
            </w:pPr>
          </w:p>
        </w:tc>
        <w:tc>
          <w:tcPr>
            <w:tcW w:w="2200" w:type="dxa"/>
            <w:vAlign w:val="bottom"/>
          </w:tcPr>
          <w:p>
            <w:pPr>
              <w:jc w:val="right"/>
              <w:ind w:right="12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At June 30, 2013, our principal sources of liquidity were cash and cash equivalents of $75.1 million and accounts receivable, net of allowance for doubtful accounts, of $11.7 million. Our working capital at June 30, 2013 was $82.1 million compared to $77.0 million at December 31, 2012. The increase in working capital from December 31, 2012 to June 30, 2013 resulted from the following:</w:t>
      </w:r>
    </w:p>
    <w:p>
      <w:pPr>
        <w:spacing w:after="0" w:line="59" w:lineRule="exact"/>
        <w:rPr>
          <w:sz w:val="20"/>
          <w:szCs w:val="20"/>
          <w:color w:val="auto"/>
        </w:rPr>
      </w:pPr>
    </w:p>
    <w:p>
      <w:pPr>
        <w:ind w:left="9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$9.1 million increase in cash and cash equivalents, due primarily to the $8.6 million of cash provided by operations and the $2.2 million of cash received from the exercise of stock options and proceeds from our employee stock purchase plan, reduced by the $1.7 million of cash used for capital expenditures;</w:t>
      </w:r>
    </w:p>
    <w:p>
      <w:pPr>
        <w:spacing w:after="0" w:line="59"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$767,000 increase in net accounts receivable, as new accounts slightly exceeded collections of outstanding balances for the six months ended June 30, 2013;</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5"/>
          <w:szCs w:val="15"/>
          <w:color w:val="auto"/>
        </w:rPr>
      </w:pPr>
      <w:r>
        <w:rPr>
          <w:rFonts w:ascii="Arial" w:cs="Arial" w:eastAsia="Arial" w:hAnsi="Arial"/>
          <w:sz w:val="15"/>
          <w:szCs w:val="15"/>
          <w:color w:val="auto"/>
        </w:rPr>
        <w:t>$942,000 increase in deferred costs, current, for expenses related to increased implementation resources and commission payments for new business;</w:t>
      </w:r>
    </w:p>
    <w:p>
      <w:pPr>
        <w:spacing w:after="0" w:line="124" w:lineRule="exact"/>
        <w:rPr>
          <w:rFonts w:ascii="Arial" w:cs="Arial" w:eastAsia="Arial" w:hAnsi="Arial"/>
          <w:sz w:val="15"/>
          <w:szCs w:val="15"/>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$2.5 million decrease in prepaid expenses and other current assets, primarily related to the Edifice acquisition in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$207,000 decrease in accounts payable, primarily due to timing of payments;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$473,000 increase in accrued compensation and benefits, due primarily to increased headcount and payroll timing;</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$2.3 million increase in accrued expenses and other current liabilities due primarily to the future payments required under a software licensing agreement;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$675,000 increase in deferred revenue, current, due to new business for the six months ended June 30,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Operating Activities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Net cash provided by operating activities was $8.6 million for the six months ended June 30, 2013 compared to $4.6 million for the same period in 2012. The slight decrease in net income, the changes in non-cash expenses, including increased depreciation, amortization and stock-based compensation, and the changes in our working capital accounts, including those discussed above, resulted in the overall increase in net cash provided by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Investing Activities</w:t>
      </w:r>
    </w:p>
    <w:p>
      <w:pPr>
        <w:spacing w:after="0" w:line="9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Net cash used in investing activities was $1.7 million and $1.9 million for the six months ended June 30, 2013 and 2012, respectively, all for capital expenditures. Our capital expenditures are for supporting our business growth and existing customer base, as well as for our internal use such as equipment for our 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Flows from Financing Activities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Net cash provided by financing activities was $2.2 million and $835,000 for the six months ended June 30, 2013 and 2012, respectively, all related to the exercise of stock options and proceeds from our employee stock purchase plan.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have a revolving credit agreement with JPMorgan Chase Bank, N.A. that will mature on September 30, 2016. The revolving credit agreement provides for a $20 million revolving credit facility that we may draw upon from time to time, subject to certain terms and conditions. There were no borrowings outstanding at June 30, 2013 and we were in compliance with all covenants under the revolving credit agreement as of that date.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Adequacy of Capital Resources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Our future capital requirements may vary significantly from those now planned and will depend on many factors, including the costs to develop and implement new solutions and applications, the sales and marketing resources needed to further penetrate our market and gain acceptance of new solutions and applications we develop, the expansion of our operations in the United States and internationally, the response of competitors to our solutions and applications and our use of capital for acquisitions, if any. Historically, we have experienced increases in our expenditures consistent with the growth in our operations and personnel, and we anticipate that our expenditures will continue to increase as we grow our business.</w:t>
      </w:r>
    </w:p>
    <w:p>
      <w:pPr>
        <w:spacing w:after="0" w:line="1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We believe our cash and cash equivalents and our cash flows from operations will be sufficient to meet our working capital and capital expenditure requirements for at least the next twelve months.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Inflation and changing prices did not have a material effect on our business during the six months ended June 30, 2013. We do not expect that inflation or changing prices will materially affect our business in the foreseeable future.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and cash flows are not materially affected by fluctuations in foreign currency exchange rates.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 Risk</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fixed rate debt, interest rate changes affect the fair value of financial instruments but do not impact earnings or cash flows. Conversely, for floating rate debt, interest rate changes generally do not affect the fair market value but do impact future earnings and cash flows, assuming other factors are held constant. The principal objectives of our investment activities are to preserve principal, provide liquidity and maximize income consistent with minimizing risk of material loss. The recorded carrying amounts of cash and cash equivalents approximate fair value due to their short maturities. We did not have any outstanding debt as of June 30, 2013. We therefore do not have any material risk to interest rate fluctuations unless we borrow under our credit facility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results of operations and cash flows are not materially affected by fluctuations in foreign currency exchange rates.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June 30, 2013.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2013 that have materially affected, or are reasonably likely to materially affect, our internal control over financial reporting.</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2012 as filed with the Securities and Exchange Commission on March 6,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exhibits filed as part of this Quarterly Report on Form 10-Q are listed in the Exhibit Index immediately following the signatures to this report.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August 1, 2013</w:t>
      </w:r>
      <w:r>
        <w:rPr>
          <w:sz w:val="20"/>
          <w:szCs w:val="20"/>
          <w:color w:val="auto"/>
        </w:rPr>
        <w:tab/>
      </w:r>
      <w:r>
        <w:rPr>
          <w:rFonts w:ascii="Arial" w:cs="Arial" w:eastAsia="Arial" w:hAnsi="Arial"/>
          <w:sz w:val="16"/>
          <w:szCs w:val="16"/>
          <w:b w:val="1"/>
          <w:bCs w:val="1"/>
          <w:color w:val="auto"/>
        </w:rPr>
        <w:t>SPS COMMERCE, INC.</w:t>
      </w:r>
    </w:p>
    <w:p>
      <w:pPr>
        <w:spacing w:after="0" w:line="23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3395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16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240" w:top="459" w:right="7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10800" w:type="dxa"/>
            <w:vAlign w:val="bottom"/>
            <w:gridSpan w:val="3"/>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42"/>
        </w:trPr>
        <w:tc>
          <w:tcPr>
            <w:tcW w:w="460" w:type="dxa"/>
            <w:vAlign w:val="bottom"/>
          </w:tcPr>
          <w:p>
            <w:pPr>
              <w:jc w:val="right"/>
              <w:spacing w:after="0"/>
              <w:rPr>
                <w:sz w:val="20"/>
                <w:szCs w:val="20"/>
                <w:color w:val="auto"/>
              </w:rPr>
            </w:pPr>
            <w:r>
              <w:rPr>
                <w:rFonts w:ascii="Arial" w:cs="Arial" w:eastAsia="Arial" w:hAnsi="Arial"/>
                <w:sz w:val="14"/>
                <w:szCs w:val="14"/>
                <w:i w:val="1"/>
                <w:iCs w:val="1"/>
                <w:color w:val="auto"/>
                <w:w w:val="99"/>
              </w:rPr>
              <w:t>Exhibit</w:t>
            </w:r>
          </w:p>
        </w:tc>
        <w:tc>
          <w:tcPr>
            <w:tcW w:w="5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166"/>
        </w:trPr>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i w:val="1"/>
                <w:iCs w:val="1"/>
                <w:color w:val="auto"/>
                <w:w w:val="88"/>
              </w:rPr>
              <w:t>Number</w:t>
            </w:r>
          </w:p>
        </w:tc>
        <w:tc>
          <w:tcPr>
            <w:tcW w:w="5420" w:type="dxa"/>
            <w:vAlign w:val="bottom"/>
          </w:tcPr>
          <w:p>
            <w:pPr>
              <w:spacing w:after="0"/>
              <w:rPr>
                <w:sz w:val="14"/>
                <w:szCs w:val="14"/>
                <w:color w:val="auto"/>
              </w:rPr>
            </w:pPr>
          </w:p>
        </w:tc>
        <w:tc>
          <w:tcPr>
            <w:tcW w:w="68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i w:val="1"/>
                <w:iCs w:val="1"/>
                <w:color w:val="auto"/>
                <w:w w:val="91"/>
              </w:rPr>
              <w:t>Description</w:t>
            </w:r>
          </w:p>
        </w:tc>
        <w:tc>
          <w:tcPr>
            <w:tcW w:w="4700" w:type="dxa"/>
            <w:vAlign w:val="bottom"/>
          </w:tcPr>
          <w:p>
            <w:pPr>
              <w:spacing w:after="0"/>
              <w:rPr>
                <w:sz w:val="14"/>
                <w:szCs w:val="14"/>
                <w:color w:val="auto"/>
              </w:rPr>
            </w:pPr>
          </w:p>
        </w:tc>
      </w:tr>
      <w:tr>
        <w:trPr>
          <w:trHeight w:val="316"/>
        </w:trPr>
        <w:tc>
          <w:tcPr>
            <w:tcW w:w="460" w:type="dxa"/>
            <w:vAlign w:val="bottom"/>
          </w:tcPr>
          <w:p>
            <w:pPr>
              <w:jc w:val="right"/>
              <w:ind w:right="58"/>
              <w:spacing w:after="0"/>
              <w:rPr>
                <w:sz w:val="20"/>
                <w:szCs w:val="20"/>
                <w:color w:val="auto"/>
              </w:rPr>
            </w:pPr>
            <w:r>
              <w:rPr>
                <w:rFonts w:ascii="Arial" w:cs="Arial" w:eastAsia="Arial" w:hAnsi="Arial"/>
                <w:sz w:val="18"/>
                <w:szCs w:val="18"/>
                <w:color w:val="auto"/>
              </w:rPr>
              <w:t>3.1</w:t>
            </w:r>
          </w:p>
        </w:tc>
        <w:tc>
          <w:tcPr>
            <w:tcW w:w="10800" w:type="dxa"/>
            <w:vAlign w:val="bottom"/>
            <w:gridSpan w:val="3"/>
          </w:tcPr>
          <w:p>
            <w:pPr>
              <w:ind w:left="560"/>
              <w:spacing w:after="0"/>
              <w:rPr>
                <w:sz w:val="20"/>
                <w:szCs w:val="20"/>
                <w:color w:val="auto"/>
              </w:rPr>
            </w:pPr>
            <w:r>
              <w:rPr>
                <w:rFonts w:ascii="Arial" w:cs="Arial" w:eastAsia="Arial" w:hAnsi="Arial"/>
                <w:sz w:val="18"/>
                <w:szCs w:val="18"/>
                <w:color w:val="auto"/>
                <w:w w:val="90"/>
              </w:rPr>
              <w:t>Certificate of Incorporation (incorporated by reference to Exhibit 4.1 to our Registration Statement on Form S-3 (File No. 333-182097) filed with</w:t>
            </w:r>
          </w:p>
        </w:tc>
      </w:tr>
      <w:tr>
        <w:trPr>
          <w:trHeight w:val="222"/>
        </w:trPr>
        <w:tc>
          <w:tcPr>
            <w:tcW w:w="460" w:type="dxa"/>
            <w:vAlign w:val="bottom"/>
          </w:tcPr>
          <w:p>
            <w:pPr>
              <w:spacing w:after="0"/>
              <w:rPr>
                <w:sz w:val="19"/>
                <w:szCs w:val="19"/>
                <w:color w:val="auto"/>
              </w:rPr>
            </w:pPr>
          </w:p>
        </w:tc>
        <w:tc>
          <w:tcPr>
            <w:tcW w:w="10800" w:type="dxa"/>
            <w:vAlign w:val="bottom"/>
            <w:gridSpan w:val="3"/>
          </w:tcPr>
          <w:p>
            <w:pPr>
              <w:ind w:left="560"/>
              <w:spacing w:after="0"/>
              <w:rPr>
                <w:sz w:val="20"/>
                <w:szCs w:val="20"/>
                <w:color w:val="auto"/>
              </w:rPr>
            </w:pPr>
            <w:r>
              <w:rPr>
                <w:rFonts w:ascii="Arial" w:cs="Arial" w:eastAsia="Arial" w:hAnsi="Arial"/>
                <w:sz w:val="18"/>
                <w:szCs w:val="18"/>
                <w:color w:val="auto"/>
              </w:rPr>
              <w:t>the Commission on June 13, 2012).</w:t>
            </w:r>
          </w:p>
        </w:tc>
      </w:tr>
      <w:tr>
        <w:trPr>
          <w:trHeight w:val="318"/>
        </w:trPr>
        <w:tc>
          <w:tcPr>
            <w:tcW w:w="460" w:type="dxa"/>
            <w:vAlign w:val="bottom"/>
          </w:tcPr>
          <w:p>
            <w:pPr>
              <w:jc w:val="right"/>
              <w:ind w:right="58"/>
              <w:spacing w:after="0"/>
              <w:rPr>
                <w:sz w:val="20"/>
                <w:szCs w:val="20"/>
                <w:color w:val="auto"/>
              </w:rPr>
            </w:pPr>
            <w:r>
              <w:rPr>
                <w:rFonts w:ascii="Arial" w:cs="Arial" w:eastAsia="Arial" w:hAnsi="Arial"/>
                <w:sz w:val="18"/>
                <w:szCs w:val="18"/>
                <w:color w:val="auto"/>
              </w:rPr>
              <w:t>3.2</w:t>
            </w:r>
          </w:p>
        </w:tc>
        <w:tc>
          <w:tcPr>
            <w:tcW w:w="10800" w:type="dxa"/>
            <w:vAlign w:val="bottom"/>
            <w:gridSpan w:val="3"/>
          </w:tcPr>
          <w:p>
            <w:pPr>
              <w:ind w:left="560"/>
              <w:spacing w:after="0"/>
              <w:rPr>
                <w:sz w:val="20"/>
                <w:szCs w:val="20"/>
                <w:color w:val="auto"/>
              </w:rPr>
            </w:pPr>
            <w:r>
              <w:rPr>
                <w:rFonts w:ascii="Arial" w:cs="Arial" w:eastAsia="Arial" w:hAnsi="Arial"/>
                <w:sz w:val="18"/>
                <w:szCs w:val="18"/>
                <w:color w:val="auto"/>
                <w:w w:val="90"/>
              </w:rPr>
              <w:t>Bylaws (incorporated by reference to Exhibit 3.2 to our Registration Statement on Form S-1/A (File No. 333-163476) filed with the Commission</w:t>
            </w:r>
          </w:p>
        </w:tc>
      </w:tr>
      <w:tr>
        <w:trPr>
          <w:trHeight w:val="222"/>
        </w:trPr>
        <w:tc>
          <w:tcPr>
            <w:tcW w:w="460" w:type="dxa"/>
            <w:vAlign w:val="bottom"/>
          </w:tcPr>
          <w:p>
            <w:pPr>
              <w:spacing w:after="0"/>
              <w:rPr>
                <w:sz w:val="19"/>
                <w:szCs w:val="19"/>
                <w:color w:val="auto"/>
              </w:rPr>
            </w:pPr>
          </w:p>
        </w:tc>
        <w:tc>
          <w:tcPr>
            <w:tcW w:w="10800" w:type="dxa"/>
            <w:vAlign w:val="bottom"/>
            <w:gridSpan w:val="3"/>
          </w:tcPr>
          <w:p>
            <w:pPr>
              <w:ind w:left="560"/>
              <w:spacing w:after="0"/>
              <w:rPr>
                <w:sz w:val="20"/>
                <w:szCs w:val="20"/>
                <w:color w:val="auto"/>
              </w:rPr>
            </w:pPr>
            <w:r>
              <w:rPr>
                <w:rFonts w:ascii="Arial" w:cs="Arial" w:eastAsia="Arial" w:hAnsi="Arial"/>
                <w:sz w:val="18"/>
                <w:szCs w:val="18"/>
                <w:color w:val="auto"/>
              </w:rPr>
              <w:t>on March 5, 2010).</w:t>
            </w:r>
          </w:p>
        </w:tc>
      </w:tr>
      <w:tr>
        <w:trPr>
          <w:trHeight w:val="324"/>
        </w:trPr>
        <w:tc>
          <w:tcPr>
            <w:tcW w:w="460" w:type="dxa"/>
            <w:vAlign w:val="bottom"/>
          </w:tcPr>
          <w:p>
            <w:pPr>
              <w:jc w:val="right"/>
              <w:ind w:right="58"/>
              <w:spacing w:after="0"/>
              <w:rPr>
                <w:sz w:val="20"/>
                <w:szCs w:val="20"/>
                <w:color w:val="auto"/>
              </w:rPr>
            </w:pPr>
            <w:r>
              <w:rPr>
                <w:rFonts w:ascii="Arial" w:cs="Arial" w:eastAsia="Arial" w:hAnsi="Arial"/>
                <w:sz w:val="18"/>
                <w:szCs w:val="18"/>
                <w:color w:val="auto"/>
                <w:w w:val="85"/>
              </w:rPr>
              <w:t>31.1</w:t>
            </w:r>
          </w:p>
        </w:tc>
        <w:tc>
          <w:tcPr>
            <w:tcW w:w="10800" w:type="dxa"/>
            <w:vAlign w:val="bottom"/>
            <w:gridSpan w:val="3"/>
          </w:tcPr>
          <w:p>
            <w:pPr>
              <w:ind w:left="560"/>
              <w:spacing w:after="0"/>
              <w:rPr>
                <w:sz w:val="20"/>
                <w:szCs w:val="20"/>
                <w:color w:val="auto"/>
              </w:rPr>
            </w:pPr>
            <w:r>
              <w:rPr>
                <w:rFonts w:ascii="Arial" w:cs="Arial" w:eastAsia="Arial" w:hAnsi="Arial"/>
                <w:sz w:val="18"/>
                <w:szCs w:val="18"/>
                <w:color w:val="auto"/>
                <w:w w:val="89"/>
              </w:rPr>
              <w:t>Certification of Principal Executive Officer pursuant to Rules 13a-14(a) under the Securities Exchange Act of 1934, as amended (filed herewith).</w:t>
            </w:r>
          </w:p>
        </w:tc>
      </w:tr>
      <w:tr>
        <w:trPr>
          <w:trHeight w:val="324"/>
        </w:trPr>
        <w:tc>
          <w:tcPr>
            <w:tcW w:w="460" w:type="dxa"/>
            <w:vAlign w:val="bottom"/>
          </w:tcPr>
          <w:p>
            <w:pPr>
              <w:jc w:val="right"/>
              <w:ind w:right="58"/>
              <w:spacing w:after="0"/>
              <w:rPr>
                <w:sz w:val="20"/>
                <w:szCs w:val="20"/>
                <w:color w:val="auto"/>
              </w:rPr>
            </w:pPr>
            <w:r>
              <w:rPr>
                <w:rFonts w:ascii="Arial" w:cs="Arial" w:eastAsia="Arial" w:hAnsi="Arial"/>
                <w:sz w:val="18"/>
                <w:szCs w:val="18"/>
                <w:color w:val="auto"/>
                <w:w w:val="85"/>
              </w:rPr>
              <w:t>31.2</w:t>
            </w:r>
          </w:p>
        </w:tc>
        <w:tc>
          <w:tcPr>
            <w:tcW w:w="10800" w:type="dxa"/>
            <w:vAlign w:val="bottom"/>
            <w:gridSpan w:val="3"/>
          </w:tcPr>
          <w:p>
            <w:pPr>
              <w:ind w:left="560"/>
              <w:spacing w:after="0"/>
              <w:rPr>
                <w:sz w:val="20"/>
                <w:szCs w:val="20"/>
                <w:color w:val="auto"/>
              </w:rPr>
            </w:pPr>
            <w:r>
              <w:rPr>
                <w:rFonts w:ascii="Arial" w:cs="Arial" w:eastAsia="Arial" w:hAnsi="Arial"/>
                <w:sz w:val="18"/>
                <w:szCs w:val="18"/>
                <w:color w:val="auto"/>
                <w:w w:val="89"/>
              </w:rPr>
              <w:t>Certification of Principal Financial Officer pursuant to Rules 13a-14(a) under the Securities Exchange Act of 1934, as amended (filed herewith).</w:t>
            </w:r>
          </w:p>
        </w:tc>
      </w:tr>
      <w:tr>
        <w:trPr>
          <w:trHeight w:val="318"/>
        </w:trPr>
        <w:tc>
          <w:tcPr>
            <w:tcW w:w="460" w:type="dxa"/>
            <w:vAlign w:val="bottom"/>
          </w:tcPr>
          <w:p>
            <w:pPr>
              <w:jc w:val="right"/>
              <w:ind w:right="58"/>
              <w:spacing w:after="0"/>
              <w:rPr>
                <w:sz w:val="20"/>
                <w:szCs w:val="20"/>
                <w:color w:val="auto"/>
              </w:rPr>
            </w:pPr>
            <w:r>
              <w:rPr>
                <w:rFonts w:ascii="Arial" w:cs="Arial" w:eastAsia="Arial" w:hAnsi="Arial"/>
                <w:sz w:val="18"/>
                <w:szCs w:val="18"/>
                <w:color w:val="auto"/>
                <w:w w:val="85"/>
              </w:rPr>
              <w:t>32.1</w:t>
            </w:r>
          </w:p>
        </w:tc>
        <w:tc>
          <w:tcPr>
            <w:tcW w:w="10800" w:type="dxa"/>
            <w:vAlign w:val="bottom"/>
            <w:gridSpan w:val="3"/>
          </w:tcPr>
          <w:p>
            <w:pPr>
              <w:ind w:left="560"/>
              <w:spacing w:after="0"/>
              <w:rPr>
                <w:sz w:val="20"/>
                <w:szCs w:val="20"/>
                <w:color w:val="auto"/>
              </w:rPr>
            </w:pPr>
            <w:r>
              <w:rPr>
                <w:rFonts w:ascii="Arial" w:cs="Arial" w:eastAsia="Arial" w:hAnsi="Arial"/>
                <w:sz w:val="18"/>
                <w:szCs w:val="18"/>
                <w:color w:val="auto"/>
                <w:w w:val="90"/>
              </w:rPr>
              <w:t>Certification of Chief Executive Officer and Chief Financial Officer pursuant to 18 U.S.C. Sec. 1350, as adopted pursuant to Section 906 of the</w:t>
            </w:r>
          </w:p>
        </w:tc>
      </w:tr>
      <w:tr>
        <w:trPr>
          <w:trHeight w:val="222"/>
        </w:trPr>
        <w:tc>
          <w:tcPr>
            <w:tcW w:w="460" w:type="dxa"/>
            <w:vAlign w:val="bottom"/>
          </w:tcPr>
          <w:p>
            <w:pPr>
              <w:spacing w:after="0"/>
              <w:rPr>
                <w:sz w:val="19"/>
                <w:szCs w:val="19"/>
                <w:color w:val="auto"/>
              </w:rPr>
            </w:pPr>
          </w:p>
        </w:tc>
        <w:tc>
          <w:tcPr>
            <w:tcW w:w="10800" w:type="dxa"/>
            <w:vAlign w:val="bottom"/>
            <w:gridSpan w:val="3"/>
          </w:tcPr>
          <w:p>
            <w:pPr>
              <w:ind w:left="560"/>
              <w:spacing w:after="0"/>
              <w:rPr>
                <w:sz w:val="20"/>
                <w:szCs w:val="20"/>
                <w:color w:val="auto"/>
              </w:rPr>
            </w:pPr>
            <w:r>
              <w:rPr>
                <w:rFonts w:ascii="Arial" w:cs="Arial" w:eastAsia="Arial" w:hAnsi="Arial"/>
                <w:sz w:val="18"/>
                <w:szCs w:val="18"/>
                <w:color w:val="auto"/>
              </w:rPr>
              <w:t>Sarbanes-Oxley Act of 2002 (filed herewith).</w:t>
            </w:r>
          </w:p>
        </w:tc>
      </w:tr>
    </w:tbl>
    <w:p>
      <w:pPr>
        <w:spacing w:after="0" w:line="102" w:lineRule="exact"/>
        <w:rPr>
          <w:sz w:val="20"/>
          <w:szCs w:val="20"/>
          <w:color w:val="auto"/>
        </w:rPr>
      </w:pPr>
    </w:p>
    <w:p>
      <w:pPr>
        <w:ind w:left="5620" w:right="4700" w:hanging="5612"/>
        <w:spacing w:after="0" w:line="525" w:lineRule="auto"/>
        <w:tabs>
          <w:tab w:leader="none" w:pos="101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Interactive Data Files Pursuant to Rule 405 of Regulation S-T (filed herewith). 22</w:t>
      </w:r>
    </w:p>
    <w:p>
      <w:pPr>
        <w:sectPr>
          <w:pgSz w:w="11900" w:h="16838" w:orient="portrait"/>
          <w:cols w:equalWidth="0" w:num="1">
            <w:col w:w="11260"/>
          </w:cols>
          <w:pgMar w:left="240" w:top="459" w:right="39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90"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2013</w:t>
      </w:r>
    </w:p>
    <w:p>
      <w:pPr>
        <w:sectPr>
          <w:pgSz w:w="11900" w:h="16838" w:orient="portrait"/>
          <w:cols w:equalWidth="0" w:num="1">
            <w:col w:w="11420"/>
          </w:cols>
          <w:pgMar w:left="240" w:top="125"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right="2400" w:firstLine="2391"/>
        <w:spacing w:after="0" w:line="394" w:lineRule="auto"/>
        <w:rPr>
          <w:sz w:val="20"/>
          <w:szCs w:val="20"/>
          <w:color w:val="auto"/>
        </w:rPr>
      </w:pPr>
      <w:r>
        <w:rPr>
          <w:rFonts w:ascii="Arial" w:cs="Arial" w:eastAsia="Arial" w:hAnsi="Arial"/>
          <w:sz w:val="18"/>
          <w:szCs w:val="18"/>
          <w:b w:val="1"/>
          <w:bCs w:val="1"/>
          <w:color w:val="auto"/>
        </w:rPr>
        <w:t xml:space="preserve">CERTIFICATION PURSUANT TO SECTION 302 OF THE SARBANES-OXLEY ACT </w:t>
      </w:r>
      <w:r>
        <w:rPr>
          <w:rFonts w:ascii="Arial" w:cs="Arial" w:eastAsia="Arial" w:hAnsi="Arial"/>
          <w:sz w:val="18"/>
          <w:szCs w:val="18"/>
          <w:color w:val="auto"/>
        </w:rPr>
        <w:t>I, Kimberly K. Nelson, certify that:</w:t>
      </w:r>
    </w:p>
    <w:p>
      <w:pPr>
        <w:spacing w:after="0" w:line="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1480" w:right="160" w:hanging="567"/>
        <w:spacing w:after="0" w:line="259"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20" w:hanging="567"/>
        <w:spacing w:after="0" w:line="357" w:lineRule="auto"/>
        <w:tabs>
          <w:tab w:leader="none" w:pos="1480" w:val="left"/>
        </w:tabs>
        <w:numPr>
          <w:ilvl w:val="1"/>
          <w:numId w:val="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00" w:hanging="567"/>
        <w:spacing w:after="0" w:line="259"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20" w:hanging="567"/>
        <w:spacing w:after="0" w:line="268" w:lineRule="auto"/>
        <w:tabs>
          <w:tab w:leader="none" w:pos="1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 2013</w:t>
      </w:r>
    </w:p>
    <w:p>
      <w:pPr>
        <w:sectPr>
          <w:pgSz w:w="11900" w:h="16838" w:orient="portrait"/>
          <w:cols w:equalWidth="0" w:num="1">
            <w:col w:w="11420"/>
          </w:cols>
          <w:pgMar w:left="240" w:top="125"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440" w:firstLine="456"/>
        <w:spacing w:after="0" w:line="306" w:lineRule="auto"/>
        <w:rPr>
          <w:sz w:val="20"/>
          <w:szCs w:val="20"/>
          <w:color w:val="auto"/>
        </w:rPr>
      </w:pPr>
      <w:r>
        <w:rPr>
          <w:rFonts w:ascii="Arial" w:cs="Arial" w:eastAsia="Arial" w:hAnsi="Arial"/>
          <w:sz w:val="16"/>
          <w:szCs w:val="16"/>
          <w:color w:val="auto"/>
        </w:rPr>
        <w:t>In connection with the Quarterly Report on Form 10-Q of SPS Commerce, Inc. (the “Company”) for the period ended June 30, 2013,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August 1, 2013</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0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2019-12-06T22:32:35Z</dcterms:created>
  <dcterms:modified xsi:type="dcterms:W3CDTF">2019-12-06T22:32:35Z</dcterms:modified>
</cp:coreProperties>
</file>