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9" w:lineRule="exact"/>
        <w:rPr>
          <w:sz w:val="24"/>
          <w:szCs w:val="24"/>
          <w:color w:val="auto"/>
        </w:rPr>
      </w:pPr>
    </w:p>
    <w:p>
      <w:pPr>
        <w:ind w:left="680" w:right="4000" w:hanging="672"/>
        <w:spacing w:after="0" w:line="269" w:lineRule="auto"/>
        <w:tabs>
          <w:tab w:leader="none" w:pos="45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99" w:lineRule="exact"/>
        <w:rPr>
          <w:sz w:val="24"/>
          <w:szCs w:val="24"/>
          <w:color w:val="auto"/>
        </w:rPr>
      </w:pPr>
    </w:p>
    <w:p>
      <w:pPr>
        <w:ind w:left="680" w:right="3980" w:hanging="672"/>
        <w:spacing w:after="0" w:line="269" w:lineRule="auto"/>
        <w:tabs>
          <w:tab w:leader="none" w:pos="45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SECURITIESEXCHANGE ACT OF 1934</w:t>
      </w:r>
    </w:p>
    <w:p>
      <w:pPr>
        <w:sectPr>
          <w:pgSz w:w="11900" w:h="16838" w:orient="portrait"/>
          <w:cols w:equalWidth="0" w:num="1">
            <w:col w:w="11420"/>
          </w:cols>
          <w:pgMar w:left="240" w:top="230" w:right="239" w:bottom="1440" w:gutter="0" w:footer="0" w:header="0"/>
        </w:sectPr>
      </w:pPr>
    </w:p>
    <w:p>
      <w:pPr>
        <w:spacing w:after="0" w:line="10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100" w:space="720"/>
            <w:col w:w="46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41-2015127</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14" w:lineRule="exact"/>
        <w:rPr>
          <w:sz w:val="24"/>
          <w:szCs w:val="24"/>
          <w:color w:val="auto"/>
        </w:rPr>
      </w:pPr>
    </w:p>
    <w:p>
      <w:pPr>
        <w:ind w:left="200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2"/>
          <w:szCs w:val="12"/>
          <w:b w:val="1"/>
          <w:bCs w:val="1"/>
          <w:i w:val="1"/>
          <w:iCs w:val="1"/>
          <w:color w:val="auto"/>
        </w:rPr>
        <w:t>(I.R.S. Employer</w:t>
      </w:r>
    </w:p>
    <w:p>
      <w:pPr>
        <w:spacing w:after="0" w:line="14"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i w:val="1"/>
          <w:i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333 South Seventh Street, Suite 1000, Minneapolis, MN 55402</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51"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October 28, 2011 was 12,072,686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71"/>
        </w:trPr>
        <w:tc>
          <w:tcPr>
            <w:tcW w:w="300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640" w:type="dxa"/>
            <w:vAlign w:val="bottom"/>
            <w:gridSpan w:val="9"/>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5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September 30, 2011 (unaudited) and December 31, 2010</w:t>
              </w:r>
            </w:hyperlink>
          </w:p>
        </w:tc>
        <w:tc>
          <w:tcPr>
            <w:tcW w:w="22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and nine months ended September 30, 2011 and 2010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for the nine months ended September 30, 2011 and 2010 (unaudited)</w:t>
              </w:r>
            </w:hyperlink>
          </w:p>
        </w:tc>
        <w:tc>
          <w:tcPr>
            <w:tcW w:w="4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2.</w:t>
            </w:r>
          </w:p>
        </w:tc>
        <w:tc>
          <w:tcPr>
            <w:tcW w:w="8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0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322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52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52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19"/>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280" w:type="dxa"/>
            <w:vAlign w:val="bottom"/>
            <w:tcBorders>
              <w:top w:val="single" w:sz="8" w:color="0000EE"/>
            </w:tcBorders>
            <w:gridSpan w:val="2"/>
          </w:tcPr>
          <w:p>
            <w:pPr>
              <w:spacing w:after="0"/>
              <w:rPr>
                <w:sz w:val="24"/>
                <w:szCs w:val="24"/>
                <w:color w:val="auto"/>
              </w:rPr>
            </w:pPr>
          </w:p>
        </w:tc>
        <w:tc>
          <w:tcPr>
            <w:tcW w:w="794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864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Unregistered Sales of Equity Securities and Use of Proceeds</w:t>
              </w:r>
            </w:hyperlink>
          </w:p>
        </w:tc>
        <w:tc>
          <w:tcPr>
            <w:tcW w:w="528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952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Other Information</w:t>
              </w:r>
            </w:hyperlink>
          </w:p>
        </w:tc>
        <w:tc>
          <w:tcPr>
            <w:tcW w:w="980" w:type="dxa"/>
            <w:vAlign w:val="bottom"/>
            <w:tcBorders>
              <w:top w:val="single" w:sz="8" w:color="0000EE"/>
            </w:tcBorders>
            <w:gridSpan w:val="6"/>
          </w:tcPr>
          <w:p>
            <w:pPr>
              <w:spacing w:after="0"/>
              <w:rPr>
                <w:sz w:val="17"/>
                <w:szCs w:val="17"/>
                <w:color w:val="auto"/>
              </w:rPr>
            </w:pPr>
          </w:p>
        </w:tc>
        <w:tc>
          <w:tcPr>
            <w:tcW w:w="72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52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2010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FinancialStatements</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ind w:left="370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$212 and $209, respectively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7,695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45,960</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Deferred costs, net of current portion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2,396</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63,422</w:t>
            </w:r>
          </w:p>
        </w:tc>
        <w:tc>
          <w:tcPr>
            <w:tcW w:w="8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2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current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1,126</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11,508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6,104</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17,837</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14,372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w w:val="96"/>
              </w:rPr>
              <w:t>Common stock, $0.001 par value; 55,000,000 shares authorized; 11,980,101 and 11,849,572 shares issued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107,781</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(62,208)</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45,585</w:t>
            </w:r>
          </w:p>
        </w:tc>
        <w:tc>
          <w:tcPr>
            <w:tcW w:w="8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63,422</w:t>
            </w:r>
          </w:p>
        </w:tc>
        <w:tc>
          <w:tcPr>
            <w:tcW w:w="8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7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11,453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 net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1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9"/>
                <w:szCs w:val="19"/>
                <w:color w:val="auto"/>
              </w:rPr>
            </w:pPr>
          </w:p>
        </w:tc>
        <w:tc>
          <w:tcPr>
            <w:tcW w:w="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3"/>
        </w:trPr>
        <w:tc>
          <w:tcPr>
            <w:tcW w:w="6220" w:type="dxa"/>
            <w:vAlign w:val="bottom"/>
            <w:gridSpan w:val="2"/>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11,620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12,735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560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Change in carrying value of preferred stock warrants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Changes in assets and liabilities, net of effect of acquisition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Deferred costs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 and benefits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Direct EDI</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(10,865)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(12,581)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on line of credit</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equipment loans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Payments of capital lease obligations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initial public offering</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Stock offering costs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options to purchase common stock</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30,340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40,473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31,546</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footnotes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2010 balance sheet data was derived from our audited financial statements at that date. For further information, refer to the consolidated financial statements and accompanying notes for the year ended December 31, 2010 included in our Annual Report on Form 10-K as filed with the Securities and Exchange Commission on March 3, 2011.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account for acquisitions of businesses pursuant to Financial Accounting Standards Board (“FASB”) Accounting Standards Codification (“ASC”) Topic 805, Business Combinations. In accordance with ASC Topic 805, we recognize separately from goodwill the fair value of the assets acquired and the liabilities assumed at the acquisition date as defined by FASB ASC Topic 820, Fair Value Measurements and Disclosures. Goodwill as of the acquisition date is measured as the excess of consideration transferred and the net of the acquisition date amounts of the assets acquired and the liabilities assumed. Assets acquired include tangible and intangible assets. We determine the value and useful lives of purchased intangible assets with the assistance of an independent third-party valuation firm using certain estimates and assumptions.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While we use estimates and assumptions that we believe are reasonable as a part of the purchase price allocation process to accurately value the assets acquired and the liabilities assumed at the acquisition date, they are inherently uncertain and subject to refinement. As a result, during the measurement period, which may be up to one year from the acquisition date, we may record adjustments to the fair value of the assets acquired and the liabilities assumed based on new information about facts and circumstances that existed as of the acquisition date. Any such adjustments would be recorded as an offset to goodwill. Upon the conclusion of the measurement period or final determination of the fair values, whichever comes first, any subsequent adjustments would be recorded in our statements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nine months ended September 30, 2011, there were no material changes in our significant accounting policies. See Note A to the consolidated financial statements included in our Annual Report on Form 10-K for the year ended December 31, 2010 as filed with the Securities and Exchange Commission on March 3, 2011 for additional information regarding our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October 2009, the FASB issued Accounting Standards Update (“ASU”) No. 2009-13, Revenue Recognition (ASC Topic 605), </w:t>
      </w:r>
      <w:r>
        <w:rPr>
          <w:rFonts w:ascii="Arial" w:cs="Arial" w:eastAsia="Arial" w:hAnsi="Arial"/>
          <w:sz w:val="18"/>
          <w:szCs w:val="18"/>
          <w:i w:val="1"/>
          <w:iCs w:val="1"/>
          <w:color w:val="auto"/>
        </w:rPr>
        <w:t>Multiple-Deliverable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Arrangements, a consensus of the FASB Emerging Issues Task Force. </w:t>
      </w:r>
      <w:r>
        <w:rPr>
          <w:rFonts w:ascii="Arial" w:cs="Arial" w:eastAsia="Arial" w:hAnsi="Arial"/>
          <w:sz w:val="18"/>
          <w:szCs w:val="18"/>
          <w:color w:val="auto"/>
        </w:rPr>
        <w:t>This guidance modifies the fair value requirements of ASC subtopic 605-25,</w:t>
      </w:r>
      <w:r>
        <w:rPr>
          <w:rFonts w:ascii="Arial" w:cs="Arial" w:eastAsia="Arial" w:hAnsi="Arial"/>
          <w:sz w:val="18"/>
          <w:szCs w:val="18"/>
          <w:i w:val="1"/>
          <w:iCs w:val="1"/>
          <w:color w:val="auto"/>
        </w:rPr>
        <w:t xml:space="preserve"> Revenue Recognition-Multiple Element Arrangements, </w:t>
      </w:r>
      <w:r>
        <w:rPr>
          <w:rFonts w:ascii="Arial" w:cs="Arial" w:eastAsia="Arial" w:hAnsi="Arial"/>
          <w:sz w:val="18"/>
          <w:szCs w:val="18"/>
          <w:color w:val="auto"/>
        </w:rPr>
        <w:t>by allowing the use of the “best estimate of selling price” in addition to Vendor Specific Objective</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and third-party evidence (or TPE) for determining the selling price of a deliverable. A vendor is now required to use its best estimate of the selling price when Vendor Specific Objective Evidence or TPE of the selling price cannot be determined. In addition, the residual method of allocating arrangement consideration is no longer permitted.</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October 2009, the FASB issued ASU No. 2009-14, Software (ASC Topic 985), </w:t>
      </w:r>
      <w:r>
        <w:rPr>
          <w:rFonts w:ascii="Arial" w:cs="Arial" w:eastAsia="Arial" w:hAnsi="Arial"/>
          <w:sz w:val="18"/>
          <w:szCs w:val="18"/>
          <w:i w:val="1"/>
          <w:iCs w:val="1"/>
          <w:color w:val="auto"/>
        </w:rPr>
        <w:t>Certain Revenue Arrangements That Include Software Elements,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scope of ASC subtopic 965-605,</w:t>
      </w:r>
      <w:r>
        <w:rPr>
          <w:rFonts w:ascii="Arial" w:cs="Arial" w:eastAsia="Arial" w:hAnsi="Arial"/>
          <w:sz w:val="18"/>
          <w:szCs w:val="18"/>
          <w:i w:val="1"/>
          <w:iCs w:val="1"/>
          <w:color w:val="auto"/>
        </w:rPr>
        <w:t xml:space="preserve"> Software-Revenue Recognition, </w:t>
      </w:r>
      <w:r>
        <w:rPr>
          <w:rFonts w:ascii="Arial" w:cs="Arial" w:eastAsia="Arial" w:hAnsi="Arial"/>
          <w:sz w:val="18"/>
          <w:szCs w:val="18"/>
          <w:color w:val="auto"/>
        </w:rPr>
        <w:t>to exclude from</w:t>
      </w:r>
      <w:r>
        <w:rPr>
          <w:rFonts w:ascii="Arial" w:cs="Arial" w:eastAsia="Arial" w:hAnsi="Arial"/>
          <w:sz w:val="18"/>
          <w:szCs w:val="18"/>
          <w:i w:val="1"/>
          <w:iCs w:val="1"/>
          <w:color w:val="auto"/>
        </w:rPr>
        <w:t xml:space="preserve"> </w:t>
      </w:r>
      <w:r>
        <w:rPr>
          <w:rFonts w:ascii="Arial" w:cs="Arial" w:eastAsia="Arial" w:hAnsi="Arial"/>
          <w:sz w:val="18"/>
          <w:szCs w:val="18"/>
          <w:color w:val="auto"/>
        </w:rPr>
        <w:t>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ASU No. 2009-13 and ASU No. 2009-14 both require expanded qualitative and quantitative disclosures and are effective for fiscal years beginning on or after June 15, 2010. We have adopted these updates and they did not have a material impact on our financial statements.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January 2010, the FASB issued ASU No. 2010-06, Fair Value Measurements and Disclosures (ASC Topic 820), </w:t>
      </w:r>
      <w:r>
        <w:rPr>
          <w:rFonts w:ascii="Arial" w:cs="Arial" w:eastAsia="Arial" w:hAnsi="Arial"/>
          <w:sz w:val="18"/>
          <w:szCs w:val="18"/>
          <w:i w:val="1"/>
          <w:iCs w:val="1"/>
          <w:color w:val="auto"/>
        </w:rPr>
        <w:t>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ASU No. 2010-06 enhances the disclosure requirements to include transfers in and out of Level 1 and 2 and the associated reasons,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on or after December 15, 2009. ASU No. 2010-06 also requires the disclosure of a disaggregated gross reconciliation of Level 3 fair value measurements, which is effective for fiscal years beginning on or after December 15, 2010. We have adopted these updates and they did not have a material impact on our financial statements.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July 2010, the FASB issued ASU No. 2010-20, Receivables (ASC Topic 310), </w:t>
      </w:r>
      <w:r>
        <w:rPr>
          <w:rFonts w:ascii="Arial" w:cs="Arial" w:eastAsia="Arial" w:hAnsi="Arial"/>
          <w:sz w:val="16"/>
          <w:szCs w:val="16"/>
          <w:i w:val="1"/>
          <w:iCs w:val="1"/>
          <w:color w:val="auto"/>
        </w:rPr>
        <w:t>Disclosures about the Credit Quality of Financing Receivables and the</w:t>
      </w:r>
      <w:r>
        <w:rPr>
          <w:rFonts w:ascii="Arial" w:cs="Arial" w:eastAsia="Arial" w:hAnsi="Arial"/>
          <w:sz w:val="16"/>
          <w:szCs w:val="16"/>
          <w:color w:val="auto"/>
        </w:rPr>
        <w:t xml:space="preserve"> </w:t>
      </w:r>
      <w:r>
        <w:rPr>
          <w:rFonts w:ascii="Arial" w:cs="Arial" w:eastAsia="Arial" w:hAnsi="Arial"/>
          <w:sz w:val="16"/>
          <w:szCs w:val="16"/>
          <w:i w:val="1"/>
          <w:iCs w:val="1"/>
          <w:color w:val="auto"/>
        </w:rPr>
        <w:t>Allowance for Credit Losses</w:t>
      </w:r>
      <w:r>
        <w:rPr>
          <w:rFonts w:ascii="Arial" w:cs="Arial" w:eastAsia="Arial" w:hAnsi="Arial"/>
          <w:sz w:val="16"/>
          <w:szCs w:val="16"/>
          <w:color w:val="auto"/>
        </w:rPr>
        <w:t>. ASU No. 2010-20 enhances the disclosure requirements about the credit quality and related allowance for credit losses of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We will be required to disclose the nature of the inherent risk of receivables, the methodology and analytics that support that assessment, and support any changes to the allowance for doubtful accounts. We will also be required to provide a rollforward of the allowance and disclose the accounts receivable on a disaggregated basis. This update is effective for fiscal years beginning on or after December 15, 2010. We have adopted this update and it did not have a material impact on our financial statements.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December 2010, the FASB issued ASU No. 2010-29, Business Combinations (ASC Topic 805), </w:t>
      </w:r>
      <w:r>
        <w:rPr>
          <w:rFonts w:ascii="Arial" w:cs="Arial" w:eastAsia="Arial" w:hAnsi="Arial"/>
          <w:sz w:val="18"/>
          <w:szCs w:val="18"/>
          <w:i w:val="1"/>
          <w:iCs w:val="1"/>
          <w:color w:val="auto"/>
        </w:rPr>
        <w:t>Disclosure of Supplementary Pro Forma Information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ASU No. 2010-29 amends the disclosure requirements for supplementary pro forma information for business combinations. This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addresses the diversity in practice about the interpretation of the pro forma revenue and earnings disclosure requirements for business combinations. The update specifies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It also expands the supplemental pro forma disclosures to include a description of the nature and amount of material, nonrecurring pro forma adjustments directly attributable to the business combination included in the reported pro forma revenue and earnings. This update is effective prospectively for business combinations for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which the acquisition date is on or after the beginning of the first annual reporting period beginning on or after December 15, 2010. We have adopted this update and, with the acquisition of Direct EDI in May 2011, the required supplementary pro forma information is presented in Note B.</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2011, the FASB issued ASU No. 2011-08, Intangibles—Goodwill and Other (Topic 350)—</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provides an entity with the option to perform a qualitative assessment of goodwill to determine whether further impairment testing is necessary. If an entity believes, as a result of its qualitative assessment, that it is more-likely-than-not that the fair value of a reporting unit is less than its carrying amount, the currently prescribed two step quantitative goodwill impairment test is required. Otherwise, no further testing is required. This update is effective for annual and interim goodwill impairment tests performed for fiscal years beginning after December 15, 2011 and earlier adoption is permitted. We are currently evaluating the early adoption option. We do not expect the adoption or early adoption of this update to have an impact on our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 of Direct EDI</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17, 2011, we entered into an asset purchase agreement with Direct EDI LLC, a privately-held provider of cloud-based integration solutions for electronic data interchange, and we completed the asset purchase on May 18, 2011. Under the asset purchase agreement, we purchased and acquired substantially all of the assets of Direct EDI for $10.9 million in cash and assumed certain liabilities of Direct EDI. The acquisition of Direct EDI allows us to expand our base of recurring revenue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accounted for the acquisition as a business combination. We allocated the purchase price to the tangible and identifiable intangible assets acquired and liabilities assumed based on their estimated fair values as of the acquisition date. We engaged an independent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that are not included in the fair values of assets. Goodwill will not be amortized; however it is deductible for tax purposes. Although we believe the purchase price allocation is substantially complete, it is considered preliminary and the finalization of the valuation of the net tangible and intangible assets acquired and liabilities assumed could result in a future adjustment to the purchase price allocation.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40"/>
              <w:spacing w:after="0"/>
              <w:rPr>
                <w:sz w:val="20"/>
                <w:szCs w:val="20"/>
                <w:color w:val="auto"/>
              </w:rPr>
            </w:pPr>
            <w:r>
              <w:rPr>
                <w:rFonts w:ascii="Arial" w:cs="Arial" w:eastAsia="Arial" w:hAnsi="Arial"/>
                <w:sz w:val="18"/>
                <w:szCs w:val="18"/>
                <w:color w:val="auto"/>
              </w:rPr>
              <w:t>Total purchase price</w:t>
            </w:r>
          </w:p>
        </w:tc>
        <w:tc>
          <w:tcPr>
            <w:tcW w:w="4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40" w:type="dxa"/>
            <w:vAlign w:val="bottom"/>
            <w:vMerge w:val="continue"/>
          </w:tcPr>
          <w:p>
            <w:pPr>
              <w:spacing w:after="0"/>
              <w:rPr>
                <w:sz w:val="19"/>
                <w:szCs w:val="19"/>
                <w:color w:val="auto"/>
              </w:rPr>
            </w:pPr>
          </w:p>
        </w:tc>
        <w:tc>
          <w:tcPr>
            <w:tcW w:w="4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60" w:type="dxa"/>
            <w:vAlign w:val="bottom"/>
            <w:vMerge w:val="restart"/>
          </w:tcPr>
          <w:p>
            <w:pPr>
              <w:jc w:val="right"/>
              <w:ind w:right="2892"/>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w w:val="86"/>
              </w:rPr>
              <w:t>Estimated</w:t>
            </w:r>
          </w:p>
        </w:tc>
        <w:tc>
          <w:tcPr>
            <w:tcW w:w="8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Estimated</w:t>
            </w:r>
          </w:p>
        </w:tc>
      </w:tr>
      <w:tr>
        <w:trPr>
          <w:trHeight w:val="149"/>
        </w:trPr>
        <w:tc>
          <w:tcPr>
            <w:tcW w:w="16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8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Life</w:t>
            </w:r>
          </w:p>
        </w:tc>
      </w:tr>
      <w:tr>
        <w:trPr>
          <w:trHeight w:val="168"/>
        </w:trPr>
        <w:tc>
          <w:tcPr>
            <w:tcW w:w="164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4"/>
              </w:rPr>
              <w:t>Purchased Intangible Assets</w:t>
            </w:r>
          </w:p>
        </w:tc>
        <w:tc>
          <w:tcPr>
            <w:tcW w:w="3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(in thousands)</w:t>
            </w:r>
          </w:p>
        </w:tc>
        <w:tc>
          <w:tcPr>
            <w:tcW w:w="820" w:type="dxa"/>
            <w:vAlign w:val="bottom"/>
          </w:tcPr>
          <w:p>
            <w:pPr>
              <w:spacing w:after="0"/>
              <w:rPr>
                <w:sz w:val="14"/>
                <w:szCs w:val="14"/>
                <w:color w:val="auto"/>
              </w:rPr>
            </w:pPr>
          </w:p>
        </w:tc>
        <w:tc>
          <w:tcPr>
            <w:tcW w:w="68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w w:val="86"/>
              </w:rPr>
              <w:t>(in years)</w:t>
            </w:r>
          </w:p>
        </w:tc>
      </w:tr>
      <w:tr>
        <w:trPr>
          <w:trHeight w:val="203"/>
        </w:trPr>
        <w:tc>
          <w:tcPr>
            <w:tcW w:w="5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3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5,250</w:t>
            </w:r>
          </w:p>
        </w:tc>
        <w:tc>
          <w:tcPr>
            <w:tcW w:w="8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3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5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1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related to these intangible assets was $260,000 and $383,000 for the three and nine months ended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 and Post-Acquisition Operating Results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Acquisition-related costs were approximately $232,000 and are included in our condensed consolidated statements of operations for the nine months ended September 30, 2011. Acquisition-related costs were recorded as general and administrative expense in accordance with the current accounting guidance for business combinations. The operating results of Direct EDI have been included in our condensed consolidated financial statements from May 18, 2011, the date of the acquisition. For the three and nine months ended September 30, 2011, approximately $1.1 million and $1.6 million of our revenues were derived from Direct EDI customers. The amount of operating income or loss from Direct EDI was not separately identifiable due to our integration.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unaudited pro forma financial information in the table below presents the combined operating results of SPS Commerce and Direct EDI as if the acquisition had occurred on January 1, 2010. The unaudited pro forma information includes the historical operating results of each company and certain pro forma adjustments, including annual amortization expense for purchased intangible assets of approximately $1.0 million and additional annual compensation expense of approximately $280,000 related to employment arrangements entered into as part of the acquisition.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54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total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 forma 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748</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2010, nor is it necessarily indicative of our results of operations for any future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September 30, 2011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7"/>
              </w:rPr>
              <w:t>December 31, 2010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08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Pr>
          <w:p>
            <w:pPr>
              <w:spacing w:after="0"/>
              <w:rPr>
                <w:sz w:val="11"/>
                <w:szCs w:val="11"/>
                <w:color w:val="auto"/>
              </w:rPr>
            </w:pPr>
          </w:p>
        </w:tc>
        <w:tc>
          <w:tcPr>
            <w:tcW w:w="9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160" w:type="dxa"/>
            <w:vAlign w:val="bottom"/>
          </w:tcPr>
          <w:p>
            <w:pPr>
              <w:spacing w:after="0"/>
              <w:rPr>
                <w:sz w:val="14"/>
                <w:szCs w:val="14"/>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Net</w:t>
            </w: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Covenants not-to-compete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290</w:t>
            </w:r>
          </w:p>
        </w:tc>
        <w:tc>
          <w:tcPr>
            <w:tcW w:w="100" w:type="dxa"/>
            <w:vAlign w:val="bottom"/>
          </w:tcPr>
          <w:p>
            <w:pPr>
              <w:spacing w:after="0"/>
              <w:rPr>
                <w:sz w:val="18"/>
                <w:szCs w:val="18"/>
                <w:color w:val="auto"/>
              </w:rPr>
            </w:pPr>
          </w:p>
        </w:tc>
      </w:tr>
      <w:tr>
        <w:trPr>
          <w:trHeight w:val="27"/>
        </w:trPr>
        <w:tc>
          <w:tcPr>
            <w:tcW w:w="3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5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290</w:t>
            </w:r>
          </w:p>
        </w:tc>
        <w:tc>
          <w:tcPr>
            <w:tcW w:w="10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Amortization expense for intangible assets was $260,000 and $383,000 for the three and nine months ended September 30, 2011. There was no amortization expense for intangible assets for the three or nine months ended September 30, 2010.</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w w:val="94"/>
              </w:rPr>
              <w:t>At September 30, 2011, future amortization expense for intangible assets was as follows (in thousands):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Line of Credit</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1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 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143"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There were no borrowings outstanding at September 30, 2011 and we were in compliance with all covenants under the revolving credit agreement as of that date. 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ten years from the date of grant. At September 30, 2011, there were approximately 667,000 shares available for grant under approved equity compensation plans.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recorded stock-based compensation expense of $487,000 and $232,000 for the three months ended September 30, 2011 and 2010, respectively. We recorded stock-based compensation expense of $1.3 million and $458,000 for the nine months ended September 30, 2011 and 2010, respectively. This expense was allocated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September 30, 2011, there was approximately $4.7 million of unrecognized stock-based compensation expense under our equity compensation plans, which is expected to be recognized on a straight line basis over a weighted average period of approximately two years.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option activity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4"/>
          </w:tcPr>
          <w:p>
            <w:pPr>
              <w:jc w:val="center"/>
              <w:ind w:left="172"/>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 Price</w:t>
            </w: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w:t>
            </w: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1,549,344</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420,843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(130,529)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(19,129)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1,820,529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weighted average fair value per share of options granted during the first nine months of 2011 was $8.11 and this was estimated on the date of grant using the Black-Scholes option pricing model with the following assumptions: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80" w:type="dxa"/>
            <w:vAlign w:val="bottom"/>
          </w:tcPr>
          <w:p>
            <w:pPr>
              <w:jc w:val="right"/>
              <w:ind w:right="32"/>
              <w:spacing w:after="0"/>
              <w:rPr>
                <w:sz w:val="20"/>
                <w:szCs w:val="20"/>
                <w:color w:val="auto"/>
              </w:rPr>
            </w:pPr>
            <w:r>
              <w:rPr>
                <w:rFonts w:ascii="Arial" w:cs="Arial" w:eastAsia="Arial" w:hAnsi="Arial"/>
                <w:sz w:val="18"/>
                <w:szCs w:val="18"/>
                <w:color w:val="auto"/>
              </w:rPr>
              <w:t>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480" w:type="dxa"/>
            <w:vAlign w:val="bottom"/>
          </w:tcPr>
          <w:p>
            <w:pPr>
              <w:jc w:val="right"/>
              <w:ind w:right="32"/>
              <w:spacing w:after="0"/>
              <w:rPr>
                <w:sz w:val="20"/>
                <w:szCs w:val="20"/>
                <w:color w:val="auto"/>
              </w:rPr>
            </w:pPr>
            <w:r>
              <w:rPr>
                <w:rFonts w:ascii="Arial" w:cs="Arial" w:eastAsia="Arial" w:hAnsi="Arial"/>
                <w:sz w:val="18"/>
                <w:szCs w:val="18"/>
                <w:color w:val="auto"/>
              </w:rPr>
              <w:t>2.05%- 3.05%</w:t>
            </w:r>
          </w:p>
        </w:tc>
      </w:tr>
      <w:tr>
        <w:trPr>
          <w:trHeight w:val="356"/>
        </w:trPr>
        <w:tc>
          <w:tcPr>
            <w:tcW w:w="3280" w:type="dxa"/>
            <w:vAlign w:val="bottom"/>
          </w:tcPr>
          <w:p>
            <w:pPr>
              <w:spacing w:after="0"/>
              <w:rPr>
                <w:sz w:val="24"/>
                <w:szCs w:val="24"/>
                <w:color w:val="auto"/>
              </w:rPr>
            </w:pPr>
          </w:p>
        </w:tc>
        <w:tc>
          <w:tcPr>
            <w:tcW w:w="4480" w:type="dxa"/>
            <w:vAlign w:val="bottom"/>
          </w:tcPr>
          <w:p>
            <w:pPr>
              <w:jc w:val="right"/>
              <w:ind w:right="371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a provision for income taxes of $81,000 for the three months ended September 30, 2011 and a benefit for income taxes of $7,000 for the three months ended September 30, 2010. We recorded a provision for income taxes of $188,000 and $96,000 for the nine months ended September 30, 2011 and 2010, respectively.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asset acquisitions.</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As of December 31, 2010, and updated for the filing of our tax returns in September 2011, we had net operating loss carryforwards of $50.8 million for U.S. federal tax purposes and $30.2 million for state tax purposes. These loss carryforwards expire between 2011 and 2029.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believe that approximately $17.6 million of federal losses and $15.4 million of state losses will expire unused due to Section 382 limitations. This limitation could be further restricted if ownership changes occur in future years. In addition, the state limitation will vary depending on future apportionment factors. Our deferred tax asset is reported net of this limitation.</w:t>
      </w:r>
    </w:p>
    <w:p>
      <w:pPr>
        <w:spacing w:after="0" w:line="1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Realization of our net operating loss carryforwards and other deferred tax temporary differences are contingent upon future taxable earnings. Our net deferred tax assets have been reduced fully by a valuation allowance, as realization is not considered to be likely based on an assessment of the history of losses and the likelihood of sufficient future taxable income. Our deferred tax liability relates to goodwill created in a prior asset acquisition which is deductible for tax purposes.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income taxes in the U.S. federal jurisdiction and various state jurisdictions. As of September 30, 2011, we are generally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and state tax examinations for all tax years 2010 and prior due to net operating loss carryforwards.</w:t>
      </w:r>
    </w:p>
    <w:p>
      <w:pPr>
        <w:spacing w:after="0" w:line="16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of September 30, 2011,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 Diluted net income per share also includes the impact of our outstanding potential common shares, such as options, warrants and redeemable convertible preferred stock. Potential common shares that are anti-dilutive are excluded from the calculation of diluted net income per share.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8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886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basic</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11,970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11,620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11,918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Options and warrants to purchase common andpreferred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880"/>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diluted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12,413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0.07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For the three and nine months ended September 30, 2011, approximately 1,000 outstanding options to purchase common stock were excluded from the calculation of diluted net income per share because they were anti-dilutive. For the three and nine months ended September 30, 2010, approximately 417,000 outstanding options to purchase common stock were excluded from the calculation of diluted net income per share because they were anti-dilutive.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2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May 18, 2011, we purchased substantially all of the assets of Direct EDI LLC, a privately-held provider of cloud-based integration solutions for electronic data interchange, which expanded our base of recurring revenue customers. See Note B to our condensed consolidated financial statements included in this Quarterly Report on Form 10-Q for additional information regarding the acquisition of Direct EDI.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During the nine months ended September 30, 2011,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2010 as filed with the Securities and Exchange Commission on March 3, 2011.</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nine months ended September 30, 2011, except as noted below, there were no significant changes in our critical accounting policies or estimates. With the acquisition of Direct EDI, we have expanded our critical accounting policy for the valuation of goodwill to include the valuation of purchased intangible assets.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Goodwill and Purchased Intangible Assets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 xml:space="preserve">We account for acquisitions pursuant to FASB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Goodwill represents the excess of the purchase price over the fair value of identifiable net assets acquired. Assets acquired may include identifiable intangible assets such as subscriber relationships. In accordance with ASC 805, we recognize separately from goodwill the fair value of the identifiable intangible assets acquired. We have determined the fair value and useful lives of our purchased intangible assets with the assistance of an independent third-party valuation firm using certain estimates and assumptions.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For the years ended December 31, 2009 and prior, the impairment test compared the carrying value of the company to the fair value of the company, which was based on a analysis of the discounted future cash flows. The methodology for evaluating the fair value of the company was changed with the completion of our initial public offering to use the per share prices as a direct market observable measure. There has been no impairment of our goodwill to date.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See Note A to our financial statements included in this Quarterly Report on Form 10-Q and in our Annual Report on Form 10-K for the year ended December 31, 2010 as filed with the Securities and Exchange Commission on March 3, 2011 for additional information regarding our critical accounting policies, as well as a description of our other significant accounting policies.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2"/>
          </w:tcPr>
          <w:p>
            <w:pPr>
              <w:jc w:val="right"/>
              <w:ind w:right="192"/>
              <w:spacing w:after="0"/>
              <w:rPr>
                <w:sz w:val="20"/>
                <w:szCs w:val="20"/>
                <w:color w:val="auto"/>
              </w:rPr>
            </w:pPr>
            <w:r>
              <w:rPr>
                <w:rFonts w:ascii="Arial" w:cs="Arial" w:eastAsia="Arial" w:hAnsi="Arial"/>
                <w:sz w:val="14"/>
                <w:szCs w:val="14"/>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Change</w:t>
            </w: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84"/>
              </w:rPr>
              <w:t>% of revenue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of revenue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26"/>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15,529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100.0%</w:t>
            </w:r>
          </w:p>
        </w:tc>
        <w:tc>
          <w:tcPr>
            <w:tcW w:w="200" w:type="dxa"/>
            <w:vAlign w:val="bottom"/>
          </w:tcPr>
          <w:p>
            <w:pPr>
              <w:spacing w:after="0"/>
              <w:rPr>
                <w:sz w:val="18"/>
                <w:szCs w:val="18"/>
                <w:color w:val="auto"/>
              </w:rPr>
            </w:pPr>
          </w:p>
        </w:tc>
        <w:tc>
          <w:tcPr>
            <w:tcW w:w="1080" w:type="dxa"/>
            <w:vAlign w:val="bottom"/>
            <w:gridSpan w:val="3"/>
          </w:tcPr>
          <w:p>
            <w:pPr>
              <w:jc w:val="right"/>
              <w:ind w:right="286"/>
              <w:spacing w:after="0"/>
              <w:rPr>
                <w:sz w:val="20"/>
                <w:szCs w:val="20"/>
                <w:color w:val="auto"/>
              </w:rPr>
            </w:pPr>
            <w:r>
              <w:rPr>
                <w:rFonts w:ascii="Arial" w:cs="Arial" w:eastAsia="Arial" w:hAnsi="Arial"/>
                <w:sz w:val="18"/>
                <w:szCs w:val="18"/>
                <w:color w:val="auto"/>
              </w:rPr>
              <w:t>$  4,038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6"/>
              <w:spacing w:after="0"/>
              <w:rPr>
                <w:sz w:val="20"/>
                <w:szCs w:val="20"/>
                <w:color w:val="auto"/>
              </w:rPr>
            </w:pPr>
            <w:r>
              <w:rPr>
                <w:rFonts w:ascii="Arial" w:cs="Arial" w:eastAsia="Arial" w:hAnsi="Arial"/>
                <w:sz w:val="18"/>
                <w:szCs w:val="18"/>
                <w:color w:val="auto"/>
              </w:rPr>
              <w:t>865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11,453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20"/>
                <w:szCs w:val="20"/>
                <w:color w:val="auto"/>
              </w:rPr>
            </w:pPr>
          </w:p>
        </w:tc>
        <w:tc>
          <w:tcPr>
            <w:tcW w:w="1080" w:type="dxa"/>
            <w:vAlign w:val="bottom"/>
            <w:gridSpan w:val="3"/>
          </w:tcPr>
          <w:p>
            <w:pPr>
              <w:jc w:val="right"/>
              <w:ind w:right="286"/>
              <w:spacing w:after="0"/>
              <w:rPr>
                <w:sz w:val="20"/>
                <w:szCs w:val="20"/>
                <w:color w:val="auto"/>
              </w:rPr>
            </w:pPr>
            <w:r>
              <w:rPr>
                <w:rFonts w:ascii="Arial" w:cs="Arial" w:eastAsia="Arial" w:hAnsi="Arial"/>
                <w:sz w:val="18"/>
                <w:szCs w:val="18"/>
                <w:color w:val="auto"/>
              </w:rPr>
              <w:t>3,173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080" w:type="dxa"/>
            <w:vAlign w:val="bottom"/>
            <w:gridSpan w:val="3"/>
          </w:tcPr>
          <w:p>
            <w:pPr>
              <w:jc w:val="right"/>
              <w:ind w:right="286"/>
              <w:spacing w:after="0"/>
              <w:rPr>
                <w:sz w:val="20"/>
                <w:szCs w:val="20"/>
                <w:color w:val="auto"/>
              </w:rPr>
            </w:pPr>
            <w:r>
              <w:rPr>
                <w:rFonts w:ascii="Arial" w:cs="Arial" w:eastAsia="Arial" w:hAnsi="Arial"/>
                <w:sz w:val="18"/>
                <w:szCs w:val="18"/>
                <w:color w:val="auto"/>
              </w:rPr>
              <w:t>2,265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6"/>
              <w:spacing w:after="0"/>
              <w:rPr>
                <w:sz w:val="20"/>
                <w:szCs w:val="20"/>
                <w:color w:val="auto"/>
              </w:rPr>
            </w:pPr>
            <w:r>
              <w:rPr>
                <w:rFonts w:ascii="Arial" w:cs="Arial" w:eastAsia="Arial" w:hAnsi="Arial"/>
                <w:sz w:val="18"/>
                <w:szCs w:val="18"/>
                <w:color w:val="auto"/>
              </w:rPr>
              <w:t>497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080" w:type="dxa"/>
            <w:vAlign w:val="bottom"/>
            <w:gridSpan w:val="3"/>
          </w:tcPr>
          <w:p>
            <w:pPr>
              <w:jc w:val="right"/>
              <w:ind w:right="286"/>
              <w:spacing w:after="0"/>
              <w:rPr>
                <w:sz w:val="20"/>
                <w:szCs w:val="20"/>
                <w:color w:val="auto"/>
              </w:rPr>
            </w:pPr>
            <w:r>
              <w:rPr>
                <w:rFonts w:ascii="Arial" w:cs="Arial" w:eastAsia="Arial" w:hAnsi="Arial"/>
                <w:sz w:val="18"/>
                <w:szCs w:val="18"/>
                <w:color w:val="auto"/>
              </w:rPr>
              <w:t>749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6"/>
              <w:spacing w:after="0"/>
              <w:rPr>
                <w:sz w:val="20"/>
                <w:szCs w:val="20"/>
                <w:color w:val="auto"/>
              </w:rPr>
            </w:pPr>
            <w:r>
              <w:rPr>
                <w:rFonts w:ascii="Arial" w:cs="Arial" w:eastAsia="Arial" w:hAnsi="Arial"/>
                <w:sz w:val="18"/>
                <w:szCs w:val="18"/>
                <w:color w:val="auto"/>
              </w:rPr>
              <w:t>260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11,183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20"/>
                <w:szCs w:val="20"/>
                <w:color w:val="auto"/>
              </w:rPr>
            </w:pPr>
          </w:p>
        </w:tc>
        <w:tc>
          <w:tcPr>
            <w:tcW w:w="1080" w:type="dxa"/>
            <w:vAlign w:val="bottom"/>
            <w:gridSpan w:val="3"/>
          </w:tcPr>
          <w:p>
            <w:pPr>
              <w:jc w:val="right"/>
              <w:ind w:right="286"/>
              <w:spacing w:after="0"/>
              <w:rPr>
                <w:sz w:val="20"/>
                <w:szCs w:val="20"/>
                <w:color w:val="auto"/>
              </w:rPr>
            </w:pPr>
            <w:r>
              <w:rPr>
                <w:rFonts w:ascii="Arial" w:cs="Arial" w:eastAsia="Arial" w:hAnsi="Arial"/>
                <w:sz w:val="18"/>
                <w:szCs w:val="18"/>
                <w:color w:val="auto"/>
              </w:rPr>
              <w:t>3,771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6"/>
              <w:spacing w:after="0"/>
              <w:rPr>
                <w:sz w:val="20"/>
                <w:szCs w:val="20"/>
                <w:color w:val="auto"/>
              </w:rPr>
            </w:pPr>
            <w:r>
              <w:rPr>
                <w:rFonts w:ascii="Arial" w:cs="Arial" w:eastAsia="Arial" w:hAnsi="Arial"/>
                <w:sz w:val="18"/>
                <w:szCs w:val="18"/>
                <w:color w:val="auto"/>
              </w:rPr>
              <w:t>(598)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6"/>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080" w:type="dxa"/>
            <w:vAlign w:val="bottom"/>
            <w:gridSpan w:val="3"/>
          </w:tcPr>
          <w:p>
            <w:pPr>
              <w:jc w:val="right"/>
              <w:ind w:right="226"/>
              <w:spacing w:after="0"/>
              <w:rPr>
                <w:sz w:val="20"/>
                <w:szCs w:val="20"/>
                <w:color w:val="auto"/>
              </w:rPr>
            </w:pPr>
            <w:r>
              <w:rPr>
                <w:rFonts w:ascii="Arial" w:cs="Arial" w:eastAsia="Arial" w:hAnsi="Arial"/>
                <w:sz w:val="18"/>
                <w:szCs w:val="18"/>
                <w:color w:val="auto"/>
              </w:rPr>
              <w:t>(88)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6"/>
              <w:spacing w:after="0"/>
              <w:rPr>
                <w:sz w:val="20"/>
                <w:szCs w:val="20"/>
                <w:color w:val="auto"/>
              </w:rPr>
            </w:pPr>
            <w:r>
              <w:rPr>
                <w:rFonts w:ascii="Arial" w:cs="Arial" w:eastAsia="Arial" w:hAnsi="Arial"/>
                <w:sz w:val="18"/>
                <w:szCs w:val="18"/>
                <w:color w:val="auto"/>
              </w:rPr>
              <w:t>57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226"/>
              <w:spacing w:after="0"/>
              <w:rPr>
                <w:sz w:val="20"/>
                <w:szCs w:val="20"/>
                <w:color w:val="auto"/>
              </w:rPr>
            </w:pPr>
            <w:r>
              <w:rPr>
                <w:rFonts w:ascii="Arial" w:cs="Arial" w:eastAsia="Arial" w:hAnsi="Arial"/>
                <w:sz w:val="18"/>
                <w:szCs w:val="18"/>
                <w:color w:val="auto"/>
              </w:rPr>
              <w:t>(23)</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6"/>
              <w:spacing w:after="0"/>
              <w:rPr>
                <w:sz w:val="20"/>
                <w:szCs w:val="20"/>
                <w:color w:val="auto"/>
              </w:rPr>
            </w:pPr>
            <w:r>
              <w:rPr>
                <w:rFonts w:ascii="Arial" w:cs="Arial" w:eastAsia="Arial" w:hAnsi="Arial"/>
                <w:sz w:val="18"/>
                <w:szCs w:val="18"/>
                <w:color w:val="auto"/>
              </w:rPr>
              <w:t>(621)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80" w:type="dxa"/>
            <w:vAlign w:val="bottom"/>
            <w:gridSpan w:val="3"/>
          </w:tcPr>
          <w:p>
            <w:pPr>
              <w:jc w:val="right"/>
              <w:ind w:right="226"/>
              <w:spacing w:after="0"/>
              <w:rPr>
                <w:sz w:val="20"/>
                <w:szCs w:val="20"/>
                <w:color w:val="auto"/>
              </w:rPr>
            </w:pPr>
            <w:r>
              <w:rPr>
                <w:rFonts w:ascii="Arial" w:cs="Arial" w:eastAsia="Arial" w:hAnsi="Arial"/>
                <w:sz w:val="18"/>
                <w:szCs w:val="18"/>
                <w:color w:val="auto"/>
              </w:rPr>
              <w:t>(88)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6"/>
              <w:spacing w:after="0"/>
              <w:rPr>
                <w:sz w:val="20"/>
                <w:szCs w:val="20"/>
                <w:color w:val="auto"/>
              </w:rPr>
            </w:pPr>
            <w:r>
              <w:rPr>
                <w:rFonts w:ascii="Arial" w:cs="Arial" w:eastAsia="Arial" w:hAnsi="Arial"/>
                <w:sz w:val="18"/>
                <w:szCs w:val="18"/>
                <w:color w:val="auto"/>
              </w:rPr>
              <w:t>(709)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1"/>
          </w:tcPr>
          <w:p>
            <w:pPr>
              <w:jc w:val="right"/>
              <w:ind w:right="52"/>
              <w:spacing w:after="0"/>
              <w:rPr>
                <w:sz w:val="20"/>
                <w:szCs w:val="20"/>
                <w:color w:val="auto"/>
              </w:rPr>
            </w:pPr>
            <w:r>
              <w:rPr>
                <w:rFonts w:ascii="Arial" w:cs="Arial" w:eastAsia="Arial" w:hAnsi="Arial"/>
                <w:sz w:val="14"/>
                <w:szCs w:val="14"/>
                <w:color w:val="auto"/>
                <w:w w:val="93"/>
              </w:rPr>
              <w:t>Nine Months Ended September 30,</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color w:val="auto"/>
                <w:w w:val="89"/>
              </w:rPr>
              <w:t>2011</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w w:val="89"/>
              </w:rPr>
              <w:t>% of revenue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w w:val="87"/>
              </w:rPr>
              <w:t>% of revenue</w:t>
            </w: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jc w:val="right"/>
              <w:ind w:right="44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92"/>
              <w:spacing w:after="0"/>
              <w:rPr>
                <w:sz w:val="20"/>
                <w:szCs w:val="20"/>
                <w:color w:val="auto"/>
              </w:rPr>
            </w:pPr>
            <w:r>
              <w:rPr>
                <w:rFonts w:ascii="Arial" w:cs="Arial" w:eastAsia="Arial" w:hAnsi="Arial"/>
                <w:sz w:val="18"/>
                <w:szCs w:val="18"/>
                <w:color w:val="auto"/>
              </w:rPr>
              <w:t>42,115</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72"/>
              <w:spacing w:after="0"/>
              <w:rPr>
                <w:sz w:val="20"/>
                <w:szCs w:val="20"/>
                <w:color w:val="auto"/>
              </w:rPr>
            </w:pPr>
            <w:r>
              <w:rPr>
                <w:rFonts w:ascii="Arial" w:cs="Arial" w:eastAsia="Arial" w:hAnsi="Arial"/>
                <w:sz w:val="18"/>
                <w:szCs w:val="18"/>
                <w:color w:val="auto"/>
              </w:rPr>
              <w:t>32,678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1080" w:type="dxa"/>
            <w:vAlign w:val="bottom"/>
            <w:gridSpan w:val="3"/>
          </w:tcPr>
          <w:p>
            <w:pPr>
              <w:jc w:val="right"/>
              <w:ind w:right="266"/>
              <w:spacing w:after="0"/>
              <w:rPr>
                <w:sz w:val="20"/>
                <w:szCs w:val="20"/>
                <w:color w:val="auto"/>
              </w:rPr>
            </w:pPr>
            <w:r>
              <w:rPr>
                <w:rFonts w:ascii="Arial" w:cs="Arial" w:eastAsia="Arial" w:hAnsi="Arial"/>
                <w:sz w:val="18"/>
                <w:szCs w:val="18"/>
                <w:color w:val="auto"/>
              </w:rPr>
              <w:t>$ 9,437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11,147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9,293</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080" w:type="dxa"/>
            <w:vAlign w:val="bottom"/>
            <w:gridSpan w:val="3"/>
            <w:shd w:val="clear" w:color="auto" w:fill="CCEEFF"/>
          </w:tcPr>
          <w:p>
            <w:pPr>
              <w:jc w:val="right"/>
              <w:ind w:right="266"/>
              <w:spacing w:after="0"/>
              <w:rPr>
                <w:sz w:val="20"/>
                <w:szCs w:val="20"/>
                <w:color w:val="auto"/>
              </w:rPr>
            </w:pPr>
            <w:r>
              <w:rPr>
                <w:rFonts w:ascii="Arial" w:cs="Arial" w:eastAsia="Arial" w:hAnsi="Arial"/>
                <w:sz w:val="18"/>
                <w:szCs w:val="18"/>
                <w:color w:val="auto"/>
              </w:rPr>
              <w:t>1,854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71.6</w:t>
            </w:r>
          </w:p>
        </w:tc>
        <w:tc>
          <w:tcPr>
            <w:tcW w:w="1080" w:type="dxa"/>
            <w:vAlign w:val="bottom"/>
            <w:gridSpan w:val="3"/>
            <w:vMerge w:val="restart"/>
          </w:tcPr>
          <w:p>
            <w:pPr>
              <w:jc w:val="right"/>
              <w:ind w:right="266"/>
              <w:spacing w:after="0"/>
              <w:rPr>
                <w:sz w:val="20"/>
                <w:szCs w:val="20"/>
                <w:color w:val="auto"/>
              </w:rPr>
            </w:pPr>
            <w:r>
              <w:rPr>
                <w:rFonts w:ascii="Arial" w:cs="Arial" w:eastAsia="Arial" w:hAnsi="Arial"/>
                <w:sz w:val="18"/>
                <w:szCs w:val="18"/>
                <w:color w:val="auto"/>
              </w:rPr>
              <w:t>7,583</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30,968</w:t>
            </w:r>
          </w:p>
        </w:tc>
        <w:tc>
          <w:tcPr>
            <w:tcW w:w="16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72"/>
              <w:spacing w:after="0"/>
              <w:rPr>
                <w:sz w:val="20"/>
                <w:szCs w:val="20"/>
                <w:color w:val="auto"/>
              </w:rPr>
            </w:pPr>
            <w:r>
              <w:rPr>
                <w:rFonts w:ascii="Arial" w:cs="Arial" w:eastAsia="Arial" w:hAnsi="Arial"/>
                <w:sz w:val="18"/>
                <w:szCs w:val="18"/>
                <w:color w:val="auto"/>
              </w:rPr>
              <w:t>23,385</w:t>
            </w:r>
          </w:p>
        </w:tc>
        <w:tc>
          <w:tcPr>
            <w:tcW w:w="800" w:type="dxa"/>
            <w:vAlign w:val="bottom"/>
            <w:gridSpan w:val="3"/>
            <w:vMerge w:val="continue"/>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17,382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72"/>
              <w:spacing w:after="0"/>
              <w:rPr>
                <w:sz w:val="20"/>
                <w:szCs w:val="20"/>
                <w:color w:val="auto"/>
              </w:rPr>
            </w:pPr>
            <w:r>
              <w:rPr>
                <w:rFonts w:ascii="Arial" w:cs="Arial" w:eastAsia="Arial" w:hAnsi="Arial"/>
                <w:sz w:val="18"/>
                <w:szCs w:val="18"/>
                <w:color w:val="auto"/>
              </w:rPr>
              <w:t>11,768</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36.0</w:t>
            </w:r>
          </w:p>
        </w:tc>
        <w:tc>
          <w:tcPr>
            <w:tcW w:w="1080" w:type="dxa"/>
            <w:vAlign w:val="bottom"/>
            <w:gridSpan w:val="3"/>
          </w:tcPr>
          <w:p>
            <w:pPr>
              <w:jc w:val="right"/>
              <w:ind w:right="266"/>
              <w:spacing w:after="0"/>
              <w:rPr>
                <w:sz w:val="20"/>
                <w:szCs w:val="20"/>
                <w:color w:val="auto"/>
              </w:rPr>
            </w:pPr>
            <w:r>
              <w:rPr>
                <w:rFonts w:ascii="Arial" w:cs="Arial" w:eastAsia="Arial" w:hAnsi="Arial"/>
                <w:sz w:val="18"/>
                <w:szCs w:val="18"/>
                <w:color w:val="auto"/>
              </w:rPr>
              <w:t>5,614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3,218</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080" w:type="dxa"/>
            <w:vAlign w:val="bottom"/>
            <w:gridSpan w:val="3"/>
            <w:shd w:val="clear" w:color="auto" w:fill="CCEEFF"/>
          </w:tcPr>
          <w:p>
            <w:pPr>
              <w:jc w:val="right"/>
              <w:ind w:right="266"/>
              <w:spacing w:after="0"/>
              <w:rPr>
                <w:sz w:val="20"/>
                <w:szCs w:val="20"/>
                <w:color w:val="auto"/>
              </w:rPr>
            </w:pPr>
            <w:r>
              <w:rPr>
                <w:rFonts w:ascii="Arial" w:cs="Arial" w:eastAsia="Arial" w:hAnsi="Arial"/>
                <w:sz w:val="18"/>
                <w:szCs w:val="18"/>
                <w:color w:val="auto"/>
              </w:rPr>
              <w:t>1,041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8,208</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72"/>
              <w:spacing w:after="0"/>
              <w:rPr>
                <w:sz w:val="20"/>
                <w:szCs w:val="20"/>
                <w:color w:val="auto"/>
              </w:rPr>
            </w:pPr>
            <w:r>
              <w:rPr>
                <w:rFonts w:ascii="Arial" w:cs="Arial" w:eastAsia="Arial" w:hAnsi="Arial"/>
                <w:sz w:val="18"/>
                <w:szCs w:val="18"/>
                <w:color w:val="auto"/>
              </w:rPr>
              <w:t>5,805</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17.8</w:t>
            </w:r>
          </w:p>
        </w:tc>
        <w:tc>
          <w:tcPr>
            <w:tcW w:w="1080" w:type="dxa"/>
            <w:vAlign w:val="bottom"/>
            <w:gridSpan w:val="3"/>
          </w:tcPr>
          <w:p>
            <w:pPr>
              <w:jc w:val="right"/>
              <w:ind w:right="266"/>
              <w:spacing w:after="0"/>
              <w:rPr>
                <w:sz w:val="20"/>
                <w:szCs w:val="20"/>
                <w:color w:val="auto"/>
              </w:rPr>
            </w:pPr>
            <w:r>
              <w:rPr>
                <w:rFonts w:ascii="Arial" w:cs="Arial" w:eastAsia="Arial" w:hAnsi="Arial"/>
                <w:sz w:val="18"/>
                <w:szCs w:val="18"/>
                <w:color w:val="auto"/>
              </w:rPr>
              <w:t>2,403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66"/>
              <w:spacing w:after="0"/>
              <w:rPr>
                <w:sz w:val="20"/>
                <w:szCs w:val="20"/>
                <w:color w:val="auto"/>
              </w:rPr>
            </w:pPr>
            <w:r>
              <w:rPr>
                <w:rFonts w:ascii="Arial" w:cs="Arial" w:eastAsia="Arial" w:hAnsi="Arial"/>
                <w:sz w:val="18"/>
                <w:szCs w:val="18"/>
                <w:color w:val="auto"/>
              </w:rPr>
              <w:t>383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30,232</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72"/>
              <w:spacing w:after="0"/>
              <w:rPr>
                <w:sz w:val="20"/>
                <w:szCs w:val="20"/>
                <w:color w:val="auto"/>
              </w:rPr>
            </w:pPr>
            <w:r>
              <w:rPr>
                <w:rFonts w:ascii="Arial" w:cs="Arial" w:eastAsia="Arial" w:hAnsi="Arial"/>
                <w:sz w:val="18"/>
                <w:szCs w:val="18"/>
                <w:color w:val="auto"/>
              </w:rPr>
              <w:t>20,791</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63.6</w:t>
            </w:r>
          </w:p>
        </w:tc>
        <w:tc>
          <w:tcPr>
            <w:tcW w:w="1080" w:type="dxa"/>
            <w:vAlign w:val="bottom"/>
            <w:gridSpan w:val="3"/>
          </w:tcPr>
          <w:p>
            <w:pPr>
              <w:jc w:val="right"/>
              <w:ind w:right="266"/>
              <w:spacing w:after="0"/>
              <w:rPr>
                <w:sz w:val="20"/>
                <w:szCs w:val="20"/>
                <w:color w:val="auto"/>
              </w:rPr>
            </w:pPr>
            <w:r>
              <w:rPr>
                <w:rFonts w:ascii="Arial" w:cs="Arial" w:eastAsia="Arial" w:hAnsi="Arial"/>
                <w:sz w:val="18"/>
                <w:szCs w:val="18"/>
                <w:color w:val="auto"/>
              </w:rPr>
              <w:t>9,441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2,594</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080" w:type="dxa"/>
            <w:vAlign w:val="bottom"/>
            <w:gridSpan w:val="3"/>
            <w:shd w:val="clear" w:color="auto" w:fill="CCEEFF"/>
          </w:tcPr>
          <w:p>
            <w:pPr>
              <w:jc w:val="right"/>
              <w:ind w:right="206"/>
              <w:spacing w:after="0"/>
              <w:rPr>
                <w:sz w:val="20"/>
                <w:szCs w:val="20"/>
                <w:color w:val="auto"/>
              </w:rPr>
            </w:pPr>
            <w:r>
              <w:rPr>
                <w:rFonts w:ascii="Arial" w:cs="Arial" w:eastAsia="Arial" w:hAnsi="Arial"/>
                <w:sz w:val="18"/>
                <w:szCs w:val="18"/>
                <w:color w:val="auto"/>
              </w:rPr>
              <w:t>(1,858)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80" w:type="dxa"/>
            <w:vAlign w:val="bottom"/>
            <w:gridSpan w:val="3"/>
            <w:shd w:val="clear" w:color="auto" w:fill="CCEEFF"/>
          </w:tcPr>
          <w:p>
            <w:pPr>
              <w:jc w:val="right"/>
              <w:ind w:right="266"/>
              <w:spacing w:after="0"/>
              <w:rPr>
                <w:sz w:val="20"/>
                <w:szCs w:val="20"/>
                <w:color w:val="auto"/>
              </w:rPr>
            </w:pPr>
            <w:r>
              <w:rPr>
                <w:rFonts w:ascii="Arial" w:cs="Arial" w:eastAsia="Arial" w:hAnsi="Arial"/>
                <w:sz w:val="18"/>
                <w:szCs w:val="18"/>
                <w:color w:val="auto"/>
              </w:rPr>
              <w:t>66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72"/>
              <w:spacing w:after="0"/>
              <w:rPr>
                <w:sz w:val="20"/>
                <w:szCs w:val="20"/>
                <w:color w:val="auto"/>
              </w:rPr>
            </w:pPr>
            <w:r>
              <w:rPr>
                <w:rFonts w:ascii="Arial" w:cs="Arial" w:eastAsia="Arial" w:hAnsi="Arial"/>
                <w:sz w:val="18"/>
                <w:szCs w:val="18"/>
                <w:color w:val="auto"/>
              </w:rPr>
              <w:t>104</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1080" w:type="dxa"/>
            <w:vAlign w:val="bottom"/>
            <w:gridSpan w:val="3"/>
          </w:tcPr>
          <w:p>
            <w:pPr>
              <w:jc w:val="right"/>
              <w:ind w:right="206"/>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080" w:type="dxa"/>
            <w:vAlign w:val="bottom"/>
            <w:gridSpan w:val="3"/>
            <w:shd w:val="clear" w:color="auto" w:fill="CCEEFF"/>
          </w:tcPr>
          <w:p>
            <w:pPr>
              <w:jc w:val="right"/>
              <w:ind w:right="266"/>
              <w:spacing w:after="0"/>
              <w:rPr>
                <w:sz w:val="20"/>
                <w:szCs w:val="20"/>
                <w:color w:val="auto"/>
              </w:rPr>
            </w:pPr>
            <w:r>
              <w:rPr>
                <w:rFonts w:ascii="Arial" w:cs="Arial" w:eastAsia="Arial" w:hAnsi="Arial"/>
                <w:sz w:val="18"/>
                <w:szCs w:val="18"/>
                <w:color w:val="auto"/>
              </w:rPr>
              <w:t>31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(0.2)</w:t>
            </w:r>
          </w:p>
        </w:tc>
        <w:tc>
          <w:tcPr>
            <w:tcW w:w="1080" w:type="dxa"/>
            <w:vAlign w:val="bottom"/>
            <w:gridSpan w:val="3"/>
            <w:vMerge w:val="restart"/>
          </w:tcPr>
          <w:p>
            <w:pPr>
              <w:jc w:val="right"/>
              <w:ind w:right="266"/>
              <w:spacing w:after="0"/>
              <w:rPr>
                <w:sz w:val="20"/>
                <w:szCs w:val="20"/>
                <w:color w:val="auto"/>
              </w:rPr>
            </w:pPr>
            <w:r>
              <w:rPr>
                <w:rFonts w:ascii="Arial" w:cs="Arial" w:eastAsia="Arial" w:hAnsi="Arial"/>
                <w:sz w:val="18"/>
                <w:szCs w:val="18"/>
                <w:color w:val="auto"/>
              </w:rPr>
              <w:t>67</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(55)</w:t>
            </w:r>
          </w:p>
        </w:tc>
        <w:tc>
          <w:tcPr>
            <w:tcW w:w="800" w:type="dxa"/>
            <w:vAlign w:val="bottom"/>
            <w:gridSpan w:val="3"/>
            <w:vMerge w:val="continue"/>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2,539</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1080" w:type="dxa"/>
            <w:vAlign w:val="bottom"/>
            <w:gridSpan w:val="3"/>
            <w:shd w:val="clear" w:color="auto" w:fill="CCEEFF"/>
          </w:tcPr>
          <w:p>
            <w:pPr>
              <w:jc w:val="right"/>
              <w:ind w:right="206"/>
              <w:spacing w:after="0"/>
              <w:rPr>
                <w:sz w:val="20"/>
                <w:szCs w:val="20"/>
                <w:color w:val="auto"/>
              </w:rPr>
            </w:pPr>
            <w:r>
              <w:rPr>
                <w:rFonts w:ascii="Arial" w:cs="Arial" w:eastAsia="Arial" w:hAnsi="Arial"/>
                <w:sz w:val="18"/>
                <w:szCs w:val="18"/>
                <w:color w:val="auto"/>
              </w:rPr>
              <w:t>(1,791)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2"/>
              <w:spacing w:after="0"/>
              <w:rPr>
                <w:sz w:val="20"/>
                <w:szCs w:val="20"/>
                <w:color w:val="auto"/>
              </w:rPr>
            </w:pPr>
            <w:r>
              <w:rPr>
                <w:rFonts w:ascii="Arial" w:cs="Arial" w:eastAsia="Arial" w:hAnsi="Arial"/>
                <w:sz w:val="18"/>
                <w:szCs w:val="18"/>
                <w:color w:val="auto"/>
              </w:rPr>
              <w:t>(188)</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(96)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(0.3)</w:t>
            </w:r>
          </w:p>
        </w:tc>
        <w:tc>
          <w:tcPr>
            <w:tcW w:w="1080" w:type="dxa"/>
            <w:vAlign w:val="bottom"/>
            <w:gridSpan w:val="3"/>
          </w:tcPr>
          <w:p>
            <w:pPr>
              <w:jc w:val="right"/>
              <w:ind w:right="206"/>
              <w:spacing w:after="0"/>
              <w:rPr>
                <w:sz w:val="20"/>
                <w:szCs w:val="20"/>
                <w:color w:val="auto"/>
              </w:rPr>
            </w:pPr>
            <w:r>
              <w:rPr>
                <w:rFonts w:ascii="Arial" w:cs="Arial" w:eastAsia="Arial" w:hAnsi="Arial"/>
                <w:sz w:val="18"/>
                <w:szCs w:val="18"/>
                <w:color w:val="auto"/>
              </w:rPr>
              <w:t>(92)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2,443</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080" w:type="dxa"/>
            <w:vAlign w:val="bottom"/>
            <w:gridSpan w:val="3"/>
            <w:shd w:val="clear" w:color="auto" w:fill="CCEEFF"/>
          </w:tcPr>
          <w:p>
            <w:pPr>
              <w:jc w:val="right"/>
              <w:ind w:right="206"/>
              <w:spacing w:after="0"/>
              <w:rPr>
                <w:sz w:val="20"/>
                <w:szCs w:val="20"/>
                <w:color w:val="auto"/>
              </w:rPr>
            </w:pPr>
            <w:r>
              <w:rPr>
                <w:rFonts w:ascii="Arial" w:cs="Arial" w:eastAsia="Arial" w:hAnsi="Arial"/>
                <w:sz w:val="18"/>
                <w:szCs w:val="18"/>
                <w:color w:val="auto"/>
              </w:rPr>
              <w:t>(1,883)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91"/>
              </w:rPr>
              <w:t>Dueto rounding, totals may not equal the sum of the line items in the table above.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960" w:type="dxa"/>
            <w:vAlign w:val="bottom"/>
            <w:gridSpan w:val="2"/>
          </w:tcPr>
          <w:p>
            <w:pPr>
              <w:spacing w:after="0"/>
              <w:rPr>
                <w:sz w:val="20"/>
                <w:szCs w:val="20"/>
                <w:color w:val="auto"/>
              </w:rPr>
            </w:pPr>
            <w:r>
              <w:rPr>
                <w:rFonts w:ascii="Arial" w:cs="Arial" w:eastAsia="Arial" w:hAnsi="Arial"/>
                <w:sz w:val="18"/>
                <w:szCs w:val="18"/>
                <w:color w:val="auto"/>
              </w:rPr>
              <w:t>*  Percentage is not meaningful.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60" w:type="dxa"/>
            <w:vAlign w:val="bottom"/>
            <w:gridSpan w:val="2"/>
          </w:tcPr>
          <w:p>
            <w:pPr>
              <w:jc w:val="right"/>
              <w:ind w:right="7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2011 compared to Three and Nine Months Ended September 30, 2010</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the three months ended September 30, 2011 increased $4.0 million, or 35%, to $15.5 million from $11.5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2010. Revenues for the nine months ended September 30, 2011 increased $9.4 million, or 29%, to $42.1 million from $32.7 million for the same period in 2010. Our fiscal quarter ended September 30, 2011 represented our 43</w:t>
      </w:r>
      <w:r>
        <w:rPr>
          <w:rFonts w:ascii="Arial" w:cs="Arial" w:eastAsia="Arial" w:hAnsi="Arial"/>
          <w:sz w:val="10"/>
          <w:szCs w:val="10"/>
          <w:color w:val="auto"/>
        </w:rPr>
        <w:t>rd</w:t>
      </w:r>
      <w:r>
        <w:rPr>
          <w:rFonts w:ascii="Arial" w:cs="Arial" w:eastAsia="Arial" w:hAnsi="Arial"/>
          <w:sz w:val="16"/>
          <w:szCs w:val="16"/>
          <w:color w:val="auto"/>
        </w:rPr>
        <w:t xml:space="preserve"> consecutive quarter of increased revenues.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increase in revenues resulted from two primary factors: the increase in recurring revenue customers and the increase in annualized average recurring revenues per recurring revenue customer.</w:t>
      </w:r>
    </w:p>
    <w:p>
      <w:pPr>
        <w:spacing w:after="0" w:line="51" w:lineRule="exact"/>
        <w:rPr>
          <w:sz w:val="20"/>
          <w:szCs w:val="20"/>
          <w:color w:val="auto"/>
        </w:rPr>
      </w:pPr>
    </w:p>
    <w:p>
      <w:pPr>
        <w:ind w:left="900" w:right="480" w:hanging="325"/>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31% to 15,896 at September 30, 2011 from 12,117 at September 30, 2010. This increase included the approximately 1,800 recurring revenue customers gained from the acquisition of Direct EDI.</w:t>
      </w:r>
    </w:p>
    <w:p>
      <w:pPr>
        <w:jc w:val="both"/>
        <w:ind w:left="900" w:right="8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increased 5% to $3,376 for the three months ended September 30, 2011 from $3,226 for the same period in 2010. This increase was primarily attributable to increased fees resulting from increased usage of our solutions by our recurring revenue customers.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Recurring revenues from recurring revenue customers accounted for 85% and 84% of our total revenues for the three and nine months ended September 30, 2011, compared to 84% and 83% for each of the same periods in 2010. We anticipate that the number of recurring revenue customers and the recurring revenues per recurring revenue customer will continue to increase as we increase the number of solutions we offer, such as the Trading Partner Intelligence solution we introduced in late 2009, and increase the penetration of those solutions across our customer base.</w:t>
      </w:r>
    </w:p>
    <w:p>
      <w:pPr>
        <w:spacing w:after="0" w:line="11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September 30, 2011 increased $865,000, or 27%, to $4.1 million from $3.2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2010. Cost of revenues for the nine months ended September 30, 2011 increased $1.8 million, or 20%, to $11.1 million from $9.3 million for the same period in 2010. The increase for both periods was attributable to increased costs for personnel, resale of adapters and referral fees, as well as increased network services, occupancy and stock-based compensation expenses. As a percentage of revenues, cost of revenues was 26% for each of the three and nine months ended September 30, 2011, compared to 28% for each of the same periods in 2010. Increased revenues allowed us to leverage our personnel and infrastructure costs and decrease our cost of revenues as a percentage of total revenues. Going forward, we anticipate that cost of revenues will increase in absolute dollars as we continue to build our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2011 increased $2.3 million, or 55%, to</w:t>
      </w:r>
    </w:p>
    <w:p>
      <w:pPr>
        <w:spacing w:after="0" w:line="3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$6.4 million from $4.1 million for the same period in 2010. Sales and marketing expenses for the nine months ended September 30, 2011 increased $5.6 million, or 48%, to $17.4 million from $11.8 million for the same period in 2010. The increase in sales and marketing expenses for both periods was primarily due to increased personnel costs; higher commissions earned by sales personnel from new business; and increased promotional, occupancy and stock-based compensation costs. As a percentage of revenues, sales and marketing expenses were 41% for each of the three and nine months ended September 30, 2011, compared to 36% for each of the same periods in 2010. As we build our business, we will continue to add resources to our sales and marketing efforts over time, and we expect that these expenses will continue to increase in absolute dollars.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September 30, 2011 increased $497,000, or 45%, to</w:t>
      </w:r>
      <w:r>
        <w:rPr>
          <w:rFonts w:ascii="Arial" w:cs="Arial" w:eastAsia="Arial" w:hAnsi="Arial"/>
          <w:sz w:val="16"/>
          <w:szCs w:val="16"/>
          <w:i w:val="1"/>
          <w:iCs w:val="1"/>
          <w:color w:val="auto"/>
        </w:rPr>
        <w:t xml:space="preserve"> </w:t>
      </w:r>
      <w:r>
        <w:rPr>
          <w:rFonts w:ascii="Arial" w:cs="Arial" w:eastAsia="Arial" w:hAnsi="Arial"/>
          <w:sz w:val="16"/>
          <w:szCs w:val="16"/>
          <w:color w:val="auto"/>
        </w:rPr>
        <w:t>$1.6 million from $1.1 million for the same period in 2010. Research and development expenses for the nine months ended September 30, 2011 increased $1.1 million, or 32%, to $4.3 million from $3.2 million for the same period in 2010. The increase in research and development expenses for both periods was due primarily to increased personnel costs. As a percentage of revenues, research and development expenses were 10% for each of the three and nine month periods ended September 30, 2011 and 2010. As we enhance and expand our solutions and applications, we expect that research and development expenses will continue to increase in absolute dollars.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2011 increased $749,000, or 35%, to</w:t>
      </w:r>
      <w:r>
        <w:rPr>
          <w:rFonts w:ascii="Arial" w:cs="Arial" w:eastAsia="Arial" w:hAnsi="Arial"/>
          <w:sz w:val="16"/>
          <w:szCs w:val="16"/>
          <w:i w:val="1"/>
          <w:iCs w:val="1"/>
          <w:color w:val="auto"/>
        </w:rPr>
        <w:t xml:space="preserve"> </w:t>
      </w:r>
      <w:r>
        <w:rPr>
          <w:rFonts w:ascii="Arial" w:cs="Arial" w:eastAsia="Arial" w:hAnsi="Arial"/>
          <w:sz w:val="16"/>
          <w:szCs w:val="16"/>
          <w:color w:val="auto"/>
        </w:rPr>
        <w:t>$2.9 million from $2.2 million for the same period in 2010. General and administrative expenses for the nine months ended September 30, 2011 increased $2.4 million, or 41%, to $8.2 million from $5.8 million for the same period in 2010. The increase in general and administrative expenses for both periods was primarily due to increased personnel costs, as well as increased stock-based compensation and software maintenance expenses. For the nine months ended September 30, 2011, the increase was also due to increased expenses related to being a public company, including legal and insurance expenses, as well as costs related to the Direct EDI acquisition in May 2011. As a percentage of revenues, general and administrative expenses were 19% for each of the three and nine months ended September 30, 2011, compared to 19% and 18% for the same periods in 2010. Going forward, we expect that general and administrative expenses will continue to increase in absolute dollars as we continue to build our business.</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expense was $260,000 and $383,000 for the three and nine months ended September 30, 2011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recorded with the acquisition of Direct EDI in May 2011. There was no amortization expense for the comparable periods in 2010.</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We did not incur any interest expense for the three and nine months ended September 30, 2011 as our capital lease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were fully repaid in early January 2011. For the same periods in 2010, interest expense was $8,000 and $66,000 and was related to outstanding indebtedness under our equipment loans and credit facility, which were repaid in the second quarter of 2010, as well as our capital lease obligations. Interest income for the three and nine months ended September 30, 2011 was $16,000 and $74,000, respectively, as the result of interest earned on our cash and cash equivalents. Other expense for the three and nine months ended September 30, 2011 was $28,000 and $62,000, respectively, compared to other expense of $85,000 and $93,000 for the comparable periods in 2010.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expense was $81,000 for the three months ended September 30, 2011, compared to an income tax benefit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$7,000 for the three months ended September 30, 2010. Income tax expense was $188,000 and $96,000 for the nine months ended September 30, 2011 and 2010,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respectively. We record our interim provision for income taxes based on our estimated annual effective tax rate for the year. Our provision for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includes estimated federal alternative minimum taxes and state income taxes, as well as deferred tax expense resulting from the book and tax basis difference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from asset acquisitions.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interest income, income tax expense (benefit)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40" w:type="dxa"/>
            <w:vAlign w:val="bottom"/>
          </w:tcPr>
          <w:p>
            <w:pPr>
              <w:ind w:left="440"/>
              <w:spacing w:after="0"/>
              <w:rPr>
                <w:sz w:val="20"/>
                <w:szCs w:val="20"/>
                <w:color w:val="auto"/>
              </w:rPr>
            </w:pPr>
            <w:r>
              <w:rPr>
                <w:rFonts w:ascii="Arial" w:cs="Arial" w:eastAsia="Arial" w:hAnsi="Arial"/>
                <w:sz w:val="18"/>
                <w:szCs w:val="18"/>
                <w:color w:val="auto"/>
                <w:w w:val="93"/>
              </w:rPr>
              <w:t>The following table provides a reconciliation of net income to Adjusted EBITDA (in thousands):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2"/>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right"/>
              <w:ind w:right="280"/>
              <w:spacing w:after="0"/>
              <w:rPr>
                <w:sz w:val="20"/>
                <w:szCs w:val="20"/>
                <w:color w:val="auto"/>
              </w:rPr>
            </w:pPr>
            <w:r>
              <w:rPr>
                <w:rFonts w:ascii="Arial" w:cs="Arial" w:eastAsia="Arial" w:hAnsi="Arial"/>
                <w:sz w:val="18"/>
                <w:szCs w:val="18"/>
                <w:color w:val="auto"/>
                <w:w w:val="86"/>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240"/>
              <w:spacing w:after="0"/>
              <w:rPr>
                <w:sz w:val="20"/>
                <w:szCs w:val="20"/>
                <w:color w:val="auto"/>
              </w:rPr>
            </w:pPr>
            <w:r>
              <w:rPr>
                <w:rFonts w:ascii="Arial" w:cs="Arial" w:eastAsia="Arial" w:hAnsi="Arial"/>
                <w:sz w:val="18"/>
                <w:szCs w:val="18"/>
                <w:color w:val="auto"/>
                <w:w w:val="89"/>
              </w:rPr>
              <w:t>Nine Months Ended</w:t>
            </w: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6"/>
          </w:tcPr>
          <w:p>
            <w:pPr>
              <w:jc w:val="right"/>
              <w:ind w:right="52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8"/>
                <w:szCs w:val="18"/>
                <w:color w:val="auto"/>
              </w:rPr>
              <w:t>September 30,</w:t>
            </w:r>
          </w:p>
        </w:tc>
      </w:tr>
      <w:tr>
        <w:trPr>
          <w:trHeight w:val="222"/>
        </w:trPr>
        <w:tc>
          <w:tcPr>
            <w:tcW w:w="20" w:type="dxa"/>
            <w:vAlign w:val="bottom"/>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2011</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2010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2011</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2010</w:t>
            </w:r>
          </w:p>
        </w:tc>
        <w:tc>
          <w:tcPr>
            <w:tcW w:w="100" w:type="dxa"/>
            <w:vAlign w:val="bottom"/>
            <w:tcBorders>
              <w:bottom w:val="single" w:sz="8" w:color="CCEEFF"/>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18"/>
                <w:szCs w:val="18"/>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Nine Months Ended</w:t>
            </w:r>
          </w:p>
        </w:tc>
      </w:tr>
      <w:tr>
        <w:trPr>
          <w:trHeight w:val="223"/>
        </w:trPr>
        <w:tc>
          <w:tcPr>
            <w:tcW w:w="4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6"/>
          </w:tcPr>
          <w:p>
            <w:pPr>
              <w:jc w:val="right"/>
              <w:ind w:right="96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8"/>
                <w:szCs w:val="18"/>
                <w:color w:val="auto"/>
                <w:w w:val="86"/>
              </w:rPr>
              <w:t>September 30,</w:t>
            </w:r>
          </w:p>
        </w:tc>
      </w:tr>
      <w:tr>
        <w:trPr>
          <w:trHeight w:val="222"/>
        </w:trPr>
        <w:tc>
          <w:tcPr>
            <w:tcW w:w="46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4"/>
              </w:rPr>
              <w:t>2011</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4"/>
              </w:rPr>
              <w:t>2010</w:t>
            </w:r>
          </w:p>
        </w:tc>
        <w:tc>
          <w:tcPr>
            <w:tcW w:w="4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2011</w:t>
            </w:r>
          </w:p>
        </w:tc>
        <w:tc>
          <w:tcPr>
            <w:tcW w:w="4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89"/>
              </w:rPr>
              <w:t>2010</w:t>
            </w:r>
          </w:p>
        </w:tc>
        <w:tc>
          <w:tcPr>
            <w:tcW w:w="100" w:type="dxa"/>
            <w:vAlign w:val="bottom"/>
            <w:tcBorders>
              <w:bottom w:val="single" w:sz="8" w:color="CCEEFF"/>
            </w:tcBorders>
          </w:tcPr>
          <w:p>
            <w:pPr>
              <w:spacing w:after="0"/>
              <w:rPr>
                <w:sz w:val="19"/>
                <w:szCs w:val="19"/>
                <w:color w:val="auto"/>
              </w:rPr>
            </w:pPr>
          </w:p>
        </w:tc>
      </w:tr>
      <w:tr>
        <w:trPr>
          <w:trHeight w:val="212"/>
        </w:trPr>
        <w:tc>
          <w:tcPr>
            <w:tcW w:w="46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886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Non-GAAP income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2,229</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incomeper share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Basic</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11,970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11,620</w:t>
            </w: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11,918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12,735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12,413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11,275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Diluted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0.18</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r>
      <w:tr>
        <w:trPr>
          <w:trHeight w:val="356"/>
        </w:trPr>
        <w:tc>
          <w:tcPr>
            <w:tcW w:w="4680" w:type="dxa"/>
            <w:vAlign w:val="bottom"/>
          </w:tcPr>
          <w:p>
            <w:pPr>
              <w:spacing w:after="0"/>
              <w:rPr>
                <w:sz w:val="24"/>
                <w:szCs w:val="24"/>
                <w:color w:val="auto"/>
              </w:rPr>
            </w:pPr>
          </w:p>
        </w:tc>
        <w:tc>
          <w:tcPr>
            <w:tcW w:w="2280" w:type="dxa"/>
            <w:vAlign w:val="bottom"/>
          </w:tcPr>
          <w:p>
            <w:pPr>
              <w:jc w:val="right"/>
              <w:ind w:right="1072"/>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September 30, 2011, our principal sources of liquidity were cash and cash equivalents of $31.5 million and accounts receivable, net of allowance for doubtful accounts, of $7.7 million. Our working capital at September 30, 2011 was $34.5 million compared to $42.6 million at December 31, 2010. The decrease in working capital from December 31, 2010 to September 30, 2011 resulted primarily from the following:</w:t>
      </w:r>
    </w:p>
    <w:p>
      <w:pPr>
        <w:spacing w:after="0" w:line="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$8.9 million decrease in cash and cash equivalents, due primarily to $10.9 million of cash used for the acquisition of Direct EDI in May 2011;</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 million increase in net accounts receivable, due to new business for the nine months ended September 30,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$766,000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900" w:right="6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$359,000 increase in prepaid expenses and other current assets, primarily related to the renewals of insurance coverage and a prepaid service contract;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$122,000 decrease in capital lease obligations, current, as all of our outstanding capital leases were repaid;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$389,000 increase in accounts payable, primarily due to timing of payments for equipment purchases, professional services and rent;</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 million increase in accrued compensation and benefits, due to increases in salary, vacation and commission accruals, slightly offset by payments made in early 2011 for bonuses accrued as of December 31, 2010;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$319,000 increase in accrued expenses and other current liabilities, primarily due to an increase in accruals for professional services;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$221,000 increase in deferred revenue, current, due to new business for the nine months ended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cash provided by operating activities was $3.5 million for the nine months ended September 30, 2011 compared to $4.1 million for the same period in 2010. The approximate $1.9 million decrease in net income, the changes in non-cash expenses, including increased amortization and stock-based compensation, and the changes in working capital accounts discussed above all contributed to the decrease in net cash provided by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Net cash used in investing activities was $12.6 million for the nine months ended September 30, 2011 and $1.2 million for the same period in 2010. In 2011, we used approximately $10.9 million for the acquisition of Direct EDI. Our capital expenditures, which totaled $1.7 million in 2011 and $1.2 million in 2010, are for supporting our business growth and existing customer base, as well as for our internal use such as equipment for our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cash provided by financing activities was $108,000 for the nine months ended September 30, 2011, representing cash received from the exercise of stock options offset by payments of capital lease obligations and stock offering costs. Net cash provided by financing activities was $30.3 million for the nine months ended September 30, 2010, representing the approximate $33.0 million of net proceeds from our initial public offering slightly offset by $2.6 million of net repayments on our outstanding indebtedness.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1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 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borrowings outstanding at September 30, 2011 and we were in compliance with all covenants under the revolving credit agreement as of that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increase as we continue to grow our business.</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2011.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See Note A to our financial statements in this Quarterly Report on Form 10-Q and in our Annual Report on Form 10-K for the year ended December 31, 2010 as filed with the Securities and Exchange Commission on March 3, 2011 for a full description of recent accounting pronouncements, including the respective expected dates of adoption and effects on our results of operations and financial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a smaller reporting company as defined by Rule 12b-2 of the Exchange Act and are not required to provide the information required under this item.</w:t>
      </w:r>
    </w:p>
    <w:p>
      <w:pPr>
        <w:spacing w:after="0" w:line="2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2011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2010 as filed with the Securities and Exchange Commission on March 3, 2011.</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immediately following the signatures to this report.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Dated: November 7, 2011</w:t>
      </w:r>
      <w:r>
        <w:rPr>
          <w:sz w:val="20"/>
          <w:szCs w:val="20"/>
          <w:color w:val="auto"/>
        </w:rPr>
        <w:tab/>
      </w:r>
      <w:r>
        <w:rPr>
          <w:rFonts w:ascii="Arial" w:cs="Arial" w:eastAsia="Arial" w:hAnsi="Arial"/>
          <w:sz w:val="16"/>
          <w:szCs w:val="16"/>
          <w:b w:val="1"/>
          <w:bCs w:val="1"/>
          <w:color w:val="auto"/>
        </w:rPr>
        <w:t>SPS COMMERCE, INC.</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24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760" w:type="dxa"/>
            <w:vAlign w:val="bottom"/>
          </w:tcPr>
          <w:p>
            <w:pPr>
              <w:jc w:val="center"/>
              <w:ind w:right="1312"/>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76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89"/>
              </w:rPr>
              <w:t>Credit agreement (incorporated by reference to Exhibit 10.1 to the registrant’s Current Report on Form 8-K filed with the Commission on October 3,</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2011 (File No. 001-34702)).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1"/>
              </w:rPr>
              <w:t>Certification of Principal Executive Officer pursuant to Rules 13a-14(a) under the Securities Exchange Act of 1934, as amended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1"/>
              </w:rPr>
              <w:t>Certification of Principal Financial Officer pursuant to Rules 13a-14(a) under the Securities Exchange Act of 1934, as amended (filed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 1350, as adopted pursuant to Section 906 of the</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Interactive Data Files Pursuant to Rule 405 of Regulation S-T.</w:t>
            </w:r>
          </w:p>
        </w:tc>
      </w:tr>
      <w:tr>
        <w:trPr>
          <w:trHeight w:val="365"/>
        </w:trPr>
        <w:tc>
          <w:tcPr>
            <w:tcW w:w="500" w:type="dxa"/>
            <w:vAlign w:val="bottom"/>
          </w:tcPr>
          <w:p>
            <w:pPr>
              <w:spacing w:after="0"/>
              <w:rPr>
                <w:sz w:val="24"/>
                <w:szCs w:val="24"/>
                <w:color w:val="auto"/>
              </w:rPr>
            </w:pPr>
          </w:p>
        </w:tc>
        <w:tc>
          <w:tcPr>
            <w:tcW w:w="10800" w:type="dxa"/>
            <w:vAlign w:val="bottom"/>
            <w:gridSpan w:val="3"/>
          </w:tcPr>
          <w:p>
            <w:pPr>
              <w:jc w:val="right"/>
              <w:ind w:right="5412"/>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00"/>
          </w:cols>
          <w:pgMar w:left="240" w:top="459"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1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11"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1820" w:right="180" w:hanging="678"/>
        <w:spacing w:after="0" w:line="306" w:lineRule="auto"/>
        <w:tabs>
          <w:tab w:leader="none" w:pos="1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820" w:right="20" w:hanging="678"/>
        <w:spacing w:after="0" w:line="259" w:lineRule="auto"/>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820" w:right="80" w:hanging="678"/>
        <w:spacing w:after="0" w:line="370" w:lineRule="auto"/>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820" w:right="380" w:hanging="678"/>
        <w:spacing w:after="0" w:line="306" w:lineRule="auto"/>
        <w:tabs>
          <w:tab w:leader="none" w:pos="1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820" w:right="340" w:hanging="678"/>
        <w:spacing w:after="0" w:line="332" w:lineRule="auto"/>
        <w:tabs>
          <w:tab w:leader="none" w:pos="1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820" w:right="560" w:hanging="678"/>
        <w:spacing w:after="0" w:line="268" w:lineRule="auto"/>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7, 2011</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2400" w:firstLine="2391"/>
        <w:spacing w:after="0" w:line="463"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11"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1820" w:right="180" w:hanging="678"/>
        <w:spacing w:after="0" w:line="306" w:lineRule="auto"/>
        <w:tabs>
          <w:tab w:leader="none" w:pos="18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820" w:right="20" w:hanging="678"/>
        <w:spacing w:after="0" w:line="259" w:lineRule="auto"/>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820" w:right="80" w:hanging="678"/>
        <w:spacing w:after="0" w:line="370" w:lineRule="auto"/>
        <w:tabs>
          <w:tab w:leader="none" w:pos="182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820" w:right="380" w:hanging="678"/>
        <w:spacing w:after="0" w:line="306" w:lineRule="auto"/>
        <w:tabs>
          <w:tab w:leader="none" w:pos="18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820" w:right="340" w:hanging="678"/>
        <w:spacing w:after="0" w:line="332" w:lineRule="auto"/>
        <w:tabs>
          <w:tab w:leader="none" w:pos="18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820" w:right="560" w:hanging="678"/>
        <w:spacing w:after="0" w:line="268" w:lineRule="auto"/>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7, 2011</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47" w:lineRule="exact"/>
        <w:rPr>
          <w:sz w:val="20"/>
          <w:szCs w:val="20"/>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7,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2019-12-10T19:11:21Z</dcterms:created>
  <dcterms:modified xsi:type="dcterms:W3CDTF">2019-12-10T19:11:21Z</dcterms:modified>
</cp:coreProperties>
</file>