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49"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18" w:lineRule="exact"/>
        <w:rPr>
          <w:sz w:val="24"/>
          <w:szCs w:val="24"/>
          <w:color w:val="auto"/>
        </w:rPr>
      </w:pPr>
    </w:p>
    <w:p>
      <w:pPr>
        <w:ind w:left="384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3980180</wp:posOffset>
            </wp:positionH>
            <wp:positionV relativeFrom="paragraph">
              <wp:posOffset>-7620</wp:posOffset>
            </wp:positionV>
            <wp:extent cx="838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001-34702</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111" w:lineRule="exact"/>
        <w:rPr>
          <w:sz w:val="24"/>
          <w:szCs w:val="24"/>
          <w:color w:val="auto"/>
        </w:rPr>
      </w:pPr>
    </w:p>
    <w:tbl>
      <w:tblPr>
        <w:tblLayout w:type="fixed"/>
        <w:tblInd w:w="1940" w:type="dxa"/>
        <w:tblCellMar>
          <w:top w:w="0" w:type="dxa"/>
          <w:left w:w="0" w:type="dxa"/>
          <w:bottom w:w="0" w:type="dxa"/>
          <w:right w:w="0" w:type="dxa"/>
        </w:tblCellMar>
      </w:tblPr>
      <w:tr>
        <w:trPr>
          <w:trHeight w:val="216"/>
        </w:trPr>
        <w:tc>
          <w:tcPr>
            <w:tcW w:w="3960" w:type="dxa"/>
            <w:vAlign w:val="bottom"/>
          </w:tcPr>
          <w:p>
            <w:pPr>
              <w:jc w:val="center"/>
              <w:ind w:right="2042"/>
              <w:spacing w:after="0"/>
              <w:rPr>
                <w:sz w:val="20"/>
                <w:szCs w:val="20"/>
                <w:color w:val="auto"/>
              </w:rPr>
            </w:pPr>
            <w:r>
              <w:rPr>
                <w:rFonts w:ascii="Arial" w:cs="Arial" w:eastAsia="Arial" w:hAnsi="Arial"/>
                <w:sz w:val="18"/>
                <w:szCs w:val="18"/>
                <w:b w:val="1"/>
                <w:bCs w:val="1"/>
                <w:color w:val="auto"/>
                <w:w w:val="91"/>
              </w:rPr>
              <w:t>Delaware</w:t>
            </w:r>
          </w:p>
        </w:tc>
        <w:tc>
          <w:tcPr>
            <w:tcW w:w="322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41-2015127</w:t>
            </w:r>
          </w:p>
        </w:tc>
      </w:tr>
      <w:tr>
        <w:trPr>
          <w:trHeight w:val="149"/>
        </w:trPr>
        <w:tc>
          <w:tcPr>
            <w:tcW w:w="396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i w:val="1"/>
                <w:iCs w:val="1"/>
                <w:color w:val="auto"/>
                <w:w w:val="90"/>
              </w:rPr>
              <w:t>(State or Other Jurisdiction of</w:t>
            </w:r>
          </w:p>
        </w:tc>
        <w:tc>
          <w:tcPr>
            <w:tcW w:w="3220" w:type="dxa"/>
            <w:vAlign w:val="bottom"/>
          </w:tcPr>
          <w:p>
            <w:pPr>
              <w:jc w:val="center"/>
              <w:ind w:left="2062"/>
              <w:spacing w:after="0" w:line="149" w:lineRule="exact"/>
              <w:rPr>
                <w:sz w:val="20"/>
                <w:szCs w:val="20"/>
                <w:color w:val="auto"/>
              </w:rPr>
            </w:pPr>
            <w:r>
              <w:rPr>
                <w:rFonts w:ascii="Arial" w:cs="Arial" w:eastAsia="Arial" w:hAnsi="Arial"/>
                <w:sz w:val="14"/>
                <w:szCs w:val="14"/>
                <w:b w:val="1"/>
                <w:bCs w:val="1"/>
                <w:i w:val="1"/>
                <w:iCs w:val="1"/>
                <w:color w:val="auto"/>
                <w:w w:val="93"/>
              </w:rPr>
              <w:t>(I.R.S. Employer</w:t>
            </w:r>
          </w:p>
        </w:tc>
      </w:tr>
      <w:tr>
        <w:trPr>
          <w:trHeight w:val="182"/>
        </w:trPr>
        <w:tc>
          <w:tcPr>
            <w:tcW w:w="3960" w:type="dxa"/>
            <w:vAlign w:val="bottom"/>
          </w:tcPr>
          <w:p>
            <w:pPr>
              <w:jc w:val="center"/>
              <w:ind w:right="2022"/>
              <w:spacing w:after="0"/>
              <w:rPr>
                <w:sz w:val="20"/>
                <w:szCs w:val="20"/>
                <w:color w:val="auto"/>
              </w:rPr>
            </w:pPr>
            <w:r>
              <w:rPr>
                <w:rFonts w:ascii="Arial" w:cs="Arial" w:eastAsia="Arial" w:hAnsi="Arial"/>
                <w:sz w:val="14"/>
                <w:szCs w:val="14"/>
                <w:b w:val="1"/>
                <w:bCs w:val="1"/>
                <w:i w:val="1"/>
                <w:iCs w:val="1"/>
                <w:color w:val="auto"/>
                <w:w w:val="91"/>
              </w:rPr>
              <w:t>Incorporation or Organization)</w:t>
            </w:r>
          </w:p>
        </w:tc>
        <w:tc>
          <w:tcPr>
            <w:tcW w:w="3220" w:type="dxa"/>
            <w:vAlign w:val="bottom"/>
          </w:tcPr>
          <w:p>
            <w:pPr>
              <w:jc w:val="center"/>
              <w:ind w:left="2042"/>
              <w:spacing w:after="0"/>
              <w:rPr>
                <w:sz w:val="20"/>
                <w:szCs w:val="20"/>
                <w:color w:val="auto"/>
              </w:rPr>
            </w:pPr>
            <w:r>
              <w:rPr>
                <w:rFonts w:ascii="Arial" w:cs="Arial" w:eastAsia="Arial" w:hAnsi="Arial"/>
                <w:sz w:val="14"/>
                <w:szCs w:val="14"/>
                <w:b w:val="1"/>
                <w:bCs w:val="1"/>
                <w:i w:val="1"/>
                <w:iCs w:val="1"/>
                <w:color w:val="auto"/>
                <w:w w:val="92"/>
              </w:rPr>
              <w:t>Identification No.)</w:t>
            </w:r>
          </w:p>
        </w:tc>
      </w:tr>
    </w:tbl>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333 South Seventh Street, Suite 1000, Minneapolis, MN 55402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(Address of Principal Executive Offices, Including Zip Code)</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p>
      <w:pPr>
        <w:spacing w:after="0" w:line="129"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2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516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40" w:type="dxa"/>
            <w:vAlign w:val="bottom"/>
          </w:tcPr>
          <w:p>
            <w:pPr>
              <w:ind w:left="126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1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8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76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par value $0.001 per share, outstanding at April 20, 2018 was 17,362,565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gridSpan w:val="1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640" w:type="dxa"/>
            <w:vAlign w:val="bottom"/>
            <w:gridSpan w:val="9"/>
            <w:vMerge w:val="restart"/>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1"/>
        </w:trPr>
        <w:tc>
          <w:tcPr>
            <w:tcW w:w="3080" w:type="dxa"/>
            <w:vAlign w:val="bottom"/>
            <w:tcBorders>
              <w:bottom w:val="single" w:sz="8" w:color="0000EE"/>
            </w:tcBorders>
            <w:gridSpan w:val="10"/>
            <w:vMerge w:val="continue"/>
          </w:tcPr>
          <w:p>
            <w:pPr>
              <w:spacing w:after="0"/>
              <w:rPr>
                <w:sz w:val="15"/>
                <w:szCs w:val="15"/>
                <w:color w:val="auto"/>
              </w:rPr>
            </w:pPr>
          </w:p>
        </w:tc>
        <w:tc>
          <w:tcPr>
            <w:tcW w:w="7640" w:type="dxa"/>
            <w:vAlign w:val="bottom"/>
            <w:gridSpan w:val="9"/>
            <w:vMerge w:val="continue"/>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8160" w:type="dxa"/>
            <w:vAlign w:val="bottom"/>
            <w:gridSpan w:val="12"/>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2018 and December 31, 2017 (unaudited)</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80" w:type="dxa"/>
            <w:vAlign w:val="bottom"/>
            <w:gridSpan w:val="17"/>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Comprehensive Income for the three months ended March 31, 2018 and 2017 (unaudited)</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for the three months ended March 31, 2018 and 2017 (unaudited)</w:t>
              </w:r>
            </w:hyperlink>
          </w:p>
        </w:tc>
        <w:tc>
          <w:tcPr>
            <w:tcW w:w="10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Condensed Consolidated Financial Statements (unaudited)</w:t>
              </w:r>
            </w:hyperlink>
          </w:p>
        </w:tc>
        <w:tc>
          <w:tcPr>
            <w:tcW w:w="4800" w:type="dxa"/>
            <w:vAlign w:val="bottom"/>
            <w:gridSpan w:val="5"/>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1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220" w:type="dxa"/>
            <w:vAlign w:val="bottom"/>
            <w:gridSpan w:val="4"/>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Controls and Procedures</w:t>
              </w:r>
            </w:hyperlink>
          </w:p>
        </w:tc>
        <w:tc>
          <w:tcPr>
            <w:tcW w:w="7900" w:type="dxa"/>
            <w:vAlign w:val="bottom"/>
            <w:gridSpan w:val="10"/>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8"/>
        </w:trPr>
        <w:tc>
          <w:tcPr>
            <w:tcW w:w="27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OTHER INFORMATION</w:t>
              </w:r>
            </w:hyperlink>
          </w:p>
        </w:tc>
        <w:tc>
          <w:tcPr>
            <w:tcW w:w="7940" w:type="dxa"/>
            <w:vAlign w:val="bottom"/>
            <w:gridSpan w:val="11"/>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1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340" w:type="dxa"/>
            <w:vAlign w:val="bottom"/>
            <w:gridSpan w:val="13"/>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Unregistered Sales of Equity Securities and Use of Proceeds</w:t>
              </w:r>
            </w:hyperlink>
          </w:p>
        </w:tc>
        <w:tc>
          <w:tcPr>
            <w:tcW w:w="5320" w:type="dxa"/>
            <w:vAlign w:val="bottom"/>
            <w:gridSpan w:val="7"/>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Defaults Upon Senior Securities</w:t>
              </w:r>
            </w:hyperlink>
          </w:p>
        </w:tc>
        <w:tc>
          <w:tcPr>
            <w:tcW w:w="7340" w:type="dxa"/>
            <w:vAlign w:val="bottom"/>
            <w:gridSpan w:val="8"/>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Mine Safety Disclosures</w:t>
              </w:r>
            </w:hyperlink>
          </w:p>
        </w:tc>
        <w:tc>
          <w:tcPr>
            <w:tcW w:w="7900" w:type="dxa"/>
            <w:vAlign w:val="bottom"/>
            <w:gridSpan w:val="10"/>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680" w:type="dxa"/>
            <w:vAlign w:val="bottom"/>
            <w:gridSpan w:val="1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8360" w:type="dxa"/>
            <w:vAlign w:val="bottom"/>
            <w:gridSpan w:val="14"/>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Signatures</w:t>
              </w:r>
            </w:hyperlink>
          </w:p>
        </w:tc>
        <w:tc>
          <w:tcPr>
            <w:tcW w:w="6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Unless the context otherwise requires, for purposes of the Quarterly Report on Form 10-Q, the words “we,” “us,” “our,” the “Company” and “SPS” refer to SPS Commerce, Inc.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2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our Annual Report on Form 10-K for the year ended December 31, 2017 as filed with the Securities and Exchange Commission (“SEC”). Readers are cautioned not to place undue reliance on these forward-looking statements, which speak only as of the date of this report.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Commission that advise interested parties of the risks and factors that may affect our business.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64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FF0FC"/>
          </w:tcPr>
          <w:p>
            <w:pPr>
              <w:ind w:left="350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120,547</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45,272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40,192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less allowance for doubtful accounts of $775 and $763, respectively</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Deferred costs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31,318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29,966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228,781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224,331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51,030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51,613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2,471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Deferred costs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 asset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339,596</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339,738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3,472</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rent</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 liability</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51,245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Preferred stock, $0.001 par value; 5,000,000 shares authorized; 0 shares issued and outstanding</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640" w:type="dxa"/>
            <w:vAlign w:val="bottom"/>
          </w:tcPr>
          <w:p>
            <w:pPr>
              <w:ind w:left="260"/>
              <w:spacing w:after="0"/>
              <w:rPr>
                <w:sz w:val="20"/>
                <w:szCs w:val="20"/>
                <w:color w:val="auto"/>
              </w:rPr>
            </w:pPr>
            <w:r>
              <w:rPr>
                <w:rFonts w:ascii="Arial" w:cs="Arial" w:eastAsia="Arial" w:hAnsi="Arial"/>
                <w:sz w:val="18"/>
                <w:szCs w:val="18"/>
                <w:color w:val="auto"/>
                <w:w w:val="91"/>
              </w:rPr>
              <w:t>Common stock, $0.001 par value; 55,000,000 shares authorized; 17,346,080 and 17,249,153 shares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issued; and 17,109,949 and 17,127,006 outstanding, respectively</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 at cost; 236,131 and 122,147 shares, respectively</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(11,686)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(5,815)</w:t>
            </w: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305,759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301,863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(5,357)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(8,611)</w:t>
            </w: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Accumulated other comprehensive (loss) income</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288,351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288,111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339,596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 w:name="page4"/>
    <w:bookmarkEnd w:id="3"/>
    <w:p>
      <w:pPr>
        <w:jc w:val="center"/>
        <w:spacing w:after="0" w:line="266" w:lineRule="auto"/>
        <w:rPr>
          <w:sz w:val="20"/>
          <w:szCs w:val="20"/>
          <w:color w:val="auto"/>
        </w:rPr>
      </w:pPr>
      <w:r>
        <w:rPr>
          <w:rFonts w:ascii="Arial" w:cs="Arial" w:eastAsia="Arial" w:hAnsi="Arial"/>
          <w:sz w:val="18"/>
          <w:szCs w:val="18"/>
          <w:b w:val="1"/>
          <w:bCs w:val="1"/>
          <w:color w:val="auto"/>
        </w:rPr>
        <w:t xml:space="preserve">SPS COMMERCE, INC. AND SUBSIDIARIES CONDENSED CONSOLIDATED STATEMENTS OF COMPREHENSIVE INCOME </w:t>
      </w:r>
      <w:r>
        <w:rPr>
          <w:rFonts w:ascii="Arial" w:cs="Arial" w:eastAsia="Arial" w:hAnsi="Arial"/>
          <w:sz w:val="18"/>
          <w:szCs w:val="18"/>
          <w:color w:val="auto"/>
        </w:rPr>
        <w:t>(Unaudited; in thousands, except per share amounts)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2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520" w:type="dxa"/>
            <w:vAlign w:val="bottom"/>
            <w:gridSpan w:val="2"/>
            <w:shd w:val="clear" w:color="auto" w:fill="CFF0FC"/>
          </w:tcPr>
          <w:p>
            <w:pPr>
              <w:jc w:val="right"/>
              <w:ind w:right="816"/>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59,092</w:t>
            </w:r>
          </w:p>
        </w:tc>
        <w:tc>
          <w:tcPr>
            <w:tcW w:w="16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51,879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5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19,758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5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39,334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18,647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10,130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Amortization of intangible assets</w:t>
            </w:r>
          </w:p>
        </w:tc>
        <w:tc>
          <w:tcPr>
            <w:tcW w:w="5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5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35,034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tcPr>
          <w:p>
            <w:pPr>
              <w:ind w:left="240"/>
              <w:spacing w:after="0"/>
              <w:rPr>
                <w:sz w:val="20"/>
                <w:szCs w:val="20"/>
                <w:color w:val="auto"/>
              </w:rPr>
            </w:pPr>
            <w:r>
              <w:rPr>
                <w:rFonts w:ascii="Arial" w:cs="Arial" w:eastAsia="Arial" w:hAnsi="Arial"/>
                <w:sz w:val="18"/>
                <w:szCs w:val="18"/>
                <w:color w:val="auto"/>
              </w:rPr>
              <w:t>Interest income, net</w:t>
            </w: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 net</w:t>
            </w: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income, net</w:t>
            </w:r>
          </w:p>
        </w:tc>
        <w:tc>
          <w:tcPr>
            <w:tcW w:w="52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Income tax expense</w:t>
            </w:r>
          </w:p>
        </w:tc>
        <w:tc>
          <w:tcPr>
            <w:tcW w:w="5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5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tcPr>
          <w:p>
            <w:pPr>
              <w:ind w:left="240"/>
              <w:spacing w:after="0"/>
              <w:rPr>
                <w:sz w:val="20"/>
                <w:szCs w:val="20"/>
                <w:color w:val="auto"/>
              </w:rPr>
            </w:pPr>
            <w:r>
              <w:rPr>
                <w:rFonts w:ascii="Arial" w:cs="Arial" w:eastAsia="Arial" w:hAnsi="Arial"/>
                <w:sz w:val="18"/>
                <w:szCs w:val="18"/>
                <w:color w:val="auto"/>
              </w:rPr>
              <w:t>Basic</w:t>
            </w:r>
          </w:p>
        </w:tc>
        <w:tc>
          <w:tcPr>
            <w:tcW w:w="1520" w:type="dxa"/>
            <w:vAlign w:val="bottom"/>
            <w:gridSpan w:val="2"/>
          </w:tcPr>
          <w:p>
            <w:pPr>
              <w:jc w:val="right"/>
              <w:ind w:right="81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0.19</w:t>
            </w:r>
          </w:p>
        </w:tc>
        <w:tc>
          <w:tcPr>
            <w:tcW w:w="160" w:type="dxa"/>
            <w:vAlign w:val="bottom"/>
          </w:tcPr>
          <w:p>
            <w:pPr>
              <w:spacing w:after="0"/>
              <w:rPr>
                <w:sz w:val="19"/>
                <w:szCs w:val="19"/>
                <w:color w:val="auto"/>
              </w:rPr>
            </w:pPr>
          </w:p>
        </w:tc>
        <w:tc>
          <w:tcPr>
            <w:tcW w:w="70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520" w:type="dxa"/>
            <w:vAlign w:val="bottom"/>
            <w:gridSpan w:val="2"/>
            <w:shd w:val="clear" w:color="auto" w:fill="CFF0FC"/>
          </w:tcPr>
          <w:p>
            <w:pPr>
              <w:jc w:val="right"/>
              <w:ind w:right="816"/>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tcPr>
          <w:p>
            <w:pPr>
              <w:ind w:left="240"/>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17,093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17,307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gain (loss) on investments, net of tax of $13 and ($5)</w:t>
            </w: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tcPr>
          <w:p>
            <w:pPr>
              <w:ind w:left="240"/>
              <w:spacing w:after="0"/>
              <w:rPr>
                <w:sz w:val="20"/>
                <w:szCs w:val="20"/>
                <w:color w:val="auto"/>
              </w:rPr>
            </w:pPr>
            <w:r>
              <w:rPr>
                <w:rFonts w:ascii="Arial" w:cs="Arial" w:eastAsia="Arial" w:hAnsi="Arial"/>
                <w:sz w:val="18"/>
                <w:szCs w:val="18"/>
                <w:color w:val="auto"/>
                <w:w w:val="98"/>
              </w:rPr>
              <w:t>Reclassification of unrealized gain on investments into earnings, net of tax of ($8) and ($9)</w:t>
            </w: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Comprehensive income</w:t>
            </w: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8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1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3,254</w:t>
            </w:r>
          </w:p>
        </w:tc>
        <w:tc>
          <w:tcPr>
            <w:tcW w:w="160" w:type="dxa"/>
            <w:vAlign w:val="bottom"/>
          </w:tcPr>
          <w:p>
            <w:pPr>
              <w:spacing w:after="0"/>
              <w:rPr>
                <w:sz w:val="19"/>
                <w:szCs w:val="19"/>
                <w:color w:val="auto"/>
              </w:rPr>
            </w:pPr>
          </w:p>
        </w:tc>
        <w:tc>
          <w:tcPr>
            <w:tcW w:w="70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2,985</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 of property and equipment</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Amortization of intangible assets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doubtful accounts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net</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w:t>
            </w: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Changes in assets and liabilities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(1,520)</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(2,201)</w:t>
            </w: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Deferred costs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(1,343)</w:t>
            </w: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current and non-current assets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compensation</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(3,939)</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(1,870)</w:t>
            </w: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Accrued expenses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5,041</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Deferred rent</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r>
      <w:tr>
        <w:trPr>
          <w:trHeight w:val="223"/>
        </w:trPr>
        <w:tc>
          <w:tcPr>
            <w:tcW w:w="668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(3,884)</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(1,299)</w:t>
            </w: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Purchases of investments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(19,927)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(4,995)</w:t>
            </w: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of investments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Acquisitions of businesses and intangible assets, net of cash acquired</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r>
      <w:tr>
        <w:trPr>
          <w:trHeight w:val="223"/>
        </w:trPr>
        <w:tc>
          <w:tcPr>
            <w:tcW w:w="66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provided by investing activities</w:t>
            </w:r>
          </w:p>
        </w:tc>
        <w:tc>
          <w:tcPr>
            <w:tcW w:w="11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Repurchases of common stock</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(5,871)</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proceeds from exercise of options to purchase common stock</w:t>
            </w:r>
          </w:p>
        </w:tc>
        <w:tc>
          <w:tcPr>
            <w:tcW w:w="11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FF0FC"/>
            </w:tcBorders>
          </w:tcPr>
          <w:p>
            <w:pPr>
              <w:spacing w:after="0"/>
              <w:rPr>
                <w:sz w:val="19"/>
                <w:szCs w:val="19"/>
                <w:color w:val="auto"/>
              </w:rPr>
            </w:pPr>
          </w:p>
        </w:tc>
      </w:tr>
      <w:tr>
        <w:trPr>
          <w:trHeight w:val="223"/>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provided by financing activities</w:t>
            </w:r>
          </w:p>
        </w:tc>
        <w:tc>
          <w:tcPr>
            <w:tcW w:w="11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120" w:type="dxa"/>
            <w:vAlign w:val="bottom"/>
            <w:shd w:val="clear" w:color="auto" w:fill="CFF0FC"/>
          </w:tcPr>
          <w:p>
            <w:pPr>
              <w:spacing w:after="0"/>
              <w:rPr>
                <w:sz w:val="19"/>
                <w:szCs w:val="19"/>
                <w:color w:val="auto"/>
              </w:rPr>
            </w:pPr>
          </w:p>
        </w:tc>
      </w:tr>
      <w:tr>
        <w:trPr>
          <w:trHeight w:val="223"/>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foreign currency exchange rate changes</w:t>
            </w:r>
          </w:p>
        </w:tc>
        <w:tc>
          <w:tcPr>
            <w:tcW w:w="11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FF0FC"/>
            </w:tcBorders>
          </w:tcPr>
          <w:p>
            <w:pPr>
              <w:spacing w:after="0"/>
              <w:rPr>
                <w:sz w:val="19"/>
                <w:szCs w:val="19"/>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12,830</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1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123,127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115,877</w:t>
            </w:r>
          </w:p>
        </w:tc>
        <w:tc>
          <w:tcPr>
            <w:tcW w:w="120" w:type="dxa"/>
            <w:vAlign w:val="bottom"/>
            <w:tcBorders>
              <w:bottom w:val="single" w:sz="8" w:color="CFF0FC"/>
            </w:tcBorders>
          </w:tcPr>
          <w:p>
            <w:pPr>
              <w:spacing w:after="0"/>
              <w:rPr>
                <w:sz w:val="19"/>
                <w:szCs w:val="19"/>
                <w:color w:val="auto"/>
              </w:rPr>
            </w:pPr>
          </w:p>
        </w:tc>
      </w:tr>
      <w:tr>
        <w:trPr>
          <w:trHeight w:val="223"/>
        </w:trPr>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11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120,547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128,707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jc w:val="both"/>
        <w:ind w:right="180" w:firstLine="518"/>
        <w:spacing w:after="0" w:line="257" w:lineRule="auto"/>
        <w:rPr>
          <w:sz w:val="20"/>
          <w:szCs w:val="20"/>
          <w:color w:val="auto"/>
        </w:rPr>
      </w:pPr>
      <w:r>
        <w:rPr>
          <w:rFonts w:ascii="Arial" w:cs="Arial" w:eastAsia="Arial" w:hAnsi="Arial"/>
          <w:sz w:val="18"/>
          <w:szCs w:val="18"/>
          <w:color w:val="auto"/>
        </w:rPr>
        <w:t>We are a leading provider of cloud-based supply chain management solutions, providing network-proven fulfillment, sourcing, and item assortment management solutions, along with comprehensive retail performance analytics to thousands of customers worldwide. We provide our solutions through the SPS Commerce Platform, a cloud-based product suite that improves the way retailers, suppliers, distributors and logistics firms orchestrate the sourcing, set up of new vendors and items and fulfillment of products that consumers buy. We derive the majority of our revenues from thousands of monthly recurring subscriptions from businesses that utilize our solutions.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accompanying unaudited condensed consolidated financial statements include the accounts of SPS Commerce, Inc. and its subsidiaries. All intercompany accounts and transactions have been eliminated in the condensed consolidated financial statements, which have been prepared in conformity with U.S. generally accepted accounting principles (“GAAP”) for interim financial information and with the instructions to Form 10-Q and Rule 10-01 of Regulation S-X. Accordingly, these condensed consolidated financial statements do not include all of the information and notes required by GAAP. We have included all normal recurring adjustments considered necessary to provide a fair presentation of our financial position, results of operations and cash flows for the interim periods shown. Operating results for these interim periods are not necessarily indicative of the results to be expected for the full year. For further information, refer to the consolidated financial statements and accompanying notes for the year ended December 31, 2017 included in our Annual Report on Form 10-K as filed with the Securities and Exchange Commission on February 26, 2018.</w:t>
      </w:r>
    </w:p>
    <w:p>
      <w:pPr>
        <w:spacing w:after="0" w:line="179"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 xml:space="preserve">Effective January 1, 2018, we adopted the requirements of Accounting Standards Update ("ASU") No. 2014-09 (“ASU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(Topic 606)</w:t>
      </w:r>
      <w:r>
        <w:rPr>
          <w:rFonts w:ascii="Arial" w:cs="Arial" w:eastAsia="Arial" w:hAnsi="Arial"/>
          <w:sz w:val="18"/>
          <w:szCs w:val="18"/>
          <w:color w:val="auto"/>
        </w:rPr>
        <w:t>, on a retrospective basis as discussed in this Note A. All amounts and disclosures set forth in this Form 10-Q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updated to comply with the new standards.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 xml:space="preserve">In May 2014, the FASB issued ASU 2014-09 which requires an entity to recognize the amount of revenue to which it expects to be entitled for the transfer of promised goods or services to customers in an amount that reflects the consideration to which the entity expects to be entitled in exchange for those goods or services. This guidance replaced most existing revenue recognition guidance in GAAP. Topic 606 also includes Subtopic 340-40,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Assets and Deferred Costs – Contracts with Customers</w:t>
      </w:r>
      <w:r>
        <w:rPr>
          <w:rFonts w:ascii="Arial" w:cs="Arial" w:eastAsia="Arial" w:hAnsi="Arial"/>
          <w:sz w:val="18"/>
          <w:szCs w:val="18"/>
          <w:color w:val="auto"/>
        </w:rPr>
        <w:t>, which requires the deferral of incremental costs of obtaining a contract with a customer. Collectively,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we refer to Topic 606 and Subtopic 340-40 as the “new standard.” These requirements are effective for annual reporting periods beginning after December 15, 2017, and interim periods within those annual periods.</w:t>
      </w:r>
    </w:p>
    <w:p>
      <w:pPr>
        <w:spacing w:after="0" w:line="193"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We adopted the new standard effective January 1, 2018, on a retrospective basis. The new standard did not impact our recognition of the recurring revenue received from customers for our cloud-based supply chain solutions; however, the adoption of the new standard impacted our accounting for certain upfront set-up fees, the periods over which the related revenues are recognized, and the timing of revenue recognition for these set-up fees. The adoption of the new standard also impacted our accounting for certain costs to obtain our contracts, specifically related to the periods over which commissions are recognized as well as the timing of cost recognition.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6" w:name="page7"/>
    <w:bookmarkEnd w:id="6"/>
    <w:p>
      <w:pPr>
        <w:ind w:left="520"/>
        <w:spacing w:after="0"/>
        <w:rPr>
          <w:sz w:val="20"/>
          <w:szCs w:val="20"/>
          <w:color w:val="auto"/>
        </w:rPr>
      </w:pPr>
      <w:r>
        <w:rPr>
          <w:rFonts w:ascii="Arial" w:cs="Arial" w:eastAsia="Arial" w:hAnsi="Arial"/>
          <w:sz w:val="18"/>
          <w:szCs w:val="18"/>
          <w:color w:val="auto"/>
        </w:rPr>
        <w:t>Selected condensed consolidated balance sheet line items, which reflect the adoption of ASU 2014-09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0"/>
              </w:rPr>
              <w:t>December 31, 2017</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6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500"/>
              <w:spacing w:after="0" w:line="147" w:lineRule="exact"/>
              <w:rPr>
                <w:sz w:val="20"/>
                <w:szCs w:val="20"/>
                <w:color w:val="auto"/>
              </w:rPr>
            </w:pPr>
            <w:r>
              <w:rPr>
                <w:rFonts w:ascii="Arial" w:cs="Arial" w:eastAsia="Arial" w:hAnsi="Arial"/>
                <w:sz w:val="14"/>
                <w:szCs w:val="14"/>
                <w:b w:val="1"/>
                <w:bCs w:val="1"/>
                <w:color w:val="auto"/>
                <w:w w:val="97"/>
              </w:rPr>
              <w:t>As previously</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adjusted</w:t>
            </w: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Deferred costs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25,091</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4,875</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29,966</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costs, non-current</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9,967</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Deferred income tax asset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17,551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(3,854)</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13,697</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15,886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(658)</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15,228</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17,863</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Deferred revenue, non-current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10,602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(7,871)</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(19,902)</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11,291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(8,611)</w:t>
            </w:r>
          </w:p>
        </w:tc>
      </w:tr>
    </w:tbl>
    <w:p>
      <w:pPr>
        <w:spacing w:after="0" w:line="160"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Selected unaudited condensed consolidated statement of operations line items, which reflect the adoption of ASU 2014-09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80" w:type="dxa"/>
            <w:vAlign w:val="bottom"/>
            <w:gridSpan w:val="8"/>
          </w:tcPr>
          <w:p>
            <w:pPr>
              <w:ind w:left="760"/>
              <w:spacing w:after="0"/>
              <w:rPr>
                <w:sz w:val="20"/>
                <w:szCs w:val="20"/>
                <w:color w:val="auto"/>
              </w:rPr>
            </w:pPr>
            <w:r>
              <w:rPr>
                <w:rFonts w:ascii="Arial" w:cs="Arial" w:eastAsia="Arial" w:hAnsi="Arial"/>
                <w:sz w:val="14"/>
                <w:szCs w:val="14"/>
                <w:b w:val="1"/>
                <w:bCs w:val="1"/>
                <w:color w:val="auto"/>
              </w:rPr>
              <w:t>For the three months ended March 31, 2017</w:t>
            </w:r>
          </w:p>
        </w:tc>
      </w:tr>
      <w:tr>
        <w:trPr>
          <w:trHeight w:val="146"/>
        </w:trPr>
        <w:tc>
          <w:tcPr>
            <w:tcW w:w="67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1"/>
              </w:rPr>
              <w:t>As previously</w:t>
            </w: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reported</w:t>
            </w:r>
          </w:p>
        </w:tc>
        <w:tc>
          <w:tcPr>
            <w:tcW w:w="200" w:type="dxa"/>
            <w:vAlign w:val="bottom"/>
          </w:tcPr>
          <w:p>
            <w:pPr>
              <w:spacing w:after="0"/>
              <w:rPr>
                <w:sz w:val="14"/>
                <w:szCs w:val="1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Adjustments</w:t>
            </w:r>
          </w:p>
        </w:tc>
        <w:tc>
          <w:tcPr>
            <w:tcW w:w="20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adjusted</w:t>
            </w: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51,932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51,879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17,023</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3,376</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3,379</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FF0FC"/>
          </w:tcPr>
          <w:p>
            <w:pPr>
              <w:spacing w:after="0"/>
              <w:rPr>
                <w:sz w:val="19"/>
                <w:szCs w:val="19"/>
                <w:color w:val="auto"/>
              </w:rPr>
            </w:pPr>
          </w:p>
        </w:tc>
      </w:tr>
      <w:tr>
        <w:trPr>
          <w:trHeight w:val="263"/>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2,971</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Borders>
              <w:bottom w:val="single" w:sz="8" w:color="CFF0FC"/>
            </w:tcBorders>
          </w:tcPr>
          <w:p>
            <w:pPr>
              <w:spacing w:after="0"/>
              <w:rPr>
                <w:sz w:val="22"/>
                <w:szCs w:val="22"/>
                <w:color w:val="auto"/>
              </w:rPr>
            </w:pPr>
          </w:p>
        </w:tc>
      </w:tr>
      <w:tr>
        <w:trPr>
          <w:trHeight w:val="21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0.17</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FF0FC"/>
          </w:tcPr>
          <w:p>
            <w:pPr>
              <w:spacing w:after="0"/>
              <w:rPr>
                <w:sz w:val="19"/>
                <w:szCs w:val="19"/>
                <w:color w:val="auto"/>
              </w:rPr>
            </w:pPr>
          </w:p>
        </w:tc>
      </w:tr>
    </w:tbl>
    <w:p>
      <w:pPr>
        <w:spacing w:after="0" w:line="175"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Selected unaudited condensed consolidated statement of cash flows line items, which reflect the adoption of ASU 2014-09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80" w:type="dxa"/>
            <w:vAlign w:val="bottom"/>
            <w:gridSpan w:val="8"/>
          </w:tcPr>
          <w:p>
            <w:pPr>
              <w:jc w:val="right"/>
              <w:ind w:right="1040"/>
              <w:spacing w:after="0"/>
              <w:rPr>
                <w:sz w:val="20"/>
                <w:szCs w:val="20"/>
                <w:color w:val="auto"/>
              </w:rPr>
            </w:pPr>
            <w:r>
              <w:rPr>
                <w:rFonts w:ascii="Arial" w:cs="Arial" w:eastAsia="Arial" w:hAnsi="Arial"/>
                <w:sz w:val="14"/>
                <w:szCs w:val="14"/>
                <w:b w:val="1"/>
                <w:bCs w:val="1"/>
                <w:color w:val="auto"/>
              </w:rPr>
              <w:t>For the three months ended March 31, 2017</w:t>
            </w:r>
          </w:p>
        </w:tc>
        <w:tc>
          <w:tcPr>
            <w:tcW w:w="0" w:type="dxa"/>
            <w:vAlign w:val="bottom"/>
          </w:tcPr>
          <w:p>
            <w:pPr>
              <w:spacing w:after="0"/>
              <w:rPr>
                <w:sz w:val="1"/>
                <w:szCs w:val="1"/>
                <w:color w:val="auto"/>
              </w:rPr>
            </w:pPr>
          </w:p>
        </w:tc>
      </w:tr>
      <w:tr>
        <w:trPr>
          <w:trHeight w:val="146"/>
        </w:trPr>
        <w:tc>
          <w:tcPr>
            <w:tcW w:w="67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right"/>
              <w:ind w:right="500"/>
              <w:spacing w:after="0" w:line="147" w:lineRule="exact"/>
              <w:rPr>
                <w:sz w:val="20"/>
                <w:szCs w:val="20"/>
                <w:color w:val="auto"/>
              </w:rPr>
            </w:pPr>
            <w:r>
              <w:rPr>
                <w:rFonts w:ascii="Arial" w:cs="Arial" w:eastAsia="Arial" w:hAnsi="Arial"/>
                <w:sz w:val="14"/>
                <w:szCs w:val="14"/>
                <w:b w:val="1"/>
                <w:bCs w:val="1"/>
                <w:color w:val="auto"/>
                <w:w w:val="97"/>
              </w:rPr>
              <w:t>As previously</w:t>
            </w: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8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reported</w:t>
            </w:r>
          </w:p>
        </w:tc>
        <w:tc>
          <w:tcPr>
            <w:tcW w:w="200" w:type="dxa"/>
            <w:vAlign w:val="bottom"/>
          </w:tcPr>
          <w:p>
            <w:pPr>
              <w:spacing w:after="0"/>
              <w:rPr>
                <w:sz w:val="14"/>
                <w:szCs w:val="1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Adjustments</w:t>
            </w:r>
          </w:p>
        </w:tc>
        <w:tc>
          <w:tcPr>
            <w:tcW w:w="20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23"/>
        </w:trPr>
        <w:tc>
          <w:tcPr>
            <w:tcW w:w="6780" w:type="dxa"/>
            <w:vAlign w:val="bottom"/>
            <w:vMerge w:val="continue"/>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costs</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(1,649)</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30"/>
        </w:trPr>
        <w:tc>
          <w:tcPr>
            <w:tcW w:w="6780" w:type="dxa"/>
            <w:vAlign w:val="bottom"/>
          </w:tcPr>
          <w:p>
            <w:pPr>
              <w:ind w:left="38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(1,508)</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10,399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 xml:space="preserve">In March 2018, we adopted FASB ASU 2018-05, </w:t>
      </w:r>
      <w:r>
        <w:rPr>
          <w:rFonts w:ascii="Arial" w:cs="Arial" w:eastAsia="Arial" w:hAnsi="Arial"/>
          <w:sz w:val="18"/>
          <w:szCs w:val="18"/>
          <w:i w:val="1"/>
          <w:iCs w:val="1"/>
          <w:color w:val="auto"/>
        </w:rPr>
        <w:t>Income Taxes (Topic 740): Amendments to SEC Paragraphs Pursuant to SEC Staff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Bulletin No. 118</w:t>
      </w:r>
      <w:r>
        <w:rPr>
          <w:rFonts w:ascii="Arial" w:cs="Arial" w:eastAsia="Arial" w:hAnsi="Arial"/>
          <w:sz w:val="18"/>
          <w:szCs w:val="18"/>
          <w:color w:val="auto"/>
        </w:rPr>
        <w:t>, which updates the income tax accounting in U.S. GAAP to reflect the Securities and Exchange Commission (“SEC”) interpretive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released on December 22, 2017, when the Tax Cuts and Jobs Act (the “Tax Act”) was signed into law. Additional information regarding the adoption of this standard is contained in Note F,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31"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will supersede existing lease guidance and will require all leases with a term greater than 12 months to be recognized in the statements of financial position and eliminate current real estate-specific lease guidance, while maintaining substantially similar classification criteria for distinguishing between finance leases and operating leases. This standard is effective for fiscal years, and interim periods within those fiscal years, beginning after December 15, 2018, with early adoption permitted. We believe the adoption of the new lease accounting standard will materially impact our consolidated financial statements by increasing our non-current assets and non-current liabilities on our consolidated balance sheets in order to record the right of use assets and related lease liabilities for our existing operating leases. We are in the process of determining the financial statement impact and are currently unable to estimate the impact on our consolidated financial statements.</w:t>
      </w:r>
    </w:p>
    <w:p>
      <w:pPr>
        <w:spacing w:after="0" w:line="208"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 – Reporting Comprehensive Income (Topic 220)</w:t>
      </w:r>
      <w:r>
        <w:rPr>
          <w:rFonts w:ascii="Arial" w:cs="Arial" w:eastAsia="Arial" w:hAnsi="Arial"/>
          <w:sz w:val="18"/>
          <w:szCs w:val="18"/>
          <w:color w:val="auto"/>
        </w:rPr>
        <w:t>, which allows a reclassification from accumulated other comprehensive income to retained earnings for stranded tax effects resulting from the Tax Act and requires certain disclosures regarding stranded tax effects in accumulated other comprehensive income. This guidance is effective for fiscal years, and interim periods within those fiscal years, beginning after December 15, 2018, with early adoption permitted during interim or annual periods. We believe the adoption of this standard will not have a material impact on our financial statements.</w:t>
      </w:r>
    </w:p>
    <w:p>
      <w:pPr>
        <w:spacing w:after="0" w:line="215"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which simplifies the test for goodwill impairment by eliminating step two from the goodwill impairment test. Under the new guidance, an entity should recognize an impairment charge for the amount based on the excess of a reporting unit’s carrying amount over its fair value. The impairment charge will be limited to the amount of goodwill allocated to that reporting unit. This guidance is effective for annual and interim impairment tests performed in periods beginning after December 15, 2019 on a prospective basis, and earlier adoption is permitted for goodwill impairment tests performed on testing dates after January 1, 2017. We believe the adoption of this standard will not have a material impact on our financial statements.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Except for the accounting policies for revenue recognition and deferred commissions that were updated as a result of adopting ASU 2014-09, there were no material changes in our significant accounting policies during the three months ended March 31, 2018. See Note A to the consolidated financial statements included in our Annual Report on Form 10-K for the year ended December 31, 2017, as filed with the SEC on February 26, 2018, for additional information regarding our significant accounting policies.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derive our revenues primarily from the following revenue streams: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80" w:type="dxa"/>
            <w:vAlign w:val="bottom"/>
            <w:vMerge w:val="restart"/>
          </w:tcPr>
          <w:p>
            <w:pPr>
              <w:spacing w:after="0"/>
              <w:rPr>
                <w:sz w:val="20"/>
                <w:szCs w:val="20"/>
                <w:color w:val="auto"/>
              </w:rPr>
            </w:pPr>
            <w:r>
              <w:rPr>
                <w:rFonts w:ascii="Arial" w:cs="Arial" w:eastAsia="Arial" w:hAnsi="Arial"/>
                <w:sz w:val="18"/>
                <w:szCs w:val="18"/>
                <w:color w:val="auto"/>
              </w:rPr>
              <w:t>Recurring revenues:</w:t>
            </w:r>
          </w:p>
        </w:tc>
        <w:tc>
          <w:tcPr>
            <w:tcW w:w="31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31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Fulfillment</w:t>
            </w:r>
          </w:p>
        </w:tc>
        <w:tc>
          <w:tcPr>
            <w:tcW w:w="4180" w:type="dxa"/>
            <w:vAlign w:val="bottom"/>
            <w:gridSpan w:val="2"/>
            <w:shd w:val="clear" w:color="auto" w:fill="CFF0FC"/>
          </w:tcPr>
          <w:p>
            <w:pPr>
              <w:jc w:val="right"/>
              <w:ind w:right="822"/>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45,364</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7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Analytics</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8,259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31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Recurring Revenues</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54,860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One-time revenues</w:t>
            </w:r>
          </w:p>
        </w:tc>
        <w:tc>
          <w:tcPr>
            <w:tcW w:w="31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59,092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87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100" w:firstLine="518"/>
        <w:spacing w:after="0" w:line="277" w:lineRule="auto"/>
        <w:rPr>
          <w:sz w:val="20"/>
          <w:szCs w:val="20"/>
          <w:color w:val="auto"/>
        </w:rPr>
      </w:pPr>
      <w:r>
        <w:rPr>
          <w:rFonts w:ascii="Arial" w:cs="Arial" w:eastAsia="Arial" w:hAnsi="Arial"/>
          <w:sz w:val="18"/>
          <w:szCs w:val="18"/>
          <w:color w:val="auto"/>
        </w:rPr>
        <w:t>Revenues are recognized when our services are made available to our customers, in an amount that reflects the consideration we are contractually and legally entitled to in exchange for those services.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Recurring Revenues</w:t>
      </w:r>
    </w:p>
    <w:p>
      <w:pPr>
        <w:spacing w:after="0" w:line="11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Recurring revenues consists of recurring subscriptions from customers that utilize our Fulfillment, Analytics, and Other cloud-based supply chain management solutions. Revenue for these solutions is generally recognized on a ratable basis over the contract term beginning on the date that our service is made available to the customer. Our contracts with our recurring revenue customers are recurring in nature, ranging from monthly to annual, and generally allow the customer to cancel the contract for any reason with 30 to 90 days’ notice. Timing of billings varies by customer and by contract type and are either in advance or within 30 days of the service being performed.</w:t>
      </w:r>
    </w:p>
    <w:p>
      <w:pPr>
        <w:spacing w:after="0" w:line="188"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deferred revenue liability for recurring revenue contracts are for one year or less and recognized on a ratable basis over the contract term. We have applied the optional exemption under ASC 606-10-50-14(a) and will not disclose information about the remaining performance obligations for contracts which have original durations of one year or less.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One-time Revenues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One-time revenues consist of set-up fees from customers and miscellaneous one-time fees.</w:t>
      </w:r>
    </w:p>
    <w:p>
      <w:pPr>
        <w:spacing w:after="0" w:line="225"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Set-up fees are specific for each connection a customer has with a trading partner and many of our customers have connections with numerous trading partners. Set-up fees related to our cloud-based supply chain management solutions are nonrefundable upfront fees that are necessary for our customers to utilize our cloud-based services. These set-up fees do not provide any standalone value to our customers. Except for our Analytics platform, we have determined the set-up fees represent a material renewal option right to our customers as they will not be incurred again upon renewal. These set-up fees and related costs are deferred and recognized ratably over two years, which is the estimated connection life between the customer and the trading partner. For our Analytics platform, we have determined the set-up fees do not represent a material customer renewal right and, as such, are deferred and recognized ratably over the estimated initial contract term, which is one year.</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presents the activity of the portion of the deferred revenue liability relating to set-up fees: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4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January 1</w:t>
            </w:r>
          </w:p>
        </w:tc>
        <w:tc>
          <w:tcPr>
            <w:tcW w:w="30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Invoiced set-up fees</w:t>
            </w:r>
          </w:p>
        </w:tc>
        <w:tc>
          <w:tcPr>
            <w:tcW w:w="3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19"/>
                <w:szCs w:val="19"/>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set-up fees</w:t>
            </w:r>
          </w:p>
        </w:tc>
        <w:tc>
          <w:tcPr>
            <w:tcW w:w="30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(2,660)</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(2,674)</w:t>
            </w: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Balances, March 31</w:t>
            </w:r>
          </w:p>
        </w:tc>
        <w:tc>
          <w:tcPr>
            <w:tcW w:w="30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10,116</w:t>
            </w:r>
          </w:p>
        </w:tc>
        <w:tc>
          <w:tcPr>
            <w:tcW w:w="10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 entire balance of set-up fees will be recognized within two years and, as such, current amounts will be recognized in the next 1-12 months and long-term amounts will be recognized in the next 13-24 months.</w:t>
      </w:r>
    </w:p>
    <w:p>
      <w:pPr>
        <w:spacing w:after="0" w:line="170"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Miscellaneous one-time fees consist of professional services and testing and certification. The deferred revenue liability for these one-time fees are for one year or less and recognized at the time service is provided. We have applied the optional exemption under ASC 606-10-50-14(a) and will not disclose information about the remaining performance obligations for contracts which have original durations of one year or less.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Costs</w:t>
      </w:r>
    </w:p>
    <w:p>
      <w:pPr>
        <w:spacing w:after="0" w:line="11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Deferred costs consist of costs to obtain customer contracts, such as commissions paid to sales personnel and to third-party partners for customer referrals, and costs to fulfill customer contracts, such as customer implementation costs.</w:t>
      </w:r>
    </w:p>
    <w:p>
      <w:pPr>
        <w:spacing w:after="0" w:line="170"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Sales commissions relating to recurring revenues are considered incremental and recoverable costs of obtaining a contract with our customer. These commissions are calculated based on estimated annual recurring revenue to be generated over the customer’s initial contract year. These costs are deferred and amortized over the expected period of benefit which we have determined to be two years. Amortization expense is included in sales and marketing expenses in the accompanying condensed consolidated statements of operations.</w:t>
      </w:r>
    </w:p>
    <w:p>
      <w:pPr>
        <w:spacing w:after="0" w:line="18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Deferred costs were $41.6 million and $39.9 million as of March 31, 2018 and December 31, 2017, respectively. Amortization expense for deferred costs was $10.8 million and $10.7 million for the three months ended March 31, 2018 and 2017, respectively. There was no impairment loss in relation to the costs capitalized for the periods presented.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B – Financial Instruments</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We invest primarily in money market funds, certificates of deposit, highly liquid debt instruments of the U.S. government and U.S. corporate debt securities. All highly liquid investments with original maturities of 90 days or less are classified as cash equivalents. All investments with original maturities greater than 90 days and remaining maturities less than one year from the balance sheet date are classified as short-term investments. Investments with remaining maturities of more than one year from the balance sheet date are classified as long-term investments.</w:t>
      </w:r>
    </w:p>
    <w:p>
      <w:pPr>
        <w:spacing w:after="0" w:line="171"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Our short- and long-term marketable securities are classified as available-for-sale. We intend to hold marketable securities until maturity; however, we may sell these securities at any time for use in current operations or for other purposes. Consequently, we may or may not keep securities with stated holding periods to maturity.</w:t>
      </w:r>
    </w:p>
    <w:p>
      <w:pPr>
        <w:spacing w:after="0" w:line="181"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Our marketable securities are carried at fair value and unrealized gains and losses on these investments, net of taxes, are included in accumulated other comprehensive loss in the consolidated balance sheets. Realized gains or losses are included in other income (expense), net in the consolidated statements of comprehensive income. When a determination has been made that an other-than-temporary decline in fair value has occurred, the amount of the decline that is related to a credit loss is realized and is included in other income (expense), net in the consolidated statements of comprehensive income.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and short- and long-term investments consisted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6"/>
              </w:rPr>
              <w:t>March 31, 2018</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4"/>
              <w:spacing w:after="0" w:line="147" w:lineRule="exact"/>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233"/>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54"/>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Gains (Losses)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24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96,539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Certificate of deposit</w:t>
            </w: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12,459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24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12,381</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144,285</w:t>
            </w:r>
          </w:p>
        </w:tc>
        <w:tc>
          <w:tcPr>
            <w:tcW w:w="2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2"/>
                <w:szCs w:val="2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144,282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24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141,811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within two years</w:t>
            </w:r>
          </w:p>
        </w:tc>
        <w:tc>
          <w:tcPr>
            <w:tcW w:w="24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144,282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December 31, 2017</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4"/>
              <w:spacing w:after="0" w:line="147" w:lineRule="exact"/>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233"/>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Cash equivalents:</w:t>
            </w:r>
          </w:p>
        </w:tc>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54"/>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Gains (Losses)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436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26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b w:val="1"/>
                <w:bCs w:val="1"/>
                <w:color w:val="auto"/>
              </w:rPr>
              <w:t>Certificate of deposit</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7,814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Marketable securities:</w:t>
            </w: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17,758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U.S. treasury securities</w:t>
            </w:r>
          </w:p>
        </w:tc>
        <w:tc>
          <w:tcPr>
            <w:tcW w:w="2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12,381</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shd w:val="clear" w:color="auto" w:fill="CFF0FC"/>
          </w:tcPr>
          <w:p>
            <w:pPr>
              <w:spacing w:after="0"/>
              <w:rPr>
                <w:sz w:val="19"/>
                <w:szCs w:val="19"/>
                <w:color w:val="auto"/>
              </w:rPr>
            </w:pPr>
          </w:p>
        </w:tc>
        <w:tc>
          <w:tcPr>
            <w:tcW w:w="2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149,953</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Due within one year</w:t>
            </w: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Due within two years</w:t>
            </w: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260"/>
              <w:spacing w:after="0"/>
              <w:rPr>
                <w:sz w:val="20"/>
                <w:szCs w:val="20"/>
                <w:color w:val="auto"/>
              </w:rPr>
            </w:pPr>
            <w:r>
              <w:rPr>
                <w:rFonts w:ascii="Arial" w:cs="Arial" w:eastAsia="Arial" w:hAnsi="Arial"/>
                <w:sz w:val="18"/>
                <w:szCs w:val="18"/>
                <w:color w:val="auto"/>
              </w:rPr>
              <w:t>Total</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firstLine="518"/>
        <w:spacing w:after="0" w:line="342" w:lineRule="auto"/>
        <w:rPr>
          <w:sz w:val="20"/>
          <w:szCs w:val="20"/>
          <w:color w:val="auto"/>
        </w:rPr>
      </w:pPr>
      <w:r>
        <w:rPr>
          <w:rFonts w:ascii="Arial" w:cs="Arial" w:eastAsia="Arial" w:hAnsi="Arial"/>
          <w:sz w:val="16"/>
          <w:szCs w:val="16"/>
          <w:color w:val="auto"/>
        </w:rPr>
        <w:t>We do not believe any of the unrealized losses represent an other-than-temporary impairment based on our valuation of available evidence as of March 31, 2018. We expect to receive the full principal and interest on all of these cash equivalents, certificate of deposit, and marketable securities.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w:t>
      </w:r>
    </w:p>
    <w:p>
      <w:pPr>
        <w:spacing w:after="0" w:line="39"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7" w:lineRule="exact"/>
        <w:rPr>
          <w:rFonts w:ascii="Arial" w:cs="Arial" w:eastAsia="Arial" w:hAnsi="Arial"/>
          <w:sz w:val="18"/>
          <w:szCs w:val="18"/>
          <w:color w:val="auto"/>
        </w:rPr>
      </w:pPr>
    </w:p>
    <w:p>
      <w:pPr>
        <w:ind w:left="1040" w:right="380" w:hanging="519"/>
        <w:spacing w:after="0" w:line="279"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 We obtain the fair values of our level 2 available-for-sale securities from a professional pricing service.</w:t>
      </w:r>
    </w:p>
    <w:p>
      <w:pPr>
        <w:spacing w:after="0" w:line="63" w:lineRule="exact"/>
        <w:rPr>
          <w:rFonts w:ascii="Arial" w:cs="Arial" w:eastAsia="Arial" w:hAnsi="Arial"/>
          <w:sz w:val="17"/>
          <w:szCs w:val="17"/>
          <w:color w:val="auto"/>
        </w:rPr>
      </w:pPr>
    </w:p>
    <w:p>
      <w:pPr>
        <w:ind w:left="1040" w:hanging="519"/>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23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following table presents information about our financial assets that are measured at fair value on a recurring basis and indicates the fair value hierarchy of the valuation techniques utilized to determine such fair value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March 31, 2018</w:t>
            </w: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96,539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96,539</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Certificate of deposit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7,680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7,680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15,171</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15,171</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12,458</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12,458</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12,434</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12,434</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104,219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40,063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December 31, 2017</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5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104,544</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Certificate of deposit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7,814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7,814</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17,700</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17,700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7,477</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7,477</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12,407</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12,407</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112,358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37,584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Goodwill and Intangible Assets,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changes in the net carrying amount of goodwill for the three months ended March 31, 2018 are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Borders>
              <w:bottom w:val="single" w:sz="8" w:color="CFF0FC"/>
            </w:tcBorders>
          </w:tcPr>
          <w:p>
            <w:pPr>
              <w:spacing w:after="0"/>
              <w:rPr>
                <w:sz w:val="14"/>
                <w:szCs w:val="14"/>
                <w:color w:val="auto"/>
              </w:rPr>
            </w:pPr>
          </w:p>
        </w:tc>
        <w:tc>
          <w:tcPr>
            <w:tcW w:w="440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10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Balances, January 1</w:t>
            </w:r>
          </w:p>
        </w:tc>
        <w:tc>
          <w:tcPr>
            <w:tcW w:w="44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Goodwill acquired during the period</w:t>
            </w:r>
          </w:p>
        </w:tc>
        <w:tc>
          <w:tcPr>
            <w:tcW w:w="4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44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Balances, March 31</w:t>
            </w:r>
          </w:p>
        </w:tc>
        <w:tc>
          <w:tcPr>
            <w:tcW w:w="44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400" w:type="dxa"/>
            <w:vAlign w:val="bottom"/>
            <w:vMerge w:val="restart"/>
          </w:tcPr>
          <w:p>
            <w:pPr>
              <w:jc w:val="right"/>
              <w:ind w:right="2930"/>
              <w:spacing w:after="0"/>
              <w:rPr>
                <w:sz w:val="20"/>
                <w:szCs w:val="20"/>
                <w:color w:val="auto"/>
              </w:rPr>
            </w:pPr>
            <w:r>
              <w:rPr>
                <w:rFonts w:ascii="Arial" w:cs="Arial" w:eastAsia="Arial" w:hAnsi="Arial"/>
                <w:sz w:val="18"/>
                <w:szCs w:val="18"/>
                <w:color w:val="auto"/>
              </w:rPr>
              <w:t>11</w:t>
            </w:r>
          </w:p>
        </w:tc>
        <w:tc>
          <w:tcPr>
            <w:tcW w:w="5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2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3" w:right="219" w:bottom="1440" w:gutter="0" w:footer="0" w:header="0"/>
        </w:sectPr>
      </w:pPr>
    </w:p>
    <w:bookmarkStart w:id="11" w:name="page12"/>
    <w:bookmarkEnd w:id="11"/>
    <w:p>
      <w:pPr>
        <w:ind w:right="440" w:firstLine="518"/>
        <w:spacing w:after="0" w:line="308" w:lineRule="auto"/>
        <w:rPr>
          <w:sz w:val="20"/>
          <w:szCs w:val="20"/>
          <w:color w:val="auto"/>
        </w:rPr>
      </w:pPr>
      <w:r>
        <w:rPr>
          <w:rFonts w:ascii="Arial" w:cs="Arial" w:eastAsia="Arial" w:hAnsi="Arial"/>
          <w:sz w:val="17"/>
          <w:szCs w:val="17"/>
          <w:color w:val="auto"/>
        </w:rPr>
        <w:t>Intangible assets subject to amortization primarily include subscriber relationships, non-competition agreements and acquired technology and are amortized over their respective useful lives (ranging from 1 to 9 years). Intangible assets, net included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1060"/>
              <w:spacing w:after="0"/>
              <w:rPr>
                <w:sz w:val="20"/>
                <w:szCs w:val="20"/>
                <w:color w:val="auto"/>
              </w:rPr>
            </w:pPr>
            <w:r>
              <w:rPr>
                <w:rFonts w:ascii="Arial" w:cs="Arial" w:eastAsia="Arial" w:hAnsi="Arial"/>
                <w:sz w:val="14"/>
                <w:szCs w:val="14"/>
                <w:b w:val="1"/>
                <w:bCs w:val="1"/>
                <w:color w:val="auto"/>
              </w:rPr>
              <w:t>March 31, 2018</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Accumulated</w:t>
            </w: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35,512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(20,828)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(2,117)</w:t>
            </w: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other</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(1,697)</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40,361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(24,642)</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15,577</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5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5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Accumulated</w:t>
            </w: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34,350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(19,592)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15,372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(2,058)</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other</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(1,518)</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38,979</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16,529</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18"/>
        <w:spacing w:after="0" w:line="342" w:lineRule="auto"/>
        <w:rPr>
          <w:sz w:val="20"/>
          <w:szCs w:val="20"/>
          <w:color w:val="auto"/>
        </w:rPr>
      </w:pPr>
      <w:r>
        <w:rPr>
          <w:rFonts w:ascii="Arial" w:cs="Arial" w:eastAsia="Arial" w:hAnsi="Arial"/>
          <w:sz w:val="16"/>
          <w:szCs w:val="16"/>
          <w:color w:val="auto"/>
        </w:rPr>
        <w:t>Total amortization expense for intangible assets during the three months ended March 31, 2018 and 2017 was $1.1 million and $1.2 million, respectively. The estimated annual amortization expense related to intangible assets subject to amortization for the next five years is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2018</w:t>
            </w:r>
          </w:p>
        </w:tc>
        <w:tc>
          <w:tcPr>
            <w:tcW w:w="1040" w:type="dxa"/>
            <w:vAlign w:val="bottom"/>
            <w:gridSpan w:val="2"/>
            <w:shd w:val="clear" w:color="auto" w:fill="CFF0FC"/>
          </w:tcPr>
          <w:p>
            <w:pPr>
              <w:jc w:val="right"/>
              <w:ind w:right="865"/>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865"/>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15,577</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D – Commitments and Contingencies</w:t>
            </w: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8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Leases</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780" w:type="dxa"/>
            <w:vAlign w:val="bottom"/>
          </w:tcPr>
          <w:p>
            <w:pPr>
              <w:ind w:left="500"/>
              <w:spacing w:after="0"/>
              <w:rPr>
                <w:sz w:val="20"/>
                <w:szCs w:val="20"/>
                <w:color w:val="auto"/>
              </w:rPr>
            </w:pPr>
            <w:r>
              <w:rPr>
                <w:rFonts w:ascii="Arial" w:cs="Arial" w:eastAsia="Arial" w:hAnsi="Arial"/>
                <w:sz w:val="18"/>
                <w:szCs w:val="18"/>
                <w:color w:val="auto"/>
                <w:w w:val="98"/>
              </w:rPr>
              <w:t>At March 31, 2018, our future minimum payments under operating leases were as follows (in thousands):</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2018</w:t>
            </w:r>
          </w:p>
        </w:tc>
        <w:tc>
          <w:tcPr>
            <w:tcW w:w="1040" w:type="dxa"/>
            <w:vAlign w:val="bottom"/>
            <w:gridSpan w:val="2"/>
            <w:shd w:val="clear" w:color="auto" w:fill="CFF0FC"/>
          </w:tcPr>
          <w:p>
            <w:pPr>
              <w:jc w:val="right"/>
              <w:ind w:right="865"/>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23,514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Stock-Based Compensation</w:t>
      </w:r>
    </w:p>
    <w:p>
      <w:pPr>
        <w:spacing w:after="0" w:line="121"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Our equity compensation plans provide for the grant of incentive and nonqualified stock options, restricted stock awards, restricted stock units and performance stock units to employees, non-employee directors and other consultants who provide services to us. We also provide an employee stock purchase plan and 401(k) stock match.</w:t>
      </w:r>
    </w:p>
    <w:p>
      <w:pPr>
        <w:spacing w:after="0" w:line="18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Restricted stock awards result in the issuance of new shares when granted. For other stock-based awards, new shares are issued when the award is exercised, vested or released according to the terms of the agreement. In January 2018, 1,027,620 additional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2" w:name="page13"/>
    <w:bookmarkEnd w:id="12"/>
    <w:p>
      <w:pPr>
        <w:ind w:right="160"/>
        <w:spacing w:after="0" w:line="277" w:lineRule="auto"/>
        <w:rPr>
          <w:sz w:val="20"/>
          <w:szCs w:val="20"/>
          <w:color w:val="auto"/>
        </w:rPr>
      </w:pPr>
      <w:r>
        <w:rPr>
          <w:rFonts w:ascii="Arial" w:cs="Arial" w:eastAsia="Arial" w:hAnsi="Arial"/>
          <w:sz w:val="18"/>
          <w:szCs w:val="18"/>
          <w:color w:val="auto"/>
        </w:rPr>
        <w:t>were reserved for future issuance under our 2010 Equity Incentive Plan. At March 31, 2018, there were approximately 5.4 million shares available for grant under approved equity compensation plans.</w:t>
      </w:r>
    </w:p>
    <w:p>
      <w:pPr>
        <w:spacing w:after="0" w:line="170"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recognize stock-based compensation expense on a straight-line basis over the vesting period, except for expense relating to retirement-eligible employees which is recognized immediately upon the employee becoming retirement-eligible.</w:t>
      </w:r>
    </w:p>
    <w:p>
      <w:pPr>
        <w:spacing w:after="0" w:line="170" w:lineRule="exact"/>
        <w:rPr>
          <w:sz w:val="20"/>
          <w:szCs w:val="20"/>
          <w:color w:val="auto"/>
        </w:rPr>
      </w:pPr>
    </w:p>
    <w:p>
      <w:pPr>
        <w:ind w:right="1160" w:firstLine="518"/>
        <w:spacing w:after="0" w:line="342" w:lineRule="auto"/>
        <w:rPr>
          <w:sz w:val="20"/>
          <w:szCs w:val="20"/>
          <w:color w:val="auto"/>
        </w:rPr>
      </w:pPr>
      <w:r>
        <w:rPr>
          <w:rFonts w:ascii="Arial" w:cs="Arial" w:eastAsia="Arial" w:hAnsi="Arial"/>
          <w:sz w:val="16"/>
          <w:szCs w:val="16"/>
          <w:color w:val="auto"/>
        </w:rPr>
        <w:t>We recorded stock-based compensation expense of $3.5 million and $2.3 million for the three months ended March 31, 2018 and 2017, respectively. This expense was allocated in the condensed consolidated statements of comprehensive income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6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8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Operating expenses</w:t>
            </w: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Sales and marketing</w:t>
            </w:r>
          </w:p>
        </w:tc>
        <w:tc>
          <w:tcPr>
            <w:tcW w:w="8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General and administrative</w:t>
            </w:r>
          </w:p>
        </w:tc>
        <w:tc>
          <w:tcPr>
            <w:tcW w:w="8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2,003</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800" w:type="dxa"/>
            <w:vAlign w:val="bottom"/>
          </w:tcPr>
          <w:p>
            <w:pPr>
              <w:spacing w:after="0"/>
              <w:rPr>
                <w:sz w:val="19"/>
                <w:szCs w:val="19"/>
                <w:color w:val="auto"/>
              </w:rPr>
            </w:pP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3,533</w:t>
            </w:r>
          </w:p>
        </w:tc>
        <w:tc>
          <w:tcPr>
            <w:tcW w:w="280" w:type="dxa"/>
            <w:vAlign w:val="bottom"/>
          </w:tcPr>
          <w:p>
            <w:pPr>
              <w:spacing w:after="0"/>
              <w:rPr>
                <w:sz w:val="19"/>
                <w:szCs w:val="19"/>
                <w:color w:val="auto"/>
              </w:rPr>
            </w:pPr>
          </w:p>
        </w:tc>
        <w:tc>
          <w:tcPr>
            <w:tcW w:w="5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ind w:left="520"/>
              <w:spacing w:after="0"/>
              <w:rPr>
                <w:sz w:val="20"/>
                <w:szCs w:val="20"/>
                <w:color w:val="auto"/>
              </w:rPr>
            </w:pPr>
            <w:r>
              <w:rPr>
                <w:rFonts w:ascii="Arial" w:cs="Arial" w:eastAsia="Arial" w:hAnsi="Arial"/>
                <w:sz w:val="18"/>
                <w:szCs w:val="18"/>
                <w:color w:val="auto"/>
              </w:rPr>
              <w:t>Stock-based compensation expense by plan type was as follows (in thousands):</w:t>
            </w:r>
          </w:p>
        </w:tc>
        <w:tc>
          <w:tcPr>
            <w:tcW w:w="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6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8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Performance share units</w:t>
            </w: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812</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8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8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401(k) stock match</w:t>
            </w: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As of March 31, 2018, there was approximately $16.6 million of unrecognized stock-based compensation expense under our equity compensation plans, which is expected to be recognized on a straight-line basis over a weighted average period of 2.9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Stock options generally vest over four years and have a contractual term of seven to ten years from the date of grant. Our stock option activity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r>
      <w:tr>
        <w:trPr>
          <w:trHeight w:val="171"/>
        </w:trPr>
        <w:tc>
          <w:tcPr>
            <w:tcW w:w="7860" w:type="dxa"/>
            <w:vAlign w:val="bottom"/>
          </w:tcPr>
          <w:p>
            <w:pPr>
              <w:spacing w:after="0"/>
              <w:rPr>
                <w:sz w:val="14"/>
                <w:szCs w:val="14"/>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Exercise Price</w:t>
            </w:r>
          </w:p>
        </w:tc>
      </w:tr>
      <w:tr>
        <w:trPr>
          <w:trHeight w:val="156"/>
        </w:trPr>
        <w:tc>
          <w:tcPr>
            <w:tcW w:w="7860" w:type="dxa"/>
            <w:vAlign w:val="bottom"/>
          </w:tcPr>
          <w:p>
            <w:pPr>
              <w:spacing w:after="0"/>
              <w:rPr>
                <w:sz w:val="13"/>
                <w:szCs w:val="13"/>
                <w:color w:val="auto"/>
              </w:rPr>
            </w:pPr>
          </w:p>
        </w:tc>
        <w:tc>
          <w:tcPr>
            <w:tcW w:w="1580" w:type="dxa"/>
            <w:vAlign w:val="bottom"/>
            <w:tcBorders>
              <w:top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77"/>
              <w:spacing w:after="0" w:line="155" w:lineRule="exact"/>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3"/>
                <w:szCs w:val="13"/>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1,097,331</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47.60</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130,371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54.68</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(15,500)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46.13</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(28,149)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57.56</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2018</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1,184,053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Of the total outstanding options at March 31, 2018, 788,513 were exercisable with a weighted average exercise price of $45.32 per share. The total outstanding options had a weighted average remaining contractual life of 3.2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3" w:name="page14"/>
    <w:bookmarkEnd w:id="13"/>
    <w:p>
      <w:pPr>
        <w:ind w:right="400" w:firstLine="518"/>
        <w:spacing w:after="0" w:line="277" w:lineRule="auto"/>
        <w:rPr>
          <w:sz w:val="20"/>
          <w:szCs w:val="20"/>
          <w:color w:val="auto"/>
        </w:rPr>
      </w:pPr>
      <w:r>
        <w:rPr>
          <w:rFonts w:ascii="Arial" w:cs="Arial" w:eastAsia="Arial" w:hAnsi="Arial"/>
          <w:sz w:val="18"/>
          <w:szCs w:val="18"/>
          <w:color w:val="auto"/>
        </w:rPr>
        <w:t>The weighted average grant date fair value of options granted during the first three months of 2018 was $18.56. This was estimated on the date of grant using the Black-Scholes option pricing model with the following weighted-average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5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Dividend yield</w:t>
            </w:r>
          </w:p>
        </w:tc>
        <w:tc>
          <w:tcPr>
            <w:tcW w:w="51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Life (in years)</w:t>
            </w:r>
          </w:p>
        </w:tc>
        <w:tc>
          <w:tcPr>
            <w:tcW w:w="51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4.6</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180" w:type="dxa"/>
            <w:vAlign w:val="bottom"/>
          </w:tcPr>
          <w:p>
            <w:pPr>
              <w:jc w:val="right"/>
              <w:spacing w:after="0"/>
              <w:rPr>
                <w:sz w:val="20"/>
                <w:szCs w:val="20"/>
                <w:color w:val="auto"/>
              </w:rPr>
            </w:pPr>
            <w:r>
              <w:rPr>
                <w:rFonts w:ascii="Arial" w:cs="Arial" w:eastAsia="Arial" w:hAnsi="Arial"/>
                <w:sz w:val="18"/>
                <w:szCs w:val="18"/>
                <w:color w:val="auto"/>
              </w:rPr>
              <w:t>2.50%</w:t>
            </w: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Restricted Stock Units and Awards</w:t>
      </w:r>
    </w:p>
    <w:p>
      <w:pPr>
        <w:spacing w:after="0" w:line="117"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In February 2017, our executive officers were granted performance share unit (“PSU”) awards with vesting contingent on successful attainment of pre-determined revenue targets over the course of a three-year performance period (fiscal years 2017 – 2019). The fair value is measured as the number of performance shares expected to be earned multiplied by the grant date fair value of our shares. The number of performance shares expected to vest during the current service period is estimated and the fair value of those shares is recognized over the remaining service period less any amounts already recognized.</w:t>
      </w:r>
    </w:p>
    <w:p>
      <w:pPr>
        <w:spacing w:after="0" w:line="154" w:lineRule="exact"/>
        <w:rPr>
          <w:sz w:val="20"/>
          <w:szCs w:val="20"/>
          <w:color w:val="auto"/>
        </w:rPr>
      </w:pPr>
    </w:p>
    <w:p>
      <w:pPr>
        <w:jc w:val="both"/>
        <w:ind w:right="40" w:firstLine="518"/>
        <w:spacing w:after="0" w:line="257" w:lineRule="auto"/>
        <w:rPr>
          <w:sz w:val="20"/>
          <w:szCs w:val="20"/>
          <w:color w:val="auto"/>
        </w:rPr>
      </w:pPr>
      <w:r>
        <w:rPr>
          <w:rFonts w:ascii="Arial" w:cs="Arial" w:eastAsia="Arial" w:hAnsi="Arial"/>
          <w:sz w:val="18"/>
          <w:szCs w:val="18"/>
          <w:color w:val="auto"/>
        </w:rPr>
        <w:t>In February 2018, our executive officers were granted PSU awards with vesting contingent on the Company’s total shareholder return as compared to indexed total shareholder return over the course of a three-year performance period (fiscal years 2018 – 2020). The grant date fair value was estimated using a Monte Carlo simulation that utilizes multiple input variables that determine the probability of satisfying the performance conditions stipulated in the award and calculates the fair market value for the performance stock units granted. Expense is recognized on a straight-line basis over the vesting period, regardless of whether the market condition is satisfied.</w:t>
      </w:r>
    </w:p>
    <w:p>
      <w:pPr>
        <w:spacing w:after="0" w:line="188"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Restricted stock units vest over four years and, upon vesting, the holder is entitled to receive shares of our common stock. With restricted stock awards, shares of our common stock are issued when the award is granted and the restrictions lapse over one year.</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for our performance share units and restricted stock units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2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Performance Share and</w:t>
            </w:r>
          </w:p>
        </w:tc>
        <w:tc>
          <w:tcPr>
            <w:tcW w:w="220" w:type="dxa"/>
            <w:vAlign w:val="bottom"/>
          </w:tcPr>
          <w:p>
            <w:pPr>
              <w:spacing w:after="0"/>
              <w:rPr>
                <w:sz w:val="14"/>
                <w:szCs w:val="14"/>
                <w:color w:val="auto"/>
              </w:rPr>
            </w:pPr>
          </w:p>
        </w:tc>
        <w:tc>
          <w:tcPr>
            <w:tcW w:w="2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 Average</w:t>
            </w:r>
          </w:p>
        </w:tc>
      </w:tr>
      <w:tr>
        <w:trPr>
          <w:trHeight w:val="171"/>
        </w:trPr>
        <w:tc>
          <w:tcPr>
            <w:tcW w:w="6780" w:type="dxa"/>
            <w:vAlign w:val="bottom"/>
          </w:tcPr>
          <w:p>
            <w:pPr>
              <w:spacing w:after="0"/>
              <w:rPr>
                <w:sz w:val="14"/>
                <w:szCs w:val="14"/>
                <w:color w:val="auto"/>
              </w:rPr>
            </w:pPr>
          </w:p>
        </w:tc>
        <w:tc>
          <w:tcPr>
            <w:tcW w:w="2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Restricted Stock Units</w:t>
            </w:r>
          </w:p>
        </w:tc>
        <w:tc>
          <w:tcPr>
            <w:tcW w:w="220" w:type="dxa"/>
            <w:vAlign w:val="bottom"/>
          </w:tcPr>
          <w:p>
            <w:pPr>
              <w:spacing w:after="0"/>
              <w:rPr>
                <w:sz w:val="14"/>
                <w:szCs w:val="14"/>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Grant Date Fair Value</w:t>
            </w:r>
          </w:p>
        </w:tc>
      </w:tr>
      <w:tr>
        <w:trPr>
          <w:trHeight w:val="156"/>
        </w:trPr>
        <w:tc>
          <w:tcPr>
            <w:tcW w:w="6780" w:type="dxa"/>
            <w:vAlign w:val="bottom"/>
          </w:tcPr>
          <w:p>
            <w:pPr>
              <w:spacing w:after="0"/>
              <w:rPr>
                <w:sz w:val="13"/>
                <w:szCs w:val="13"/>
                <w:color w:val="auto"/>
              </w:rPr>
            </w:pPr>
          </w:p>
        </w:tc>
        <w:tc>
          <w:tcPr>
            <w:tcW w:w="21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jc w:val="center"/>
              <w:ind w:right="157"/>
              <w:spacing w:after="0" w:line="155" w:lineRule="exact"/>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3"/>
                <w:szCs w:val="13"/>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321,912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55.16</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Granted</w:t>
            </w:r>
          </w:p>
        </w:tc>
        <w:tc>
          <w:tcPr>
            <w:tcW w:w="2120" w:type="dxa"/>
            <w:vAlign w:val="bottom"/>
          </w:tcPr>
          <w:p>
            <w:pPr>
              <w:jc w:val="right"/>
              <w:spacing w:after="0"/>
              <w:rPr>
                <w:sz w:val="20"/>
                <w:szCs w:val="20"/>
                <w:color w:val="auto"/>
              </w:rPr>
            </w:pPr>
            <w:r>
              <w:rPr>
                <w:rFonts w:ascii="Arial" w:cs="Arial" w:eastAsia="Arial" w:hAnsi="Arial"/>
                <w:sz w:val="18"/>
                <w:szCs w:val="18"/>
                <w:color w:val="auto"/>
              </w:rPr>
              <w:t>112,181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57.94</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2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(81,427)</w:t>
            </w:r>
          </w:p>
        </w:tc>
        <w:tc>
          <w:tcPr>
            <w:tcW w:w="22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56.32</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2420" w:type="dxa"/>
            <w:vAlign w:val="bottom"/>
            <w:gridSpan w:val="2"/>
          </w:tcPr>
          <w:p>
            <w:pPr>
              <w:jc w:val="right"/>
              <w:ind w:right="240"/>
              <w:spacing w:after="0"/>
              <w:rPr>
                <w:sz w:val="20"/>
                <w:szCs w:val="20"/>
                <w:color w:val="auto"/>
              </w:rPr>
            </w:pPr>
            <w:r>
              <w:rPr>
                <w:rFonts w:ascii="Arial" w:cs="Arial" w:eastAsia="Arial" w:hAnsi="Arial"/>
                <w:sz w:val="18"/>
                <w:szCs w:val="18"/>
                <w:color w:val="auto"/>
              </w:rPr>
              <w:t>(11,290)</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54.52</w:t>
            </w:r>
          </w:p>
        </w:tc>
        <w:tc>
          <w:tcPr>
            <w:tcW w:w="100" w:type="dxa"/>
            <w:vAlign w:val="bottom"/>
          </w:tcPr>
          <w:p>
            <w:pPr>
              <w:spacing w:after="0"/>
              <w:rPr>
                <w:sz w:val="19"/>
                <w:szCs w:val="19"/>
                <w:color w:val="auto"/>
              </w:rPr>
            </w:pPr>
          </w:p>
        </w:tc>
      </w:tr>
      <w:tr>
        <w:trPr>
          <w:trHeight w:val="223"/>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2018</w:t>
            </w: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341,376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number of restricted stock units outstanding at March 31, 2018 included 5,981 units that have vested, but for which shares of common stock have not yet been issued pursuant to the terms of the agreement.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restricted stock awards activity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1600" w:type="dxa"/>
            <w:vAlign w:val="bottom"/>
          </w:tcPr>
          <w:p>
            <w:pPr>
              <w:jc w:val="center"/>
              <w:ind w:left="448"/>
              <w:spacing w:after="0"/>
              <w:rPr>
                <w:sz w:val="20"/>
                <w:szCs w:val="20"/>
                <w:color w:val="auto"/>
              </w:rPr>
            </w:pPr>
            <w:r>
              <w:rPr>
                <w:rFonts w:ascii="Arial" w:cs="Arial" w:eastAsia="Arial" w:hAnsi="Arial"/>
                <w:sz w:val="14"/>
                <w:szCs w:val="14"/>
                <w:b w:val="1"/>
                <w:bCs w:val="1"/>
                <w:color w:val="auto"/>
                <w:w w:val="90"/>
              </w:rPr>
              <w:t>Restricted Stock</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2"/>
          </w:tcPr>
          <w:p>
            <w:pPr>
              <w:ind w:left="100"/>
              <w:spacing w:after="0"/>
              <w:rPr>
                <w:sz w:val="20"/>
                <w:szCs w:val="20"/>
                <w:color w:val="auto"/>
              </w:rPr>
            </w:pPr>
            <w:r>
              <w:rPr>
                <w:rFonts w:ascii="Arial" w:cs="Arial" w:eastAsia="Arial" w:hAnsi="Arial"/>
                <w:sz w:val="14"/>
                <w:szCs w:val="14"/>
                <w:b w:val="1"/>
                <w:bCs w:val="1"/>
                <w:color w:val="auto"/>
              </w:rPr>
              <w:t>Weighted Average Grant</w:t>
            </w:r>
          </w:p>
        </w:tc>
      </w:tr>
      <w:tr>
        <w:trPr>
          <w:trHeight w:val="171"/>
        </w:trPr>
        <w:tc>
          <w:tcPr>
            <w:tcW w:w="6780" w:type="dxa"/>
            <w:vAlign w:val="bottom"/>
          </w:tcPr>
          <w:p>
            <w:pPr>
              <w:spacing w:after="0"/>
              <w:rPr>
                <w:sz w:val="14"/>
                <w:szCs w:val="14"/>
                <w:color w:val="auto"/>
              </w:rPr>
            </w:pPr>
          </w:p>
        </w:tc>
        <w:tc>
          <w:tcPr>
            <w:tcW w:w="1600" w:type="dxa"/>
            <w:vAlign w:val="bottom"/>
          </w:tcPr>
          <w:p>
            <w:pPr>
              <w:jc w:val="center"/>
              <w:ind w:left="448"/>
              <w:spacing w:after="0"/>
              <w:rPr>
                <w:sz w:val="20"/>
                <w:szCs w:val="20"/>
                <w:color w:val="auto"/>
              </w:rPr>
            </w:pPr>
            <w:r>
              <w:rPr>
                <w:rFonts w:ascii="Arial" w:cs="Arial" w:eastAsia="Arial" w:hAnsi="Arial"/>
                <w:sz w:val="14"/>
                <w:szCs w:val="14"/>
                <w:b w:val="1"/>
                <w:bCs w:val="1"/>
                <w:color w:val="auto"/>
                <w:w w:val="94"/>
              </w:rPr>
              <w:t>Awards (#)</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2"/>
          </w:tcPr>
          <w:p>
            <w:pPr>
              <w:ind w:left="100"/>
              <w:spacing w:after="0"/>
              <w:rPr>
                <w:sz w:val="20"/>
                <w:szCs w:val="20"/>
                <w:color w:val="auto"/>
              </w:rPr>
            </w:pPr>
            <w:r>
              <w:rPr>
                <w:rFonts w:ascii="Arial" w:cs="Arial" w:eastAsia="Arial" w:hAnsi="Arial"/>
                <w:sz w:val="14"/>
                <w:szCs w:val="14"/>
                <w:b w:val="1"/>
                <w:bCs w:val="1"/>
                <w:color w:val="auto"/>
              </w:rPr>
              <w:t>Date Fair Value ($/share)</w:t>
            </w: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6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380" w:type="dxa"/>
            <w:vAlign w:val="bottom"/>
            <w:gridSpan w:val="2"/>
          </w:tcPr>
          <w:p>
            <w:pPr>
              <w:ind w:left="260"/>
              <w:spacing w:after="0"/>
              <w:rPr>
                <w:sz w:val="20"/>
                <w:szCs w:val="20"/>
                <w:color w:val="auto"/>
              </w:rPr>
            </w:pPr>
            <w:r>
              <w:rPr>
                <w:rFonts w:ascii="Arial" w:cs="Arial" w:eastAsia="Arial" w:hAnsi="Arial"/>
                <w:sz w:val="18"/>
                <w:szCs w:val="18"/>
                <w:color w:val="auto"/>
              </w:rPr>
              <w:t>Restricted common stock issued</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Restrictions lapsed</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8"/>
              </w:rPr>
              <w:t>(1,368)</w:t>
            </w: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58.29</w:t>
            </w:r>
          </w:p>
        </w:tc>
        <w:tc>
          <w:tcPr>
            <w:tcW w:w="100" w:type="dxa"/>
            <w:vAlign w:val="bottom"/>
            <w:shd w:val="clear" w:color="auto" w:fill="CFF0FC"/>
          </w:tcPr>
          <w:p>
            <w:pPr>
              <w:spacing w:after="0"/>
              <w:rPr>
                <w:sz w:val="19"/>
                <w:szCs w:val="19"/>
                <w:color w:val="auto"/>
              </w:rPr>
            </w:pPr>
          </w:p>
        </w:tc>
      </w:tr>
      <w:tr>
        <w:trPr>
          <w:trHeight w:val="230"/>
        </w:trPr>
        <w:tc>
          <w:tcPr>
            <w:tcW w:w="838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2018</w:t>
            </w:r>
          </w:p>
        </w:tc>
        <w:tc>
          <w:tcPr>
            <w:tcW w:w="160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4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7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380" w:firstLine="518"/>
        <w:spacing w:after="0" w:line="259" w:lineRule="auto"/>
        <w:rPr>
          <w:sz w:val="20"/>
          <w:szCs w:val="20"/>
          <w:color w:val="auto"/>
        </w:rPr>
      </w:pPr>
      <w:r>
        <w:rPr>
          <w:rFonts w:ascii="Arial" w:cs="Arial" w:eastAsia="Arial" w:hAnsi="Arial"/>
          <w:sz w:val="18"/>
          <w:szCs w:val="18"/>
          <w:color w:val="auto"/>
        </w:rPr>
        <w:t>Our employee stock purchase plan allows participating employees to purchase shares of our common stock at a discount through payroll deductions. The plan is available to all employees subject to certain eligibility requirements. Participating employees may purchase common stock, on a voluntary after tax basis, at a price that is the lower of 85% of the fair market value of one share of common stock at the beginning or end of each stock purchase period. The plan consists of two six-month offering periods, beginning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on January 1 and July 1 of each calendar year, respectively. A total of 1.0 million shares of common stock are reserved for issuance under the plan.</w:t>
      </w:r>
    </w:p>
    <w:p>
      <w:pPr>
        <w:spacing w:after="0" w:line="23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For the offering periods that began on January 1, 2018 and January 1, 2017, we withheld approximately $0.5 million and $0.6 million, respectively, from employees participating in the plan.</w:t>
      </w:r>
    </w:p>
    <w:p>
      <w:pPr>
        <w:spacing w:after="0" w:line="170"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fair value was estimated based on the market price of our common stock at the beginning of the offering period using the Black-Scholes option pricing model with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5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Dividend yield</w:t>
            </w:r>
          </w:p>
        </w:tc>
        <w:tc>
          <w:tcPr>
            <w:tcW w:w="51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Life (in years)</w:t>
            </w:r>
          </w:p>
        </w:tc>
        <w:tc>
          <w:tcPr>
            <w:tcW w:w="51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0.5</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180" w:type="dxa"/>
            <w:vAlign w:val="bottom"/>
          </w:tcPr>
          <w:p>
            <w:pPr>
              <w:jc w:val="right"/>
              <w:spacing w:after="0"/>
              <w:rPr>
                <w:sz w:val="20"/>
                <w:szCs w:val="20"/>
                <w:color w:val="auto"/>
              </w:rPr>
            </w:pPr>
            <w:r>
              <w:rPr>
                <w:rFonts w:ascii="Arial" w:cs="Arial" w:eastAsia="Arial" w:hAnsi="Arial"/>
                <w:sz w:val="18"/>
                <w:szCs w:val="18"/>
                <w:color w:val="auto"/>
              </w:rPr>
              <w:t>1.50%</w:t>
            </w: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Stock Match</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sponsor a 401(k) retirement savings plan for our U.S. employees where employees can contribute up to 100% of their compensation, subject to the limits established by law. In 2018, we increased our match to 50% of the employee’s elective deferrals, up to the first 6% of the employee’s pre-tax compensation for each pay period. A portion of our match is in company stock, which is purchased from the open market by our plan provider and immediately deposited into the employee’s 401(k) account.</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Income Taxes</w:t>
      </w:r>
    </w:p>
    <w:p>
      <w:pPr>
        <w:spacing w:after="0" w:line="121"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permanently non-deductible expenses partially offset by the federal research and development credits. Additionally, excess tax benefits generated upon settlement or exercise of stock awards are recognized as a reduction to income tax expense as a discrete tax item in the quarter that the event occurs creating potentially significant fluctuation in tax expense by quarter and by year. Our provisions for income taxes include current foreign and state income tax expense, as well as deferred tax expense.</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2018 we do not have any unrecognized tax benefits nor any accrued interest or tax penalties.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Act</w:t>
      </w:r>
    </w:p>
    <w:p>
      <w:pPr>
        <w:spacing w:after="0" w:line="117"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The Tax Act, which was enacted on December 22, 2017, includes broad and complex changes to the U.S tax code. The Tax Act reduces the corporate federal income tax rate to 21.0% effective January 1, 2018 and establishes a mandatory tax on previously untaxed foreign earnings and profits (“E&amp;P”). The Tax Act expands the limitations for executive compensation under Section 162(m) and includes transition rules for previously awarded compensation.</w:t>
      </w:r>
    </w:p>
    <w:p>
      <w:pPr>
        <w:spacing w:after="0" w:line="14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January and April of 2018, the Internal Revenue Service (“IRS”) issued guidance which provides additional clarification on certain aspects of the transition tax calculation. We have applied this guidance for the first quarter of 2018 which did not result in a material adjustment to our previously calculated discrete income tax expense relating to the Tax Act. We anticipate additional IRS guidance relative to the impacts of the Tax Act will be forthcoming throughout 2018.</w:t>
      </w:r>
    </w:p>
    <w:p>
      <w:pPr>
        <w:spacing w:after="0" w:line="18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We are continuing to evaluate the impact of the Tax Act on the taxation of previously untaxed foreign E&amp;P and the deferred tax liability for withholding taxes on dividends. We are also continuing to evaluate the impact the expanded Section 162(m) limitations and related transition rules have on our deferred tax assets related to stock compensation.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Net Income Per Share</w:t>
      </w:r>
    </w:p>
    <w:p>
      <w:pPr>
        <w:spacing w:after="0" w:line="121" w:lineRule="exact"/>
        <w:rPr>
          <w:sz w:val="20"/>
          <w:szCs w:val="20"/>
          <w:color w:val="auto"/>
        </w:rPr>
      </w:pPr>
    </w:p>
    <w:p>
      <w:pPr>
        <w:ind w:right="960" w:firstLine="518"/>
        <w:spacing w:after="0" w:line="286" w:lineRule="auto"/>
        <w:rPr>
          <w:sz w:val="20"/>
          <w:szCs w:val="20"/>
          <w:color w:val="auto"/>
        </w:rPr>
      </w:pPr>
      <w:r>
        <w:rPr>
          <w:rFonts w:ascii="Arial" w:cs="Arial" w:eastAsia="Arial" w:hAnsi="Arial"/>
          <w:sz w:val="17"/>
          <w:szCs w:val="17"/>
          <w:color w:val="auto"/>
        </w:rPr>
        <w:t>Basic net income per share has been computed using the weighted average number of shares of common stock outstanding during each period. Diluted net income per share also includes the impact of our outstanding potential common shares, including options and restricted stock units. Potential common shares that are anti-dilutive are excluded from the calculation of diluted net income per share.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5" w:name="page16"/>
    <w:bookmarkEnd w:id="15"/>
    <w:p>
      <w:pPr>
        <w:ind w:right="420" w:firstLine="518"/>
        <w:spacing w:after="0" w:line="277"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Borders>
              <w:bottom w:val="single" w:sz="8" w:color="CFF0FC"/>
            </w:tcBorders>
          </w:tcPr>
          <w:p>
            <w:pPr>
              <w:spacing w:after="0"/>
              <w:rPr>
                <w:sz w:val="13"/>
                <w:szCs w:val="13"/>
                <w:color w:val="auto"/>
              </w:rPr>
            </w:pPr>
          </w:p>
        </w:tc>
        <w:tc>
          <w:tcPr>
            <w:tcW w:w="296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9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396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3,254</w:t>
            </w: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29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Weighted average common shares outstanding, basic</w:t>
            </w:r>
          </w:p>
        </w:tc>
        <w:tc>
          <w:tcPr>
            <w:tcW w:w="2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17,093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Options to purchase common stock</w:t>
            </w:r>
          </w:p>
        </w:tc>
        <w:tc>
          <w:tcPr>
            <w:tcW w:w="29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Restricted stock units</w:t>
            </w:r>
          </w:p>
        </w:tc>
        <w:tc>
          <w:tcPr>
            <w:tcW w:w="29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Weighted average common shares outstanding, diluted</w:t>
            </w:r>
          </w:p>
        </w:tc>
        <w:tc>
          <w:tcPr>
            <w:tcW w:w="29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17,307</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17,393</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per share</w:t>
            </w:r>
          </w:p>
        </w:tc>
        <w:tc>
          <w:tcPr>
            <w:tcW w:w="2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2"/>
            <w:vMerge w:val="continue"/>
          </w:tcPr>
          <w:p>
            <w:pPr>
              <w:spacing w:after="0"/>
              <w:rPr>
                <w:sz w:val="18"/>
                <w:szCs w:val="18"/>
                <w:color w:val="auto"/>
              </w:rPr>
            </w:pPr>
          </w:p>
        </w:tc>
        <w:tc>
          <w:tcPr>
            <w:tcW w:w="2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w:t>
            </w:r>
          </w:p>
        </w:tc>
        <w:tc>
          <w:tcPr>
            <w:tcW w:w="396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86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480"/>
              <w:spacing w:after="0"/>
              <w:rPr>
                <w:sz w:val="20"/>
                <w:szCs w:val="20"/>
                <w:color w:val="auto"/>
              </w:rPr>
            </w:pPr>
            <w:r>
              <w:rPr>
                <w:rFonts w:ascii="Arial" w:cs="Arial" w:eastAsia="Arial" w:hAnsi="Arial"/>
                <w:sz w:val="18"/>
                <w:szCs w:val="18"/>
                <w:color w:val="auto"/>
              </w:rPr>
              <w:t>Diluted</w:t>
            </w:r>
          </w:p>
        </w:tc>
        <w:tc>
          <w:tcPr>
            <w:tcW w:w="396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0.19</w:t>
            </w: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vMerge w:val="restart"/>
          </w:tcPr>
          <w:p>
            <w:pPr>
              <w:spacing w:after="0"/>
              <w:rPr>
                <w:sz w:val="24"/>
                <w:szCs w:val="24"/>
                <w:color w:val="auto"/>
              </w:rPr>
            </w:pPr>
          </w:p>
        </w:tc>
        <w:tc>
          <w:tcPr>
            <w:tcW w:w="48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Antidilutive shares (in thousands)</w:t>
            </w:r>
          </w:p>
        </w:tc>
        <w:tc>
          <w:tcPr>
            <w:tcW w:w="29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960" w:type="dxa"/>
            <w:vAlign w:val="bottom"/>
            <w:vMerge w:val="restart"/>
          </w:tcPr>
          <w:p>
            <w:pPr>
              <w:jc w:val="right"/>
              <w:ind w:right="1970"/>
              <w:spacing w:after="0"/>
              <w:rPr>
                <w:sz w:val="20"/>
                <w:szCs w:val="20"/>
                <w:color w:val="auto"/>
              </w:rPr>
            </w:pPr>
            <w:r>
              <w:rPr>
                <w:rFonts w:ascii="Arial" w:cs="Arial" w:eastAsia="Arial" w:hAnsi="Arial"/>
                <w:sz w:val="18"/>
                <w:szCs w:val="18"/>
                <w:color w:val="auto"/>
              </w:rPr>
              <w:t>16</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16" w:name="page17"/>
    <w:bookmarkEnd w:id="16"/>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180" w:firstLine="518"/>
        <w:spacing w:after="0" w:line="257" w:lineRule="auto"/>
        <w:rPr>
          <w:sz w:val="20"/>
          <w:szCs w:val="20"/>
          <w:color w:val="auto"/>
        </w:rPr>
      </w:pPr>
      <w:r>
        <w:rPr>
          <w:rFonts w:ascii="Arial" w:cs="Arial" w:eastAsia="Arial" w:hAnsi="Arial"/>
          <w:sz w:val="18"/>
          <w:szCs w:val="18"/>
          <w:color w:val="auto"/>
        </w:rPr>
        <w:t>We are a leading provider of cloud-based supply chain management solutions, providing network-proven fulfillment, sourcing and item assortment management solutions, along with comprehensive retail performance analytics to thousands of customers worldwide. We provide our solutions through the SPS Commerce Platform, a cloud-based product suite that improves the way retailers, suppliers, distributors and logistics firms orchestrate the sourcing, set up of new vendors and items and fulfillment of products that consumers buy. We derive the majority of our revenues from thousands of monthly recurring subscriptions from businesses that utilize our solutions.</w:t>
      </w:r>
    </w:p>
    <w:p>
      <w:pPr>
        <w:spacing w:after="0" w:line="18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187" w:lineRule="exact"/>
        <w:rPr>
          <w:sz w:val="20"/>
          <w:szCs w:val="20"/>
          <w:color w:val="auto"/>
        </w:rPr>
      </w:pPr>
    </w:p>
    <w:p>
      <w:pPr>
        <w:ind w:right="840" w:firstLine="518"/>
        <w:spacing w:after="0" w:line="342" w:lineRule="auto"/>
        <w:rPr>
          <w:sz w:val="20"/>
          <w:szCs w:val="20"/>
          <w:color w:val="auto"/>
        </w:rPr>
      </w:pPr>
      <w:r>
        <w:rPr>
          <w:rFonts w:ascii="Arial" w:cs="Arial" w:eastAsia="Arial" w:hAnsi="Arial"/>
          <w:sz w:val="16"/>
          <w:szCs w:val="16"/>
          <w:color w:val="auto"/>
        </w:rPr>
        <w:t>For the three months ended March 31, 2018, our revenues were $59.1 million, an increase of 14% from the comparable period in 2017, and represented our 69</w:t>
      </w:r>
      <w:r>
        <w:rPr>
          <w:rFonts w:ascii="Arial" w:cs="Arial" w:eastAsia="Arial" w:hAnsi="Arial"/>
          <w:sz w:val="13"/>
          <w:szCs w:val="13"/>
          <w:color w:val="auto"/>
        </w:rPr>
        <w:t>th</w:t>
      </w:r>
      <w:r>
        <w:rPr>
          <w:rFonts w:ascii="Arial" w:cs="Arial" w:eastAsia="Arial" w:hAnsi="Arial"/>
          <w:sz w:val="16"/>
          <w:szCs w:val="16"/>
          <w:color w:val="auto"/>
        </w:rPr>
        <w:t xml:space="preserve"> consecutive quarter of increased revenues. Total operating expenses increased 12% for the same period in 2018 from 2017.</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We have several key financial terms and metrics, including annualized average recurring revenues per recurring revenue customer, which we also refer to as wallet share. During the three months ended March 31, 2018, there were no changes in the definitions of our key financial terms and metrics, which are discussed in more detail under the heading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included in our Annual Report on Form 10-K for the year ended December 31, 2017 as filed with the SEC on February 26, 2018.</w:t>
      </w:r>
    </w:p>
    <w:p>
      <w:pPr>
        <w:spacing w:after="0" w:line="17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presented to our board of directors.</w:t>
      </w:r>
    </w:p>
    <w:p>
      <w:pPr>
        <w:spacing w:after="0" w:line="173"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These non-GAAP measures should not be considered a substitute for, or superior to, financial measures calculated in accordance with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This discussion of our financial condition and results of operations is based upon our condensed consolidated financial statements, which are prepared in accordance with GAAP.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73"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A critical accounting policy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and income taxes are the most critical to fully understand and evaluate our financial condition and results of operations.</w:t>
      </w:r>
    </w:p>
    <w:p>
      <w:pPr>
        <w:spacing w:after="0" w:line="18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During the three months ended March 31, 2018, there were no changes in our significant accounting policies or estimates, except for the adoption of ASU No. 2014-09 as detailed in Note A. See Note A to our condensed consolidated financial statements included in this Quarterly Report on Form 10-Q and in our Annual Report on Form 10-K for the year ended December 31, 2017, as filed with the SEC on February 26, 2018, for additional information regarding our accounting policies.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2018 compared to three months ended March 31,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7"/>
              </w:rPr>
              <w:t>Three Months Ended March 31,</w:t>
            </w:r>
          </w:p>
        </w:tc>
        <w:tc>
          <w:tcPr>
            <w:tcW w:w="9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70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Revenues</w:t>
            </w:r>
          </w:p>
        </w:tc>
        <w:tc>
          <w:tcPr>
            <w:tcW w:w="10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59,092</w:t>
            </w:r>
          </w:p>
        </w:tc>
        <w:tc>
          <w:tcPr>
            <w:tcW w:w="2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51,879</w:t>
            </w:r>
          </w:p>
        </w:tc>
        <w:tc>
          <w:tcPr>
            <w:tcW w:w="2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7,213</w:t>
            </w:r>
          </w:p>
        </w:tc>
        <w:tc>
          <w:tcPr>
            <w:tcW w:w="4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19,758</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17,330</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2,428</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Gross profit</w:t>
            </w: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39,334</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66.6</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34,549</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66.6</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4,785</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18,647</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17,023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1,624</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10,130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7,827</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2,303</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(90)</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35,034</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59.3</w:t>
            </w:r>
          </w:p>
        </w:tc>
        <w:tc>
          <w:tcPr>
            <w:tcW w:w="3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31,170</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60.1</w:t>
            </w:r>
          </w:p>
        </w:tc>
        <w:tc>
          <w:tcPr>
            <w:tcW w:w="3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3,864</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4,300</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(94)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net</w:t>
            </w:r>
          </w:p>
        </w:tc>
        <w:tc>
          <w:tcPr>
            <w:tcW w:w="8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4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4,560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3,510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1,050</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Net (loss) income</w:t>
            </w:r>
          </w:p>
        </w:tc>
        <w:tc>
          <w:tcPr>
            <w:tcW w:w="8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3,254</w:t>
            </w:r>
          </w:p>
        </w:tc>
        <w:tc>
          <w:tcPr>
            <w:tcW w:w="2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2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4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three months ended March 31, 2018 increased $7.2 million, or 14%, to $59.1 million from $51.9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2017. The increase in revenues resulted from two primary factors: the increase in recurring revenue customers and the increase in annualized average recurring revenues per recurring revenue customer, which we also refer to as wallet share.</w:t>
      </w:r>
    </w:p>
    <w:p>
      <w:pPr>
        <w:spacing w:after="0" w:line="73"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4% to 25,888 at March 31, 2018 from 25,001 at March 31, 2017.</w:t>
      </w:r>
    </w:p>
    <w:p>
      <w:pPr>
        <w:spacing w:after="0" w:line="117" w:lineRule="exact"/>
        <w:rPr>
          <w:rFonts w:ascii="Arial" w:cs="Arial" w:eastAsia="Arial" w:hAnsi="Arial"/>
          <w:sz w:val="18"/>
          <w:szCs w:val="18"/>
          <w:color w:val="auto"/>
        </w:rPr>
      </w:pPr>
    </w:p>
    <w:p>
      <w:pPr>
        <w:ind w:left="1040" w:right="280" w:hanging="519"/>
        <w:spacing w:after="0" w:line="264"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Annualized average recurring revenues per recurring revenue customer, or wallet share, increased 10% to $8,499 for the three months ended March 31, 2018 from $7,707 for the same period in 2017. This increase in wallet share was primarily attributable to increased usage of our solutions by our recurring revenue customers.</w:t>
      </w:r>
    </w:p>
    <w:p>
      <w:pPr>
        <w:spacing w:after="0" w:line="181" w:lineRule="exact"/>
        <w:rPr>
          <w:sz w:val="20"/>
          <w:szCs w:val="20"/>
          <w:color w:val="auto"/>
        </w:rPr>
      </w:pPr>
    </w:p>
    <w:p>
      <w:pPr>
        <w:jc w:val="both"/>
        <w:ind w:right="20" w:firstLine="518"/>
        <w:spacing w:after="0" w:line="286" w:lineRule="auto"/>
        <w:rPr>
          <w:sz w:val="20"/>
          <w:szCs w:val="20"/>
          <w:color w:val="auto"/>
        </w:rPr>
      </w:pPr>
      <w:r>
        <w:rPr>
          <w:rFonts w:ascii="Arial" w:cs="Arial" w:eastAsia="Arial" w:hAnsi="Arial"/>
          <w:sz w:val="17"/>
          <w:szCs w:val="17"/>
          <w:color w:val="auto"/>
        </w:rPr>
        <w:t>Recurring revenues from recurring revenue customers accounted for 93% of our total revenues for the three months ended March 31, 2018, increasing from 92% for the same period in 2017. We anticipate that the number of recurring revenue customers and wallet share will continue to increase as we increase the number of solutions we offer and increase the penetration of those solutions across our customer base.</w:t>
      </w:r>
    </w:p>
    <w:p>
      <w:pPr>
        <w:spacing w:after="0" w:line="166"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for the three months ended March 31, 2018 increased $2.4 million, or 14%, to $19.8 million from $17.3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same period in 2017. The increase in cost of revenues for the three months ended March 31, 2018 was primarily due to an increase in personnel-related costs of approximately $1.9 million, driven by increased headcount and an increase of $0.7 million in consulting costs. As we continued to invest in the infrastructure supporting our platform, depreciation expense increased by $0.4 million compared to the same period in 2017. Additionally, compared to the same period in 2017, stock-based compensation expense increased by $0.1 million. As a percentage of revenues, cost of revenues was 33% for each of the three months ended March 31, 2018 and 2017.</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for the three months ended March 31, 2018 increased $1.6 million, or 10%, to</w:t>
      </w:r>
    </w:p>
    <w:p>
      <w:pPr>
        <w:spacing w:after="0" w:line="35"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$18.6 million from $17.0 million for the same period in 2017. The increase in sales and marketing expenses for the three months ended March 31, 2018 was due to increased headcount, which resulted in an increase of $1.0 million in personnel-related costs, as well as an increase of $0.6 million in variable compensation earned by sales personnel and referral partners from new business, compared to the same period in 2017. As a percentage of revenues, sales and marketing expenses were 32% for the three months ended March 31, 2018 and 2017 as compared to 33% for the same period in 2017.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8" w:name="page19"/>
    <w:bookmarkEnd w:id="18"/>
    <w:p>
      <w:pPr>
        <w:jc w:val="both"/>
        <w:ind w:right="100" w:firstLine="518"/>
        <w:spacing w:after="0" w:line="302"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were $5.1 million for each of the three months ended March 31, 2018 and</w:t>
      </w:r>
      <w:r>
        <w:rPr>
          <w:rFonts w:ascii="Arial" w:cs="Arial" w:eastAsia="Arial" w:hAnsi="Arial"/>
          <w:sz w:val="16"/>
          <w:szCs w:val="16"/>
          <w:i w:val="1"/>
          <w:iCs w:val="1"/>
          <w:color w:val="auto"/>
        </w:rPr>
        <w:t xml:space="preserve"> </w:t>
      </w:r>
      <w:r>
        <w:rPr>
          <w:rFonts w:ascii="Arial" w:cs="Arial" w:eastAsia="Arial" w:hAnsi="Arial"/>
          <w:sz w:val="16"/>
          <w:szCs w:val="16"/>
          <w:color w:val="auto"/>
        </w:rPr>
        <w:t>2017. During the three months ended March 31, 2018, personnel costs decreased by $0.2 million which was offset by software and cloud-based subscription expenses which increased by $0.1 million and stock-based compensation which increased by $0.1 million compared to the same period in 2017. As a percentage of revenues, research and development expenses were 9% and 10% for the three months ended March 31, 2018 and 2017, respectively.</w:t>
      </w:r>
    </w:p>
    <w:p>
      <w:pPr>
        <w:spacing w:after="0" w:line="154" w:lineRule="exact"/>
        <w:rPr>
          <w:sz w:val="20"/>
          <w:szCs w:val="20"/>
          <w:color w:val="auto"/>
        </w:rPr>
      </w:pPr>
    </w:p>
    <w:p>
      <w:pPr>
        <w:ind w:right="240" w:firstLine="518"/>
        <w:spacing w:after="0" w:line="293"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for the three months ended March 31, 2018 increased $2.3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29%, to $10.1 million from $7.8 million for the same period in 2017. The increase in general and administrative expenses for the three months ended March 31, 2018 was primarily due to headcount growth, which resulted in an increase of $0.7 million in personnel-related costs and an increase of $0.9 million in stock-based compensation compared to the same period in 2017. Additionally, legal, audit and tax fees increased by $0.3 million and other expenses increased by $0.4 million, primarily driven by increased costs of software subscriptions, compared to the same period in 2017. As a percentage of revenues, general and administrative expenses were 17% and 15% for the three months ended March 31, 2018 and 2017, respectively.</w:t>
      </w:r>
    </w:p>
    <w:p>
      <w:pPr>
        <w:spacing w:after="0" w:line="165"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for the three months ended March 31, 2018 increased over the same period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realized foreign currency exchange gains and interest income from investments.</w:t>
      </w:r>
    </w:p>
    <w:p>
      <w:pPr>
        <w:spacing w:after="0" w:line="170"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We recorded income tax expense of $1.3 million for the three months ended March 31, 2018 compared to income tax expense of</w:t>
      </w:r>
      <w:r>
        <w:rPr>
          <w:rFonts w:ascii="Arial" w:cs="Arial" w:eastAsia="Arial" w:hAnsi="Arial"/>
          <w:sz w:val="17"/>
          <w:szCs w:val="17"/>
          <w:i w:val="1"/>
          <w:iCs w:val="1"/>
          <w:color w:val="auto"/>
        </w:rPr>
        <w:t xml:space="preserve"> </w:t>
      </w:r>
      <w:r>
        <w:rPr>
          <w:rFonts w:ascii="Arial" w:cs="Arial" w:eastAsia="Arial" w:hAnsi="Arial"/>
          <w:sz w:val="17"/>
          <w:szCs w:val="17"/>
          <w:color w:val="auto"/>
        </w:rPr>
        <w:t>$0.5 million for three months ended March 31, 2017. The increase in income tax expense for the three months ended March 31, 2018 was primarily due to increased pre-tax income, partially offset by a reduction in overall effective tax rate in 2018 as compared to 2017 due to the Tax Act. In addition, discrete tax benefits from stock activity decreased $0.9 million for the three months ended March 31, 2018 compared to the same period in 2017. Under ASU 2016-09, excess tax benefits generated upon the settlement or exercise of stock awards are no longer recognized as additional paid-in capital but are instead recognized as a reduction to income tax expense. As a result of recording these excess tax benefits in income tax expense, we expect that our annual effective income tax rate will be more volatile than it has been historically.</w:t>
      </w:r>
    </w:p>
    <w:p>
      <w:pPr>
        <w:spacing w:after="0" w:line="178"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adjusted for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and stock-based compensation expense. The following table provides a reconciliation of net income to Adjusted EBITDA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20" w:type="dxa"/>
            <w:vAlign w:val="bottom"/>
            <w:tcBorders>
              <w:bottom w:val="single" w:sz="8" w:color="CFF0FC"/>
            </w:tcBorders>
          </w:tcPr>
          <w:p>
            <w:pPr>
              <w:spacing w:after="0"/>
              <w:rPr>
                <w:sz w:val="13"/>
                <w:szCs w:val="13"/>
                <w:color w:val="auto"/>
              </w:rPr>
            </w:pPr>
          </w:p>
        </w:tc>
        <w:tc>
          <w:tcPr>
            <w:tcW w:w="28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8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Depreciation and amortization of property and equipment</w:t>
            </w:r>
          </w:p>
        </w:tc>
        <w:tc>
          <w:tcPr>
            <w:tcW w:w="2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28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2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28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Stock-based compensation expense</w:t>
            </w:r>
          </w:p>
        </w:tc>
        <w:tc>
          <w:tcPr>
            <w:tcW w:w="28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8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10,887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8,525</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840" w:type="dxa"/>
            <w:vAlign w:val="bottom"/>
            <w:vMerge w:val="restart"/>
          </w:tcPr>
          <w:p>
            <w:pPr>
              <w:jc w:val="right"/>
              <w:ind w:right="1970"/>
              <w:spacing w:after="0"/>
              <w:rPr>
                <w:sz w:val="20"/>
                <w:szCs w:val="20"/>
                <w:color w:val="auto"/>
              </w:rPr>
            </w:pPr>
            <w:r>
              <w:rPr>
                <w:rFonts w:ascii="Arial" w:cs="Arial" w:eastAsia="Arial" w:hAnsi="Arial"/>
                <w:sz w:val="18"/>
                <w:szCs w:val="18"/>
                <w:color w:val="auto"/>
              </w:rPr>
              <w:t>19</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2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19" w:name="page20"/>
    <w:bookmarkEnd w:id="19"/>
    <w:p>
      <w:pPr>
        <w:ind w:right="40" w:firstLine="518"/>
        <w:spacing w:after="0" w:line="259"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plus stock-based compensation expense, amortization expense related to intangible assets, and income tax adjustment effects divided by the weighted average number of shares of common stock outstanding during each period. The following table provides a reconciliation of net income to non-GAAP income per share (in thousands, except per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60" w:type="dxa"/>
            <w:vAlign w:val="bottom"/>
            <w:tcBorders>
              <w:bottom w:val="single" w:sz="8" w:color="CFF0FC"/>
            </w:tcBorders>
          </w:tcPr>
          <w:p>
            <w:pPr>
              <w:spacing w:after="0"/>
              <w:rPr>
                <w:sz w:val="13"/>
                <w:szCs w:val="13"/>
                <w:color w:val="auto"/>
              </w:rPr>
            </w:pPr>
          </w:p>
        </w:tc>
        <w:tc>
          <w:tcPr>
            <w:tcW w:w="20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0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20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Income tax effects of adjustments</w:t>
            </w:r>
          </w:p>
        </w:tc>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income</w:t>
            </w:r>
          </w:p>
        </w:tc>
        <w:tc>
          <w:tcPr>
            <w:tcW w:w="20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Shares used to compute non-GAAP income per share</w:t>
            </w:r>
          </w:p>
        </w:tc>
        <w:tc>
          <w:tcPr>
            <w:tcW w:w="2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6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0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17,093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17,154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Diluted</w:t>
            </w:r>
          </w:p>
        </w:tc>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17,307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w:t>
            </w:r>
          </w:p>
        </w:tc>
        <w:tc>
          <w:tcPr>
            <w:tcW w:w="20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Basic</w:t>
            </w:r>
          </w:p>
        </w:tc>
        <w:tc>
          <w:tcPr>
            <w:tcW w:w="3000" w:type="dxa"/>
            <w:vAlign w:val="bottom"/>
            <w:gridSpan w:val="2"/>
          </w:tcPr>
          <w:p>
            <w:pPr>
              <w:jc w:val="right"/>
              <w:ind w:right="81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0.40</w:t>
            </w:r>
          </w:p>
        </w:tc>
        <w:tc>
          <w:tcPr>
            <w:tcW w:w="160" w:type="dxa"/>
            <w:vAlign w:val="bottom"/>
          </w:tcPr>
          <w:p>
            <w:pPr>
              <w:spacing w:after="0"/>
              <w:rPr>
                <w:sz w:val="19"/>
                <w:szCs w:val="19"/>
                <w:color w:val="auto"/>
              </w:rPr>
            </w:pPr>
          </w:p>
        </w:tc>
        <w:tc>
          <w:tcPr>
            <w:tcW w:w="70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000" w:type="dxa"/>
            <w:vAlign w:val="bottom"/>
            <w:gridSpan w:val="2"/>
            <w:shd w:val="clear" w:color="auto" w:fill="CFF0FC"/>
          </w:tcPr>
          <w:p>
            <w:pPr>
              <w:jc w:val="right"/>
              <w:ind w:right="816"/>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At March 31, 2018, our principal sources of liquidity were cash, cash equivalents, certificates of deposit and marketable securities of $168.3 million and accounts receivable, net of allowance for doubtful accounts, of $25.9 million. Certificates of deposit and marketable securities are invested in accordance with our investment policy, with a goal of maintaining liquidity and capital preservation. Our cash equivalents and marketable securities are held in highly liquid money market funds, commercial paper, federal agency securities and corporate debt securities.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Net cash provided by operating activities was $9.3 million and $10.4 million for the three months ended March 31, 2018 and 2017, respectively. The decrease in operating cash flows as compared to the same period in 2017 was primarily due to decreased accrued compensation, which related to timing of payroll, offset by increases in net income, stock-based compensation and deferred income taxes.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11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Net cash used in investing activities was $6.7 million for the three months ended March 31, 2018 compared to cash provided by investing activities of $0.7 million for the three months ended March 31, 2017. The change in net cash used in investing activities compared to the same period in 2017 was primarily due to capital expenditures and purchases of investments in excess of matured investments. For the three months ended March 31, 2018, we purchased marketable securities, net of maturities, of $2.4 million and capital expenditures of $3.9 million compared to net maturities of $2.5 million and capital expenditures of $1.3 million in the three months ended March 31, 2017. Our capital expenditures are for supporting our business growth and existing customer base, as well as for our internal use such as equipment for our employees.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11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Net financing activities resulted in cash used of $5.2 million and cash provided of $1.0 million for the three months ended March 31, 2018 and 2017, respectively. The change was from the exercise of stock options, proceeds from employee stock purchase plan and excess tax benefit from the exercise of stock options.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Foreign Currency Exchange Rate Changes</w:t>
      </w:r>
    </w:p>
    <w:p>
      <w:pPr>
        <w:spacing w:after="0" w:line="117"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Our results of operations and cash flows were not materially affected by fluctuations in foreign currency exchange rates. We maintain approximately 9% of our total cash and cash equivalents outside of the U.S. in foreign currencies, primarily in Australian and Canadian dollars. We believe that a significant change in foreign currency exchange rates or an inability to access these funds would not affect our ability to meet our operational needs.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to develop and implement new solutions and applications, if any;</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and marketing resources needed to further penetrate our market and gain acceptance of new solutions and applications that we may develop;</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expansion of our operations in the United States and internationally;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response of competitors to our solutions and applications;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225"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170"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We believe our cash, cash equivalents, certificates of deposit, marketable securities and our cash flows from operations will be sufficient to meet our working capital and capital expenditure requirements for at least the next twelve months.</w:t>
      </w:r>
    </w:p>
    <w:p>
      <w:pPr>
        <w:spacing w:after="0" w:line="170"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three months ended March 31, 2018 and we do not expect that inflation or changing prices will materially affect our business in the foreseeable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and Commercial Commitment Summary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contractual obligations and commercial commitments as of March 31, 2018 are summarized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Payments Due By Period (in thousands)</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15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89"/>
              </w:rPr>
              <w:t>Less Than</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2"/>
              <w:spacing w:after="0" w:line="147"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2"/>
                <w:szCs w:val="12"/>
                <w:color w:val="auto"/>
              </w:rPr>
            </w:pPr>
          </w:p>
        </w:tc>
      </w:tr>
      <w:tr>
        <w:trPr>
          <w:trHeight w:val="178"/>
        </w:trPr>
        <w:tc>
          <w:tcPr>
            <w:tcW w:w="15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3"/>
              </w:rPr>
              <w:t>Contractual Obligations</w:t>
            </w:r>
          </w:p>
        </w:tc>
        <w:tc>
          <w:tcPr>
            <w:tcW w:w="3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9"/>
              <w:spacing w:after="0" w:line="158"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5"/>
                <w:szCs w:val="15"/>
                <w:color w:val="auto"/>
              </w:rPr>
            </w:pPr>
          </w:p>
        </w:tc>
        <w:tc>
          <w:tcPr>
            <w:tcW w:w="11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5"/>
                <w:szCs w:val="15"/>
                <w:color w:val="auto"/>
              </w:rPr>
            </w:pPr>
          </w:p>
        </w:tc>
        <w:tc>
          <w:tcPr>
            <w:tcW w:w="11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5 Years</w:t>
            </w:r>
          </w:p>
        </w:tc>
      </w:tr>
      <w:tr>
        <w:trPr>
          <w:trHeight w:val="217"/>
        </w:trPr>
        <w:tc>
          <w:tcPr>
            <w:tcW w:w="5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23,514</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2,884</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6,948</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6,886</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6,796</w:t>
            </w:r>
          </w:p>
        </w:tc>
        <w:tc>
          <w:tcPr>
            <w:tcW w:w="100" w:type="dxa"/>
            <w:vAlign w:val="bottom"/>
            <w:tcBorders>
              <w:top w:val="single" w:sz="8" w:color="CFF0FC"/>
            </w:tcBorders>
            <w:shd w:val="clear" w:color="auto" w:fill="CFF0FC"/>
          </w:tcPr>
          <w:p>
            <w:pPr>
              <w:spacing w:after="0"/>
              <w:rPr>
                <w:sz w:val="18"/>
                <w:szCs w:val="18"/>
                <w:color w:val="auto"/>
              </w:rPr>
            </w:pPr>
          </w:p>
        </w:tc>
      </w:tr>
    </w:tbl>
    <w:p>
      <w:pPr>
        <w:spacing w:after="0" w:line="34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 Risk</w:t>
      </w:r>
    </w:p>
    <w:p>
      <w:pPr>
        <w:spacing w:after="0" w:line="11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investments (primarily cash and cash equivalents, which approximate fair value due to their short maturities, certificates of deposit and marketable securities), we believe there is no material risk exposure. We do not enter into investments for trading or speculative purposes.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outstanding debt as of March 31, 2018. Therefore, we do not have any material risk to interest rate fluctuations.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have revenue, expenses, assets and liabilities that are denominated in currencies other than the U.S. dollar, primarily the Australian dollar and Canadian dollar. As of March 31, 2018, we maintained approximately 9% of our total cash and cash equivalents outside of the U.S. in foreign currencies. We believe that a significant change in foreign currency exchange rates or an inability to access these funds would not affect our ability to meet our operational needs. As we expand internationally, our results of operations and cash flows may be impacted by changes in foreign currency exchange rates, and would be adversely impacted when the U.S. dollar appreciates relative to other foreign currencies. We have not used any forward contracts or currency borrowings to hedge our exposure to foreign currency exchange risk, although we may do so in the future.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1" w:name="page22"/>
    <w:bookmarkEnd w:id="21"/>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March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2018 that have materially affected, or are reasonably likely to materially affect, our internal control over financial reporting.</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75" w:right="31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2017 as filed with the Securities and Exchange Commission on February 26, 2018.</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 Share Repurchases</w:t>
      </w:r>
    </w:p>
    <w:p>
      <w:pPr>
        <w:spacing w:after="0" w:line="121"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The following table presents the total number of shares of our common stock that we purchased during the first quarter of 2018, the average price paid per share, the number of shares that we purchased as part of our publicly announced repurchase program and the approximate dollar value of shares that still could be repurchased at the end of the applicable period.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26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Total Number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26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gridSpan w:val="2"/>
            <w:vMerge w:val="restart"/>
          </w:tcPr>
          <w:p>
            <w:pPr>
              <w:ind w:left="2680"/>
              <w:spacing w:after="0"/>
              <w:rPr>
                <w:sz w:val="20"/>
                <w:szCs w:val="20"/>
                <w:color w:val="auto"/>
              </w:rPr>
            </w:pPr>
            <w:r>
              <w:rPr>
                <w:rFonts w:ascii="Arial" w:cs="Arial" w:eastAsia="Arial" w:hAnsi="Arial"/>
                <w:sz w:val="14"/>
                <w:szCs w:val="14"/>
                <w:b w:val="1"/>
                <w:bCs w:val="1"/>
                <w:color w:val="auto"/>
              </w:rPr>
              <w:t>Period</w:t>
            </w: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gridSpan w:val="2"/>
            <w:vMerge w:val="continue"/>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Paid per Share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Program</w:t>
            </w:r>
            <w:r>
              <w:rPr>
                <w:rFonts w:ascii="Arial" w:cs="Arial" w:eastAsia="Arial" w:hAnsi="Arial"/>
                <w:sz w:val="12"/>
                <w:szCs w:val="12"/>
                <w:b w:val="1"/>
                <w:bCs w:val="1"/>
                <w:color w:val="auto"/>
                <w:w w:val="94"/>
              </w:rPr>
              <w:t>(1)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Program</w:t>
            </w:r>
            <w:r>
              <w:rPr>
                <w:rFonts w:ascii="Arial" w:cs="Arial" w:eastAsia="Arial" w:hAnsi="Arial"/>
                <w:sz w:val="12"/>
                <w:szCs w:val="12"/>
                <w:b w:val="1"/>
                <w:bCs w:val="1"/>
                <w:color w:val="auto"/>
                <w:w w:val="96"/>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January 1 - 31, 2018</w:t>
            </w:r>
          </w:p>
        </w:tc>
        <w:tc>
          <w:tcPr>
            <w:tcW w:w="1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78,960</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51.57</w:t>
            </w:r>
          </w:p>
        </w:tc>
        <w:tc>
          <w:tcPr>
            <w:tcW w:w="2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78,960</w:t>
            </w:r>
          </w:p>
        </w:tc>
        <w:tc>
          <w:tcPr>
            <w:tcW w:w="2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February 1 - 28, 2018</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51.36</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35,024</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38,312,000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March 1 - 31, 2018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38,312,000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first quarter 2018</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113,984</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51.51</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113,984</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38,312,000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380" w:right="60" w:hanging="372"/>
        <w:spacing w:after="0" w:line="253"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Pursuant to a $50.0 million share repurchase program that was authorized by our board of directors on November 2, 2017. There is no expiration date governing the period over which we can repurchase shares under the February 2017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-211455</wp:posOffset>
            </wp:positionV>
            <wp:extent cx="7372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-211455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20" w:type="dxa"/>
            <w:vAlign w:val="bottom"/>
            <w:gridSpan w:val="12"/>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365"/>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rPr>
              <w:t>Description</w:t>
            </w: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60" w:type="dxa"/>
            <w:vAlign w:val="bottom"/>
            <w:tcBorders>
              <w:bottom w:val="single" w:sz="8" w:color="0000EE"/>
            </w:tcBorders>
            <w:gridSpan w:val="7"/>
          </w:tcPr>
          <w:p>
            <w:pPr>
              <w:spacing w:after="0"/>
              <w:rPr>
                <w:rFonts w:ascii="Arial" w:cs="Arial" w:eastAsia="Arial" w:hAnsi="Arial"/>
                <w:sz w:val="18"/>
                <w:szCs w:val="18"/>
                <w:color w:val="0000EE"/>
                <w:w w:val="91"/>
              </w:rPr>
            </w:pPr>
            <w:hyperlink r:id="rId37">
              <w:r>
                <w:rPr>
                  <w:rFonts w:ascii="Arial" w:cs="Arial" w:eastAsia="Arial" w:hAnsi="Arial"/>
                  <w:sz w:val="18"/>
                  <w:szCs w:val="18"/>
                  <w:color w:val="0000EE"/>
                  <w:w w:val="91"/>
                </w:rPr>
                <w:t>Certificate of Incorporation (incorporated by reference to Exhibit 4.1 to our Registration Statement on Form S-3 (File No. 333-182097)</w:t>
              </w:r>
            </w:hyperlink>
          </w:p>
        </w:tc>
        <w:tc>
          <w:tcPr>
            <w:tcW w:w="36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37">
              <w:r>
                <w:rPr>
                  <w:rFonts w:ascii="Arial" w:cs="Arial" w:eastAsia="Arial" w:hAnsi="Arial"/>
                  <w:sz w:val="18"/>
                  <w:szCs w:val="18"/>
                  <w:color w:val="0000EE"/>
                  <w:w w:val="91"/>
                </w:rPr>
                <w:t>filed with the Commission on September 13, 2012).</w:t>
              </w:r>
            </w:hyperlink>
          </w:p>
        </w:tc>
        <w:tc>
          <w:tcPr>
            <w:tcW w:w="6380" w:type="dxa"/>
            <w:vAlign w:val="bottom"/>
            <w:gridSpan w:val="6"/>
          </w:tcPr>
          <w:p>
            <w:pPr>
              <w:spacing w:after="0"/>
              <w:rPr>
                <w:sz w:val="17"/>
                <w:szCs w:val="17"/>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0"/>
          </w:tcPr>
          <w:p>
            <w:pPr>
              <w:spacing w:after="0"/>
              <w:rPr>
                <w:rFonts w:ascii="Arial" w:cs="Arial" w:eastAsia="Arial" w:hAnsi="Arial"/>
                <w:sz w:val="18"/>
                <w:szCs w:val="18"/>
                <w:color w:val="0000EE"/>
                <w:w w:val="94"/>
              </w:rPr>
            </w:pPr>
            <w:hyperlink r:id="rId38">
              <w:r>
                <w:rPr>
                  <w:rFonts w:ascii="Arial" w:cs="Arial" w:eastAsia="Arial" w:hAnsi="Arial"/>
                  <w:sz w:val="18"/>
                  <w:szCs w:val="18"/>
                  <w:color w:val="0000EE"/>
                  <w:w w:val="94"/>
                </w:rPr>
                <w:t>Amended and Restated Bylaws (incorporated by reference to Exhibit 3.1 to our Current Report on Form 8-K (File No. 001-34702) filed</w:t>
              </w:r>
            </w:hyperlink>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38">
              <w:r>
                <w:rPr>
                  <w:rFonts w:ascii="Arial" w:cs="Arial" w:eastAsia="Arial" w:hAnsi="Arial"/>
                  <w:sz w:val="18"/>
                  <w:szCs w:val="18"/>
                  <w:color w:val="0000EE"/>
                  <w:w w:val="91"/>
                </w:rPr>
                <w:t>with the Commission on October 12, 2017).</w:t>
              </w:r>
            </w:hyperlink>
          </w:p>
        </w:tc>
        <w:tc>
          <w:tcPr>
            <w:tcW w:w="6600" w:type="dxa"/>
            <w:vAlign w:val="bottom"/>
            <w:tcBorders>
              <w:top w:val="single" w:sz="8" w:color="0000EE"/>
            </w:tcBorders>
            <w:gridSpan w:val="6"/>
          </w:tcPr>
          <w:p>
            <w:pPr>
              <w:spacing w:after="0"/>
              <w:rPr>
                <w:sz w:val="17"/>
                <w:szCs w:val="17"/>
                <w:color w:val="auto"/>
              </w:rPr>
            </w:pPr>
          </w:p>
        </w:tc>
        <w:tc>
          <w:tcPr>
            <w:tcW w:w="340" w:type="dxa"/>
            <w:vAlign w:val="bottom"/>
            <w:gridSpan w:val="2"/>
          </w:tcPr>
          <w:p>
            <w:pPr>
              <w:spacing w:after="0"/>
              <w:rPr>
                <w:sz w:val="17"/>
                <w:szCs w:val="17"/>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0"/>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Certification of Principal Executive Officer pursuant to Rules 13a-14(a) under the Securities Exchange Act of 1934, as amended (filed</w:t>
              </w:r>
            </w:hyperlink>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herewith).</w:t>
              </w:r>
            </w:hyperlink>
          </w:p>
        </w:tc>
        <w:tc>
          <w:tcPr>
            <w:tcW w:w="8940" w:type="dxa"/>
            <w:vAlign w:val="bottom"/>
            <w:tcBorders>
              <w:top w:val="single" w:sz="8" w:color="0000EE"/>
            </w:tcBorders>
            <w:gridSpan w:val="5"/>
          </w:tcPr>
          <w:p>
            <w:pPr>
              <w:spacing w:after="0"/>
              <w:rPr>
                <w:sz w:val="17"/>
                <w:szCs w:val="17"/>
                <w:color w:val="auto"/>
              </w:rPr>
            </w:pPr>
          </w:p>
        </w:tc>
        <w:tc>
          <w:tcPr>
            <w:tcW w:w="440" w:type="dxa"/>
            <w:vAlign w:val="bottom"/>
            <w:gridSpan w:val="4"/>
          </w:tcPr>
          <w:p>
            <w:pPr>
              <w:spacing w:after="0"/>
              <w:rPr>
                <w:sz w:val="17"/>
                <w:szCs w:val="17"/>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Certification of Principal Financial Officer pursuant to Rules 13a-14(a) under the Securities Exchange Act of 1934, as amended (filed</w:t>
              </w:r>
            </w:hyperlink>
          </w:p>
        </w:tc>
        <w:tc>
          <w:tcPr>
            <w:tcW w:w="48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herewith).</w:t>
              </w:r>
            </w:hyperlink>
          </w:p>
        </w:tc>
        <w:tc>
          <w:tcPr>
            <w:tcW w:w="9380" w:type="dxa"/>
            <w:vAlign w:val="bottom"/>
            <w:gridSpan w:val="9"/>
          </w:tcPr>
          <w:p>
            <w:pPr>
              <w:spacing w:after="0"/>
              <w:rPr>
                <w:sz w:val="17"/>
                <w:szCs w:val="17"/>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10"/>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Certification of Chief Executive Officer and Chief Financial Officer pursuant to 18 U.S.C. Sec. 1350, as adopted pursuant to Section 906 of</w:t>
              </w:r>
            </w:hyperlink>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the Sarbanes-Oxley Act of 2002 (filed herewith).</w:t>
              </w:r>
            </w:hyperlink>
          </w:p>
        </w:tc>
        <w:tc>
          <w:tcPr>
            <w:tcW w:w="6520" w:type="dxa"/>
            <w:vAlign w:val="bottom"/>
            <w:tcBorders>
              <w:top w:val="single" w:sz="8" w:color="0000EE"/>
            </w:tcBorders>
            <w:gridSpan w:val="6"/>
          </w:tcPr>
          <w:p>
            <w:pPr>
              <w:spacing w:after="0"/>
              <w:rPr>
                <w:sz w:val="17"/>
                <w:szCs w:val="17"/>
                <w:color w:val="auto"/>
              </w:rPr>
            </w:pPr>
          </w:p>
        </w:tc>
        <w:tc>
          <w:tcPr>
            <w:tcW w:w="60" w:type="dxa"/>
            <w:vAlign w:val="bottom"/>
          </w:tcPr>
          <w:p>
            <w:pPr>
              <w:spacing w:after="0"/>
              <w:rPr>
                <w:sz w:val="17"/>
                <w:szCs w:val="17"/>
                <w:color w:val="auto"/>
              </w:rPr>
            </w:pPr>
          </w:p>
        </w:tc>
      </w:tr>
    </w:tbl>
    <w:p>
      <w:pPr>
        <w:spacing w:after="0" w:line="134" w:lineRule="exact"/>
        <w:rPr>
          <w:sz w:val="20"/>
          <w:szCs w:val="20"/>
          <w:color w:val="auto"/>
        </w:rPr>
      </w:pPr>
    </w:p>
    <w:p>
      <w:pPr>
        <w:ind w:right="4440" w:firstLine="8"/>
        <w:spacing w:after="0" w:line="559" w:lineRule="auto"/>
        <w:tabs>
          <w:tab w:leader="none" w:pos="1297"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(filed herewith). ** Indicates management contract or compensatory plan or arrangement.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24" w:name="page25"/>
    <w:bookmarkEnd w:id="24"/>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color w:val="auto"/>
        </w:rPr>
        <w:t>Dated: May 4, 2018</w:t>
      </w:r>
      <w:r>
        <w:rPr>
          <w:sz w:val="20"/>
          <w:szCs w:val="20"/>
          <w:color w:val="auto"/>
        </w:rPr>
        <w:tab/>
      </w:r>
      <w:r>
        <w:rPr>
          <w:rFonts w:ascii="Arial" w:cs="Arial" w:eastAsia="Arial" w:hAnsi="Arial"/>
          <w:sz w:val="17"/>
          <w:szCs w:val="17"/>
          <w:b w:val="1"/>
          <w:bCs w:val="1"/>
          <w:color w:val="auto"/>
        </w:rPr>
        <w:t>SPS COMMERCE, INC.</w:t>
      </w:r>
    </w:p>
    <w:p>
      <w:pPr>
        <w:spacing w:after="0" w:line="25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34220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00"/>
          </w:cols>
          <w:pgMar w:left="240" w:top="351" w:right="85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225"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25"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040" w:right="40" w:hanging="519"/>
        <w:spacing w:after="0" w:line="291"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540" w:right="220" w:hanging="506"/>
        <w:spacing w:after="0" w:line="286" w:lineRule="auto"/>
        <w:tabs>
          <w:tab w:leader="none" w:pos="154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60" w:hanging="506"/>
        <w:spacing w:after="0" w:line="264"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40" w:right="100" w:hanging="506"/>
        <w:spacing w:after="0" w:line="342" w:lineRule="auto"/>
        <w:tabs>
          <w:tab w:leader="none" w:pos="154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40" w:right="20" w:hanging="506"/>
        <w:spacing w:after="0" w:line="264"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20" w:hanging="506"/>
        <w:spacing w:after="0" w:line="277"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787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2018</w:t>
      </w:r>
    </w:p>
    <w:p>
      <w:pPr>
        <w:sectPr>
          <w:pgSz w:w="11900" w:h="16838" w:orient="portrait"/>
          <w:cols w:equalWidth="0" w:num="1">
            <w:col w:w="11420"/>
          </w:cols>
          <w:pgMar w:left="240" w:top="337"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225"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25"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040" w:right="40" w:hanging="519"/>
        <w:spacing w:after="0" w:line="291"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540" w:right="220" w:hanging="506"/>
        <w:spacing w:after="0" w:line="286" w:lineRule="auto"/>
        <w:tabs>
          <w:tab w:leader="none" w:pos="15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60" w:hanging="506"/>
        <w:spacing w:after="0" w:line="264"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40" w:right="100" w:hanging="506"/>
        <w:spacing w:after="0" w:line="342" w:lineRule="auto"/>
        <w:tabs>
          <w:tab w:leader="none" w:pos="15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40" w:right="20" w:hanging="506"/>
        <w:spacing w:after="0" w:line="264"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20" w:hanging="506"/>
        <w:spacing w:after="0" w:line="277"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2018</w:t>
      </w:r>
    </w:p>
    <w:p>
      <w:pPr>
        <w:sectPr>
          <w:pgSz w:w="11900" w:h="16838" w:orient="portrait"/>
          <w:cols w:equalWidth="0" w:num="1">
            <w:col w:w="11420"/>
          </w:cols>
          <w:pgMar w:left="240" w:top="337"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0" w:firstLine="518"/>
        <w:spacing w:after="0" w:line="312"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March 31, 2018,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39"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May 4, 2018</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0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37" Type="http://schemas.openxmlformats.org/officeDocument/2006/relationships/hyperlink" Target="http://www.sec.gov/Archives/edgar/data/1092699/000119312512269607/d365652dex41.htm" TargetMode="External"/><Relationship Id="rId38" Type="http://schemas.openxmlformats.org/officeDocument/2006/relationships/hyperlink" Target="http://www.sec.gov/Archives/edgar/data/1092699/000119312517311896/d43031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2019-12-28T22:32:50Z</dcterms:created>
  <dcterms:modified xsi:type="dcterms:W3CDTF">2019-12-28T22:32:50Z</dcterms:modified>
</cp:coreProperties>
</file>