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277"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You are cordially invited to join us for our 2013 annual meeting of stockholders, which will be held on Wednesday, May 15, 2013, at 8:30 a.m., Central Time, at 2200 Wells Fargo Center, 90 South Seventh Street, Minneapolis, Minnesota 55402. The notice of annual meeting of stockholders and the proxy statement that follow describe the business to be conducted at the meeting.</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Whether or not you plan to attend the meeting, your vote is important and we encourage you to vote your shares promptly. You may vote your shares using a toll-free telephone number, using the internet or you may sign, date and mail the proxy card in the envelope provided. Instructions regarding the three methods of voting are contained on the proxy card.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Wednesday, May 15, 2013, at 8:30 a.m., Central Time</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2200 Wells Fargo Center</w:t>
            </w:r>
          </w:p>
        </w:tc>
      </w:tr>
      <w:tr>
        <w:trPr>
          <w:trHeight w:val="223"/>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90 South Seventh Street</w:t>
            </w:r>
          </w:p>
        </w:tc>
      </w:tr>
      <w:tr>
        <w:trPr>
          <w:trHeight w:val="222"/>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Minneapolis, MN 55402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720" w:type="dxa"/>
            <w:vAlign w:val="bottom"/>
          </w:tcPr>
          <w:p>
            <w:pPr>
              <w:ind w:left="1480"/>
              <w:spacing w:after="0"/>
              <w:rPr>
                <w:sz w:val="20"/>
                <w:szCs w:val="20"/>
                <w:color w:val="auto"/>
              </w:rPr>
            </w:pPr>
            <w:r>
              <w:rPr>
                <w:rFonts w:ascii="Arial" w:cs="Arial" w:eastAsia="Arial" w:hAnsi="Arial"/>
                <w:sz w:val="18"/>
                <w:szCs w:val="18"/>
                <w:color w:val="auto"/>
              </w:rPr>
              <w:t>1.</w:t>
            </w:r>
          </w:p>
        </w:tc>
        <w:tc>
          <w:tcPr>
            <w:tcW w:w="6680" w:type="dxa"/>
            <w:vAlign w:val="bottom"/>
          </w:tcPr>
          <w:p>
            <w:pPr>
              <w:ind w:left="120"/>
              <w:spacing w:after="0"/>
              <w:rPr>
                <w:sz w:val="20"/>
                <w:szCs w:val="20"/>
                <w:color w:val="auto"/>
              </w:rPr>
            </w:pPr>
            <w:r>
              <w:rPr>
                <w:rFonts w:ascii="Arial" w:cs="Arial" w:eastAsia="Arial" w:hAnsi="Arial"/>
                <w:sz w:val="18"/>
                <w:szCs w:val="18"/>
                <w:color w:val="auto"/>
              </w:rPr>
              <w:t>The election of seven directors, each for a one-year term.</w:t>
            </w:r>
          </w:p>
        </w:tc>
      </w:tr>
      <w:tr>
        <w:trPr>
          <w:trHeight w:val="426"/>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2.</w:t>
            </w:r>
          </w:p>
        </w:tc>
        <w:tc>
          <w:tcPr>
            <w:tcW w:w="6680" w:type="dxa"/>
            <w:vAlign w:val="bottom"/>
          </w:tcPr>
          <w:p>
            <w:pPr>
              <w:ind w:left="200"/>
              <w:spacing w:after="0"/>
              <w:rPr>
                <w:sz w:val="20"/>
                <w:szCs w:val="20"/>
                <w:color w:val="auto"/>
              </w:rPr>
            </w:pPr>
            <w:r>
              <w:rPr>
                <w:rFonts w:ascii="Arial" w:cs="Arial" w:eastAsia="Arial" w:hAnsi="Arial"/>
                <w:sz w:val="18"/>
                <w:szCs w:val="18"/>
                <w:color w:val="auto"/>
                <w:w w:val="95"/>
              </w:rPr>
              <w:t>Ratification of the selection of Grant Thornton LLP as the independent auditor of SPS</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Commerce, Inc. for the fiscal year ending December 31, 2013.</w:t>
            </w:r>
          </w:p>
        </w:tc>
      </w:tr>
      <w:tr>
        <w:trPr>
          <w:trHeight w:val="297"/>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3.</w:t>
            </w:r>
          </w:p>
        </w:tc>
        <w:tc>
          <w:tcPr>
            <w:tcW w:w="6680" w:type="dxa"/>
            <w:vAlign w:val="bottom"/>
          </w:tcPr>
          <w:p>
            <w:pPr>
              <w:ind w:left="200"/>
              <w:spacing w:after="0"/>
              <w:rPr>
                <w:sz w:val="20"/>
                <w:szCs w:val="20"/>
                <w:color w:val="auto"/>
              </w:rPr>
            </w:pPr>
            <w:r>
              <w:rPr>
                <w:rFonts w:ascii="Arial" w:cs="Arial" w:eastAsia="Arial" w:hAnsi="Arial"/>
                <w:sz w:val="18"/>
                <w:szCs w:val="18"/>
                <w:color w:val="auto"/>
                <w:w w:val="97"/>
              </w:rPr>
              <w:t>An advisory vote on approval of the compensation of our named executive officers.</w:t>
            </w:r>
          </w:p>
        </w:tc>
      </w:tr>
      <w:tr>
        <w:trPr>
          <w:trHeight w:val="291"/>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4.</w:t>
            </w:r>
          </w:p>
        </w:tc>
        <w:tc>
          <w:tcPr>
            <w:tcW w:w="6680" w:type="dxa"/>
            <w:vAlign w:val="bottom"/>
          </w:tcPr>
          <w:p>
            <w:pPr>
              <w:ind w:left="200"/>
              <w:spacing w:after="0"/>
              <w:rPr>
                <w:sz w:val="20"/>
                <w:szCs w:val="20"/>
                <w:color w:val="auto"/>
              </w:rPr>
            </w:pPr>
            <w:r>
              <w:rPr>
                <w:rFonts w:ascii="Arial" w:cs="Arial" w:eastAsia="Arial" w:hAnsi="Arial"/>
                <w:sz w:val="18"/>
                <w:szCs w:val="18"/>
                <w:color w:val="auto"/>
                <w:w w:val="95"/>
              </w:rPr>
              <w:t>An advisory vote on whether future votes to approve the compensation of our named</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executive officers should occur every one, two or three years.</w:t>
            </w:r>
          </w:p>
        </w:tc>
      </w:tr>
      <w:tr>
        <w:trPr>
          <w:trHeight w:val="291"/>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5.</w:t>
            </w:r>
          </w:p>
        </w:tc>
        <w:tc>
          <w:tcPr>
            <w:tcW w:w="6680" w:type="dxa"/>
            <w:vAlign w:val="bottom"/>
          </w:tcPr>
          <w:p>
            <w:pPr>
              <w:ind w:left="200"/>
              <w:spacing w:after="0"/>
              <w:rPr>
                <w:sz w:val="20"/>
                <w:szCs w:val="20"/>
                <w:color w:val="auto"/>
              </w:rPr>
            </w:pPr>
            <w:r>
              <w:rPr>
                <w:rFonts w:ascii="Arial" w:cs="Arial" w:eastAsia="Arial" w:hAnsi="Arial"/>
                <w:sz w:val="18"/>
                <w:szCs w:val="18"/>
                <w:color w:val="auto"/>
                <w:w w:val="90"/>
              </w:rPr>
              <w:t>Any other business that may properly be considered at the meeting or any adjournment or</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postponement of the meeting.</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w w:val="88"/>
              </w:rPr>
              <w:t>You may vote at the meeting if you were a stockholder of record at the close of business on March</w:t>
            </w:r>
          </w:p>
        </w:tc>
      </w:tr>
      <w:tr>
        <w:trPr>
          <w:trHeight w:val="222"/>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20, 2013.</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w w:val="88"/>
              </w:rPr>
              <w:t>Whether or not you plan to attend the annual meeting, please vote your shares by proxy to ensure</w:t>
            </w:r>
          </w:p>
        </w:tc>
      </w:tr>
    </w:tbl>
    <w:p>
      <w:pPr>
        <w:ind w:left="4340"/>
        <w:spacing w:after="0" w:line="295" w:lineRule="auto"/>
        <w:rPr>
          <w:sz w:val="20"/>
          <w:szCs w:val="20"/>
          <w:color w:val="auto"/>
        </w:rPr>
      </w:pPr>
      <w:r>
        <w:rPr>
          <w:rFonts w:ascii="Arial" w:cs="Arial" w:eastAsia="Arial" w:hAnsi="Arial"/>
          <w:sz w:val="16"/>
          <w:szCs w:val="16"/>
          <w:color w:val="auto"/>
        </w:rPr>
        <w:t>they are represented at the meeting. To submit your proxy vote, you may follow the instructions for voting via telephone or the internet on the proxy card you received or you may sign, date and mail the proxy card in the envelope provided. The envelope is addressed to our vote tabulator, Broadridge Financial Solutions, Inc., and no postage is required if mailed in the United States.</w:t>
      </w:r>
    </w:p>
    <w:p>
      <w:pPr>
        <w:spacing w:after="0" w:line="1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Our proxy statement and 2012 annual report are available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 2013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3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 AND VOTING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0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ITEM 1 — ELECTION OF DIRECTORS</w:t>
              </w:r>
            </w:hyperlink>
          </w:p>
        </w:tc>
        <w:tc>
          <w:tcPr>
            <w:tcW w:w="3080" w:type="dxa"/>
            <w:vAlign w:val="bottom"/>
            <w:tcBorders>
              <w:top w:val="single" w:sz="8" w:color="0000EE"/>
            </w:tcBorders>
            <w:gridSpan w:val="11"/>
          </w:tcPr>
          <w:p>
            <w:pPr>
              <w:spacing w:after="0"/>
              <w:rPr>
                <w:sz w:val="17"/>
                <w:szCs w:val="17"/>
                <w:color w:val="auto"/>
              </w:rPr>
            </w:pPr>
          </w:p>
        </w:tc>
        <w:tc>
          <w:tcPr>
            <w:tcW w:w="452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600" w:type="dxa"/>
            <w:vAlign w:val="bottom"/>
            <w:gridSpan w:val="3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INFORMATION REGARDING THE BOARD OF DIRECTORS AND CORPORATE GOVERNANCE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Code of Business Conduct and Ethics</w:t>
              </w:r>
            </w:hyperlink>
          </w:p>
        </w:tc>
        <w:tc>
          <w:tcPr>
            <w:tcW w:w="4480" w:type="dxa"/>
            <w:vAlign w:val="bottom"/>
            <w:tcBorders>
              <w:top w:val="single" w:sz="8" w:color="0000EE"/>
            </w:tcBorders>
            <w:gridSpan w:val="16"/>
          </w:tcPr>
          <w:p>
            <w:pPr>
              <w:spacing w:after="0"/>
              <w:rPr>
                <w:sz w:val="17"/>
                <w:szCs w:val="17"/>
                <w:color w:val="auto"/>
              </w:rPr>
            </w:pPr>
          </w:p>
        </w:tc>
        <w:tc>
          <w:tcPr>
            <w:tcW w:w="32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Structure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Involvement in Risk Oversight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77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Meeting Attendance</w:t>
              </w:r>
            </w:hyperlink>
          </w:p>
        </w:tc>
        <w:tc>
          <w:tcPr>
            <w:tcW w:w="8940" w:type="dxa"/>
            <w:vAlign w:val="bottom"/>
            <w:gridSpan w:val="3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Procedures for Contacting the Board of Directors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Procedures for Selecting and Nominating Director Candidates</w:t>
              </w:r>
            </w:hyperlink>
          </w:p>
        </w:tc>
        <w:tc>
          <w:tcPr>
            <w:tcW w:w="6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Compensation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200" w:type="dxa"/>
            <w:vAlign w:val="bottom"/>
            <w:gridSpan w:val="2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Committee Report</w:t>
              </w:r>
            </w:hyperlink>
          </w:p>
        </w:tc>
        <w:tc>
          <w:tcPr>
            <w:tcW w:w="760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tcPr>
          <w:p>
            <w:pPr>
              <w:spacing w:after="0"/>
              <w:rPr>
                <w:sz w:val="17"/>
                <w:szCs w:val="17"/>
                <w:color w:val="auto"/>
              </w:rPr>
            </w:pPr>
          </w:p>
        </w:tc>
        <w:tc>
          <w:tcPr>
            <w:tcW w:w="802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Grants of Plan-Based Awards</w:t>
              </w:r>
            </w:hyperlink>
          </w:p>
        </w:tc>
        <w:tc>
          <w:tcPr>
            <w:tcW w:w="8300" w:type="dxa"/>
            <w:vAlign w:val="bottom"/>
            <w:gridSpan w:val="2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Outstanding Equity Awards at Fiscal Year-End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20" w:type="dxa"/>
            <w:vAlign w:val="bottom"/>
          </w:tcPr>
          <w:p>
            <w:pPr>
              <w:spacing w:after="0"/>
              <w:rPr>
                <w:sz w:val="17"/>
                <w:szCs w:val="17"/>
                <w:color w:val="auto"/>
              </w:rPr>
            </w:pPr>
          </w:p>
        </w:tc>
        <w:tc>
          <w:tcPr>
            <w:tcW w:w="32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Option Exercises and Stock Vested</w:t>
              </w:r>
            </w:hyperlink>
          </w:p>
        </w:tc>
        <w:tc>
          <w:tcPr>
            <w:tcW w:w="710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2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Pension Benefits</w:t>
              </w:r>
            </w:hyperlink>
          </w:p>
        </w:tc>
        <w:tc>
          <w:tcPr>
            <w:tcW w:w="792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Non-Qualified Deferred Compensation</w:t>
              </w:r>
            </w:hyperlink>
          </w:p>
        </w:tc>
        <w:tc>
          <w:tcPr>
            <w:tcW w:w="762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Employment Agreements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Potential Payments Upon Termination or Change-in-Control</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SECURITY OWNERSHIP</w:t>
              </w:r>
            </w:hyperlink>
          </w:p>
        </w:tc>
        <w:tc>
          <w:tcPr>
            <w:tcW w:w="8660" w:type="dxa"/>
            <w:vAlign w:val="bottom"/>
            <w:gridSpan w:val="3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98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Beneficial Ownership of Directors, Nominees, Executive Officers and Beneficial Owners of More than Five Percent of Our Common Stock</w:t>
              </w:r>
            </w:hyperlink>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600" w:type="dxa"/>
            <w:vAlign w:val="bottom"/>
            <w:gridSpan w:val="3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16(a) BENEFICIAL OWNERSHIP REPORTING COMPLIANCE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7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17"/>
                <w:szCs w:val="17"/>
                <w:color w:val="auto"/>
              </w:rPr>
            </w:pPr>
          </w:p>
        </w:tc>
        <w:tc>
          <w:tcPr>
            <w:tcW w:w="51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Compensation Committee Interlocks and Insider Participation</w:t>
              </w:r>
            </w:hyperlink>
          </w:p>
        </w:tc>
        <w:tc>
          <w:tcPr>
            <w:tcW w:w="602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Transactions with Related Persons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Policy for Approval of Related Person Transactions</w:t>
              </w:r>
            </w:hyperlink>
          </w:p>
        </w:tc>
        <w:tc>
          <w:tcPr>
            <w:tcW w:w="67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140" w:type="dxa"/>
            <w:vAlign w:val="bottom"/>
            <w:tcBorders>
              <w:bottom w:val="single" w:sz="8" w:color="0000EE"/>
            </w:tcBorders>
            <w:gridSpan w:val="3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AUDIT COMMITTEE REPORT AND PAYMENT OF FEES TO OUR INDEPENDENT AUDITOR</w:t>
              </w:r>
            </w:hyperlink>
          </w:p>
        </w:tc>
        <w:tc>
          <w:tcPr>
            <w:tcW w:w="34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Report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Auditor Fees.</w:t>
              </w:r>
            </w:hyperlink>
          </w:p>
        </w:tc>
        <w:tc>
          <w:tcPr>
            <w:tcW w:w="840" w:type="dxa"/>
            <w:vAlign w:val="bottom"/>
            <w:tcBorders>
              <w:top w:val="single" w:sz="8" w:color="0000EE"/>
            </w:tcBorders>
            <w:gridSpan w:val="8"/>
          </w:tcPr>
          <w:p>
            <w:pPr>
              <w:spacing w:after="0"/>
              <w:rPr>
                <w:sz w:val="17"/>
                <w:szCs w:val="17"/>
                <w:color w:val="auto"/>
              </w:rPr>
            </w:pPr>
          </w:p>
        </w:tc>
        <w:tc>
          <w:tcPr>
            <w:tcW w:w="8580" w:type="dxa"/>
            <w:vAlign w:val="bottom"/>
            <w:gridSpan w:val="2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10380" w:type="dxa"/>
            <w:vAlign w:val="bottom"/>
            <w:gridSpan w:val="3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Auditor Services Pre-Approval Policy</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2 — RATIFICATION OF SELECTION OF INDEPENDENT AUDITOR</w:t>
              </w:r>
            </w:hyperlink>
          </w:p>
        </w:tc>
        <w:tc>
          <w:tcPr>
            <w:tcW w:w="494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600" w:type="dxa"/>
            <w:vAlign w:val="bottom"/>
            <w:gridSpan w:val="3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3 — ADVISORY VOTE ON APPROVAL OF THE COMPENSATION OF OUR NAMED EXECUTIVE OFFICERS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440" w:type="dxa"/>
            <w:vAlign w:val="bottom"/>
            <w:gridSpan w:val="4"/>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3040" w:type="dxa"/>
            <w:vAlign w:val="bottom"/>
            <w:gridSpan w:val="19"/>
            <w:shd w:val="clear" w:color="auto" w:fill="0000EE"/>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0600" w:type="dxa"/>
            <w:vAlign w:val="bottom"/>
            <w:gridSpan w:val="3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 — ADVISORY VOTE ON THE FREQUENCY OF FUTURE VOTES TO APPROVE THE COMPENSATION OF OUR NAMED</w:t>
              </w:r>
            </w:hyperlink>
          </w:p>
        </w:tc>
        <w:tc>
          <w:tcPr>
            <w:tcW w:w="7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EXECUTIVE OFFICERS</w:t>
              </w:r>
            </w:hyperlink>
          </w:p>
        </w:tc>
        <w:tc>
          <w:tcPr>
            <w:tcW w:w="7860" w:type="dxa"/>
            <w:vAlign w:val="bottom"/>
            <w:tcBorders>
              <w:top w:val="single" w:sz="8" w:color="0000EE"/>
            </w:tcBorders>
            <w:gridSpan w:val="26"/>
          </w:tcPr>
          <w:p>
            <w:pPr>
              <w:spacing w:after="0"/>
              <w:rPr>
                <w:sz w:val="17"/>
                <w:szCs w:val="17"/>
                <w:color w:val="auto"/>
              </w:rPr>
            </w:pPr>
          </w:p>
        </w:tc>
        <w:tc>
          <w:tcPr>
            <w:tcW w:w="6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12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STOCKHOLDER PROPOSALS FOR THE 2014 ANNUAL MEETING</w:t>
              </w:r>
            </w:hyperlink>
          </w:p>
        </w:tc>
        <w:tc>
          <w:tcPr>
            <w:tcW w:w="548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OTHER MATTERS</w:t>
              </w:r>
            </w:hyperlink>
          </w:p>
        </w:tc>
        <w:tc>
          <w:tcPr>
            <w:tcW w:w="9160" w:type="dxa"/>
            <w:vAlign w:val="bottom"/>
            <w:gridSpan w:val="3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2013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15, 2013</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15, 2013, and at any adjournment or postponement of the meeting.</w:t>
      </w:r>
    </w:p>
    <w:p>
      <w:pPr>
        <w:spacing w:after="0" w:line="207" w:lineRule="exact"/>
        <w:rPr>
          <w:sz w:val="20"/>
          <w:szCs w:val="20"/>
          <w:color w:val="auto"/>
        </w:rPr>
      </w:pPr>
    </w:p>
    <w:p>
      <w:pPr>
        <w:ind w:right="2540" w:firstLine="2552"/>
        <w:spacing w:after="0" w:line="394"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2013, an advisory vote on approval of the compensation of our named executive officers, and an advisory vote on whether future votes to approve the compensation of our named executive officers should occur every one, two or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20, 2013 as the record date for the annual meeting. If you were a stockholder of record at the close of business on March 20, 2013, you are entitled to vote at the meeting. As of the record date, 14,955,624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14,955,624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2013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your shares are registered directly in your name, you are considered the stockholder of record with respect to those shares. If your shares are held in a stock brokerage account or by a bank, trust or other nominee, then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the telephone by calling a toll-free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You will receive a voting instruction form (not a proxy card) to use in directing the broker, bank, trust or other nominee how to vote your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you receive more than one printed set of proxy materials, it means that you hold shares registered in more than one account. To ensure that all of your shares are voted, vote once for each control number you receive as described above under “How do I submit my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Grant Thornton LLP as the independent auditor of SPS Commerce, Inc. for the year ending December 31, 2013;</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for the advisory vote on the frequency of future votes to approve the compensation of our named executive officers.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Grant Thornton LLP as the independent auditor of SPS Commerce, Inc. for the year ending December 31, 2013;</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for the advisory vote on the frequency of future votes to approve the compensation of our named executive officers.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Your vote is important. We urge you to vote, or to instruct your broker, bank, trust or other nominee how to vote, on all matters before the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street name holder and fail to instruct the stockholder of record how you want to vote your shares on a particular matter, those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Grant Thornton LLP as our independent auditor for the year ending December 31, 2013,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Grant Thornton as our independent auditor for the year ending December 31, 2013,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Tuesday, May 14, 2013;</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seven directors who receive a plurality of the voting power of the shares of common stock entitled to vote and present in person or represented by proxy at the meeting.</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advisory vote on the compensation of our named executive officers receives more votes “for” than “against,” then it will be deemed approved.</w:t>
      </w:r>
    </w:p>
    <w:p>
      <w:pPr>
        <w:spacing w:after="0" w:line="19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frequency of the advisory vote on compensation receiving the highest number of votes (one, two or three years) will be considered the frequency recommended by our shareholders.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You may either vote “FOR” or “WITHHOLD” authority to vote for each director nominee. You may vote “ONE YEAR,” “TWO YEAR,” “THREE YEARS” or “ABSTAIN” on the advisory vote on the frequency of future votes on the compensation of our executive officers.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withhold authority to vote for one or more of the director nominees or you do not vote your shares on this matter (whether by broker non-vote or otherwise), this will have no effect on the outcome of the vote. With respect to the proposal to ratify the selection of Grant Thornton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will have no effect on the advisory vote to approve the compensation of our named executive officers or the advisory vote regarding the frequency of future votes to approve the compensation of our named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number of directors currently serving on our board of directors is seven. Messrs. Gorman, Black, Leestma, Spencer and Wehrwein were initially elected to our board of directors pursuant to a voting agreement that was entered into prior to our initial public offering among certain holders of our previously outstanding preferred stock. This voting agreement terminated in connection with the closing of our initial public offering. Upon recommendation of the governance and nominating committee, which acts as the nominating committee of the board of directors, the board has nominated seven current members of the board of directors for election at our 2013 annual meeting, who are Archie C. Black, Bradley A. Cleveland, Michael B. Gorman, Martin J. Leestma, Philip E. Soran, George H. Spencer, III and Sven A. Wehrwein. These individuals will each be a candidate for election to the board of directors to serve until our 2014 annual meeting or until his or her successor is elected and qualified. Each of the nominees has agreed to serve as a director if elected. The seven nominees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receiving a plurality of the votes cast at the meeting in person or by proxy will be elected. Proxies may not be voted for more than seven directors. If, for any reason, any nominee becomes unable to serve before the annual meeting occurs, the persons named as proxies may vote your shares for a substitute nominee selected by our board of directors.</w:t>
      </w:r>
    </w:p>
    <w:p>
      <w:pPr>
        <w:spacing w:after="0" w:line="13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seven director nominees. Proxies will be voted FOR the election of the seven nominees unless otherwise specified.</w:t>
      </w:r>
    </w:p>
    <w:p>
      <w:pPr>
        <w:spacing w:after="0" w:line="12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Set forth below is biographical information for each of the nominees for election as a director. The following includes certain information regarding our directors’ individual experience, qualifications, attributes and skills that led the board of directors to conclude that they should serve as directors.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ARCHIE C. BLACK</w:t>
      </w:r>
      <w:r>
        <w:rPr>
          <w:rFonts w:ascii="Arial" w:cs="Arial" w:eastAsia="Arial" w:hAnsi="Arial"/>
          <w:sz w:val="18"/>
          <w:szCs w:val="18"/>
          <w:color w:val="auto"/>
        </w:rPr>
        <w:t>: Age 50, President, Chief Executive Officer and Director since 2001. Mr. Black joined us in 1998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served in those capacities until becoming our President and Chief Executive Officer. Prior to joining us, Mr. Black was a Senior Vice President and Chief Financial Officer at Investment Advisors, Inc. in Minneapolis, Minnesota. Prior to Investment Advisors, he spent three years at Price Waterhouse.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BRADLEY A. CLEVELAND</w:t>
      </w:r>
      <w:r>
        <w:rPr>
          <w:rFonts w:ascii="Arial" w:cs="Arial" w:eastAsia="Arial" w:hAnsi="Arial"/>
          <w:sz w:val="18"/>
          <w:szCs w:val="18"/>
          <w:color w:val="auto"/>
        </w:rPr>
        <w:t>: Age 53, Director since November 2012. Mr. Cleveland has served as President and Chief Executive Officer of Proto Labs,</w:t>
      </w:r>
      <w:r>
        <w:rPr>
          <w:rFonts w:ascii="Arial" w:cs="Arial" w:eastAsia="Arial" w:hAnsi="Arial"/>
          <w:sz w:val="18"/>
          <w:szCs w:val="18"/>
          <w:i w:val="1"/>
          <w:iCs w:val="1"/>
          <w:color w:val="auto"/>
        </w:rPr>
        <w:t xml:space="preserve"> </w:t>
      </w:r>
      <w:r>
        <w:rPr>
          <w:rFonts w:ascii="Arial" w:cs="Arial" w:eastAsia="Arial" w:hAnsi="Arial"/>
          <w:sz w:val="18"/>
          <w:szCs w:val="18"/>
          <w:color w:val="auto"/>
        </w:rPr>
        <w:t>Inc., a manufacturer of custom parts, since November 2001. Prior to November 2001, Mr. Cleveland co-founded and was Vice President of AeroMet Corporation, a laser additive manufacturing subsidiary of MTS Systems Corporation.</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Cleveland’s qualifications to serve on our board of directors include, among other skills and qualifications, his experience as a chief executive officer of a publicly traded company and his general business experience due to his extensive work in the manufacturing industry.</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MICHAEL B. GORMAN</w:t>
      </w:r>
      <w:r>
        <w:rPr>
          <w:rFonts w:ascii="Arial" w:cs="Arial" w:eastAsia="Arial" w:hAnsi="Arial"/>
          <w:sz w:val="16"/>
          <w:szCs w:val="16"/>
          <w:color w:val="auto"/>
        </w:rPr>
        <w:t>: Age 47, Director since March 1998. Mr. Gorman is a Managing Director of Split Rock Partners, a venture capital firm which he</w:t>
      </w:r>
      <w:r>
        <w:rPr>
          <w:rFonts w:ascii="Arial" w:cs="Arial" w:eastAsia="Arial" w:hAnsi="Arial"/>
          <w:sz w:val="16"/>
          <w:szCs w:val="16"/>
          <w:i w:val="1"/>
          <w:iCs w:val="1"/>
          <w:color w:val="auto"/>
        </w:rPr>
        <w:t xml:space="preserve"> </w:t>
      </w:r>
      <w:r>
        <w:rPr>
          <w:rFonts w:ascii="Arial" w:cs="Arial" w:eastAsia="Arial" w:hAnsi="Arial"/>
          <w:sz w:val="16"/>
          <w:szCs w:val="16"/>
          <w:color w:val="auto"/>
        </w:rPr>
        <w:t>co-founded in June 2004. From 1995 until June 2004, Mr. Gorman was a General Partner at St. Paul Venture Capital, a venture capital firm, where he focused on early-stage investing in software and internet services companies. Mr. Gorman’s prior work experience includes serving as a management consultant with Bain &amp; Company, where he assisted clients in the development and execution of corporate strategies.</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Mr. Gorman’s qualifications to serve on our board of directors include, among other skills and qualifications, his extensive experience with venture capital companies, including his focus on software and internet services companies, and his general business knowledge. As chairman of the governance and nominating committee, Mr. Gorman also keeps the board abreast of current issues and collaborates with our senior management team.</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MARTIN J. LEESTMA: </w:t>
      </w:r>
      <w:r>
        <w:rPr>
          <w:rFonts w:ascii="Arial" w:cs="Arial" w:eastAsia="Arial" w:hAnsi="Arial"/>
          <w:sz w:val="16"/>
          <w:szCs w:val="16"/>
          <w:color w:val="auto"/>
        </w:rPr>
        <w:t>Age 54, Director since March 2006 and Chairman since March 2011. Mr. Leestma is Chief Executive Officer and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for Forthright Solutions, a solution provider for regulatory and legal compliance programs, and he has served as Chief Executive Officer since November 2011 and Chairman since 2008. Prior to Forthright, Mr. Leestma served as the President, Chief Executive 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From 2005 to 2008, he served as an independent business consultant.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PHILIP E. SORAN: </w:t>
      </w:r>
      <w:r>
        <w:rPr>
          <w:rFonts w:ascii="Arial" w:cs="Arial" w:eastAsia="Arial" w:hAnsi="Arial"/>
          <w:sz w:val="16"/>
          <w:szCs w:val="16"/>
          <w:color w:val="auto"/>
        </w:rPr>
        <w:t>Age 56, Director since July 2010. Mr. Soran served as President, Chief Executive Officer, and a director of Compellent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Inc., a publicly traded company which he co-founded in March 2002, until its acquisition by Dell Inc. in February 2011, after which he served as the President of Dell Compellent from February 2011 to March 2012. Mr. Soran also serves on the board of directors for Hutchinson Technology, Inc., a technology manufacturer, and Piper Jaffray Companies, an investment bank and asset management firm, both of which are publicly traded companies.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GEORGE H. SPENCER, III: </w:t>
      </w:r>
      <w:r>
        <w:rPr>
          <w:rFonts w:ascii="Arial" w:cs="Arial" w:eastAsia="Arial" w:hAnsi="Arial"/>
          <w:sz w:val="16"/>
          <w:szCs w:val="16"/>
          <w:color w:val="auto"/>
        </w:rPr>
        <w:t>Age 49, Director since February 2000. Mr. Spencer is a Senior Managing Director at Seyen Capital, which he co-founded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a Senior Consultant to Adams Street Partners, LLC, which he co-founded and where he served as a Partner from 1999 to October 2006.</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Mr. Spencer’s qualifications to serve on our board of directors include, among other skills and qualifications, his extensive experience in the venture capital industry and general business experience due to his service on the board of other companies. As chairman of the compensation committee, Mr. Spencer also keeps the board abreast of current issues and collaborates with our senior management team.</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SVEN A. WEHRWEIN: </w:t>
      </w:r>
      <w:r>
        <w:rPr>
          <w:rFonts w:ascii="Arial" w:cs="Arial" w:eastAsia="Arial" w:hAnsi="Arial"/>
          <w:sz w:val="16"/>
          <w:szCs w:val="16"/>
          <w:color w:val="auto"/>
        </w:rPr>
        <w:t>Age 62, Director since July 2008. Mr. Wehrwein has been an independent financial consultant to emerging companies since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has more than 35 years of experience as an investment banker, chief financial officer, and certified public accountant (inactive). He currently serves on the board of directors of Proto Labs, Inc., a manufacturer of custom parts, and Uroplasty, Inc., a medical device company, and previously served on the board of directors of Image Sensing Systems, Inc., a vehicle-detection software company, all of which are publicly traded companies. Mr. Wehrwein also served on the board of directors of Compellent Technologies, Inc. from April 2007 until its acquisition by Dell Inc. in February 2011, on the board of Vital Images, Inc. from May 1997 until its acquisition by Toshiba Medical in June 2011, and on the board of Synovis Life Technologies, Inc. until its acquisition by Baxter International, Inc. in February 2012.</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Wehrwein’s qualifications to serve on our board of directors include, among other skills and qualifications, his capabilities in financial understanding, strategic planning, and auditing expertise, given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Leestma, a non-employee independent director, has served as our chairman of the board of directors since March 2011,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 is primarily responsible for monitoring management’s responsibility in the area of financial risk oversight and the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board of directors primarily responsible for monitoring management’s responsibility in our other areas of risk management. Accordingly, management regularly reported to the audit committee and the board of directors on risk management during 2012.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controls and sound risk management. The board of directors believes this division of responsibilities provides an effective and efficient approach for addressing risk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board of directors has established an audit committee, a compensation committee and a governance and nominating committee. Each of our committees has a charter and each charter is posted on our website. The following sets forth the membership of each of our committees.</w:t>
      </w:r>
    </w:p>
    <w:p>
      <w:pPr>
        <w:spacing w:after="0" w:line="10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52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200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9"/>
              </w:rPr>
              <w:t>Audit Committee</w:t>
            </w:r>
          </w:p>
        </w:tc>
        <w:tc>
          <w:tcPr>
            <w:tcW w:w="182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Archie C. Black</w:t>
            </w: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Bradley A. Cleveland</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0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9"/>
              </w:rPr>
              <w:t>X</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20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Chair</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200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88"/>
              </w:rPr>
              <w:t>Chair</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7"/>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Among other matters, our audit committee: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660" w:right="6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660" w:right="42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administers our investment and cash management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prepares the audit committee report that SEC rules require to be included in our annual proxy statement and annual report on Form 10-K.</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Our Corporate Governance Guidelines provide that our directors are expected to attend meetings of the board of directors and of the committees on which they serve, as well as our annual meeting of stockholders. Our board of directors held nine (9) meetings and acted by written consent three (3) times during 2012. The audit committee of the board met eight (8) times, the compensation committee of the board met thirteen (13) times and acted by written consent one</w:t>
      </w:r>
    </w:p>
    <w:p>
      <w:pPr>
        <w:spacing w:after="0" w:line="1" w:lineRule="exact"/>
        <w:rPr>
          <w:sz w:val="20"/>
          <w:szCs w:val="20"/>
          <w:color w:val="auto"/>
        </w:rPr>
      </w:pPr>
    </w:p>
    <w:p>
      <w:pPr>
        <w:ind w:right="480" w:firstLine="8"/>
        <w:spacing w:after="0" w:line="323"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time, and the governance and nominating committee of the board met ten (10) times and acted by written consent one (1) time during 2012. Each of our directors attended at least 75% of the meetings of the board of directors and the committees on which he served during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ind w:firstLine="8"/>
        <w:spacing w:after="0" w:line="287"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nor earlier than the 120th day,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directors during 2012. Mr. Black’s compensation is set forth under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Fees Earned or</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80" w:type="dxa"/>
            <w:vAlign w:val="bottom"/>
            <w:vMerge w:val="restart"/>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6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2"/>
              </w:rPr>
              <w:t>Stock Awards</w:t>
            </w:r>
          </w:p>
        </w:tc>
        <w:tc>
          <w:tcPr>
            <w:tcW w:w="19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Option Awards(1)</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780" w:type="dxa"/>
            <w:vAlign w:val="bottom"/>
          </w:tcPr>
          <w:p>
            <w:pPr>
              <w:jc w:val="right"/>
              <w:ind w:right="237"/>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1040" w:type="dxa"/>
            <w:vAlign w:val="bottom"/>
          </w:tcPr>
          <w:p>
            <w:pPr>
              <w:jc w:val="right"/>
              <w:ind w:right="357"/>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Bradley A. Cleveland(2)</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3,179</w:t>
            </w:r>
          </w:p>
        </w:tc>
        <w:tc>
          <w:tcPr>
            <w:tcW w:w="8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Daniel R. Fishback(2)</w:t>
            </w: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8,777</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29,065(3)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46,185</w:t>
            </w:r>
          </w:p>
        </w:tc>
        <w:tc>
          <w:tcPr>
            <w:tcW w:w="780" w:type="dxa"/>
            <w:vAlign w:val="bottom"/>
          </w:tcPr>
          <w:p>
            <w:pPr>
              <w:jc w:val="right"/>
              <w:spacing w:after="0"/>
              <w:rPr>
                <w:sz w:val="20"/>
                <w:szCs w:val="20"/>
                <w:color w:val="auto"/>
              </w:rPr>
            </w:pPr>
            <w:r>
              <w:rPr>
                <w:rFonts w:ascii="Arial" w:cs="Arial" w:eastAsia="Arial" w:hAnsi="Arial"/>
                <w:sz w:val="18"/>
                <w:szCs w:val="18"/>
                <w:color w:val="auto"/>
              </w:rPr>
              <w:t>29,065</w:t>
            </w:r>
          </w:p>
        </w:tc>
        <w:tc>
          <w:tcPr>
            <w:tcW w:w="86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8"/>
                <w:szCs w:val="18"/>
                <w:color w:val="auto"/>
              </w:rPr>
              <w:t>29,065(4)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28,626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29,065(5)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37,081</w:t>
            </w:r>
          </w:p>
        </w:tc>
        <w:tc>
          <w:tcPr>
            <w:tcW w:w="780" w:type="dxa"/>
            <w:vAlign w:val="bottom"/>
          </w:tcPr>
          <w:p>
            <w:pPr>
              <w:jc w:val="right"/>
              <w:spacing w:after="0"/>
              <w:rPr>
                <w:sz w:val="20"/>
                <w:szCs w:val="20"/>
                <w:color w:val="auto"/>
              </w:rPr>
            </w:pPr>
            <w:r>
              <w:rPr>
                <w:rFonts w:ascii="Arial" w:cs="Arial" w:eastAsia="Arial" w:hAnsi="Arial"/>
                <w:sz w:val="18"/>
                <w:szCs w:val="18"/>
                <w:color w:val="auto"/>
              </w:rPr>
              <w:t>29,065</w:t>
            </w:r>
          </w:p>
        </w:tc>
        <w:tc>
          <w:tcPr>
            <w:tcW w:w="86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8"/>
                <w:szCs w:val="18"/>
                <w:color w:val="auto"/>
              </w:rPr>
              <w:t>29,065(6)</w:t>
            </w:r>
          </w:p>
        </w:tc>
        <w:tc>
          <w:tcPr>
            <w:tcW w:w="620" w:type="dxa"/>
            <w:vAlign w:val="bottom"/>
          </w:tcPr>
          <w:p>
            <w:pPr>
              <w:jc w:val="right"/>
              <w:spacing w:after="0"/>
              <w:rPr>
                <w:sz w:val="20"/>
                <w:szCs w:val="20"/>
                <w:color w:val="auto"/>
              </w:rPr>
            </w:pPr>
            <w:r>
              <w:rPr>
                <w:rFonts w:ascii="Arial" w:cs="Arial" w:eastAsia="Arial" w:hAnsi="Arial"/>
                <w:sz w:val="18"/>
                <w:szCs w:val="18"/>
                <w:color w:val="auto"/>
              </w:rPr>
              <w:t>95,211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37,532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29,065(7)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March 6, 2013.</w:t>
      </w:r>
    </w:p>
    <w:p>
      <w:pPr>
        <w:spacing w:after="0" w:line="59" w:lineRule="exact"/>
        <w:rPr>
          <w:rFonts w:ascii="Arial" w:cs="Arial" w:eastAsia="Arial" w:hAnsi="Arial"/>
          <w:sz w:val="18"/>
          <w:szCs w:val="18"/>
          <w:color w:val="auto"/>
        </w:rPr>
      </w:pPr>
    </w:p>
    <w:p>
      <w:pPr>
        <w:ind w:left="460" w:right="2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Fishback resigned from our board of directors on May 30, 2012, and the board of directors elected Bradley A. Cleveland to the board of directors on November 19, 2012. As of December 31, 2012, Mr. Cleveland did not hold any options to purchase shares of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Gorman held options to purchase an aggregate of 7,567 shares of common stock, 3,115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Leestma held options to purchase an aggregate of 44,057 shares of common stock, 39,605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Soran held options to purchase an aggregate of 24,032 shares of common stock, 18,245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Spencer held options to purchase an aggregate of 15,032 shares of common stock, 10,580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Wehrwein held options to purchase an aggregate of 30,792 shares of common stock, 27,591 of which were vested.</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For 2012, our director compensation policy provided that each non-employee director received a stock option grant to purchase up to 2,672 shares of our common stock on the date of the annual meeting of stockholders at which the director was elected to the board or continued to serve as a director. The awards vest in full on the earlier of one year after the date of grant or the date of the next year’s annual meeting of stockholders, provided the recipient remains a member of the board as of the vesting date. In addition, each director receives an initial stock option grant to purchase up to $111,000 of shares of our common stock in connection with appointment to the board calculated as the grant date fair value of the option computed in accordance with Financial Accounting Standards Board (FASB) 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All stock options granted under the policy have an exercise price equal to the fair market value of our common stock on the date of grant in accordance with our 2010 Equity Incentive Plan.</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director compensation policy for 2012 also provided that each non-employee director received a restricted stock grant of 1,055 shares of our common stock on the date of the annual meeting of stockholders at which the director was elected to the board or continued to serve as a director. The restricted stock awards vest in full on the earlier of one year after the date of grant or the date of the next year’s annual meeting of stockholders, provided the recipient remains a member of the board as of the vesting date. We also reimbursed our directors for out-of-pocket expenses incurred in connection with attending our board and committee meetings.</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Non-employee directors received cash fees in addition to the equity awards described above. As of the date of the 2012 annual meeting, we increased the cash fees and each non-employee director received an annual retainer of $25,000 and the chairman of our board of directors received an additional annual fee of $12,500. In addition, as of the date of the 2012 annual meeting, the chair of each committee received an annual fee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46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98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98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the 2012 annual meeting, we increased the annual fee for each committee member, other than the chair,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16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58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16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6160" w:type="dxa"/>
            <w:vAlign w:val="bottom"/>
            <w:gridSpan w:val="2"/>
            <w:shd w:val="clear" w:color="auto" w:fill="CCEEFF"/>
          </w:tcPr>
          <w:p>
            <w:pPr>
              <w:ind w:left="5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36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0" w:type="dxa"/>
            <w:vAlign w:val="bottom"/>
          </w:tcPr>
          <w:p>
            <w:pPr>
              <w:jc w:val="right"/>
              <w:ind w:right="39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Before the date of the 2012 annual meeting, our cash fee structure provided each non-employee director an annual retainer of $20,000 and the chairman of our board of directors received an additional annual fee of $10,000. In addition, the chair of each committee previously received an annual fee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46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6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00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400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Before the date of the 2012 annual meeting, each committee member, other than the chair, previously received an annual fee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16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58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16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6160" w:type="dxa"/>
            <w:vAlign w:val="bottom"/>
            <w:gridSpan w:val="2"/>
            <w:shd w:val="clear" w:color="auto" w:fill="CCEEFF"/>
          </w:tcPr>
          <w:p>
            <w:pPr>
              <w:ind w:left="5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36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0" w:type="dxa"/>
            <w:vAlign w:val="bottom"/>
          </w:tcPr>
          <w:p>
            <w:pPr>
              <w:jc w:val="right"/>
              <w:ind w:right="397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discussion and analysis of compensation arrangements of our named executive officers for 2012. Our named executive officers for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J. Gray, our former Executive Vice President of Operations,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David J. Novak, Jr., our Executive Vice President of Business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are a technology company with $77.1 million in annual revenues. We are a leading provider of on-demand supply chain management solutions and the Retail Universe community, providing integration, collaboration, connectivity, visibility and data analytics to thousands of customers worldwide.</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2012 we achieved several significant financial results. In our earnings releases we focus on revenue, recurring revenue, net income (and diluted EPS), non-GAAP net income (and diluted non-GAAP EPS) and Adjusted EBITDA and we performed well on all these measures in 2012.</w:t>
      </w:r>
    </w:p>
    <w:p>
      <w:pPr>
        <w:spacing w:after="0" w:line="4"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2012 and we now have 48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revenues of $77.1 million, compared to $58.0 for 2011, reflect 33% growth from 2011.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recurring revenues from recurring revenue customers grew 38% from 2011.</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$9.0 million, compared to $5.4 million in 2011, and non-GAAP income per diluted share of $0.41 in 2012 and $0.26 in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Consequently, we believe that we are well-positioned to execute on our long-term strategic objectives over the next several years.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reflected in our compensation philosophy, we set the compensation of our executive officers, including the named executive officers, based on their ability to achieve annual operational objectives that further our long-term business objectives and to create sustainable long-term stockholder value in a cost-effective manner. Accordingly, our 2012 compensation actions and decisions were based on our executive’s accomplishments in these dual areas.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2012, the committee took the following actions with respect to the compensation of the named executive officers:</w:t>
      </w:r>
    </w:p>
    <w:p>
      <w:pPr>
        <w:spacing w:after="0" w:line="9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base salaries between 6% and 13% per individual compared to 2011;</w:t>
      </w:r>
    </w:p>
    <w:p>
      <w:pPr>
        <w:spacing w:after="0" w:line="9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awarded formula-based bonuses at 100% of the target bonus opportunity established at the beginning of the year, qualitative factor bonuses at 100% of the qualitative factor bonus opportunity, as well as an additional $3,197 in qualitative factor bonus to Mr. Frome due to his strong performance in connection with his promotion to Chief Operating Officer; and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to satisfy competitive market concerns, satisfy our retention objectives, and reward individual performance for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compensation details provided above and discussed further below, other important details are as follows:</w:t>
      </w:r>
    </w:p>
    <w:p>
      <w:pPr>
        <w:spacing w:after="0" w:line="9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 and</w:t>
      </w:r>
    </w:p>
    <w:p>
      <w:pPr>
        <w:spacing w:after="0" w:line="90"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the company.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2012, our compensation primarily consisted of base salary, annual cash incentive awards, stock option grants and restricted stock unit awards, which helps align the incentives of our named executive officers with the interests of our stockholders.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commencing the compensation determinations, our Chief Executive Officer provided his review of our other named executive officers to the compensation committee. Our compensation committee engaged Compensia, Inc., a compensation consultant, to help evaluate our compensation philosophy and provide guidance in administering our compensation program.</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compensation committee determines executive compensation, in part, by reference to the compensation information for the executives of a peer group of comparable companies. In 2012, we received a formal compensation study and executive compensation market assessment developed by Compensia, our independent compensation consultant. The Compensia report reviewed publicly available compensation data aggregated for a peer group of public technology companies. These companies were selected based on their similarities in industry and revenue to our company. The group consisted primarily of software and internet companies, with a focus on companies that provide software as a service. It also included other technology companies with headquarters in the Midwest. The peer companies were also selected based on revenue and market capitalization with a range on annual revenue of $25 to $100 million with exceptions up to $150 million for companies with similar products or business models and a range on market capitalization of $50 million to $800 million. Based on these criteria, we selected the following peer group for the executive compensation market analysis:</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222"/>
        </w:trPr>
        <w:tc>
          <w:tcPr>
            <w:tcW w:w="3280" w:type="dxa"/>
            <w:vAlign w:val="bottom"/>
          </w:tcPr>
          <w:p>
            <w:pPr>
              <w:jc w:val="center"/>
              <w:ind w:right="1832"/>
              <w:spacing w:after="0"/>
              <w:rPr>
                <w:sz w:val="20"/>
                <w:szCs w:val="20"/>
                <w:color w:val="auto"/>
              </w:rPr>
            </w:pPr>
            <w:r>
              <w:rPr>
                <w:rFonts w:ascii="Arial" w:cs="Arial" w:eastAsia="Arial" w:hAnsi="Arial"/>
                <w:sz w:val="18"/>
                <w:szCs w:val="18"/>
                <w:color w:val="auto"/>
                <w:w w:val="89"/>
              </w:rPr>
              <w:t>American Software</w:t>
            </w:r>
          </w:p>
        </w:tc>
        <w:tc>
          <w:tcPr>
            <w:tcW w:w="4280" w:type="dxa"/>
            <w:vAlign w:val="bottom"/>
          </w:tcPr>
          <w:p>
            <w:pPr>
              <w:jc w:val="center"/>
              <w:ind w:left="412"/>
              <w:spacing w:after="0"/>
              <w:rPr>
                <w:sz w:val="20"/>
                <w:szCs w:val="20"/>
                <w:color w:val="auto"/>
              </w:rPr>
            </w:pPr>
            <w:r>
              <w:rPr>
                <w:rFonts w:ascii="Arial" w:cs="Arial" w:eastAsia="Arial" w:hAnsi="Arial"/>
                <w:sz w:val="18"/>
                <w:szCs w:val="18"/>
                <w:color w:val="auto"/>
                <w:w w:val="87"/>
              </w:rPr>
              <w:t>Envestnet</w:t>
            </w: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87"/>
              </w:rPr>
              <w:t>SciQuest</w:t>
            </w:r>
          </w:p>
        </w:tc>
      </w:tr>
      <w:tr>
        <w:trPr>
          <w:trHeight w:val="324"/>
        </w:trPr>
        <w:tc>
          <w:tcPr>
            <w:tcW w:w="3280" w:type="dxa"/>
            <w:vAlign w:val="bottom"/>
          </w:tcPr>
          <w:p>
            <w:pPr>
              <w:jc w:val="center"/>
              <w:ind w:right="1832"/>
              <w:spacing w:after="0"/>
              <w:rPr>
                <w:sz w:val="20"/>
                <w:szCs w:val="20"/>
                <w:color w:val="auto"/>
              </w:rPr>
            </w:pPr>
            <w:r>
              <w:rPr>
                <w:rFonts w:ascii="Arial" w:cs="Arial" w:eastAsia="Arial" w:hAnsi="Arial"/>
                <w:sz w:val="18"/>
                <w:szCs w:val="18"/>
                <w:color w:val="auto"/>
                <w:w w:val="87"/>
              </w:rPr>
              <w:t>Carbonite</w:t>
            </w:r>
          </w:p>
        </w:tc>
        <w:tc>
          <w:tcPr>
            <w:tcW w:w="4280" w:type="dxa"/>
            <w:vAlign w:val="bottom"/>
          </w:tcPr>
          <w:p>
            <w:pPr>
              <w:jc w:val="center"/>
              <w:ind w:left="432"/>
              <w:spacing w:after="0"/>
              <w:rPr>
                <w:sz w:val="20"/>
                <w:szCs w:val="20"/>
                <w:color w:val="auto"/>
              </w:rPr>
            </w:pPr>
            <w:r>
              <w:rPr>
                <w:rFonts w:ascii="Arial" w:cs="Arial" w:eastAsia="Arial" w:hAnsi="Arial"/>
                <w:sz w:val="18"/>
                <w:szCs w:val="18"/>
                <w:color w:val="auto"/>
                <w:w w:val="88"/>
              </w:rPr>
              <w:t>LivePerson</w:t>
            </w:r>
          </w:p>
        </w:tc>
        <w:tc>
          <w:tcPr>
            <w:tcW w:w="2300" w:type="dxa"/>
            <w:vAlign w:val="bottom"/>
          </w:tcPr>
          <w:p>
            <w:pPr>
              <w:jc w:val="center"/>
              <w:ind w:left="1312"/>
              <w:spacing w:after="0"/>
              <w:rPr>
                <w:sz w:val="20"/>
                <w:szCs w:val="20"/>
                <w:color w:val="auto"/>
              </w:rPr>
            </w:pPr>
            <w:r>
              <w:rPr>
                <w:rFonts w:ascii="Arial" w:cs="Arial" w:eastAsia="Arial" w:hAnsi="Arial"/>
                <w:sz w:val="18"/>
                <w:szCs w:val="18"/>
                <w:color w:val="auto"/>
                <w:w w:val="88"/>
              </w:rPr>
              <w:t>Support.com</w:t>
            </w:r>
          </w:p>
        </w:tc>
      </w:tr>
      <w:tr>
        <w:trPr>
          <w:trHeight w:val="324"/>
        </w:trPr>
        <w:tc>
          <w:tcPr>
            <w:tcW w:w="3280" w:type="dxa"/>
            <w:vAlign w:val="bottom"/>
          </w:tcPr>
          <w:p>
            <w:pPr>
              <w:jc w:val="center"/>
              <w:ind w:right="1832"/>
              <w:spacing w:after="0"/>
              <w:rPr>
                <w:sz w:val="20"/>
                <w:szCs w:val="20"/>
                <w:color w:val="auto"/>
              </w:rPr>
            </w:pPr>
            <w:r>
              <w:rPr>
                <w:rFonts w:ascii="Arial" w:cs="Arial" w:eastAsia="Arial" w:hAnsi="Arial"/>
                <w:sz w:val="18"/>
                <w:szCs w:val="18"/>
                <w:color w:val="auto"/>
                <w:w w:val="92"/>
              </w:rPr>
              <w:t>Convio</w:t>
            </w:r>
          </w:p>
        </w:tc>
        <w:tc>
          <w:tcPr>
            <w:tcW w:w="4280" w:type="dxa"/>
            <w:vAlign w:val="bottom"/>
          </w:tcPr>
          <w:p>
            <w:pPr>
              <w:jc w:val="center"/>
              <w:ind w:left="412"/>
              <w:spacing w:after="0"/>
              <w:rPr>
                <w:sz w:val="20"/>
                <w:szCs w:val="20"/>
                <w:color w:val="auto"/>
              </w:rPr>
            </w:pPr>
            <w:r>
              <w:rPr>
                <w:rFonts w:ascii="Arial" w:cs="Arial" w:eastAsia="Arial" w:hAnsi="Arial"/>
                <w:sz w:val="18"/>
                <w:szCs w:val="18"/>
                <w:color w:val="auto"/>
                <w:w w:val="90"/>
              </w:rPr>
              <w:t>Local.com</w:t>
            </w:r>
          </w:p>
        </w:tc>
        <w:tc>
          <w:tcPr>
            <w:tcW w:w="2300" w:type="dxa"/>
            <w:vAlign w:val="bottom"/>
          </w:tcPr>
          <w:p>
            <w:pPr>
              <w:jc w:val="center"/>
              <w:ind w:left="1312"/>
              <w:spacing w:after="0"/>
              <w:rPr>
                <w:sz w:val="20"/>
                <w:szCs w:val="20"/>
                <w:color w:val="auto"/>
              </w:rPr>
            </w:pPr>
            <w:r>
              <w:rPr>
                <w:rFonts w:ascii="Arial" w:cs="Arial" w:eastAsia="Arial" w:hAnsi="Arial"/>
                <w:sz w:val="18"/>
                <w:szCs w:val="18"/>
                <w:color w:val="auto"/>
                <w:w w:val="81"/>
              </w:rPr>
              <w:t>Tangoe</w:t>
            </w:r>
          </w:p>
        </w:tc>
      </w:tr>
      <w:tr>
        <w:trPr>
          <w:trHeight w:val="324"/>
        </w:trPr>
        <w:tc>
          <w:tcPr>
            <w:tcW w:w="3280" w:type="dxa"/>
            <w:vAlign w:val="bottom"/>
          </w:tcPr>
          <w:p>
            <w:pPr>
              <w:jc w:val="center"/>
              <w:ind w:right="1832"/>
              <w:spacing w:after="0"/>
              <w:rPr>
                <w:sz w:val="20"/>
                <w:szCs w:val="20"/>
                <w:color w:val="auto"/>
              </w:rPr>
            </w:pPr>
            <w:r>
              <w:rPr>
                <w:rFonts w:ascii="Arial" w:cs="Arial" w:eastAsia="Arial" w:hAnsi="Arial"/>
                <w:sz w:val="18"/>
                <w:szCs w:val="18"/>
                <w:color w:val="auto"/>
                <w:w w:val="85"/>
              </w:rPr>
              <w:t>DemandTec</w:t>
            </w:r>
          </w:p>
        </w:tc>
        <w:tc>
          <w:tcPr>
            <w:tcW w:w="4280" w:type="dxa"/>
            <w:vAlign w:val="bottom"/>
          </w:tcPr>
          <w:p>
            <w:pPr>
              <w:jc w:val="center"/>
              <w:ind w:left="412"/>
              <w:spacing w:after="0"/>
              <w:rPr>
                <w:sz w:val="20"/>
                <w:szCs w:val="20"/>
                <w:color w:val="auto"/>
              </w:rPr>
            </w:pPr>
            <w:r>
              <w:rPr>
                <w:rFonts w:ascii="Arial" w:cs="Arial" w:eastAsia="Arial" w:hAnsi="Arial"/>
                <w:sz w:val="18"/>
                <w:szCs w:val="18"/>
                <w:color w:val="auto"/>
                <w:w w:val="94"/>
              </w:rPr>
              <w:t>LogMeIn</w:t>
            </w:r>
          </w:p>
        </w:tc>
        <w:tc>
          <w:tcPr>
            <w:tcW w:w="2300" w:type="dxa"/>
            <w:vAlign w:val="bottom"/>
          </w:tcPr>
          <w:p>
            <w:pPr>
              <w:jc w:val="center"/>
              <w:ind w:left="1312"/>
              <w:spacing w:after="0"/>
              <w:rPr>
                <w:sz w:val="20"/>
                <w:szCs w:val="20"/>
                <w:color w:val="auto"/>
              </w:rPr>
            </w:pPr>
            <w:r>
              <w:rPr>
                <w:rFonts w:ascii="Arial" w:cs="Arial" w:eastAsia="Arial" w:hAnsi="Arial"/>
                <w:sz w:val="18"/>
                <w:szCs w:val="18"/>
                <w:color w:val="auto"/>
                <w:w w:val="83"/>
              </w:rPr>
              <w:t>Vocus</w:t>
            </w:r>
          </w:p>
        </w:tc>
      </w:tr>
      <w:tr>
        <w:trPr>
          <w:trHeight w:val="324"/>
        </w:trPr>
        <w:tc>
          <w:tcPr>
            <w:tcW w:w="3280" w:type="dxa"/>
            <w:vAlign w:val="bottom"/>
          </w:tcPr>
          <w:p>
            <w:pPr>
              <w:jc w:val="center"/>
              <w:ind w:right="1812"/>
              <w:spacing w:after="0"/>
              <w:rPr>
                <w:sz w:val="20"/>
                <w:szCs w:val="20"/>
                <w:color w:val="auto"/>
              </w:rPr>
            </w:pPr>
            <w:r>
              <w:rPr>
                <w:rFonts w:ascii="Arial" w:cs="Arial" w:eastAsia="Arial" w:hAnsi="Arial"/>
                <w:sz w:val="18"/>
                <w:szCs w:val="18"/>
                <w:color w:val="auto"/>
                <w:w w:val="87"/>
              </w:rPr>
              <w:t>Demandware</w:t>
            </w:r>
          </w:p>
        </w:tc>
        <w:tc>
          <w:tcPr>
            <w:tcW w:w="4280" w:type="dxa"/>
            <w:vAlign w:val="bottom"/>
          </w:tcPr>
          <w:p>
            <w:pPr>
              <w:jc w:val="center"/>
              <w:ind w:left="432"/>
              <w:spacing w:after="0"/>
              <w:rPr>
                <w:sz w:val="20"/>
                <w:szCs w:val="20"/>
                <w:color w:val="auto"/>
              </w:rPr>
            </w:pPr>
            <w:r>
              <w:rPr>
                <w:rFonts w:ascii="Arial" w:cs="Arial" w:eastAsia="Arial" w:hAnsi="Arial"/>
                <w:sz w:val="18"/>
                <w:szCs w:val="18"/>
                <w:color w:val="auto"/>
                <w:w w:val="89"/>
              </w:rPr>
              <w:t>Pros Holdings</w:t>
            </w: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99"/>
              </w:rPr>
              <w:t>Zix</w:t>
            </w:r>
          </w:p>
        </w:tc>
      </w:tr>
      <w:tr>
        <w:trPr>
          <w:trHeight w:val="324"/>
        </w:trPr>
        <w:tc>
          <w:tcPr>
            <w:tcW w:w="3280" w:type="dxa"/>
            <w:vAlign w:val="bottom"/>
          </w:tcPr>
          <w:p>
            <w:pPr>
              <w:jc w:val="center"/>
              <w:ind w:right="1812"/>
              <w:spacing w:after="0"/>
              <w:rPr>
                <w:sz w:val="20"/>
                <w:szCs w:val="20"/>
                <w:color w:val="auto"/>
              </w:rPr>
            </w:pPr>
            <w:r>
              <w:rPr>
                <w:rFonts w:ascii="Arial" w:cs="Arial" w:eastAsia="Arial" w:hAnsi="Arial"/>
                <w:sz w:val="18"/>
                <w:szCs w:val="18"/>
                <w:color w:val="auto"/>
                <w:w w:val="92"/>
              </w:rPr>
              <w:t>Digimarc</w:t>
            </w:r>
          </w:p>
        </w:tc>
        <w:tc>
          <w:tcPr>
            <w:tcW w:w="4280" w:type="dxa"/>
            <w:vAlign w:val="bottom"/>
          </w:tcPr>
          <w:p>
            <w:pPr>
              <w:jc w:val="center"/>
              <w:ind w:left="432"/>
              <w:spacing w:after="0"/>
              <w:rPr>
                <w:sz w:val="20"/>
                <w:szCs w:val="20"/>
                <w:color w:val="auto"/>
              </w:rPr>
            </w:pPr>
            <w:r>
              <w:rPr>
                <w:rFonts w:ascii="Arial" w:cs="Arial" w:eastAsia="Arial" w:hAnsi="Arial"/>
                <w:sz w:val="18"/>
                <w:szCs w:val="18"/>
                <w:color w:val="auto"/>
                <w:w w:val="87"/>
              </w:rPr>
              <w:t>Proto Labs</w:t>
            </w:r>
          </w:p>
        </w:tc>
        <w:tc>
          <w:tcPr>
            <w:tcW w:w="230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comparative data from the peer group is valuable to the compensation committee because it provides insight into competitive pay practices for each of the components of total compensation as well as confirms the reasonableness of our own compensation decisions. In January 2012, our compensation committee reviewed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again the analysis of the compensation of our named executive officers relative to compensation paid by our peer group of companies summarized in a report prepared by Compensia. The Compensia report showed that even with the increases to base salaries in 2011, the base salaries of our Chief Executive Officer and Chief Financial Officer were below the 50</w:t>
      </w:r>
      <w:r>
        <w:rPr>
          <w:rFonts w:ascii="Arial" w:cs="Arial" w:eastAsia="Arial" w:hAnsi="Arial"/>
          <w:sz w:val="10"/>
          <w:szCs w:val="10"/>
          <w:color w:val="auto"/>
        </w:rPr>
        <w:t>th</w:t>
      </w:r>
      <w:r>
        <w:rPr>
          <w:rFonts w:ascii="Arial" w:cs="Arial" w:eastAsia="Arial" w:hAnsi="Arial"/>
          <w:sz w:val="15"/>
          <w:szCs w:val="15"/>
          <w:color w:val="auto"/>
        </w:rPr>
        <w:t xml:space="preserve"> percentile of the peer group. The report did not have peer group information for the other named executive officers.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2012, our named executive officers received base salary increases ranging from 6% to 13% of their 2011 base salaries. The adjustments were made to transition our named executive officer’s compensation to be competitive with the compensation of other similarly situated companies as reflected in the peer group. Mr. Frome received an additional 6% raise in August 2012 in connection with his promotion to Chief Operating Officer. As a private company until our initial public offering in April 2010, our base salaries were significantly lower than the public company competitive market. Our compensation committee has evaluated annually our named executive officers’ compensation and has incrementally moved their compensation to the median compensation paid by our peer group over the past two years as we continue our transition to a public company executive compensation program.</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2012 Management Incentive Plan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named executive officers participated in our management incentive plan, or the MIP, which provides them with an opportunity to receive two types of bonuses: a formula-based bonus and a qualitative factor bonus. The formula-based bonus is intended to motivate our executives to achieve specific financial goals that will drive the growth and success of our business. The qualitative factor bonus is designed to motivate our executive team to achieve goals that contribute to our growth and success but are not necessarily measurable by the financial results of our operations.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Formula-Based Bonuses. </w:t>
      </w:r>
      <w:r>
        <w:rPr>
          <w:rFonts w:ascii="Arial" w:cs="Arial" w:eastAsia="Arial" w:hAnsi="Arial"/>
          <w:sz w:val="16"/>
          <w:szCs w:val="16"/>
          <w:color w:val="auto"/>
        </w:rPr>
        <w:t>The formula-based bonus is based on the target bonus for each named executive officer established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that takes into account our revenues and earnings before interest, taxes, depreciation and amortization and non-cash, share-based compensation, or Adjusted EBITDA, prior to the payment of the MIP.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prior to payment of the MIP because Adjusted EBITDA is a useful measure of our operating performance. A reconciliation of net income to Adjusted EBITDA is incorporated by reference to the section titled “Results of Operations — Year Ended December 31, 2012 Compared to Year Ended December 31, 2011 — Adjusted EBITDA” included in our annual report on Form 10-K filed with the Securities and Exchange Commission on March 6, 2013 (SEC file no. 001-34702).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matrix provides that each executive will receive a percentage of his or her target formula-based bonus, between 0% and 145%, based on our revenues and Adjusted EBITDA prior to payment of the MIP. For example, for our executives to earn their target bonuses for 2012, we needed to generate revenues of approximately $77.2 million and Adjusted EBITDA of approximately $8.7 million. If we failed to have either revenues of approximately $75.2 million or Adjusted EBITDA of approximately $8.0 million, our named executive officers would not have received a formula-based bonus for the year. With some exceptions, the percentage of the target bonus earned between the minimum and the maximum varies in five percentage-point increments based on revenues and Adjusted EBITDA for the year relative to increments established for each metric in the matrix. The target revenues and Adjusted EBITDA are adjusted during the year by the compensation committee in the event we complete acquisitions, if any, during the year. The compensation committee established the intervals for the matrix with the intent that achieving 100% of an executive’s target bonus will be a difficult but achievable goal in light of the prior year’s results of operations and anticipated growth for 2012. For 2012, we achieved the targets for both revenue and Adjusted EBITDA and the formula-based bonus for each named executive officer was as follows:</w:t>
      </w:r>
    </w:p>
    <w:p>
      <w:pPr>
        <w:spacing w:after="0" w:line="4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Black — $208,125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Nelson — $101,250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Frome — $95,922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Gray — Not eligible for a formula-based bonus due to his resignation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Novak — $86,063</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Qualitative Factor Bonuses. </w:t>
      </w:r>
      <w:r>
        <w:rPr>
          <w:rFonts w:ascii="Arial" w:cs="Arial" w:eastAsia="Arial" w:hAnsi="Arial"/>
          <w:sz w:val="16"/>
          <w:szCs w:val="16"/>
          <w:color w:val="auto"/>
        </w:rPr>
        <w:t>At the beginning of each year, our compensation committee also establishes a target qualitative factor bonus opportunity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named executive officer that it may pay to the executive at the end of the year in our compensation committee’s discretion. Our compensation committee establishes the target bonus opportunity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For 2012, the target qualitative factor bonus opportunity for each named executive officer was as follows:</w:t>
      </w:r>
    </w:p>
    <w:p>
      <w:pPr>
        <w:spacing w:after="0" w:line="35"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Black — $69,375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Nelson — $33,750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Frome — $31,974</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Gray — $28,125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Novak — $28,688</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amount actually paid to each named executive officer is based on the compensation committee’s qualitative evaluation of each named executive officer’s achievement during the year. Our compensation committee predetermines criteria or goals that they consider in connection with payment of the qualitative factor bonus. For 2012, in determining whether to pay a qualitative factor bonus, the compensation committee reviewed Mr. Black based on the Company’s successful completion of the objectives for the Company’s executive vice presidents, Mr. Frome based on establishment of a detailed product roadmap for our customer offerings, Ms. Nelson based on the success of the implementation of our new enterprise resource planning system and her performance in identifying acquisition opportunities, Mr. Novak based on establishment of a detailed developer network roadmap and achievement of certain channel sales goals and Mr. Gray based on establishment of a detailed product roadmap and achievement of certain operational efficiencies The compensation committee determines the amount of the qualitative factor bonus actually paid to each member of our executive team independent of the formula-based bonus earned after considering the criteria described above. For 2012, the qualitative factor bonus for each named executive officer was equal to their target qualitative factor bonus opportunity with the exception of Mr. Gray, who was not eligible for a qualitative factor bonus due to his resignation.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2012, the qualitative factor bonus earned for each named executive officer was as follows:</w:t>
      </w:r>
    </w:p>
    <w:p>
      <w:pPr>
        <w:spacing w:after="0" w:line="9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Black — $69,375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Nelson — $33,750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Frome — $31,974</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Gray — Not eligible for a qualitative factor bonus due to his resignation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Novak — $28,688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One-Time Qualitative Factor Bonus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February 2013, our compensation committee awarded Mr. Frome an additional $3,197 in qualitative factor bonus due to his strong performance and leadership in 2012 following his appointment as Chief Operating Officer in August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Historically, we have granted our named executive officers stock options in connection with their initial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Typically, these stock options vest over a period of four years. The vesting of these stock options in the event of a termination or change in control is described in more detail below under “– Potential Payments Upon Termination or Change in Control.” We do not have any security ownership requirements for our named executive officers.</w:t>
      </w:r>
    </w:p>
    <w:p>
      <w:pPr>
        <w:spacing w:after="0" w:line="12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In addition to stock options, we granted our named executive officers restricted stock units in 2012 to provide an enhanced retention element to our equity compensation plan. We believe restricted stock awards are an important element of compensation because they provide our executives an immediate ownership interest in our company, which helps align executives’ interests with those of other stockholders. We believe restricted stock units help retain our executives because the awards vest over several years and have immediate value to the executives upon vesting, while requiring the executives to maintain continuous employment with us in order for the awards to vest. Typically, these restricted stock units vest over a period of four years. The vesting of these restricted stock units in the event of a termination or change in control is described in more detail below under “–Potential Payments Upon Termination or Change in Control.”</w:t>
      </w:r>
    </w:p>
    <w:p>
      <w:pPr>
        <w:spacing w:after="0" w:line="10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At the beginning of each year, our compensation committee grants annual equity awards to our named executive officers. In 2012, Mr. Black received a stock option grant to purchase 31,521 shares of common stock and our other named executive officers received stock option grants to purchase 15,968 shares of common stock. Our policy is to grant annual stock options with an exercise price equal to the fair market value of our common stock on the date of grant. Our named executive officers also received grants of restricted stock units to be settled in shares of common stock ranging from a restricted stock unit grant of 12,473 for Mr. Black to restricted stock unit grants of 6,319 for our other named executive officers. Going forward, we anticipate that equity compensation, whether in the form of restricted stock, stock options, restricted stock units, or other stock-based awards, will become a more significant part of our executive compensation and will continue to be granted on an annual basis in order to ensure a continued unvested equity component to the executive compensation package.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an amount not to exceed 6% of the employee’s compensation.</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entered into agreements with our named executive officers that provide for payments to them under certain circumstances involving a termination of their employment with us or upon a change in control of our company. The committee believes these types of agreements are essential in order to attract and retain qualified executives and promote stability and continuity in our senior management team. We believe that the stability and continuity provided by these agreements are in the best interests of our stockholders. In 2002, we also entered into management incentive agreements with each of Mr. Black and Mr. Frome that provide for a bonus to be paid to them upon a sale of our company. A “sale” includes (1) the disposition of all or substantially all of our assets; (2) 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 purchase price, as defined, exceeding $25 million but less than $65 million, subject to a maximum of $46,000. We entered into these agreements in lieu of a cash bonus to each of these individuals to preserve our then-current cash position as we grew our business. These agreements are described in more detail below under “ —Potential Payments Upon Termination or Change in Control. These agreements terminated on June 30, 2012 and are no longer in effect.</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Separation Agreement with Michael J. Gray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19, 2012, Mr. Gray resigned as an officer of our company. In consideration for providing a release, Mr. Gray received severance in the amount of six months of his annualized base salary, a supplemental severance payment of $50,000 and immediate vesting of 3,337 of his stock options granted in February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Implications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rules that generally exempt compensation paid pursuant to pre-existing arrangements approved prior to our initial public offering, 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2012 did not exceed the $1.0 million limit per officer.</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compensation committee believes that in establishing the cash and equity incentive compensation programs for our named executive officers, the potential deductibility of the compensation payable under those programs should be only one of a number of relevant factors taken into consideration, and not the sole governing factor. For that reason, our compensation committee may deem it appropriate to provide one or more named executive officers with the opportunity to earn compensation which may not qualify as “performance based” for purposes of Section 162(m), such as cash incentive awards under programs not approved by our shareholders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2013 Executive Compensation Program</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February 2013, our compensation committee determined the components, design and performance objectives of our 2013 executive compensation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Base Salaries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For 2013, our named executive officers received base salary increases ranging from 3% to 9% of their 2012 base salaries. The adjustments were made in order to keep our named executive officers’ compensation competitive with the compensation of other similarly situated companies as reflected in the peer group.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Management Incentive Plan</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management incentive plan for 2013 has been structured in a manner similar to that in place for 2012. The amount of the formula-based bonus, if any, actually paid to executives after the end of the year will still be determined by a matrix that takes into account our revenues and earnings before interest, taxes, depreciation and amortization and non-cash, share-based compensation, or Adjusted EBITDA, prior to the payment of the MIP. The target revenues and Adjusted EBITDA will still be adjusted during the year by the compensation committee in the event we complete acquisitions during the year. The management incentive plan for 2013 also includes a target qualitative factor bonus for each named executive officer that it may pay to the executive in the first quarter of 2014 in the compensation committee’s discretion. The compensation committee established the target amount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The amount actually paid to each executive is based on the compensation committee’s subjective evaluation of our executive team’s achievement during the year. Our compensation committee predetermines criteria or goals that they consider in connection with payment of the qualitative factor bonus. The compensation committee determines the amount of the qualitative factor bonus actually paid to each member of our executive team independent of the formula-based bonus earned after considering the specified criteria described above.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Stock Option Grants and Restricted Stock Unit Grants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2013, Mr. Black received a stock option grant to purchase 33,929 shares of common stock and our other named executive officers received stock option grants to purchase 18,215 shares of common stock. Our named executive officers also received grants of restricted stock units to be settled in shares of common stock ranging from a restricted stock unit grant of 12,176 for Mr. Black to restricted stock unit grants of 6,536 for our other named executive officers. The restricted stock units vest over a period of four years.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George H. Spencer, III,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Philip E. Soran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and earned by our named executive officers in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Bonus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4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80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370,000</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69,375</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315,816</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315,816</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208,125</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3,750</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1,282,882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50,000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549,435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1,146,836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300,000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32,760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844,835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1,296,886</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2012</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270,000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33,750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101,250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3,319</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728,313</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240,000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24,000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274,713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646,230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225,000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40,779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187,741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84,221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3,109</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540,850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2012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271,025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35,171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199,969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199,969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274,713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225,000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23,690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394,256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730,353</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Michael J. Gray(3)</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2012</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226,442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201,808</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748,244</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Former Executive Vice President of Operations</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225,000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274,713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623,988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21,170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112,645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59,274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3,675</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396,764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2012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255,000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28,688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159,997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of Business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274,713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225,000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23,690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187,741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March 6, 2013.</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Gray served as our Executive Vice President of Operations through November 19, 2012 and he received cash severance payments in the amount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$125,000 for six months of his annualized base salary, a supplemental severance payment of $50,000 and $23,058 in ordinary course separation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All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Plans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vMerge w:val="restart"/>
          </w:tcPr>
          <w:p>
            <w:pPr>
              <w:jc w:val="center"/>
              <w:ind w:right="80"/>
              <w:spacing w:after="0" w:line="123"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Option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Grant Date</w:t>
            </w:r>
          </w:p>
        </w:tc>
        <w:tc>
          <w:tcPr>
            <w:tcW w:w="500" w:type="dxa"/>
            <w:vAlign w:val="bottom"/>
            <w:vMerge w:val="restart"/>
          </w:tcPr>
          <w:p>
            <w:pPr>
              <w:spacing w:after="0"/>
              <w:rPr>
                <w:sz w:val="12"/>
                <w:szCs w:val="12"/>
                <w:color w:val="auto"/>
              </w:rPr>
            </w:pPr>
          </w:p>
        </w:tc>
        <w:tc>
          <w:tcPr>
            <w:tcW w:w="15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Approval Date(1)</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Threshold</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0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($/Sh)</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February 6, 2012</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93,656</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277,500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371,156</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February 10,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February 6, 2012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12,473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February 6, 2012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45,563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135,000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180,563</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February 10, 2012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6, 2012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6,319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15,968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25.32</w:t>
            </w:r>
          </w:p>
        </w:tc>
        <w:tc>
          <w:tcPr>
            <w:tcW w:w="760" w:type="dxa"/>
            <w:vAlign w:val="bottom"/>
          </w:tcPr>
          <w:p>
            <w:pPr>
              <w:jc w:val="right"/>
              <w:spacing w:after="0"/>
              <w:rPr>
                <w:sz w:val="20"/>
                <w:szCs w:val="20"/>
                <w:color w:val="auto"/>
              </w:rPr>
            </w:pPr>
            <w:r>
              <w:rPr>
                <w:rFonts w:ascii="Arial" w:cs="Arial" w:eastAsia="Arial" w:hAnsi="Arial"/>
                <w:sz w:val="18"/>
                <w:szCs w:val="18"/>
                <w:color w:val="auto"/>
              </w:rPr>
              <w:t>319,984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February 6,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40,247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119,251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159,458</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February 10,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February 6, 2012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August 9,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August 7, 2012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Michael J. Gray</w:t>
            </w: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February 6, 2012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37,969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112,500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153,479</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February 10, 2012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February 6, 2012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6,319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15,968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25.32</w:t>
            </w:r>
          </w:p>
        </w:tc>
        <w:tc>
          <w:tcPr>
            <w:tcW w:w="760" w:type="dxa"/>
            <w:vAlign w:val="bottom"/>
          </w:tcPr>
          <w:p>
            <w:pPr>
              <w:jc w:val="right"/>
              <w:spacing w:after="0"/>
              <w:rPr>
                <w:sz w:val="20"/>
                <w:szCs w:val="20"/>
                <w:color w:val="auto"/>
              </w:rPr>
            </w:pPr>
            <w:r>
              <w:rPr>
                <w:rFonts w:ascii="Arial" w:cs="Arial" w:eastAsia="Arial" w:hAnsi="Arial"/>
                <w:sz w:val="18"/>
                <w:szCs w:val="18"/>
                <w:color w:val="auto"/>
              </w:rPr>
              <w:t>319,984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February 6,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114,751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150,469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February 10, 2012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February 6, 2012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and compensation committee approved a grant of stock options identified in the “All Other Option Awards” column in a meeting on February 6, 2012. In accordance with the terms of this approval, the awards were granted on February 10, 2012.</w:t>
      </w:r>
    </w:p>
    <w:p>
      <w:pPr>
        <w:spacing w:after="0" w:line="50" w:lineRule="exact"/>
        <w:rPr>
          <w:rFonts w:ascii="Arial" w:cs="Arial" w:eastAsia="Arial" w:hAnsi="Arial"/>
          <w:sz w:val="18"/>
          <w:szCs w:val="18"/>
          <w:color w:val="auto"/>
        </w:rPr>
      </w:pPr>
    </w:p>
    <w:p>
      <w:pPr>
        <w:ind w:left="460" w:right="7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restricted stock units identified in “All Other Stock Awards” column vest as to one-fourth of the units on March 10, 2013, with the remaining underlying units vesting in 36 equal monthly installments on the first day of each month thereafter beginning April 10, 2013.</w:t>
      </w:r>
    </w:p>
    <w:p>
      <w:pPr>
        <w:spacing w:after="0" w:line="4" w:lineRule="exact"/>
        <w:rPr>
          <w:rFonts w:ascii="Arial" w:cs="Arial" w:eastAsia="Arial" w:hAnsi="Arial"/>
          <w:sz w:val="16"/>
          <w:szCs w:val="16"/>
          <w:color w:val="auto"/>
        </w:rPr>
      </w:pPr>
    </w:p>
    <w:p>
      <w:pPr>
        <w:ind w:left="460" w:right="10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stock options identified in the “All Other Option Awards” column vest as to one-fourth of the shares on March 1, 2013, with the remaining underlying option shares vesting in 36 equal monthly installments on the first day of each month thereafter beginning April 1, 2013.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equity awards granted to our named executive officers outstanding as of December 31,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of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Underlying</w:t>
            </w:r>
          </w:p>
        </w:tc>
        <w:tc>
          <w:tcPr>
            <w:tcW w:w="4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0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Number of Units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6"/>
              </w:rPr>
              <w:t>Unexercised</w:t>
            </w:r>
          </w:p>
        </w:tc>
        <w:tc>
          <w:tcPr>
            <w:tcW w:w="4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Options (#)</w:t>
            </w:r>
          </w:p>
        </w:tc>
        <w:tc>
          <w:tcPr>
            <w:tcW w:w="4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Options (#)</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4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79"/>
              </w:rPr>
              <w:t>Exercisable</w:t>
            </w:r>
          </w:p>
        </w:tc>
        <w:tc>
          <w:tcPr>
            <w:tcW w:w="460" w:type="dxa"/>
            <w:vAlign w:val="bottom"/>
          </w:tcPr>
          <w:p>
            <w:pPr>
              <w:spacing w:after="0"/>
              <w:rPr>
                <w:sz w:val="12"/>
                <w:szCs w:val="12"/>
                <w:color w:val="auto"/>
              </w:rPr>
            </w:pPr>
          </w:p>
        </w:tc>
        <w:tc>
          <w:tcPr>
            <w:tcW w:w="12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280" w:type="dxa"/>
            <w:vAlign w:val="bottom"/>
          </w:tcPr>
          <w:p>
            <w:pPr>
              <w:spacing w:after="0"/>
              <w:rPr>
                <w:sz w:val="12"/>
                <w:szCs w:val="12"/>
                <w:color w:val="auto"/>
              </w:rPr>
            </w:pPr>
          </w:p>
        </w:tc>
        <w:tc>
          <w:tcPr>
            <w:tcW w:w="108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7"/>
              </w:rPr>
              <w:t>($/Sh)</w:t>
            </w:r>
          </w:p>
        </w:tc>
        <w:tc>
          <w:tcPr>
            <w:tcW w:w="19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Option Expiration Date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58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2,651(1)</w:t>
            </w:r>
          </w:p>
        </w:tc>
        <w:tc>
          <w:tcPr>
            <w:tcW w:w="4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0.37</w:t>
            </w:r>
          </w:p>
        </w:tc>
        <w:tc>
          <w:tcPr>
            <w:tcW w:w="5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12/31/2014</w:t>
            </w: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ind w:left="800"/>
              <w:spacing w:after="0" w:line="203" w:lineRule="exact"/>
              <w:rPr>
                <w:sz w:val="20"/>
                <w:szCs w:val="20"/>
                <w:color w:val="auto"/>
              </w:rPr>
            </w:pPr>
            <w:r>
              <w:rPr>
                <w:rFonts w:ascii="Arial" w:cs="Arial" w:eastAsia="Arial" w:hAnsi="Arial"/>
                <w:sz w:val="18"/>
                <w:szCs w:val="18"/>
                <w:color w:val="auto"/>
                <w:w w:val="77"/>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11,009(1)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7/1/2014</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115,952(1)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3/31/2016</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77,614(1)</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42,536(1)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$12.00</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4/27/2020</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30,040(1)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38,605(1)</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$16.64</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2/11/2021</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31,521(2)</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$25.32</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2/10/2019</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46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73,494(1)</w:t>
            </w:r>
          </w:p>
        </w:tc>
        <w:tc>
          <w:tcPr>
            <w:tcW w:w="46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3.03</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11/26/2017</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17,258(1)</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9,442(1)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$12.00</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4/27/2020</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15,016(1)</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19,306(1)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$16.64</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2/11/2021</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15,968(2)</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$25.32</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2/10/2019</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6,319</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460" w:type="dxa"/>
            <w:vAlign w:val="bottom"/>
            <w:gridSpan w:val="3"/>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6,675(1)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3/31/2016</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33,375(1)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7/1/2014</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36,229(1)</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19,841(1)</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$12.00</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4/27/2020</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15,016(1)</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19,306(1)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$16.64</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2/11/2021</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15,968(2)</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$25.32</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2/10/2019</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3,280(2)</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$30.89</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8/9/2019</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460" w:type="dxa"/>
            <w:vAlign w:val="bottom"/>
            <w:gridSpan w:val="3"/>
          </w:tcPr>
          <w:p>
            <w:pPr>
              <w:spacing w:after="0"/>
              <w:rPr>
                <w:sz w:val="20"/>
                <w:szCs w:val="20"/>
                <w:color w:val="auto"/>
              </w:rPr>
            </w:pPr>
            <w:r>
              <w:rPr>
                <w:rFonts w:ascii="Arial" w:cs="Arial" w:eastAsia="Arial" w:hAnsi="Arial"/>
                <w:sz w:val="18"/>
                <w:szCs w:val="18"/>
                <w:color w:val="auto"/>
              </w:rPr>
              <w:t>Michael J. Gray</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10,017(1)</w:t>
            </w:r>
          </w:p>
        </w:tc>
        <w:tc>
          <w:tcPr>
            <w:tcW w:w="46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$12.00</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4/27/2020</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14,300(1)</w:t>
            </w:r>
          </w:p>
        </w:tc>
        <w:tc>
          <w:tcPr>
            <w:tcW w:w="4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$16.64</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2/11/2021</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460" w:type="dxa"/>
            <w:vAlign w:val="bottom"/>
            <w:gridSpan w:val="3"/>
          </w:tcPr>
          <w:p>
            <w:pPr>
              <w:spacing w:after="0"/>
              <w:rPr>
                <w:sz w:val="6"/>
                <w:szCs w:val="6"/>
                <w:color w:val="auto"/>
              </w:rPr>
            </w:pPr>
          </w:p>
        </w:tc>
        <w:tc>
          <w:tcPr>
            <w:tcW w:w="46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61,623(1)</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6/30/2017</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17,258(1)</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9,442(1)</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$12.00</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4/27/2020</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15,016(1)</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19,306(1)</w:t>
            </w:r>
          </w:p>
        </w:tc>
        <w:tc>
          <w:tcPr>
            <w:tcW w:w="13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$16.64</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2/11/2021</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15,968(2)</w:t>
            </w:r>
          </w:p>
        </w:tc>
        <w:tc>
          <w:tcPr>
            <w:tcW w:w="1360" w:type="dxa"/>
            <w:vAlign w:val="bottom"/>
            <w:gridSpan w:val="4"/>
          </w:tcPr>
          <w:p>
            <w:pPr>
              <w:jc w:val="right"/>
              <w:ind w:right="580"/>
              <w:spacing w:after="0"/>
              <w:rPr>
                <w:sz w:val="20"/>
                <w:szCs w:val="20"/>
                <w:color w:val="auto"/>
              </w:rPr>
            </w:pPr>
            <w:r>
              <w:rPr>
                <w:rFonts w:ascii="Arial" w:cs="Arial" w:eastAsia="Arial" w:hAnsi="Arial"/>
                <w:sz w:val="18"/>
                <w:szCs w:val="18"/>
                <w:color w:val="auto"/>
              </w:rPr>
              <w:t>$25.32</w:t>
            </w:r>
          </w:p>
        </w:tc>
        <w:tc>
          <w:tcPr>
            <w:tcW w:w="1960" w:type="dxa"/>
            <w:vAlign w:val="bottom"/>
            <w:gridSpan w:val="2"/>
          </w:tcPr>
          <w:p>
            <w:pPr>
              <w:jc w:val="right"/>
              <w:ind w:right="580"/>
              <w:spacing w:after="0"/>
              <w:rPr>
                <w:sz w:val="20"/>
                <w:szCs w:val="20"/>
                <w:color w:val="auto"/>
              </w:rPr>
            </w:pPr>
            <w:r>
              <w:rPr>
                <w:rFonts w:ascii="Arial" w:cs="Arial" w:eastAsia="Arial" w:hAnsi="Arial"/>
                <w:sz w:val="18"/>
                <w:szCs w:val="18"/>
                <w:color w:val="auto"/>
              </w:rPr>
              <w:t>2/10/2019</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-3601085</wp:posOffset>
            </wp:positionV>
            <wp:extent cx="5351145" cy="685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1145" cy="68580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-1868805</wp:posOffset>
            </wp:positionV>
            <wp:extent cx="5351145" cy="823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1145" cy="82359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-410845</wp:posOffset>
            </wp:positionV>
            <wp:extent cx="535114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1145"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 options have a ten-year term and vest and become exercisable as to one-fourth of the shares on the one year vesting commencement date (typically the grant date), with the remaining shares vesting in a series of 36 equal monthly installments on the first day of each month thereafter.</w:t>
      </w:r>
    </w:p>
    <w:p>
      <w:pPr>
        <w:spacing w:after="0" w:line="4"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 options have a seven-year term and vest and become exercisable as to one-fourth of the shares on the one year vesting commencement date (typically the grant date), with the remaining shares vesting in a series of 36 equal monthly installments on the first day of each month thereafter.</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Units generally vest as to one-fourth of the units on the one year vesting commencement date (typically the grant date), with the remaining units vesting in a series of 36 equal monthly installments on the first day of each month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stock option exercises by our named executive officers during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46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6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97"/>
              </w:rPr>
              <w:t>Number of Shares</w:t>
            </w:r>
          </w:p>
        </w:tc>
        <w:tc>
          <w:tcPr>
            <w:tcW w:w="18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24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Acquired on Exercise (#)</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on Exercise ($)</w:t>
            </w:r>
          </w:p>
        </w:tc>
        <w:tc>
          <w:tcPr>
            <w:tcW w:w="0" w:type="dxa"/>
            <w:vAlign w:val="bottom"/>
          </w:tcPr>
          <w:p>
            <w:pPr>
              <w:spacing w:after="0"/>
              <w:rPr>
                <w:sz w:val="1"/>
                <w:szCs w:val="1"/>
                <w:color w:val="auto"/>
              </w:rPr>
            </w:pPr>
          </w:p>
        </w:tc>
      </w:tr>
      <w:tr>
        <w:trPr>
          <w:trHeight w:val="148"/>
        </w:trPr>
        <w:tc>
          <w:tcPr>
            <w:tcW w:w="3720" w:type="dxa"/>
            <w:vAlign w:val="bottom"/>
            <w:gridSpan w:val="3"/>
            <w:vMerge w:val="continue"/>
          </w:tcPr>
          <w:p>
            <w:pPr>
              <w:spacing w:after="0"/>
              <w:rPr>
                <w:sz w:val="12"/>
                <w:szCs w:val="12"/>
                <w:color w:val="auto"/>
              </w:rPr>
            </w:pPr>
          </w:p>
        </w:tc>
        <w:tc>
          <w:tcPr>
            <w:tcW w:w="2400" w:type="dxa"/>
            <w:vAlign w:val="bottom"/>
            <w:gridSpan w:val="2"/>
          </w:tcPr>
          <w:p>
            <w:pPr>
              <w:jc w:val="right"/>
              <w:ind w:right="1040"/>
              <w:spacing w:after="0" w:line="148" w:lineRule="exact"/>
              <w:rPr>
                <w:sz w:val="20"/>
                <w:szCs w:val="20"/>
                <w:color w:val="auto"/>
              </w:rPr>
            </w:pPr>
            <w:r>
              <w:rPr>
                <w:rFonts w:ascii="Arial" w:cs="Arial" w:eastAsia="Arial" w:hAnsi="Arial"/>
                <w:sz w:val="14"/>
                <w:szCs w:val="14"/>
                <w:b w:val="1"/>
                <w:bCs w:val="1"/>
                <w:color w:val="auto"/>
                <w:w w:val="85"/>
              </w:rPr>
              <w:t>Acquired on Vesting (#)</w:t>
            </w:r>
          </w:p>
        </w:tc>
        <w:tc>
          <w:tcPr>
            <w:tcW w:w="18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on Vesting ($)</w:t>
            </w: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0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72,300</w:t>
            </w: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2,009,998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7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24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119,949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720" w:type="dxa"/>
            <w:vAlign w:val="bottom"/>
            <w:gridSpan w:val="3"/>
          </w:tcPr>
          <w:p>
            <w:pPr>
              <w:spacing w:after="0"/>
              <w:rPr>
                <w:sz w:val="20"/>
                <w:szCs w:val="20"/>
                <w:color w:val="auto"/>
              </w:rPr>
            </w:pPr>
            <w:r>
              <w:rPr>
                <w:rFonts w:ascii="Arial" w:cs="Arial" w:eastAsia="Arial" w:hAnsi="Arial"/>
                <w:sz w:val="18"/>
                <w:szCs w:val="18"/>
                <w:color w:val="auto"/>
              </w:rPr>
              <w:t>David J. Novak, Jr.</w:t>
            </w:r>
          </w:p>
        </w:tc>
        <w:tc>
          <w:tcPr>
            <w:tcW w:w="24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10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Gray</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80,100</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aggregate number of shares acquired on exercise by each named executive officer during 2012.</w:t>
      </w:r>
    </w:p>
    <w:p>
      <w:pPr>
        <w:spacing w:after="0" w:line="90"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aggregate value realized on exercise in 2012 by each named executive officer by aggregating (1) the difference between (a) the market price of our common stock on the exercise date and (b) the per share exercise price (2) multiplied by the number of shares acquired on exercise.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2012.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or our officers or employees at any time during the term of the agreement or thereafter.</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entered into confidentiality and non-competition agreements with our named executive officers other than Mr. Black. These agreements require the executives to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employment and confidentiality and non-competition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 Potential Payments Upon Termination or Change-in-Control.”</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entered into management incentive agreements with each of Archie C. Black and James J. Frome that provide for a bonus to be paid to them upon a sale of our company. A “sale” includes (1) the disposition of all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substantially all of our assets; (2) 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 purchase price, as defined, exceeding $25 million but less than $65 million, subject to a maximum of $46,000. These agreements terminated on June 30, 2012 and are no longer in effect.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Michael J. Gray</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November 19, 2012, Michael J. Gray, our former Executive Vice President of Operations, resigned as an officer of our company. In consideration for providing a release, Mr. Gray received severance in the amount of six months of his annualized base salary, a supplemental severance payment of $50,000 and immediate vesting of 3,337 of his stock options granted in February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entered into agreements that will require us to provide compensation to our named executive officers in the event of a termination of employment or a change in control of our company. Our employment agreement with Archie C. Black, our Chief Executive Officer, provides that, if we terminate his employment without cause, or if he terminates his employment with us for good reason, we will (1) pay his salary for 12 months in accordance with our regular payroll practices and any unused vacation accrued as of the date of termination and (2) provide health care benefits to him and his family for 12 months after the date of termination on the same terms as they are provided as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12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entered into agreements with each of our named executive officers other than Mr. Black that provide that, if we terminate the named executive officer’s employment without cause, and provided the termination does not occur upon or within 12 months of a change in control of our company, we will pay the named executive officer six months of his or her then-current base salary over a six-month period in accordance with our normal payroll practices. If we terminate the named executive officer’s employment without cause upon or within 12 months after a change in control, or if the named executive officer terminates his or her employment for good reason upon or within 12 months after a change in control, we will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may terminate without “cause” are defined in accordance with our 2001 Stock Option Plan and described below. A named executive officer may terminate his or her employment for “good reason” if there is a material reduction in the officer’s salary at the time of the change in control or a material reduction in responsibilities following the change in control.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Agreements and Restricted Stock Unit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 competition/non 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Generally, option agreements and restricted stock unit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Agreements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entered into the management incentive agreements with each of Archie C. Black and James J. Frome described above under “ — Employment Agreements” that provide for a bonus to be paid to them upon a sale of our company. The payment to Mr. Black would be equal to 0.114% of the amount of the purchase price, as defined, exceeding $25 million but less than $65 million, subject to a maximum payment of $45,600. The payment to Mr. Frome would be equal to 0.115% of the amount of the purchase price, as defined, exceeding $25 million but less than $65 million, subject to a maximum payment of $46,000. These agreements terminated on June 30, 2012 and are no longer in effect.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2012. Amounts in the tables for the vesting of unvested stock options are calculated based on the number of accelerated stock options multiplied by the difference between $37.27, the closing price for a share of our common stock on The NASDAQ Stock Market on December 31, 2012, and the per share exercise price.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356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Salary, Bonus &amp;</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Health</w:t>
            </w:r>
          </w:p>
        </w:tc>
        <w:tc>
          <w:tcPr>
            <w:tcW w:w="9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Unused Vacation</w:t>
            </w:r>
          </w:p>
        </w:tc>
        <w:tc>
          <w:tcPr>
            <w:tcW w:w="940" w:type="dxa"/>
            <w:vAlign w:val="bottom"/>
          </w:tcPr>
          <w:p>
            <w:pPr>
              <w:spacing w:after="0"/>
              <w:rPr>
                <w:sz w:val="14"/>
                <w:szCs w:val="14"/>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Benefits(1)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405,577</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7,222</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7,222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4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4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45,600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2,712,851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vMerge w:val="restart"/>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644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2"/>
              <w:spacing w:after="0" w:line="148" w:lineRule="exact"/>
              <w:rPr>
                <w:sz w:val="20"/>
                <w:szCs w:val="20"/>
                <w:color w:val="auto"/>
              </w:rPr>
            </w:pPr>
            <w:r>
              <w:rPr>
                <w:rFonts w:ascii="Arial" w:cs="Arial" w:eastAsia="Arial" w:hAnsi="Arial"/>
                <w:sz w:val="14"/>
                <w:szCs w:val="14"/>
                <w:b w:val="1"/>
                <w:bCs w:val="1"/>
                <w:color w:val="auto"/>
                <w:w w:val="90"/>
              </w:rPr>
              <w:t>Salary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 Unrelated to Change in Control</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$135,000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$270,000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1,063,209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700" w:type="dxa"/>
            <w:vAlign w:val="bottom"/>
            <w:gridSpan w:val="3"/>
          </w:tcPr>
          <w:p>
            <w:pPr>
              <w:spacing w:after="0"/>
              <w:rPr>
                <w:sz w:val="20"/>
                <w:szCs w:val="20"/>
                <w:color w:val="auto"/>
              </w:rPr>
            </w:pPr>
            <w:r>
              <w:rPr>
                <w:rFonts w:ascii="Arial" w:cs="Arial" w:eastAsia="Arial" w:hAnsi="Arial"/>
                <w:sz w:val="18"/>
                <w:szCs w:val="18"/>
                <w:i w:val="1"/>
                <w:iCs w:val="1"/>
                <w:color w:val="auto"/>
              </w:rPr>
              <w:t>James J. Frome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vMerge w:val="restart"/>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644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Salary &amp;</w:t>
            </w:r>
          </w:p>
        </w:tc>
        <w:tc>
          <w:tcPr>
            <w:tcW w:w="8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32"/>
              <w:spacing w:after="0" w:line="148" w:lineRule="exact"/>
              <w:rPr>
                <w:sz w:val="20"/>
                <w:szCs w:val="20"/>
                <w:color w:val="auto"/>
              </w:rPr>
            </w:pPr>
            <w:r>
              <w:rPr>
                <w:rFonts w:ascii="Arial" w:cs="Arial" w:eastAsia="Arial" w:hAnsi="Arial"/>
                <w:sz w:val="14"/>
                <w:szCs w:val="14"/>
                <w:b w:val="1"/>
                <w:bCs w:val="1"/>
                <w:color w:val="auto"/>
                <w:w w:val="82"/>
              </w:rPr>
              <w:t>Bonus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$132,500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$265,000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42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46,000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420" w:type="dxa"/>
            <w:vAlign w:val="bottom"/>
            <w:gridSpan w:val="2"/>
          </w:tcPr>
          <w:p>
            <w:pPr>
              <w:jc w:val="center"/>
              <w:ind w:left="196"/>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46,000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700" w:type="dxa"/>
            <w:vAlign w:val="bottom"/>
            <w:gridSpan w:val="3"/>
          </w:tcPr>
          <w:p>
            <w:pPr>
              <w:spacing w:after="0"/>
              <w:rPr>
                <w:sz w:val="20"/>
                <w:szCs w:val="20"/>
                <w:color w:val="auto"/>
              </w:rPr>
            </w:pPr>
            <w:r>
              <w:rPr>
                <w:rFonts w:ascii="Arial" w:cs="Arial" w:eastAsia="Arial" w:hAnsi="Arial"/>
                <w:sz w:val="18"/>
                <w:szCs w:val="18"/>
                <w:i w:val="1"/>
                <w:iCs w:val="1"/>
                <w:color w:val="auto"/>
              </w:rPr>
              <w:t>Michael J. Gray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vMerge w:val="restart"/>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644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980" w:type="dxa"/>
            <w:vAlign w:val="bottom"/>
            <w:gridSpan w:val="4"/>
          </w:tcPr>
          <w:p>
            <w:pPr>
              <w:jc w:val="center"/>
              <w:ind w:right="212"/>
              <w:spacing w:after="0" w:line="148" w:lineRule="exact"/>
              <w:rPr>
                <w:sz w:val="20"/>
                <w:szCs w:val="20"/>
                <w:color w:val="auto"/>
              </w:rPr>
            </w:pPr>
            <w:r>
              <w:rPr>
                <w:rFonts w:ascii="Arial" w:cs="Arial" w:eastAsia="Arial" w:hAnsi="Arial"/>
                <w:sz w:val="14"/>
                <w:szCs w:val="14"/>
                <w:b w:val="1"/>
                <w:bCs w:val="1"/>
                <w:color w:val="auto"/>
                <w:w w:val="85"/>
              </w:rPr>
              <w:t>Salary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$112,500</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7700" w:type="dxa"/>
            <w:vAlign w:val="bottom"/>
            <w:gridSpan w:val="3"/>
          </w:tcPr>
          <w:p>
            <w:pPr>
              <w:jc w:val="right"/>
              <w:ind w:right="2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David J. Novak, Jr.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0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5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Salary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$127,500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$255,000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1,063,209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summarizes, as of December 31, 2012, the number of shares of our common stock to be issued upon exercise of outstanding options and settlement of restricted stock units granted under our equity plans as of December 31, 2012. The table also includes the weighted-average exercise price of options and the number of shares remaining available for future issuance under the plans for all awards.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 approved by stockholders(1)(2)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the 2001 Stock Option Plan and the 2010 Equity Incentive Plan.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8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78"/>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8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price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8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8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warrants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shares</w:t>
            </w:r>
          </w:p>
        </w:tc>
      </w:tr>
      <w:tr>
        <w:trPr>
          <w:trHeight w:val="16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1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1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first column)</w:t>
            </w:r>
          </w:p>
        </w:tc>
      </w:tr>
      <w:tr>
        <w:trPr>
          <w:trHeight w:val="201"/>
        </w:trPr>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w w:val="99"/>
              </w:rPr>
              <w:t>1,438,382(3)</w:t>
            </w:r>
          </w:p>
        </w:tc>
        <w:tc>
          <w:tcPr>
            <w:tcW w:w="1160" w:type="dxa"/>
            <w:vAlign w:val="bottom"/>
          </w:tcPr>
          <w:p>
            <w:pPr>
              <w:spacing w:after="0"/>
              <w:rPr>
                <w:sz w:val="17"/>
                <w:szCs w:val="17"/>
                <w:color w:val="auto"/>
              </w:rPr>
            </w:pPr>
          </w:p>
        </w:tc>
        <w:tc>
          <w:tcPr>
            <w:tcW w:w="1860" w:type="dxa"/>
            <w:vAlign w:val="bottom"/>
            <w:gridSpan w:val="2"/>
          </w:tcPr>
          <w:p>
            <w:pPr>
              <w:jc w:val="right"/>
              <w:ind w:right="980"/>
              <w:spacing w:after="0" w:line="201" w:lineRule="exact"/>
              <w:rPr>
                <w:sz w:val="20"/>
                <w:szCs w:val="20"/>
                <w:color w:val="auto"/>
              </w:rPr>
            </w:pPr>
            <w:r>
              <w:rPr>
                <w:rFonts w:ascii="Arial" w:cs="Arial" w:eastAsia="Arial" w:hAnsi="Arial"/>
                <w:sz w:val="18"/>
                <w:szCs w:val="18"/>
                <w:color w:val="auto"/>
                <w:w w:val="93"/>
              </w:rPr>
              <w:t>$   12.41(4)</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1,145,340</w:t>
            </w:r>
          </w:p>
        </w:tc>
      </w:tr>
      <w:tr>
        <w:trPr>
          <w:trHeight w:val="222"/>
        </w:trPr>
        <w:tc>
          <w:tcPr>
            <w:tcW w:w="2200" w:type="dxa"/>
            <w:vAlign w:val="bottom"/>
            <w:gridSpan w:val="2"/>
          </w:tcPr>
          <w:p>
            <w:pPr>
              <w:jc w:val="right"/>
              <w:ind w:right="1160"/>
              <w:spacing w:after="0"/>
              <w:rPr>
                <w:sz w:val="20"/>
                <w:szCs w:val="20"/>
                <w:color w:val="auto"/>
              </w:rPr>
            </w:pPr>
            <w:r>
              <w:rPr>
                <w:rFonts w:ascii="Arial" w:cs="Arial" w:eastAsia="Arial" w:hAnsi="Arial"/>
                <w:sz w:val="18"/>
                <w:szCs w:val="18"/>
                <w:color w:val="auto"/>
              </w:rPr>
              <w:t>None</w:t>
            </w:r>
          </w:p>
        </w:tc>
        <w:tc>
          <w:tcPr>
            <w:tcW w:w="1860" w:type="dxa"/>
            <w:vAlign w:val="bottom"/>
            <w:gridSpan w:val="2"/>
          </w:tcPr>
          <w:p>
            <w:pPr>
              <w:jc w:val="right"/>
              <w:ind w:right="118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-281305</wp:posOffset>
            </wp:positionV>
            <wp:extent cx="666369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5600" w:space="60"/>
            <w:col w:w="5720"/>
          </w:cols>
          <w:pgMar w:left="240" w:top="459" w:right="279" w:bottom="1440" w:gutter="0" w:footer="0" w:header="0"/>
          <w:type w:val="continuous"/>
        </w:sectPr>
      </w:pPr>
    </w:p>
    <w:p>
      <w:pPr>
        <w:ind w:left="46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61"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1,370,141 shares subject to outstanding and unexercised stock option awards and 68,241 shares issuable in settlement of restricted stock unit awards.</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 awards, as the other forms of awards disclosed in this note entail the issuance of shares for the payment of no consideration.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20, 2013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14,955,624 shares of our common stock issued and outstanding on March 20, 2013.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640" w:type="dxa"/>
            <w:vAlign w:val="bottom"/>
            <w:vMerge w:val="restart"/>
          </w:tcPr>
          <w:p>
            <w:pPr>
              <w:spacing w:after="0"/>
              <w:rPr>
                <w:sz w:val="14"/>
                <w:szCs w:val="14"/>
                <w:color w:val="auto"/>
              </w:rPr>
            </w:pPr>
          </w:p>
        </w:tc>
        <w:tc>
          <w:tcPr>
            <w:tcW w:w="290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7"/>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2900" w:type="dxa"/>
            <w:vAlign w:val="bottom"/>
            <w:gridSpan w:val="2"/>
          </w:tcPr>
          <w:p>
            <w:pPr>
              <w:jc w:val="right"/>
              <w:ind w:right="1620"/>
              <w:spacing w:after="0" w:line="148" w:lineRule="exact"/>
              <w:rPr>
                <w:sz w:val="20"/>
                <w:szCs w:val="20"/>
                <w:color w:val="auto"/>
              </w:rPr>
            </w:pPr>
            <w:r>
              <w:rPr>
                <w:rFonts w:ascii="Arial" w:cs="Arial" w:eastAsia="Arial" w:hAnsi="Arial"/>
                <w:sz w:val="14"/>
                <w:szCs w:val="14"/>
                <w:b w:val="1"/>
                <w:bCs w:val="1"/>
                <w:color w:val="auto"/>
                <w:w w:val="88"/>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341,328(1)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Cleveland</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440(2)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107,218(3)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29,090(4)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45,112(5)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K. Nelson</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118,631(6)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David J. Novak, Jr.</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106,759(7)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24,197(8)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16,087(9)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31,847(10)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220"/>
              <w:spacing w:after="0"/>
              <w:rPr>
                <w:sz w:val="20"/>
                <w:szCs w:val="20"/>
                <w:color w:val="auto"/>
              </w:rPr>
            </w:pPr>
            <w:r>
              <w:rPr>
                <w:rFonts w:ascii="Arial" w:cs="Arial" w:eastAsia="Arial" w:hAnsi="Arial"/>
                <w:sz w:val="18"/>
                <w:szCs w:val="18"/>
                <w:color w:val="auto"/>
              </w:rPr>
              <w:t>(10 persons)</w:t>
            </w:r>
          </w:p>
        </w:tc>
        <w:tc>
          <w:tcPr>
            <w:tcW w:w="2900" w:type="dxa"/>
            <w:vAlign w:val="bottom"/>
            <w:gridSpan w:val="2"/>
          </w:tcPr>
          <w:p>
            <w:pPr>
              <w:jc w:val="right"/>
              <w:ind w:right="1580"/>
              <w:spacing w:after="0"/>
              <w:rPr>
                <w:sz w:val="20"/>
                <w:szCs w:val="20"/>
                <w:color w:val="auto"/>
              </w:rPr>
            </w:pPr>
            <w:r>
              <w:rPr>
                <w:rFonts w:ascii="Arial" w:cs="Arial" w:eastAsia="Arial" w:hAnsi="Arial"/>
                <w:sz w:val="18"/>
                <w:szCs w:val="18"/>
                <w:color w:val="auto"/>
              </w:rPr>
              <w:t>820,749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Capital World Investors</w:t>
            </w:r>
          </w:p>
        </w:tc>
        <w:tc>
          <w:tcPr>
            <w:tcW w:w="2900" w:type="dxa"/>
            <w:vAlign w:val="bottom"/>
            <w:gridSpan w:val="2"/>
          </w:tcPr>
          <w:p>
            <w:pPr>
              <w:jc w:val="right"/>
              <w:ind w:right="1300"/>
              <w:spacing w:after="0"/>
              <w:rPr>
                <w:sz w:val="20"/>
                <w:szCs w:val="20"/>
                <w:color w:val="auto"/>
              </w:rPr>
            </w:pPr>
            <w:r>
              <w:rPr>
                <w:rFonts w:ascii="Arial" w:cs="Arial" w:eastAsia="Arial" w:hAnsi="Arial"/>
                <w:sz w:val="18"/>
                <w:szCs w:val="18"/>
                <w:color w:val="auto"/>
              </w:rPr>
              <w:t>901,300(11)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Wanger Asset Management, LLC</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1,644,700(12)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2900" w:type="dxa"/>
            <w:vAlign w:val="bottom"/>
            <w:gridSpan w:val="2"/>
          </w:tcPr>
          <w:p>
            <w:pPr>
              <w:jc w:val="right"/>
              <w:ind w:right="1300"/>
              <w:spacing w:after="0"/>
              <w:rPr>
                <w:sz w:val="20"/>
                <w:szCs w:val="20"/>
                <w:color w:val="auto"/>
              </w:rPr>
            </w:pPr>
            <w:r>
              <w:rPr>
                <w:rFonts w:ascii="Arial" w:cs="Arial" w:eastAsia="Arial" w:hAnsi="Arial"/>
                <w:sz w:val="18"/>
                <w:szCs w:val="18"/>
                <w:color w:val="auto"/>
              </w:rPr>
              <w:t>2,173,136(13)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Riverbridge Partners LLC</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920,879(14)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70,755 shares owned by the Archie C. and Jane McDonald Black Charitable Trust (the “Charitable Trust”) for which Mr. Black serves as a co-trustee, 800 shares owned by Mr. Black’s sons, 266,135 shares subject to options that are exercisable within 60 days of the date of the table and 3,638 restricted stock units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440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105,374 shares subject to options that are exercisable within 60 days of the date of the table and 1,844 restricted stock units that will vest within 60 days of the date of the table. Mr. Frome has served as our Executive Vice President and Chief Operating Officer since August 2012.</w:t>
      </w:r>
    </w:p>
    <w:p>
      <w:pPr>
        <w:spacing w:after="0" w:line="4"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20,468 shares owned by Mr. Gorman, 7,567 shares subject to options that are exercisable within 60 days of the date of the table, and 1,055 restricted stock units that will vest within 60 days of the date of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44,057 shares subject to options that are exercisable within 60 days of the date of the table and 1,055 restricted stock units that will vest within 60 days of the date of the table.</w:t>
      </w:r>
    </w:p>
    <w:p>
      <w:pPr>
        <w:spacing w:after="0" w:line="5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116,787 shares subject to options that are exercisable within 60 days of the date of the table and 1,844 restricted stock units that will vest within 60 days of the date of the table. Ms. Nelson has served as our Executive Vice President and Chief Financial Officer since 2007.</w:t>
      </w:r>
    </w:p>
    <w:p>
      <w:pPr>
        <w:spacing w:after="0" w:line="4"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104,915 shares subject to options that are exercisable within 60 days of the date of the table and 1,844 restricted stock units that will vest within 60 days of the date of the table. Mr. Novak has served as our Executive Vice President of Business Development since 2007.</w:t>
      </w:r>
    </w:p>
    <w:p>
      <w:pPr>
        <w:spacing w:after="0" w:line="4"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23,142 shares subject to options that are exercisable within 60 days of the date of the table and 1,055 restricted stock units that will vest within 60 days of the date of the table.</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15,032 shares subject to options that are exercisable within 60 days of the date of the table and 1,055 restricted stock units that will vest within 60 days of the date of the table.</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30,792 shares subject to options that are exercisable within 60 days of the date of the table and 1,055 restricted stock units that will vest within 60 days of the date of the table.</w:t>
      </w:r>
    </w:p>
    <w:p>
      <w:pPr>
        <w:spacing w:after="0" w:line="50"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Capital World Investors on February 13, 2013, and reflects beneficial ownership as of December 31, 2012. Capital World Investors has sole voting power as to 901,300 shares and sole dispositive power as to 901,300 shares. One or more clients of Capital World Investors have the right to receive or the power to direct the receipt of dividends from, or the proceeds from the sale of, the Common Stock of SPS Commerce Inc. Capital World Investors holds more than five percent of the outstanding common stock of the Company as of December 30, 2012 on behalf of each of the following client(s): SMALLCAP World Fund, Inc. The address for Capital World Investors is 333 South Hope Street, Los Angeles, CA 90071.</w:t>
      </w:r>
    </w:p>
    <w:p>
      <w:pPr>
        <w:spacing w:after="0" w:line="39" w:lineRule="exact"/>
        <w:rPr>
          <w:rFonts w:ascii="Arial" w:cs="Arial" w:eastAsia="Arial" w:hAnsi="Arial"/>
          <w:sz w:val="16"/>
          <w:szCs w:val="16"/>
          <w:color w:val="auto"/>
        </w:rPr>
      </w:pPr>
    </w:p>
    <w:p>
      <w:pPr>
        <w:ind w:left="460" w:right="2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Columbia Wanger Asset Management, LLC on February 14, 2013, and reflects beneficial ownership as of December 31, 2012. Columbia Wanger Asset Management, LLC has sole voting power as to 1,468,700 shares and sole dispositive power as to 1,644,700 shares. The number of shares includes shares held by Columbia Acorn Trust (CAT), a Massachusetts business trust that is advised by Columbia Wanger Asset Management, LLC. CAT held 6.1% of the outstanding common stock of the Company at December 31, 2012. Columbia Wanger Asset Management, LLC is the investment advisor of CAT and may be deemed to beneficially own the shares held by CAT. The address for Columbia Wanger Asset Management, LLC is 227 West Monroe Street, Suite 3000, Chicago, IL 60606.</w:t>
      </w:r>
    </w:p>
    <w:p>
      <w:pPr>
        <w:spacing w:after="0" w:line="39" w:lineRule="exact"/>
        <w:rPr>
          <w:rFonts w:ascii="Arial" w:cs="Arial" w:eastAsia="Arial" w:hAnsi="Arial"/>
          <w:sz w:val="16"/>
          <w:szCs w:val="16"/>
          <w:color w:val="auto"/>
        </w:rPr>
      </w:pPr>
    </w:p>
    <w:p>
      <w:pPr>
        <w:ind w:left="460" w:right="12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FMR LLC on January 10, 2013, and reflects beneficial ownership as of December 31, 2012. FMR LLC has sole voting power as to 0 shares and sole dispositive power as to 2,173,136 shares. Various persons have the right to receive or the power to direct the receipt of dividends from, or the proceeds from the sale of the Common Stock of the Company. The interest of one person, Fidelity Advisor New Insights Fund, an investment company registered under the Investment Company Act of 1940, in the common stock of the Company, amounted to 1,000,000 shares or 6.810% of the Company’s total outstanding common stock at December 31, 2012. The address for FMR LLC is 82 Devonshire Street, Boston, Massachusetts 02109.</w:t>
      </w:r>
    </w:p>
    <w:p>
      <w:pPr>
        <w:spacing w:after="0" w:line="39"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Riverbridge Partners LLC on February 4, 2013, and reflects beneficial ownership as of December 31, 2012. Riverbridge Partners LLC has sole voting power as to 631,339 shares and sole dispositive power as to 920,879 shares. The address for Riverbridge Partners LLC is 801 Nicollet Mall, Suite 600, Minneapolis, MN 55402.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executive officers and directors to file initial reports of ownership of our securities and reports of changes in ownership with the Securities and Exchange Commission. Based on our knowledge and on written representations from our executive officers and directors, we believe that all Section 16(a) filing and disclosure requirements applicable to our executive officers and directors for 2012 have been satisfied, with the exception of Archie Black and James Frome for whom the company filed one late Form 4 for each individual.</w:t>
      </w:r>
    </w:p>
    <w:p>
      <w:pPr>
        <w:spacing w:after="0" w:line="269"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Indemnification Agreements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 We adopted our related person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policy in connection with our initial public offering in 2010 and did not have a formal review and approval policy for related person transactions at the time of any transaction described in this “Certain Relationships and Related Transactions” section.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2012 were audited by Grant Thornton LLP, independent auditor for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firstLine="443"/>
        <w:spacing w:after="0" w:line="268"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 (Communications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Grant Thornton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Grant Thornton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2012, for filing with the Securities and Exchange Commission.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George H. Spencer, III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Grant Thornton LLP served as our independent auditor for 2012 and 2011. The following table presents fees for professional audit services for the audit of our annual consolidated financial statements for 2012 and 2011, as well as fees for the review of our interim consolidated financial statements for each quarter in 2012 and 2011 and for all other services performed for 2012 and 2011 by Grant Thornton LLP.</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2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5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$396,605</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$252,219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Audit-Related Fees(2)</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17,524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All Other Fees</w:t>
            </w:r>
          </w:p>
        </w:tc>
        <w:tc>
          <w:tcPr>
            <w:tcW w:w="5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489,472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80" w:type="dxa"/>
            <w:vAlign w:val="bottom"/>
            <w:vMerge w:val="restart"/>
          </w:tcPr>
          <w:p>
            <w:pPr>
              <w:jc w:val="right"/>
              <w:ind w:right="3017"/>
              <w:spacing w:after="0"/>
              <w:rPr>
                <w:sz w:val="20"/>
                <w:szCs w:val="20"/>
                <w:color w:val="auto"/>
              </w:rPr>
            </w:pPr>
            <w:r>
              <w:rPr>
                <w:rFonts w:ascii="Arial" w:cs="Arial" w:eastAsia="Arial" w:hAnsi="Arial"/>
                <w:sz w:val="18"/>
                <w:szCs w:val="18"/>
                <w:color w:val="auto"/>
              </w:rPr>
              <w:t>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secondary public offering in September 2012) and other professional services provided in connection with statutory and regulatory filings or engagements.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Audit-Related Fees consist of fees for professional services rendered in connection with acquisitions and for the audit of our 401(k) retirement savings plan.</w:t>
      </w:r>
    </w:p>
    <w:p>
      <w:pPr>
        <w:spacing w:after="0" w:line="124"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2012 and 2011 for professional services rendered for tax compliance, tax advice and tax planning. Such fees primarily related to federal and state tax compliance, planning and consulting.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0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SELECTION OF INDEPENDENT AUDITOR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our board of directors has selected Grant Thornton LLP to serve as our independent auditor for the year ending December 31, 2013. While it is not required to do so, our board of directors is submitting the selection of Grant Thornton LLP for ratification in order to ascertain the views of our stockholders with respect to the choice of audit firm. If the selection is not ratified, the audit committee will reconsider its selection. Representatives of Grant Thornton LLP are expected to be present at the annual meeting, will be available to answer stockholder questions and will have the opportunity to make a statement if they desire to do so.</w:t>
      </w:r>
    </w:p>
    <w:p>
      <w:pPr>
        <w:spacing w:after="0" w:line="137" w:lineRule="exact"/>
        <w:rPr>
          <w:sz w:val="20"/>
          <w:szCs w:val="20"/>
          <w:color w:val="auto"/>
        </w:rPr>
      </w:pPr>
    </w:p>
    <w:p>
      <w:pPr>
        <w:jc w:val="both"/>
        <w:ind w:right="340" w:firstLine="456"/>
        <w:spacing w:after="0" w:line="262"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Grant Thornton LLP as the independent auditor of SPS Commerce, Inc. and our subsidiaries for the year ending December 31, 2013. Proxies will be voted FOR ratification of this selection unless otherwise specified.</w:t>
      </w:r>
    </w:p>
    <w:p>
      <w:pPr>
        <w:spacing w:after="0" w:line="213" w:lineRule="exact"/>
        <w:rPr>
          <w:sz w:val="20"/>
          <w:szCs w:val="20"/>
          <w:color w:val="auto"/>
        </w:rPr>
      </w:pPr>
    </w:p>
    <w:p>
      <w:pPr>
        <w:ind w:right="1400"/>
        <w:spacing w:after="0" w:line="347" w:lineRule="auto"/>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ADVISORY VOTE ON APPROVAL OF THE COMPENSATION OF THE COMPANY’S NAMED EXECUTIVE OFFICERS</w:t>
      </w:r>
      <w:r>
        <w:rPr>
          <w:rFonts w:ascii="Arial" w:cs="Arial" w:eastAsia="Arial" w:hAnsi="Arial"/>
          <w:sz w:val="18"/>
          <w:szCs w:val="18"/>
          <w:b w:val="1"/>
          <w:bCs w:val="1"/>
          <w:color w:val="auto"/>
        </w:rPr>
        <w:t xml:space="preserve"> General Information</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bonuses and equity awards. During 2012, our compensation primarily consisted of base salary, annual cash incentive awards, stock option grants and restricted stock unit awards, which helps align the incentives of our named executive officers with the interests of our stockholders.</w:t>
      </w:r>
    </w:p>
    <w:p>
      <w:pPr>
        <w:spacing w:after="0" w:line="85"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Our stockholders have a right to cast an advisory vote on our executive compensation program at the annual meeting. As a result, we are presenting this proposal, which gives you, as a stockholder, the opportunity to endorse our executive compensation program by voting for or against the following resolution:</w:t>
      </w:r>
    </w:p>
    <w:p>
      <w:pPr>
        <w:spacing w:after="0" w:line="6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“RESOLVED, that the stockholders approve the compensation of SPS Commerce, Inc. named executive officers, as disclosed in the Compensation Discussion and Analysis, the compensation tables, and the related disclosure contained in our 2012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urges stockholders to endorse the compensation programs for our named executive officers by voting FOR the resolution.</w:t>
      </w:r>
    </w:p>
    <w:p>
      <w:pPr>
        <w:spacing w:after="0" w:line="194"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As discussed in the CD&amp;A contained in this proxy statement, the compensation committee of the board of directors believes that the executive compensation for 2012 is reasonable and appropriate, is justified by our performance in an extremely difficult economic environment and is the result of a carefully considered approach. In deciding how to vote on this proposal, the board of directors advises you to consider the following factors related to the compensation paid to our named executive officers in fiscal 2012, each of which is discussed in the CD&amp;A:</w:t>
      </w:r>
    </w:p>
    <w:p>
      <w:pPr>
        <w:spacing w:after="0" w:line="32" w:lineRule="exact"/>
        <w:rPr>
          <w:sz w:val="20"/>
          <w:szCs w:val="20"/>
          <w:color w:val="auto"/>
        </w:rPr>
      </w:pPr>
    </w:p>
    <w:p>
      <w:pPr>
        <w:ind w:left="660" w:right="140" w:hanging="20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results exceeded the expectations we set for ourselves at the beginning of the year, with a revenue increase of 33% over 2011, to a record $77.1 million, and a 66% increase in adjusted EBITDA to a record $9.0 million. Recurring revenue also increased 38% from 2011. Our stock price closed 2012 at $37.27 per share, an increase of 44% from $25.95 at the end of 2011.</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2012, we made only modest base salary increases for our named executive officers of between 6% and 13% per individual compared to 2011.</w:t>
      </w:r>
    </w:p>
    <w:p>
      <w:pPr>
        <w:spacing w:after="0" w:line="19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Because your vote is advisory, it will not be binding on the board of directors and will not overrule any decision by the board or require the board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would consider constructive feedback obtained through this process in making future decisions about executive compensation programs.</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resolution to approve the compensation of our named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 </w:t>
      </w:r>
      <w:r>
        <w:rPr>
          <w:rFonts w:ascii="Arial" w:cs="Arial" w:eastAsia="Arial" w:hAnsi="Arial"/>
          <w:sz w:val="18"/>
          <w:szCs w:val="18"/>
          <w:b w:val="1"/>
          <w:bCs w:val="1"/>
          <w:i w:val="1"/>
          <w:iCs w:val="1"/>
          <w:color w:val="auto"/>
        </w:rPr>
        <w:t>ADVISORY VOTE ON APPROVAL OF THE COMPENSATION OF THE COMPANY’S NAMED EXECUTIVE OFFICERS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separate proposal will be presented at the annual meeting asking stockholders to approve on an advisory basis the frequency of the stockholder advisory vote on the compensation of our named executive officers.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Stockholders are being asked to vote on whether the stockholder vote on the compensation of our named executive officers should occur every one, two or three years. You will also have the choice to abstain from voting on this proposal.</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board of directors recommends that the stockholders vote in favor of conducting the advisory vote to approve the compensation of our named executive officers once every year. Our board of directors reviewed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alternatives to determine the approach that will best serve our company and our stockholders. Our board of directors has determined that an advisory vote on executive compensation held every year would be the best approach for our company based on a number of considerations, including, among other things, the following:</w:t>
      </w:r>
    </w:p>
    <w:p>
      <w:pPr>
        <w:spacing w:after="0" w:line="59" w:lineRule="exact"/>
        <w:rPr>
          <w:sz w:val="20"/>
          <w:szCs w:val="20"/>
          <w:color w:val="auto"/>
        </w:rPr>
      </w:pPr>
    </w:p>
    <w:p>
      <w:pPr>
        <w:ind w:left="660" w:right="380" w:hanging="206"/>
        <w:spacing w:after="0" w:line="30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compensation program ties a substantial portion of the compensation provided to our named executive officers to our long-term corporate performance and stockholder returns. We believe that an annual vote will give our stockholders sufficient opportunity to fully assess the success or failure of our long-term compensation strategies and the related business outcomes with the hindsight of a year of corporate performance; and</w:t>
      </w:r>
    </w:p>
    <w:p>
      <w:pPr>
        <w:spacing w:after="0" w:line="25"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one-year vote cycle allows sufficient time for our board of directors to review and respond to stockholders’ views on executive compensation and to implement changes, if necessary, to our executive compensation program.</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Because your vote is advisory, it will not be binding upon the board of directors. However, our board values the opinions that our shareholders express in their votes and will take into account the outcome of the vote when considering how frequently we should conduct an advisory vote on the compensation of our named executive officers as it deems appropriate.</w:t>
      </w:r>
    </w:p>
    <w:p>
      <w:pPr>
        <w:spacing w:after="0" w:line="134"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The board of directors, upon recommendation of the compensation committee, unanimously recommends a vote for the option of once every year as the frequency for which shareholders are provided an advisory vote to approve the compensation of our named executive officers.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PROPOSALS FOR THE 2014 ANNUAL MEETING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2014 annual meeting of stockholders, the written proposal must be received at our principal executive offices on or before December 2, 2013.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2014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15, 2014, and no later than February 14, 2014.</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114935</wp:posOffset>
            </wp:positionV>
            <wp:extent cx="1646555" cy="462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2013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9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Wednesday, May 15, 2013, at 8:30 a.m.</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205740</wp:posOffset>
            </wp:positionV>
            <wp:extent cx="3687445" cy="2872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744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INTERNET - www.proxyvote.com</w:t>
      </w:r>
    </w:p>
    <w:p>
      <w:pPr>
        <w:spacing w:after="0" w:line="2" w:lineRule="exact"/>
        <w:rPr>
          <w:sz w:val="20"/>
          <w:szCs w:val="20"/>
          <w:color w:val="auto"/>
        </w:rPr>
      </w:pPr>
    </w:p>
    <w:p>
      <w:pPr>
        <w:ind w:left="5620" w:right="106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Tuesday, May 14, 2013. Have your proxy card in hand when you access the web 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-90805</wp:posOffset>
            </wp:positionV>
            <wp:extent cx="2573020" cy="1903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3020" cy="1903730"/>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ind w:left="5620" w:right="900"/>
        <w:spacing w:after="0"/>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ind w:left="5620" w:right="104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Tuesday, May 14, 2013. Have your proxy card in hand when you call and then follow the instructions.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left="5620" w:right="9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5831840" cy="14833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18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61" w:lineRule="exact"/>
        <w:tabs>
          <w:tab w:leader="none" w:pos="528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38735</wp:posOffset>
            </wp:positionV>
            <wp:extent cx="351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6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KEEP THIS PORTION FOR YOUR RECORDS</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ectPr>
          <w:pgSz w:w="11900" w:h="16838" w:orient="portrait"/>
          <w:cols w:equalWidth="0" w:num="1">
            <w:col w:w="11420"/>
          </w:cols>
          <w:pgMar w:left="240" w:top="459" w:right="239" w:bottom="1440" w:gutter="0" w:footer="0" w:header="0"/>
        </w:sectPr>
      </w:pPr>
    </w:p>
    <w:bookmarkStart w:id="41" w:name="page42"/>
    <w:bookmarkEnd w:id="41"/>
    <w:p>
      <w:pPr>
        <w:jc w:val="center"/>
        <w:ind w:right="120"/>
        <w:spacing w:after="0"/>
        <w:rPr>
          <w:sz w:val="20"/>
          <w:szCs w:val="20"/>
          <w:color w:val="auto"/>
        </w:rPr>
      </w:pPr>
      <w:r>
        <w:rPr>
          <w:rFonts w:ascii="Arial" w:cs="Arial" w:eastAsia="Arial" w:hAnsi="Arial"/>
          <w:sz w:val="16"/>
          <w:szCs w:val="16"/>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92075</wp:posOffset>
            </wp:positionV>
            <wp:extent cx="6955155" cy="4690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5155" cy="4690745"/>
                    </a:xfrm>
                    <a:prstGeom prst="rect">
                      <a:avLst/>
                    </a:prstGeom>
                    <a:noFill/>
                  </pic:spPr>
                </pic:pic>
              </a:graphicData>
            </a:graphic>
          </wp:anchor>
        </w:drawing>
      </w:r>
    </w:p>
    <w:p>
      <w:pPr>
        <w:sectPr>
          <w:pgSz w:w="11900" w:h="16838" w:orient="portrait"/>
          <w:cols w:equalWidth="0" w:num="1">
            <w:col w:w="10860"/>
          </w:cols>
          <w:pgMar w:left="58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29" w:lineRule="auto"/>
        <w:rPr>
          <w:sz w:val="20"/>
          <w:szCs w:val="20"/>
          <w:color w:val="auto"/>
        </w:rPr>
      </w:pPr>
      <w:r>
        <w:rPr>
          <w:rFonts w:ascii="Arial" w:cs="Arial" w:eastAsia="Arial" w:hAnsi="Arial"/>
          <w:sz w:val="13"/>
          <w:szCs w:val="13"/>
          <w:b w:val="1"/>
          <w:bCs w:val="1"/>
          <w:color w:val="auto"/>
        </w:rPr>
        <w:t>The Board of Directors recommends you vote FOR the following:</w:t>
      </w:r>
    </w:p>
    <w:p>
      <w:pPr>
        <w:ind w:left="280" w:hanging="274"/>
        <w:spacing w:after="0" w:line="218" w:lineRule="auto"/>
        <w:tabs>
          <w:tab w:leader="none" w:pos="280" w:val="left"/>
        </w:tabs>
        <w:numPr>
          <w:ilvl w:val="0"/>
          <w:numId w:val="39"/>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ind w:left="2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For All</w:t>
            </w:r>
          </w:p>
        </w:tc>
        <w:tc>
          <w:tcPr>
            <w:tcW w:w="2540" w:type="dxa"/>
            <w:vAlign w:val="bottom"/>
            <w:gridSpan w:val="2"/>
          </w:tcPr>
          <w:p>
            <w:pPr>
              <w:spacing w:after="0"/>
              <w:rPr>
                <w:sz w:val="20"/>
                <w:szCs w:val="20"/>
                <w:color w:val="auto"/>
              </w:rPr>
            </w:pPr>
            <w:r>
              <w:rPr>
                <w:rFonts w:ascii="Arial" w:cs="Arial" w:eastAsia="Arial" w:hAnsi="Arial"/>
                <w:sz w:val="13"/>
                <w:szCs w:val="13"/>
                <w:color w:val="auto"/>
                <w:w w:val="95"/>
              </w:rPr>
              <w:t>To withhold authority to vote for any individual</w:t>
            </w:r>
          </w:p>
        </w:tc>
      </w:tr>
      <w:tr>
        <w:trPr>
          <w:trHeight w:val="151"/>
        </w:trPr>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Except</w:t>
            </w:r>
          </w:p>
        </w:tc>
        <w:tc>
          <w:tcPr>
            <w:tcW w:w="2540" w:type="dxa"/>
            <w:vAlign w:val="bottom"/>
            <w:gridSpan w:val="2"/>
          </w:tcPr>
          <w:p>
            <w:pPr>
              <w:spacing w:after="0"/>
              <w:rPr>
                <w:sz w:val="20"/>
                <w:szCs w:val="20"/>
                <w:color w:val="auto"/>
              </w:rPr>
            </w:pPr>
            <w:r>
              <w:rPr>
                <w:rFonts w:ascii="Arial" w:cs="Arial" w:eastAsia="Arial" w:hAnsi="Arial"/>
                <w:sz w:val="13"/>
                <w:szCs w:val="13"/>
                <w:color w:val="auto"/>
              </w:rPr>
              <w:t>nominee(s), mark</w:t>
            </w:r>
          </w:p>
        </w:tc>
      </w:tr>
      <w:tr>
        <w:trPr>
          <w:trHeight w:val="135"/>
        </w:trPr>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3"/>
                <w:szCs w:val="13"/>
                <w:color w:val="auto"/>
              </w:rPr>
              <w:t>“For All Except” and write the</w:t>
            </w:r>
          </w:p>
        </w:tc>
      </w:tr>
      <w:tr>
        <w:trPr>
          <w:trHeight w:val="135"/>
        </w:trPr>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3"/>
                <w:szCs w:val="13"/>
                <w:color w:val="auto"/>
              </w:rPr>
              <w:t>number(s) of the nominee(s)</w:t>
            </w:r>
          </w:p>
        </w:tc>
      </w:tr>
      <w:tr>
        <w:trPr>
          <w:trHeight w:val="152"/>
        </w:trPr>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40" w:type="dxa"/>
            <w:vAlign w:val="bottom"/>
            <w:gridSpan w:val="2"/>
          </w:tcPr>
          <w:p>
            <w:pPr>
              <w:spacing w:after="0"/>
              <w:rPr>
                <w:sz w:val="20"/>
                <w:szCs w:val="20"/>
                <w:color w:val="auto"/>
              </w:rPr>
            </w:pPr>
            <w:r>
              <w:rPr>
                <w:rFonts w:ascii="Arial" w:cs="Arial" w:eastAsia="Arial" w:hAnsi="Arial"/>
                <w:sz w:val="13"/>
                <w:szCs w:val="13"/>
                <w:color w:val="auto"/>
              </w:rPr>
              <w:t>on the line below.</w:t>
            </w:r>
          </w:p>
        </w:tc>
      </w:tr>
      <w:tr>
        <w:trPr>
          <w:trHeight w:val="502"/>
        </w:trPr>
        <w:tc>
          <w:tcPr>
            <w:tcW w:w="2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-762635</wp:posOffset>
            </wp:positionV>
            <wp:extent cx="68580" cy="763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76327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3260" w:space="160"/>
            <w:col w:w="7440"/>
          </w:cols>
          <w:pgMar w:left="580" w:top="121" w:right="45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0" w:type="dxa"/>
            <w:vAlign w:val="bottom"/>
          </w:tcPr>
          <w:p>
            <w:pPr>
              <w:spacing w:after="0"/>
              <w:rPr>
                <w:sz w:val="20"/>
                <w:szCs w:val="20"/>
                <w:color w:val="auto"/>
              </w:rPr>
            </w:pPr>
            <w:r>
              <w:rPr>
                <w:rFonts w:ascii="Arial" w:cs="Arial" w:eastAsia="Arial" w:hAnsi="Arial"/>
                <w:sz w:val="13"/>
                <w:szCs w:val="13"/>
                <w:color w:val="auto"/>
              </w:rPr>
              <w:t>01</w:t>
            </w:r>
          </w:p>
        </w:tc>
        <w:tc>
          <w:tcPr>
            <w:tcW w:w="1440" w:type="dxa"/>
            <w:vAlign w:val="bottom"/>
          </w:tcPr>
          <w:p>
            <w:pPr>
              <w:ind w:left="60"/>
              <w:spacing w:after="0"/>
              <w:rPr>
                <w:sz w:val="20"/>
                <w:szCs w:val="20"/>
                <w:color w:val="auto"/>
              </w:rPr>
            </w:pPr>
            <w:r>
              <w:rPr>
                <w:rFonts w:ascii="Arial" w:cs="Arial" w:eastAsia="Arial" w:hAnsi="Arial"/>
                <w:sz w:val="13"/>
                <w:szCs w:val="13"/>
                <w:color w:val="auto"/>
              </w:rPr>
              <w:t>Archie C. Black</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400" w:type="dxa"/>
            <w:vAlign w:val="bottom"/>
          </w:tcPr>
          <w:p>
            <w:pPr>
              <w:ind w:left="60"/>
              <w:spacing w:after="0"/>
              <w:rPr>
                <w:sz w:val="20"/>
                <w:szCs w:val="20"/>
                <w:color w:val="auto"/>
              </w:rPr>
            </w:pPr>
            <w:r>
              <w:rPr>
                <w:rFonts w:ascii="Arial" w:cs="Arial" w:eastAsia="Arial" w:hAnsi="Arial"/>
                <w:sz w:val="13"/>
                <w:szCs w:val="13"/>
                <w:color w:val="auto"/>
              </w:rPr>
              <w:t>Bradley A. Cleveland</w:t>
            </w:r>
          </w:p>
        </w:tc>
        <w:tc>
          <w:tcPr>
            <w:tcW w:w="1720" w:type="dxa"/>
            <w:vAlign w:val="bottom"/>
          </w:tcPr>
          <w:p>
            <w:pPr>
              <w:ind w:left="180"/>
              <w:spacing w:after="0"/>
              <w:rPr>
                <w:sz w:val="20"/>
                <w:szCs w:val="20"/>
                <w:color w:val="auto"/>
              </w:rPr>
            </w:pPr>
            <w:r>
              <w:rPr>
                <w:rFonts w:ascii="Arial" w:cs="Arial" w:eastAsia="Arial" w:hAnsi="Arial"/>
                <w:sz w:val="13"/>
                <w:szCs w:val="13"/>
                <w:color w:val="auto"/>
              </w:rPr>
              <w:t>03  Michael B. Gorman</w:t>
            </w:r>
          </w:p>
        </w:tc>
        <w:tc>
          <w:tcPr>
            <w:tcW w:w="1620" w:type="dxa"/>
            <w:vAlign w:val="bottom"/>
          </w:tcPr>
          <w:p>
            <w:pPr>
              <w:ind w:left="180"/>
              <w:spacing w:after="0"/>
              <w:rPr>
                <w:sz w:val="20"/>
                <w:szCs w:val="20"/>
                <w:color w:val="auto"/>
              </w:rPr>
            </w:pPr>
            <w:r>
              <w:rPr>
                <w:rFonts w:ascii="Arial" w:cs="Arial" w:eastAsia="Arial" w:hAnsi="Arial"/>
                <w:sz w:val="13"/>
                <w:szCs w:val="13"/>
                <w:color w:val="auto"/>
              </w:rPr>
              <w:t>04  Martin J. Leestma</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480" w:type="dxa"/>
            <w:vAlign w:val="bottom"/>
          </w:tcPr>
          <w:p>
            <w:pPr>
              <w:ind w:left="40"/>
              <w:spacing w:after="0"/>
              <w:rPr>
                <w:sz w:val="20"/>
                <w:szCs w:val="20"/>
                <w:color w:val="auto"/>
              </w:rPr>
            </w:pPr>
            <w:r>
              <w:rPr>
                <w:rFonts w:ascii="Arial" w:cs="Arial" w:eastAsia="Arial" w:hAnsi="Arial"/>
                <w:sz w:val="13"/>
                <w:szCs w:val="13"/>
                <w:color w:val="auto"/>
              </w:rPr>
              <w:t>Philip E. Soran</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20"/>
                <w:szCs w:val="20"/>
                <w:color w:val="auto"/>
              </w:rPr>
            </w:pPr>
            <w:r>
              <w:rPr>
                <w:rFonts w:ascii="Arial" w:cs="Arial" w:eastAsia="Arial" w:hAnsi="Arial"/>
                <w:sz w:val="13"/>
                <w:szCs w:val="13"/>
                <w:color w:val="auto"/>
              </w:rPr>
              <w:t>06</w:t>
            </w:r>
          </w:p>
        </w:tc>
        <w:tc>
          <w:tcPr>
            <w:tcW w:w="1440" w:type="dxa"/>
            <w:vAlign w:val="bottom"/>
          </w:tcPr>
          <w:p>
            <w:pPr>
              <w:ind w:left="60"/>
              <w:spacing w:after="0"/>
              <w:rPr>
                <w:sz w:val="20"/>
                <w:szCs w:val="20"/>
                <w:color w:val="auto"/>
              </w:rPr>
            </w:pPr>
            <w:r>
              <w:rPr>
                <w:rFonts w:ascii="Arial" w:cs="Arial" w:eastAsia="Arial" w:hAnsi="Arial"/>
                <w:sz w:val="13"/>
                <w:szCs w:val="13"/>
                <w:color w:val="auto"/>
              </w:rPr>
              <w:t>George H. Spencer III</w:t>
            </w:r>
          </w:p>
        </w:tc>
        <w:tc>
          <w:tcPr>
            <w:tcW w:w="400" w:type="dxa"/>
            <w:vAlign w:val="bottom"/>
          </w:tcPr>
          <w:p>
            <w:pPr>
              <w:jc w:val="right"/>
              <w:spacing w:after="0"/>
              <w:rPr>
                <w:sz w:val="20"/>
                <w:szCs w:val="20"/>
                <w:color w:val="auto"/>
              </w:rPr>
            </w:pPr>
            <w:r>
              <w:rPr>
                <w:rFonts w:ascii="Arial" w:cs="Arial" w:eastAsia="Arial" w:hAnsi="Arial"/>
                <w:sz w:val="13"/>
                <w:szCs w:val="13"/>
                <w:color w:val="auto"/>
              </w:rPr>
              <w:t>07</w:t>
            </w:r>
          </w:p>
        </w:tc>
        <w:tc>
          <w:tcPr>
            <w:tcW w:w="1400" w:type="dxa"/>
            <w:vAlign w:val="bottom"/>
          </w:tcPr>
          <w:p>
            <w:pPr>
              <w:ind w:left="80"/>
              <w:spacing w:after="0"/>
              <w:rPr>
                <w:sz w:val="20"/>
                <w:szCs w:val="20"/>
                <w:color w:val="auto"/>
              </w:rPr>
            </w:pPr>
            <w:r>
              <w:rPr>
                <w:rFonts w:ascii="Arial" w:cs="Arial" w:eastAsia="Arial" w:hAnsi="Arial"/>
                <w:sz w:val="13"/>
                <w:szCs w:val="13"/>
                <w:color w:val="auto"/>
              </w:rPr>
              <w:t>Sven A. Wehrwein</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you vote FOR proposals 2 and 3.</w:t>
            </w:r>
          </w:p>
        </w:tc>
        <w:tc>
          <w:tcPr>
            <w:tcW w:w="1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80" w:type="dxa"/>
            <w:vAlign w:val="bottom"/>
          </w:tcPr>
          <w:p>
            <w:pPr>
              <w:jc w:val="center"/>
              <w:ind w:left="5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0"/>
                <w:szCs w:val="20"/>
                <w:color w:val="auto"/>
              </w:rPr>
            </w:pPr>
            <w:r>
              <w:rPr>
                <w:rFonts w:ascii="Arial" w:cs="Arial" w:eastAsia="Arial" w:hAnsi="Arial"/>
                <w:sz w:val="13"/>
                <w:szCs w:val="13"/>
                <w:b w:val="1"/>
                <w:bCs w:val="1"/>
                <w:color w:val="auto"/>
              </w:rPr>
              <w:t>2</w:t>
            </w:r>
          </w:p>
        </w:tc>
        <w:tc>
          <w:tcPr>
            <w:tcW w:w="7000" w:type="dxa"/>
            <w:vAlign w:val="bottom"/>
            <w:gridSpan w:val="6"/>
            <w:vMerge w:val="restart"/>
          </w:tcPr>
          <w:p>
            <w:pPr>
              <w:ind w:left="60"/>
              <w:spacing w:after="0"/>
              <w:rPr>
                <w:sz w:val="20"/>
                <w:szCs w:val="20"/>
                <w:color w:val="auto"/>
              </w:rPr>
            </w:pPr>
            <w:r>
              <w:rPr>
                <w:rFonts w:ascii="Arial" w:cs="Arial" w:eastAsia="Arial" w:hAnsi="Arial"/>
                <w:sz w:val="13"/>
                <w:szCs w:val="13"/>
                <w:color w:val="auto"/>
                <w:w w:val="97"/>
              </w:rPr>
              <w:t>Ratification of the selection of Grant Thornton LLP as the independent auditor for the fiscal year ending December 31, 2013.</w:t>
            </w:r>
          </w:p>
        </w:tc>
        <w:tc>
          <w:tcPr>
            <w:tcW w:w="1480" w:type="dxa"/>
            <w:vAlign w:val="bottom"/>
          </w:tcPr>
          <w:p>
            <w:pPr>
              <w:spacing w:after="0"/>
              <w:rPr>
                <w:sz w:val="22"/>
                <w:szCs w:val="22"/>
                <w:color w:val="auto"/>
              </w:rPr>
            </w:pPr>
          </w:p>
        </w:tc>
        <w:tc>
          <w:tcPr>
            <w:tcW w:w="7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7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000" w:type="dxa"/>
            <w:vAlign w:val="bottom"/>
            <w:gridSpan w:val="6"/>
            <w:vMerge w:val="continue"/>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0"/>
                <w:szCs w:val="20"/>
                <w:color w:val="auto"/>
              </w:rPr>
            </w:pPr>
            <w:r>
              <w:rPr>
                <w:rFonts w:ascii="Arial" w:cs="Arial" w:eastAsia="Arial" w:hAnsi="Arial"/>
                <w:sz w:val="13"/>
                <w:szCs w:val="13"/>
                <w:b w:val="1"/>
                <w:bCs w:val="1"/>
                <w:color w:val="auto"/>
              </w:rPr>
              <w:t>3</w:t>
            </w:r>
          </w:p>
        </w:tc>
        <w:tc>
          <w:tcPr>
            <w:tcW w:w="4960" w:type="dxa"/>
            <w:vAlign w:val="bottom"/>
            <w:gridSpan w:val="4"/>
          </w:tcPr>
          <w:p>
            <w:pPr>
              <w:ind w:left="60"/>
              <w:spacing w:after="0"/>
              <w:rPr>
                <w:sz w:val="20"/>
                <w:szCs w:val="20"/>
                <w:color w:val="auto"/>
              </w:rPr>
            </w:pPr>
            <w:r>
              <w:rPr>
                <w:rFonts w:ascii="Arial" w:cs="Arial" w:eastAsia="Arial" w:hAnsi="Arial"/>
                <w:sz w:val="13"/>
                <w:szCs w:val="13"/>
                <w:color w:val="auto"/>
              </w:rPr>
              <w:t>Advisory approval of the compensation of our named executive officers.</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7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688"/>
        </w:trPr>
        <w:tc>
          <w:tcPr>
            <w:tcW w:w="518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you vote 1 YEAR on the following proposal:</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center"/>
              <w:ind w:left="697"/>
              <w:spacing w:after="0"/>
              <w:rPr>
                <w:sz w:val="20"/>
                <w:szCs w:val="20"/>
                <w:color w:val="auto"/>
              </w:rPr>
            </w:pPr>
            <w:r>
              <w:rPr>
                <w:rFonts w:ascii="Arial" w:cs="Arial" w:eastAsia="Arial" w:hAnsi="Arial"/>
                <w:sz w:val="13"/>
                <w:szCs w:val="13"/>
                <w:b w:val="1"/>
                <w:bCs w:val="1"/>
                <w:color w:val="auto"/>
                <w:w w:val="95"/>
              </w:rPr>
              <w:t>1 year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2 years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3 years</w:t>
            </w:r>
          </w:p>
        </w:tc>
        <w:tc>
          <w:tcPr>
            <w:tcW w:w="580" w:type="dxa"/>
            <w:vAlign w:val="bottom"/>
          </w:tcPr>
          <w:p>
            <w:pPr>
              <w:jc w:val="center"/>
              <w:ind w:left="5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84"/>
        </w:trPr>
        <w:tc>
          <w:tcPr>
            <w:tcW w:w="220" w:type="dxa"/>
            <w:vAlign w:val="bottom"/>
          </w:tcPr>
          <w:p>
            <w:pPr>
              <w:spacing w:after="0"/>
              <w:rPr>
                <w:sz w:val="20"/>
                <w:szCs w:val="20"/>
                <w:color w:val="auto"/>
              </w:rPr>
            </w:pPr>
            <w:r>
              <w:rPr>
                <w:rFonts w:ascii="Arial" w:cs="Arial" w:eastAsia="Arial" w:hAnsi="Arial"/>
                <w:sz w:val="13"/>
                <w:szCs w:val="13"/>
                <w:b w:val="1"/>
                <w:bCs w:val="1"/>
                <w:color w:val="auto"/>
              </w:rPr>
              <w:t>4</w:t>
            </w:r>
          </w:p>
        </w:tc>
        <w:tc>
          <w:tcPr>
            <w:tcW w:w="6580" w:type="dxa"/>
            <w:vAlign w:val="bottom"/>
            <w:gridSpan w:val="5"/>
          </w:tcPr>
          <w:p>
            <w:pPr>
              <w:ind w:left="60"/>
              <w:spacing w:after="0"/>
              <w:rPr>
                <w:sz w:val="20"/>
                <w:szCs w:val="20"/>
                <w:color w:val="auto"/>
              </w:rPr>
            </w:pPr>
            <w:r>
              <w:rPr>
                <w:rFonts w:ascii="Arial" w:cs="Arial" w:eastAsia="Arial" w:hAnsi="Arial"/>
                <w:sz w:val="13"/>
                <w:szCs w:val="13"/>
                <w:color w:val="auto"/>
              </w:rPr>
              <w:t>Advisory vote on the frequency of future votes to approve the compensation of our named executive officers.</w:t>
            </w:r>
          </w:p>
        </w:tc>
        <w:tc>
          <w:tcPr>
            <w:tcW w:w="420" w:type="dxa"/>
            <w:vAlign w:val="bottom"/>
          </w:tcPr>
          <w:p>
            <w:pPr>
              <w:spacing w:after="0"/>
              <w:rPr>
                <w:sz w:val="24"/>
                <w:szCs w:val="24"/>
                <w:color w:val="auto"/>
              </w:rPr>
            </w:pPr>
          </w:p>
        </w:tc>
        <w:tc>
          <w:tcPr>
            <w:tcW w:w="1480" w:type="dxa"/>
            <w:vAlign w:val="bottom"/>
          </w:tcPr>
          <w:p>
            <w:pPr>
              <w:jc w:val="center"/>
              <w:ind w:left="6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7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201930</wp:posOffset>
            </wp:positionV>
            <wp:extent cx="68580" cy="1097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50" w:lineRule="exact"/>
        <w:tabs>
          <w:tab w:leader="none" w:pos="3960" w:val="left"/>
        </w:tabs>
        <w:rPr>
          <w:sz w:val="20"/>
          <w:szCs w:val="20"/>
          <w:color w:val="auto"/>
        </w:rPr>
      </w:pPr>
      <w:r>
        <w:rPr>
          <w:rFonts w:ascii="Arial" w:cs="Arial" w:eastAsia="Arial" w:hAnsi="Arial"/>
          <w:sz w:val="13"/>
          <w:szCs w:val="13"/>
          <w:color w:val="auto"/>
        </w:rPr>
        <w:t>For address change/comments, mark here.</w:t>
      </w:r>
      <w:r>
        <w:rPr>
          <w:sz w:val="20"/>
          <w:szCs w:val="20"/>
          <w:color w:val="auto"/>
        </w:rPr>
        <w:tab/>
      </w:r>
      <w:r>
        <w:rPr>
          <w:rFonts w:ascii="MS PGothic" w:cs="MS PGothic" w:eastAsia="MS PGothic" w:hAnsi="MS PGothic"/>
          <w:sz w:val="9"/>
          <w:szCs w:val="9"/>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(see reverse for instructions)</w:t>
      </w:r>
    </w:p>
    <w:p>
      <w:pPr>
        <w:spacing w:after="0" w:line="242" w:lineRule="exact"/>
        <w:rPr>
          <w:sz w:val="20"/>
          <w:szCs w:val="20"/>
          <w:color w:val="auto"/>
        </w:rPr>
      </w:pPr>
    </w:p>
    <w:p>
      <w:pPr>
        <w:ind w:right="6620"/>
        <w:spacing w:after="0" w:line="22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43"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SHARES</w:t>
      </w:r>
    </w:p>
    <w:p>
      <w:pPr>
        <w:spacing w:after="0" w:line="13"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CUSIP #</w:t>
      </w:r>
    </w:p>
    <w:p>
      <w:pPr>
        <w:jc w:val="right"/>
        <w:ind w:right="660"/>
        <w:spacing w:after="0"/>
        <w:rPr>
          <w:sz w:val="20"/>
          <w:szCs w:val="20"/>
          <w:color w:val="auto"/>
        </w:rPr>
      </w:pPr>
      <w:r>
        <w:rPr>
          <w:rFonts w:ascii="Arial" w:cs="Arial" w:eastAsia="Arial" w:hAnsi="Arial"/>
          <w:sz w:val="18"/>
          <w:szCs w:val="18"/>
          <w:b w:val="1"/>
          <w:bCs w:val="1"/>
          <w:color w:val="auto"/>
        </w:rPr>
        <w:t>SEQUENCE #</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vMerge w:val="restart"/>
            <w:shd w:val="clear" w:color="auto" w:fill="D8D8D8"/>
          </w:tcPr>
          <w:p>
            <w:pPr>
              <w:ind w:left="460"/>
              <w:spacing w:after="0"/>
              <w:rPr>
                <w:sz w:val="20"/>
                <w:szCs w:val="20"/>
                <w:color w:val="auto"/>
              </w:rPr>
            </w:pPr>
            <w:r>
              <w:rPr>
                <w:rFonts w:ascii="Arial" w:cs="Arial" w:eastAsia="Arial" w:hAnsi="Arial"/>
                <w:sz w:val="16"/>
                <w:szCs w:val="16"/>
                <w:b w:val="1"/>
                <w:bCs w:val="1"/>
                <w:color w:val="auto"/>
              </w:rPr>
              <w:t>JOB #</w:t>
            </w:r>
          </w:p>
        </w:tc>
        <w:tc>
          <w:tcPr>
            <w:tcW w:w="2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94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Signature [PLEASE SIGN WITHIN BOX]</w:t>
            </w:r>
          </w:p>
        </w:tc>
        <w:tc>
          <w:tcPr>
            <w:tcW w:w="60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Date</w:t>
            </w:r>
          </w:p>
        </w:tc>
        <w:tc>
          <w:tcPr>
            <w:tcW w:w="1520" w:type="dxa"/>
            <w:vAlign w:val="bottom"/>
            <w:vMerge w:val="continue"/>
            <w:shd w:val="clear" w:color="auto" w:fill="D8D8D8"/>
          </w:tcPr>
          <w:p>
            <w:pPr>
              <w:spacing w:after="0"/>
              <w:rPr>
                <w:sz w:val="15"/>
                <w:szCs w:val="15"/>
                <w:color w:val="auto"/>
              </w:rPr>
            </w:pPr>
          </w:p>
        </w:tc>
        <w:tc>
          <w:tcPr>
            <w:tcW w:w="210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Signature (Joint Owners)</w:t>
            </w:r>
          </w:p>
        </w:tc>
        <w:tc>
          <w:tcPr>
            <w:tcW w:w="3900" w:type="dxa"/>
            <w:vAlign w:val="bottom"/>
            <w:gridSpan w:val="2"/>
            <w:vMerge w:val="restart"/>
            <w:shd w:val="clear" w:color="auto" w:fill="D8D8D8"/>
          </w:tcPr>
          <w:p>
            <w:pPr>
              <w:ind w:left="4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7"/>
        </w:trPr>
        <w:tc>
          <w:tcPr>
            <w:tcW w:w="2620" w:type="dxa"/>
            <w:vAlign w:val="bottom"/>
            <w:gridSpan w:val="2"/>
            <w:vMerge w:val="continue"/>
          </w:tcPr>
          <w:p>
            <w:pPr>
              <w:spacing w:after="0"/>
              <w:rPr>
                <w:sz w:val="2"/>
                <w:szCs w:val="2"/>
                <w:color w:val="auto"/>
              </w:rPr>
            </w:pPr>
          </w:p>
        </w:tc>
        <w:tc>
          <w:tcPr>
            <w:tcW w:w="600" w:type="dxa"/>
            <w:vAlign w:val="bottom"/>
            <w:vMerge w:val="continue"/>
            <w:shd w:val="clear" w:color="auto" w:fill="D8D8D8"/>
          </w:tcPr>
          <w:p>
            <w:pPr>
              <w:spacing w:after="0"/>
              <w:rPr>
                <w:sz w:val="2"/>
                <w:szCs w:val="2"/>
                <w:color w:val="auto"/>
              </w:rPr>
            </w:pPr>
          </w:p>
        </w:tc>
        <w:tc>
          <w:tcPr>
            <w:tcW w:w="1520" w:type="dxa"/>
            <w:vAlign w:val="bottom"/>
            <w:shd w:val="clear" w:color="auto" w:fill="D8D8D8"/>
          </w:tcPr>
          <w:p>
            <w:pPr>
              <w:spacing w:after="0"/>
              <w:rPr>
                <w:sz w:val="2"/>
                <w:szCs w:val="2"/>
                <w:color w:val="auto"/>
              </w:rPr>
            </w:pPr>
          </w:p>
        </w:tc>
        <w:tc>
          <w:tcPr>
            <w:tcW w:w="2100" w:type="dxa"/>
            <w:vAlign w:val="bottom"/>
            <w:vMerge w:val="continue"/>
            <w:shd w:val="clear" w:color="auto" w:fill="D8D8D8"/>
          </w:tcPr>
          <w:p>
            <w:pPr>
              <w:spacing w:after="0"/>
              <w:rPr>
                <w:sz w:val="2"/>
                <w:szCs w:val="2"/>
                <w:color w:val="auto"/>
              </w:rPr>
            </w:pPr>
          </w:p>
        </w:tc>
        <w:tc>
          <w:tcPr>
            <w:tcW w:w="3900" w:type="dxa"/>
            <w:vAlign w:val="bottom"/>
            <w:gridSpan w:val="2"/>
            <w:vMerge w:val="continue"/>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60"/>
          </w:cols>
          <w:pgMar w:left="580" w:top="121"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205740</wp:posOffset>
            </wp:positionV>
            <wp:extent cx="3490595" cy="2933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059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0"/>
        <w:spacing w:after="0" w:line="247"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255270</wp:posOffset>
            </wp:positionV>
            <wp:extent cx="7040880" cy="3961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40880" cy="396176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SPS COMMERCE, INC.</w:t>
      </w:r>
    </w:p>
    <w:p>
      <w:pPr>
        <w:spacing w:after="0" w:line="13"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Annual Meeting of Stockholders</w:t>
      </w:r>
    </w:p>
    <w:p>
      <w:pPr>
        <w:jc w:val="center"/>
        <w:ind w:left="1620"/>
        <w:spacing w:after="0" w:line="234" w:lineRule="auto"/>
        <w:rPr>
          <w:sz w:val="20"/>
          <w:szCs w:val="20"/>
          <w:color w:val="auto"/>
        </w:rPr>
      </w:pPr>
      <w:r>
        <w:rPr>
          <w:rFonts w:ascii="Arial" w:cs="Arial" w:eastAsia="Arial" w:hAnsi="Arial"/>
          <w:sz w:val="18"/>
          <w:szCs w:val="18"/>
          <w:b w:val="1"/>
          <w:bCs w:val="1"/>
          <w:color w:val="auto"/>
        </w:rPr>
        <w:t>May 15, 2013 8:30 AM</w:t>
      </w:r>
    </w:p>
    <w:p>
      <w:pPr>
        <w:spacing w:after="0" w:line="1"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2" w:lineRule="exact"/>
        <w:rPr>
          <w:sz w:val="20"/>
          <w:szCs w:val="20"/>
          <w:color w:val="auto"/>
        </w:rPr>
      </w:pPr>
    </w:p>
    <w:p>
      <w:pPr>
        <w:ind w:left="960"/>
        <w:spacing w:after="0" w:line="237"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08:30 AM, CT on May 15, 2013 at FAEGRE BAKER DANIELS LLP 2200 Wells Fargo Center, 90 South Seventh Street, Minneapolis, MN 55402, and any adjournment or postponement thereof.</w:t>
      </w:r>
    </w:p>
    <w:p>
      <w:pPr>
        <w:spacing w:after="0" w:line="170"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360680</wp:posOffset>
            </wp:positionV>
            <wp:extent cx="68580" cy="1097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Address change /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680"/>
      </w:cols>
      <w:pgMar w:left="240" w:top="459"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3"/>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2"/>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2019-12-06T22:18:51Z</dcterms:created>
  <dcterms:modified xsi:type="dcterms:W3CDTF">2019-12-06T22:18:51Z</dcterms:modified>
</cp:coreProperties>
</file>