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25, 2016 was 16,977,720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700" w:type="dxa"/>
            <w:vAlign w:val="bottom"/>
            <w:gridSpan w:val="9"/>
            <w:vMerge w:val="restart"/>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2"/>
            <w:vMerge w:val="continue"/>
          </w:tcPr>
          <w:p>
            <w:pPr>
              <w:spacing w:after="0"/>
              <w:rPr>
                <w:sz w:val="13"/>
                <w:szCs w:val="13"/>
                <w:color w:val="auto"/>
              </w:rPr>
            </w:pPr>
          </w:p>
        </w:tc>
        <w:tc>
          <w:tcPr>
            <w:tcW w:w="7700" w:type="dxa"/>
            <w:vAlign w:val="bottom"/>
            <w:gridSpan w:val="9"/>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2016 (unaudited) and December 31, 2015</w:t>
              </w:r>
            </w:hyperlink>
          </w:p>
        </w:tc>
        <w:tc>
          <w:tcPr>
            <w:tcW w:w="254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(Loss) for the three and six months ended June 30, 2016 and 2015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8360" w:type="dxa"/>
            <w:vAlign w:val="bottom"/>
            <w:tcBorders>
              <w:top w:val="single" w:sz="8" w:color="0000EE"/>
            </w:tcBorders>
            <w:gridSpan w:val="14"/>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1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2016 and 2015 (unaudited)</w:t>
              </w:r>
            </w:hyperlink>
          </w:p>
        </w:tc>
        <w:tc>
          <w:tcPr>
            <w:tcW w:w="138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68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0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78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800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22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20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24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8240" w:type="dxa"/>
            <w:vAlign w:val="bottom"/>
            <w:gridSpan w:val="1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2015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80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SPS COMMERCE, INC.</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9"/>
              </w:rPr>
              <w:t>(Unaudited; in thousands, except share amounts)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980" w:type="dxa"/>
            <w:vAlign w:val="bottom"/>
            <w:shd w:val="clear" w:color="auto" w:fill="CCEEFF"/>
          </w:tcPr>
          <w:p>
            <w:pPr>
              <w:jc w:val="center"/>
              <w:ind w:right="1590"/>
              <w:spacing w:after="0" w:line="196" w:lineRule="exact"/>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107,160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21,010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$414 and $446, respectively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costs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17,278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173,420</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50,852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MARKETABLE SECURITIES, non-current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7,556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costs, non-current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asset,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287,755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vMerge w:val="restart"/>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3,581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3,887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24,234</w:t>
            </w: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rent, non-current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liability,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50,913</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Common stock, $0.001 par value; 55,000,000 shares authorized; 16,945,460 and 16,723,994 shares issued and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276,462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(38,053)</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236,842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287,755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6"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47,351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38,846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92,950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15,972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12,335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31,379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62,097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51,909</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16,677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14,101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32,566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30,499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25,484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59,903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49,960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160"/>
              <w:spacing w:after="0"/>
              <w:rPr>
                <w:sz w:val="20"/>
                <w:szCs w:val="20"/>
                <w:color w:val="auto"/>
              </w:rPr>
            </w:pPr>
            <w:r>
              <w:rPr>
                <w:rFonts w:ascii="Arial" w:cs="Arial" w:eastAsia="Arial" w:hAnsi="Arial"/>
                <w:sz w:val="18"/>
                <w:szCs w:val="18"/>
                <w:color w:val="auto"/>
              </w:rPr>
              <w:t>Net income per share</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16,909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16,536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17,120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17,043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Unrealized gain on investments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Comprehensive income (loss)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Six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earn-out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Deferred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Business acquisitions, net of cash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(18,062)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(27,131)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(15,068)</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(14,378)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130,795</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107,160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2015 condensed consolidated balance sheet data was derived from our audited financial statements at that date. For further information, refer to the consolidated financial statements and accompanying notes for the year ended December 31, 2015 included in our Annual Report on Form 10-K as filed with the Securities and Exchange Commission on February 24,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During the six months ended June 30, 2016, there were no material changes in our significant accounting policies. See Note A to the consolidated financial statements included in our Annual Report on Form 10-K for the year ended December 31, 2015, as filed with the Securities and Exchange Commission on February 24, 2016,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accounting requirements for the recognition of revenue from contracts with customers. This guidance will replace most existing revenue recognition guidance in U.S. GAAP when it becomes effective. These new requirements are effective for annual reporting periods beginning after December 15, 2017, and interim periods within those annual periods. We are currently evaluating the impact of this guidance on our results of operations and financial position.</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amends the guidance requiring companies to separate deferred income tax liabilities and assets into current and non-current amounts in a classified statement of financial position. This accounting guidance simplifies the presentation of deferred income taxes, such that deferred tax liabilities and assets be classified as non-current in a classified statement of financial position. This accounting guidance is effective for us beginning in the first quarter of 2017, but we elected to early adopt this guidance prospectively as of December 31, 2015. As a result, we have classified all deferred tax liabilities and assets as non-current in the condensed consolidated balance sheet at June 30, 2016.</w:t>
      </w:r>
    </w:p>
    <w:p>
      <w:pPr>
        <w:spacing w:after="0" w:line="19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will supersede the existing lease guidance and will require all leases with a term greater than 12 months to be recognized in the statements of financial position and eliminate current real estate-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are currently evaluating the impact this guidance will have on the consolidated financial statements and related disclosures.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In March 2016, the FASB issued ASU 2016-09, Compensation – Stock Compensation (Topic 718):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which will simplify the income tax consequences, accounting for forfeitures and classification on the Statements of Consolidated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This standard is effective for fiscal years, and interim periods within those fiscal years, beginning after December 15, 2016, with early adoption permitted. We are currently evaluating the impact this guidance will have on the consolidated financial statements and related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Toolbox Solutions, Inc.</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5, 2016, we completed our acquisition of all of the outstanding common shares of Toolbox Solutions, Inc., (“Toolbox Solutions”) a privately held company providing point-of-sale analytics and category management services to retailers and consumer packaged goods suppliers in North America. This acquisition expands our retail network and strengthens our analytics offerings. Pursuant to the share purchase agreement, we paid $18.1 million in cash and issued $3.3 million in stock, or 48,668 shares of common stock, to the shareholders of Toolbox Solutions. Furthermore, up to an additional 16,222 shares of common stock will be payable contingent upon the completion of certain revenue milestones. See Note C for subsequent measurements of this contingent liability.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assets.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The purchase price consists of the following (in thousands):</w:t>
            </w: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Estimated net working capital adjustments to be paid to sellers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SPS Commerce, Inc. common stock</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Fair value of share-based earn-out liability</w:t>
            </w:r>
          </w:p>
        </w:tc>
        <w:tc>
          <w:tcPr>
            <w:tcW w:w="1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final purchase price is subject to a net working capital adjustment to be determined by SPS Commerce and the sellers, pursuant to the terms of the purchase agreement. The number of shares of our common stock issued for the acquisition was 48,668 shares as calculated according to the terms of the purchase agreement. The fair value of the shares issued was determined using the closing price of our common stock on the acquisition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net of cash acquired of $359,000, and liabilities assumed at the acquisition date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15,628</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(1,112)</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(2,221)</w:t>
            </w:r>
          </w:p>
        </w:tc>
      </w:tr>
      <w:tr>
        <w:trPr>
          <w:trHeight w:val="223"/>
        </w:trPr>
        <w:tc>
          <w:tcPr>
            <w:tcW w:w="7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22,388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Purchased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color w:val="auto"/>
                <w:w w:val="93"/>
              </w:rPr>
              <w:t>Estimated</w:t>
            </w:r>
          </w:p>
        </w:tc>
        <w:tc>
          <w:tcPr>
            <w:tcW w:w="1440" w:type="dxa"/>
            <w:vAlign w:val="bottom"/>
            <w:gridSpan w:val="3"/>
          </w:tcPr>
          <w:p>
            <w:pPr>
              <w:jc w:val="center"/>
              <w:ind w:left="574"/>
              <w:spacing w:after="0"/>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Purchased Intangible Assets</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0"/>
              </w:rPr>
              <w:t>Fair Value</w:t>
            </w:r>
          </w:p>
        </w:tc>
        <w:tc>
          <w:tcPr>
            <w:tcW w:w="7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67"/>
        </w:trPr>
        <w:tc>
          <w:tcPr>
            <w:tcW w:w="4260" w:type="dxa"/>
            <w:vAlign w:val="bottom"/>
            <w:gridSpan w:val="2"/>
            <w:vMerge w:val="continue"/>
          </w:tcPr>
          <w:p>
            <w:pPr>
              <w:spacing w:after="0"/>
              <w:rPr>
                <w:sz w:val="14"/>
                <w:szCs w:val="14"/>
                <w:color w:val="auto"/>
              </w:rPr>
            </w:pPr>
          </w:p>
        </w:tc>
        <w:tc>
          <w:tcPr>
            <w:tcW w:w="2980" w:type="dxa"/>
            <w:vAlign w:val="bottom"/>
            <w:gridSpan w:val="3"/>
          </w:tcPr>
          <w:p>
            <w:pPr>
              <w:ind w:left="2160"/>
              <w:spacing w:after="0"/>
              <w:rPr>
                <w:sz w:val="20"/>
                <w:szCs w:val="20"/>
                <w:color w:val="auto"/>
              </w:rPr>
            </w:pPr>
            <w:r>
              <w:rPr>
                <w:rFonts w:ascii="Arial" w:cs="Arial" w:eastAsia="Arial" w:hAnsi="Arial"/>
                <w:sz w:val="14"/>
                <w:szCs w:val="14"/>
                <w:color w:val="auto"/>
                <w:w w:val="90"/>
              </w:rPr>
              <w:t>(in thousands)</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Subscriber relationships</w:t>
            </w:r>
          </w:p>
        </w:tc>
        <w:tc>
          <w:tcPr>
            <w:tcW w:w="26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w:t>
            </w:r>
          </w:p>
        </w:tc>
        <w:tc>
          <w:tcPr>
            <w:tcW w:w="1340" w:type="dxa"/>
            <w:vAlign w:val="bottom"/>
            <w:gridSpan w:val="2"/>
          </w:tcPr>
          <w:p>
            <w:pPr>
              <w:jc w:val="right"/>
              <w:ind w:right="6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3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340" w:type="dxa"/>
            <w:vAlign w:val="bottom"/>
            <w:gridSpan w:val="2"/>
          </w:tcPr>
          <w:p>
            <w:pPr>
              <w:jc w:val="right"/>
              <w:ind w:right="6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fair values of purchased intangible assets are preliminary and are subject to adjustment as additional information becomes available about the facts and circumstances that existed at the acquisition date. The purchased intangible assets are being amortized on a straight-line basis over their estimated useful lives. Amortization expense for the period from January 5, 2016 through June 30, 2016 was $711,000.</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Acquisition-Related Costs and Post-Acquisition Operating Results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Acquisition-related costs were $147,000 and are included in our condensed consolidated statements of income for the six months ended June 30, 2016. The operating results of Toolbox Solutions have been included in our condensed consolidated financial statements from January 5, 2016, the closing date of the acquisition. For the three months ended June 30, 2016 and the period from January 5, 2016 through June 30, 2016, approximately $1.9 million and $3.5 million of our revenues, respectively were derived from Toolbox Solutions’ products and services. The amount of operating income or loss from Toolbox Solutions was not separately identifiable due to our integration.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pro forma financial information in the table below presents the combined operating results of SPS Commerce and Toolbox Solutions as if the acquisition had occurred on January 1, 2015. The pro forma information includes the historical operating results of each company and pro forma adjustments for the approximate $1.5 million of annual amortization expense related to purchased intangible assets and the additional impact on the provision or benefit for income taxes, resulting from the combined income and intangible amortization expense, using our statutory blended income tax rate of 26.5%.</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35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440" w:type="dxa"/>
            <w:vAlign w:val="bottom"/>
          </w:tcPr>
          <w:p>
            <w:pPr>
              <w:spacing w:after="0"/>
              <w:rPr>
                <w:sz w:val="14"/>
                <w:szCs w:val="14"/>
                <w:color w:val="auto"/>
              </w:rPr>
            </w:pPr>
          </w:p>
        </w:tc>
        <w:tc>
          <w:tcPr>
            <w:tcW w:w="1740" w:type="dxa"/>
            <w:vAlign w:val="bottom"/>
            <w:gridSpan w:val="4"/>
          </w:tcPr>
          <w:p>
            <w:pPr>
              <w:jc w:val="right"/>
              <w:ind w:right="68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2016</w:t>
            </w:r>
          </w:p>
        </w:tc>
        <w:tc>
          <w:tcPr>
            <w:tcW w:w="10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per share</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Basic</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40" w:type="dxa"/>
            <w:vAlign w:val="bottom"/>
          </w:tcPr>
          <w:p>
            <w:pPr>
              <w:jc w:val="right"/>
              <w:ind w:right="247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pro forma financial information is presented for informational purposes only and is not necessarily indicative of the results of operations that would have actually been reported had the acquisition occurred on January 1, 2015, nor is it necessarily indicative of our results of operations for any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w:t>
      </w:r>
    </w:p>
    <w:p>
      <w:pPr>
        <w:spacing w:after="0" w:line="19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fixed income investments are carried at fair value and unrealized gains and losses on these investments are included in other comprehensive income (loss) in the condensed consolidated statements of comprehensive income (loss).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consisted of the following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8"/>
              </w:rPr>
              <w:t>Amortized</w:t>
            </w:r>
          </w:p>
        </w:tc>
        <w:tc>
          <w:tcPr>
            <w:tcW w:w="12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w w:val="98"/>
              </w:rPr>
              <w:t>Unrealized</w:t>
            </w:r>
          </w:p>
        </w:tc>
        <w:tc>
          <w:tcPr>
            <w:tcW w:w="12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Unrealized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33"/>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Cost</w:t>
            </w:r>
          </w:p>
        </w:tc>
        <w:tc>
          <w:tcPr>
            <w:tcW w:w="1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Gains</w:t>
            </w: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66,268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66,268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13,552</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94,794</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color w:val="auto"/>
                <w:w w:val="72"/>
              </w:rPr>
              <w:t>(33)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Due within two years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94,834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60" w:type="dxa"/>
            <w:vAlign w:val="bottom"/>
            <w:vMerge w:val="restart"/>
          </w:tcPr>
          <w:p>
            <w:pPr>
              <w:jc w:val="right"/>
              <w:ind w:right="10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December 31 ,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8"/>
              </w:rPr>
              <w:t>Amortized</w:t>
            </w:r>
          </w:p>
        </w:tc>
        <w:tc>
          <w:tcPr>
            <w:tcW w:w="12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w w:val="98"/>
              </w:rPr>
              <w:t>Unrealized</w:t>
            </w:r>
          </w:p>
        </w:tc>
        <w:tc>
          <w:tcPr>
            <w:tcW w:w="12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3"/>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Cost</w:t>
            </w:r>
          </w:p>
        </w:tc>
        <w:tc>
          <w:tcPr>
            <w:tcW w:w="1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Gains</w:t>
            </w: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79,717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79,717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10,042</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102,244</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color w:val="auto"/>
                <w:w w:val="72"/>
              </w:rPr>
              <w:t>(61)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Due within two years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do not believe any of the unrealized losses represent an other-than-temporary impairment based on our valuation of available evidence as of June 30, 2016. We expect to receive the full principal and interest on all of these cash equivalents and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valuation technique used to measure the fair value of our share-based earn-out liability was based on the present value of probability-weighted future cash flows related to the contingent earn-out criteria and the fair value of our common stock on each reporting date. While the fair value of our common stock is an observable input, the probability-weighted future cash flows related to the outcome of the earn-out represent a significant unobservable input to the valuation methodology. Accordingly, we have classified the earn-out liability as a Level 3 measurement.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Level 2</w:t>
            </w:r>
          </w:p>
        </w:tc>
        <w:tc>
          <w:tcPr>
            <w:tcW w:w="640" w:type="dxa"/>
            <w:vAlign w:val="bottom"/>
            <w:gridSpan w:val="2"/>
          </w:tcPr>
          <w:p>
            <w:pPr>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 at June 30, 2016: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13,561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Commerical paper</w:t>
            </w:r>
          </w:p>
        </w:tc>
        <w:tc>
          <w:tcPr>
            <w:tcW w:w="1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4,997</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U.S. agency obligations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28,566</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94,834</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Liabilities at June 30,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earn-out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$ 981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 at December 31, 2015: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10,008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Commerical paper</w:t>
            </w:r>
          </w:p>
        </w:tc>
        <w:tc>
          <w:tcPr>
            <w:tcW w:w="1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7,462</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U.S. agency obligations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2,498</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22,468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80" w:firstLine="456"/>
        <w:spacing w:after="0" w:line="277" w:lineRule="auto"/>
        <w:rPr>
          <w:sz w:val="20"/>
          <w:szCs w:val="20"/>
          <w:color w:val="auto"/>
        </w:rPr>
      </w:pPr>
      <w:r>
        <w:rPr>
          <w:rFonts w:ascii="Arial" w:cs="Arial" w:eastAsia="Arial" w:hAnsi="Arial"/>
          <w:sz w:val="18"/>
          <w:szCs w:val="18"/>
          <w:color w:val="auto"/>
        </w:rPr>
        <w:t>We classify our cash and cash equivalents and marketable securities within Level 1 or Level 2 because we use quoted market prices or alternative pricing sources and models utilizing market observable inputs to determine their fair value.</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described above, we classify our share-based earn-out liability in connection with our acquisition of Toolbox Solutions within Level 3 as factors used to develop the estimated fair value are unobservable. Our fair value estimate of this liability was $1.0 million at the date of acquisition and subsequent changes in the fair value of the share-based earn-out liability, whether due to changes in our probability assessment or the fair value of our common stock, are recognized in earnings in the period when the change in the estimated fair value occurs. During the three and six months ended June 30, 2016, we recognized a $293,000 increase and a $72,000 decrease, respectively, in the fair value of our share-based earn-out liability in other expense, net and interest income, net in our condensed consolidated statements of comprehensive income primarily due to the change in the fair value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 net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change in goodwill for the six months ended June 30, 2016 was due to the acquisition of Toolbox Solutions (see Note B) of $15.6 million, as well as the effect of foreign currency translation.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June 30, 2016</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4"/>
              </w:rPr>
              <w:t>December 31, 2015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140" w:type="dxa"/>
            <w:vAlign w:val="bottom"/>
          </w:tcPr>
          <w:p>
            <w:pPr>
              <w:spacing w:after="0"/>
              <w:rPr>
                <w:sz w:val="10"/>
                <w:szCs w:val="10"/>
                <w:color w:val="auto"/>
              </w:rPr>
            </w:pPr>
          </w:p>
        </w:tc>
        <w:tc>
          <w:tcPr>
            <w:tcW w:w="96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0"/>
                <w:szCs w:val="10"/>
                <w:color w:val="auto"/>
              </w:rPr>
            </w:pPr>
          </w:p>
        </w:tc>
        <w:tc>
          <w:tcPr>
            <w:tcW w:w="108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1"/>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w w:val="95"/>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2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$34,366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(13,794)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$20,572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(11,856)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780" w:type="dxa"/>
            <w:vAlign w:val="bottom"/>
            <w:gridSpan w:val="3"/>
          </w:tcPr>
          <w:p>
            <w:pPr>
              <w:jc w:val="right"/>
              <w:ind w:right="140"/>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529</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(1,653)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2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38,833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(16,299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22,534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28,990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(13,909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4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420" w:type="dxa"/>
            <w:vAlign w:val="bottom"/>
            <w:gridSpan w:val="3"/>
          </w:tcPr>
          <w:p>
            <w:pPr>
              <w:spacing w:after="0"/>
              <w:rPr>
                <w:sz w:val="20"/>
                <w:szCs w:val="20"/>
                <w:color w:val="auto"/>
              </w:rPr>
            </w:pPr>
            <w:r>
              <w:rPr>
                <w:rFonts w:ascii="Arial" w:cs="Arial" w:eastAsia="Arial" w:hAnsi="Arial"/>
                <w:sz w:val="18"/>
                <w:szCs w:val="18"/>
                <w:color w:val="auto"/>
              </w:rPr>
              <w:t>At June 30, 2016, future amortization expense for intangible assets was as follows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E – Commitments and Contingencies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3"/>
          </w:tcPr>
          <w:p>
            <w:pPr>
              <w:spacing w:after="0"/>
              <w:rPr>
                <w:sz w:val="20"/>
                <w:szCs w:val="20"/>
                <w:color w:val="auto"/>
              </w:rPr>
            </w:pPr>
            <w:r>
              <w:rPr>
                <w:rFonts w:ascii="Arial" w:cs="Arial" w:eastAsia="Arial" w:hAnsi="Arial"/>
                <w:sz w:val="18"/>
                <w:szCs w:val="18"/>
                <w:i w:val="1"/>
                <w:iCs w:val="1"/>
                <w:color w:val="auto"/>
              </w:rPr>
              <w:t>Operating Leases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3"/>
          </w:tcPr>
          <w:p>
            <w:pPr>
              <w:ind w:left="460"/>
              <w:spacing w:after="0"/>
              <w:rPr>
                <w:sz w:val="20"/>
                <w:szCs w:val="20"/>
                <w:color w:val="auto"/>
              </w:rPr>
            </w:pPr>
            <w:r>
              <w:rPr>
                <w:rFonts w:ascii="Arial" w:cs="Arial" w:eastAsia="Arial" w:hAnsi="Arial"/>
                <w:sz w:val="18"/>
                <w:szCs w:val="18"/>
                <w:color w:val="auto"/>
                <w:w w:val="96"/>
              </w:rPr>
              <w:t>At June 30, 2016, our future minimum payments under operating leases were as follows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58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2016, 1,003,439 additional shares were reserved for future issuance under our 2010 Equity Incentive Plan. At June 30, 2016, there were approximately 3.9 million shares available for grant under approved equity compensation plans.</w:t>
      </w:r>
    </w:p>
    <w:p>
      <w:pPr>
        <w:spacing w:after="0" w:line="15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recorded stock-based compensation expense of $2.1 million and $4.0 million for the three and six months ended June 30, 2016 and $1.6 million and $3.1 million for the three and six months ended June 30, 2015, respectively. This expense was allocated as follows (in thousands):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w w:val="93"/>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1,293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1,823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1,354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2,065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3,992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At June 30, 2016, there was approximately $17.5 million of unrecognized stock-based compensation expense under our equity compensation plans, which is expected to be recognized on a straightline basis over a weighted average period of 2.9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46"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943,103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337,712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(39,237)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1,142,118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Of the total outstanding options at June 30, 2016, 641,204 were exercisable with a weighted average exercise price of $33.39 per share. The total outstanding options had a weighted average remaining contractual life of 4.9 years.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six months of 2016 was $16.09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57"/>
              <w:spacing w:after="0"/>
              <w:rPr>
                <w:sz w:val="20"/>
                <w:szCs w:val="20"/>
                <w:color w:val="auto"/>
              </w:rPr>
            </w:pPr>
            <w:r>
              <w:rPr>
                <w:rFonts w:ascii="Arial" w:cs="Arial" w:eastAsia="Arial" w:hAnsi="Arial"/>
                <w:sz w:val="14"/>
                <w:szCs w:val="14"/>
                <w:color w:val="auto"/>
                <w:w w:val="92"/>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377"/>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140,565</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114,420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(12,781)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190,204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number of restricted stock units outstanding at June 30, 2016 included 16,058 units that have vested, but for which shares of common stock have not yet been issued pursuant to the terms of the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gridSpan w:val="3"/>
          </w:tcPr>
          <w:p>
            <w:pPr>
              <w:jc w:val="center"/>
              <w:ind w:left="996"/>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Awards</w:t>
            </w:r>
          </w:p>
        </w:tc>
        <w:tc>
          <w:tcPr>
            <w:tcW w:w="38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gridSpan w:val="2"/>
          </w:tcPr>
          <w:p>
            <w:pPr>
              <w:jc w:val="center"/>
              <w:ind w:left="1436"/>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6,078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1.1 million shares of common stock are reserved for issuance under the plan.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For the offering period that began on January 1, 2016 and ended on June 30, 2016, we withheld approximately $794,000 from employees participating in the plan. On June 30, 2016, approximately $786,000 of these funds were used to purchase 15,260 shares on behalf of the employees participating in the plan. The remaining funds are expected to be refunded to employees pursuant to the requirements of the plan.</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the three and six months ended June 30, 2016, we recorded approximately $129,000 and $236,000, respectively, of stock-based compensation expense associated with the employee stock purchase plan. The fair value was estimated based on the market price of our common stock at the beginning of the offering period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0.49%</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we do not have any unrecognized tax benefits nor any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1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720" w:type="dxa"/>
            <w:vAlign w:val="bottom"/>
            <w:gridSpan w:val="5"/>
          </w:tcPr>
          <w:p>
            <w:pPr>
              <w:ind w:lef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16,909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16,536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16,873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17,120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16,998</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17,100</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effect of approximately 315,000 and 39,000 outstanding potential common shares was excluded from the calculation of diluted net income per share for the three and six months ended June 30, 2016 and 2015, respectively, as they were anti-dilutive.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months ended June 30, 2016, our revenues were $47.4 million, an increase of 22% from the comparable period in 2015, and represented our 62</w:t>
      </w:r>
      <w:r>
        <w:rPr>
          <w:rFonts w:ascii="Arial" w:cs="Arial" w:eastAsia="Arial" w:hAnsi="Arial"/>
          <w:sz w:val="15"/>
          <w:szCs w:val="15"/>
          <w:color w:val="auto"/>
        </w:rPr>
        <w:t>nd</w:t>
      </w:r>
      <w:r>
        <w:rPr>
          <w:rFonts w:ascii="Arial" w:cs="Arial" w:eastAsia="Arial" w:hAnsi="Arial"/>
          <w:sz w:val="18"/>
          <w:szCs w:val="18"/>
          <w:color w:val="auto"/>
        </w:rPr>
        <w:t xml:space="preserve"> consecutive quarter of increased revenues. Total operating expenses increased 20% for the same period in 2016 from 2015. Similar results were experienced for the six months ended June 30, 2016 with increased revenues of 23% and increased operating expenses of 20% compared to the same period in 2015.</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January 5, 2016, we entered into a share purchase agreement with Toolbox Solutions, Inc. (“Toolbox Solutions”), a privately-held information services company specializing in the collection, analysis and distribution of point-of-sale data used by retailers and suppliers to improve their supply chain efficiencies. Under the share purchase agreement, we purchased and acquired all of the outstanding common shares of Toolbox Solutions for $18.1 million in cash, 48,668 shares of our common stock, and a share-based earn-out liability at an original fair value of $1.0 million. We also assumed certain liabilities of Toolbox Solutions. This acquisition allows us to expand our point-of-sale analytic offerings, expand our base of recurring revenue customers and add suppliers to our network. See Note B to our condensed consolidated financial statements included in this Quarterly Report on Form 10-Q for additional information regarding the acquisition of Toolbox Solutions.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six months ended June 30, 2016,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2015 as filed with the Securities and Exchange Commission on February 24, 2016.</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During the six months ended June 30, 2016, there were no changes in our significant accounting policies or estimates. See Note A to our condensed consolidated financial statements included in this Quarterly Report on Form 10-Q and in our Annual Report on Form 10-K for the year ended December 31, 2015, as filed with the Securities and Exchange Commission on February 24, 2016, for additional information regarding our accounting policies.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2016 Compared to Three Months Ended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 June 30,</w:t>
            </w:r>
          </w:p>
        </w:tc>
        <w:tc>
          <w:tcPr>
            <w:tcW w:w="9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593"/>
              <w:spacing w:after="0" w:line="142" w:lineRule="exact"/>
              <w:rPr>
                <w:sz w:val="20"/>
                <w:szCs w:val="20"/>
                <w:color w:val="auto"/>
              </w:rPr>
            </w:pPr>
            <w:r>
              <w:rPr>
                <w:rFonts w:ascii="Arial" w:cs="Arial" w:eastAsia="Arial" w:hAnsi="Arial"/>
                <w:sz w:val="14"/>
                <w:szCs w:val="14"/>
                <w:color w:val="auto"/>
                <w:w w:val="96"/>
              </w:rPr>
              <w:t>2016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592"/>
              <w:spacing w:after="0" w:line="142" w:lineRule="exact"/>
              <w:rPr>
                <w:sz w:val="20"/>
                <w:szCs w:val="20"/>
                <w:color w:val="auto"/>
              </w:rPr>
            </w:pPr>
            <w:r>
              <w:rPr>
                <w:rFonts w:ascii="Arial" w:cs="Arial" w:eastAsia="Arial" w:hAnsi="Arial"/>
                <w:sz w:val="14"/>
                <w:szCs w:val="14"/>
                <w:color w:val="auto"/>
                <w:w w:val="89"/>
              </w:rPr>
              <w:t>2015</w:t>
            </w:r>
          </w:p>
        </w:tc>
        <w:tc>
          <w:tcPr>
            <w:tcW w:w="4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5"/>
                <w:szCs w:val="15"/>
                <w:color w:val="auto"/>
              </w:rPr>
            </w:pPr>
          </w:p>
        </w:tc>
        <w:tc>
          <w:tcPr>
            <w:tcW w:w="6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47,351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38,846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8,505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15,972</w:t>
            </w:r>
          </w:p>
        </w:tc>
        <w:tc>
          <w:tcPr>
            <w:tcW w:w="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12,335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31.8</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3,637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31,379</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26,511</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4,868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16,677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14,101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2,576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5,542</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4,495</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1,047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1,027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833</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30,499</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25,484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5,015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48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203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June 30, 2016 increased $8.5 million, or 22%, to $47.4 million from $38.8 million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right="4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16% to $7,223 for the three months ended June 30, 2016 from $6,225 for the same period in 2015. This increase in wallet share was primarily attributable to increased usage of our solutions by our recurring revenue customers and growth in larger customers.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24,186 at June 30, 2016 from 22,746 at June 30, 2015.</w:t>
      </w:r>
    </w:p>
    <w:p>
      <w:pPr>
        <w:spacing w:after="0" w:line="22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92% of our total revenues, respectively, for the three months ended June 30, 2016, compared to 91% for the same period in 2015.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June 30, 2016 increased $3.7 million, or 30%, to $16.0 million from $12.3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2015. The increase in cost of revenues for the three-month period in 2016 was primarily due to increased headcount, which resulted in higher personnel-related costs of approximately $2.5 million and higher occupancy costs of approximately $228,000 compared to the same period in</w:t>
      </w:r>
    </w:p>
    <w:p>
      <w:pPr>
        <w:ind w:right="20"/>
        <w:spacing w:after="0" w:line="254" w:lineRule="auto"/>
        <w:rPr>
          <w:sz w:val="20"/>
          <w:szCs w:val="20"/>
          <w:color w:val="auto"/>
        </w:rPr>
      </w:pPr>
      <w:r>
        <w:rPr>
          <w:rFonts w:ascii="Arial" w:cs="Arial" w:eastAsia="Arial" w:hAnsi="Arial"/>
          <w:sz w:val="18"/>
          <w:szCs w:val="18"/>
          <w:color w:val="auto"/>
        </w:rPr>
        <w:t>2015. We also incurred higher software and cloud-based subscription costs of $505,000 and depreciation expense of $156,000 as compared to the same period in 2015 for continued investment in the infrastructure supporting our solutions. As a percentage of revenues, cost of revenues were 34% for the three months ended June 30, 2016, compared to 32% for the same period in 2015. Going forward, we anticipate that cost of revenues will increase in absolute dollars as we continue to expand our business.</w:t>
      </w:r>
    </w:p>
    <w:p>
      <w:pPr>
        <w:spacing w:after="0" w:line="190"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for the three months ended June 30, 2016 increased $2.6 million, or 18%, to</w:t>
      </w:r>
      <w:r>
        <w:rPr>
          <w:rFonts w:ascii="Arial" w:cs="Arial" w:eastAsia="Arial" w:hAnsi="Arial"/>
          <w:sz w:val="18"/>
          <w:szCs w:val="18"/>
          <w:i w:val="1"/>
          <w:iCs w:val="1"/>
          <w:color w:val="auto"/>
        </w:rPr>
        <w:t xml:space="preserve"> </w:t>
      </w:r>
      <w:r>
        <w:rPr>
          <w:rFonts w:ascii="Arial" w:cs="Arial" w:eastAsia="Arial" w:hAnsi="Arial"/>
          <w:sz w:val="18"/>
          <w:szCs w:val="18"/>
          <w:color w:val="auto"/>
        </w:rPr>
        <w:t>$16.7 million from $14.1 million for the same period in 2015. The increase in sales and marketing expenses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three-month period in 2016 was due to increased headcount, which resulted in higher personnel-related costs of approximately $2.0 million and higher stock-based compensation of approximately $156,000. We also incurred higher promotional costs of approximately $322,000, partially offset by a decrease in depreciation expense of $158,000. As a percentage of revenues, sales and marketing expenses were 35% for the three months ended June 30, 2016, compared to 36% for the same period in 2015. As we expand our business, we will continue to add resources to our sales and marketing efforts over time, and we expect that these expenses will continue to increase in absolute dollars.</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2016 increased $1.0 million, or 23%, to</w:t>
      </w:r>
      <w:r>
        <w:rPr>
          <w:rFonts w:ascii="Arial" w:cs="Arial" w:eastAsia="Arial" w:hAnsi="Arial"/>
          <w:sz w:val="16"/>
          <w:szCs w:val="16"/>
          <w:i w:val="1"/>
          <w:iCs w:val="1"/>
          <w:color w:val="auto"/>
        </w:rPr>
        <w:t xml:space="preserve"> </w:t>
      </w:r>
      <w:r>
        <w:rPr>
          <w:rFonts w:ascii="Arial" w:cs="Arial" w:eastAsia="Arial" w:hAnsi="Arial"/>
          <w:sz w:val="16"/>
          <w:szCs w:val="16"/>
          <w:color w:val="auto"/>
        </w:rPr>
        <w:t>$5.5 million from $4.5 million for the same period in 2015. The increase in research and development expenses for the three-month period in 2016 was primarily due to increased headcount, which resulted in higher personnel costs of approximately $905,000 compared to the same period in 2015. We also incurred higher software and cloud-based subscription costs of $107,000 as compared to the same period in 2015 for continued investment in the infrastructure supporting our solutions. As a percentage of revenues, research and development expenses were 12% for each of the three months ended</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June 30, 2016 and 2015, respectively. As we enhance and expand our solutions and applications, we expect that research and development expenses will continue to increase in absolute dollars.</w:t>
      </w:r>
    </w:p>
    <w:p>
      <w:pPr>
        <w:spacing w:after="0" w:line="18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2016 increased $1.0 million, or 17%,</w:t>
      </w:r>
      <w:r>
        <w:rPr>
          <w:rFonts w:ascii="Arial" w:cs="Arial" w:eastAsia="Arial" w:hAnsi="Arial"/>
          <w:sz w:val="16"/>
          <w:szCs w:val="16"/>
          <w:i w:val="1"/>
          <w:iCs w:val="1"/>
          <w:color w:val="auto"/>
        </w:rPr>
        <w:t xml:space="preserve"> </w:t>
      </w:r>
      <w:r>
        <w:rPr>
          <w:rFonts w:ascii="Arial" w:cs="Arial" w:eastAsia="Arial" w:hAnsi="Arial"/>
          <w:sz w:val="16"/>
          <w:szCs w:val="16"/>
          <w:color w:val="auto"/>
        </w:rPr>
        <w:t>to $7.1 million from $6.1 million for the same period in 2015. The increase in general and administrative expenses for the three-month period in 2016 was due to increased headcount, which resulted in higher personnel-related costs of approximately $440,000 and higher stock based compensation expenses of approximately $263,000 compared to the same period in 2015. We also incurred higher software subscription costs of approximately $126,000 as well as increased legal, audit and tax fees of $74,000 primarily related to the Toolbox Solutions acquisition compared to the same period in 2015. As a percentage of revenues, general and administrative expenses were 15% for the three months ended June 30, 2016, compared to 16% for the same period in 2015. Going forward, we expect that general and administrative expenses will continue to increase in absolute dollars as we expand our business.</w:t>
      </w:r>
    </w:p>
    <w:p>
      <w:pPr>
        <w:spacing w:after="0" w:line="167"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the three months ended June 30, 2016 increased $365,000, or 44%, to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$833,000 for the same period in 2015 primarily due to the acquisition of Toolbox Solutions in 2016.</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Total Other Income (Expense), net. </w:t>
      </w:r>
      <w:r>
        <w:rPr>
          <w:rFonts w:ascii="Arial" w:cs="Arial" w:eastAsia="Arial" w:hAnsi="Arial"/>
          <w:sz w:val="16"/>
          <w:szCs w:val="16"/>
          <w:color w:val="auto"/>
        </w:rPr>
        <w:t>Total other income (expense), net for the three months ended June 30, 2016 included $293,000 for an adjustment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Toolbox Solutions share-based earn-out liability due to the change in the stock price between March 31, 2016 to June 30, 2016</w:t>
      </w:r>
    </w:p>
    <w:p>
      <w:pPr>
        <w:spacing w:after="0" w:line="124"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$305,000 for the three months ended June 30, 2016. We recorded income tax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$356,000 for three months ended June 30, 2015. The decrease in income tax expense for the three-month period in 2016 was primarily due to decreased pretax book income. For the full year 2016, we expect that our annual effective income tax rate will be approximately 40%.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209"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Three Months Ended</w:t>
      </w:r>
    </w:p>
    <w:p>
      <w:pPr>
        <w:jc w:val="center"/>
        <w:ind w:left="702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209"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700"/>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non-GAAP income per share</w:t>
            </w: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4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Basic</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60" w:type="dxa"/>
            <w:vAlign w:val="bottom"/>
          </w:tcPr>
          <w:p>
            <w:pPr>
              <w:jc w:val="right"/>
              <w:ind w:right="239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2016 Compared to Six Months Ended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Six Months Ended June 30,</w:t>
            </w:r>
          </w:p>
        </w:tc>
        <w:tc>
          <w:tcPr>
            <w:tcW w:w="9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3"/>
            <w:vMerge w:val="restart"/>
          </w:tcPr>
          <w:p>
            <w:pPr>
              <w:jc w:val="right"/>
              <w:ind w:right="5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593"/>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592"/>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5"/>
                <w:szCs w:val="15"/>
                <w:color w:val="auto"/>
              </w:rPr>
            </w:pPr>
          </w:p>
        </w:tc>
        <w:tc>
          <w:tcPr>
            <w:tcW w:w="7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92,950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75,816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17,134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30,853</w:t>
            </w:r>
          </w:p>
        </w:tc>
        <w:tc>
          <w:tcPr>
            <w:tcW w:w="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23,907</w:t>
            </w:r>
          </w:p>
        </w:tc>
        <w:tc>
          <w:tcPr>
            <w:tcW w:w="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6,946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62,097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51,909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10,188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32,566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27,845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36.7</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4,721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10,611</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8,564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2,047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14,367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11,873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681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59,903</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49,960</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65.9</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9,943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88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2,194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1,949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245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222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310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(1,013)</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(396)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six months ended June 30, 2016 increased $17.1 million, or 23%, to $93.0 million from $75.8 million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right="180" w:hanging="446"/>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17% to $7,139 for the six months ended June 30, 2016 from $6,123 for the same period in 2015. This increase in wallet share was primarily attributable to increased fees resulting from increased usage of our solutions by our recurring revenue customers and growth in larger customers.</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24,186 at June 30, 2016 from 22,746 at June 30, 2015.</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92% of our total revenues, respectively, for the six months ended June 30, 2016, compared to 91% for the same period in 2015.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six months ended June 30, 2016 increased $7.0 million, or 29%, to $30.9 million from $23.9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2015. The increase in cost of revenues for the six-month period in 2016 was primarily due to increased headcount, which resulted in higher personnel-related costs of approximately $4.8 million, higher occupancy costs of approximately $406,000 and higher stock based compensation expense of approximately $137,000 compared to the same period in 2015. We also incurred higher software and cloud-based subscription costs of $904,000 and higher depreciation expense of $385,000 as compared to the same period in 2015 for continued investment in the infrastructure supporting our solutions. As a percentage of revenues, cost of revenues were 33% for the six months ended June 30, 2016, compared to 32% for the same period in 2015. Going forward, we anticipate that cost of revenues will increase in absolute dollars as we continue to expand our business.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for the six months ended June 30, 2016 increased $4.7 million, or 17%, to $32.6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$27.8 million for the same period in 2015. The increase in sales and marketing expenses for the six-month period in 2016 was due to increased headcount, which resulted in higher personnel-related costs of approximately $3.8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and higher stock based compensation expense of approximately $268,000. We also incurred higher variable compensation of approximately $575,000 earned by sales personnel and referral partners from new business and higher promotional costs of $335,000 compared to the same period in 2015, partially offset by a decrease in depreciation expense of $333,000. As a percentage of revenues, sales and marketing expenses were 35% for the six months ended June 30, 2016, compared to 37% for the same period in 2015. As we expand our business, we will continue to add resources to our sales and marketing efforts over time, and we expect that these expenses will continue to increase in absolute dollars.</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2016 increased $2.0 million, or 24%, to</w:t>
      </w:r>
      <w:r>
        <w:rPr>
          <w:rFonts w:ascii="Arial" w:cs="Arial" w:eastAsia="Arial" w:hAnsi="Arial"/>
          <w:sz w:val="18"/>
          <w:szCs w:val="18"/>
          <w:i w:val="1"/>
          <w:iCs w:val="1"/>
          <w:color w:val="auto"/>
        </w:rPr>
        <w:t xml:space="preserve"> </w:t>
      </w:r>
      <w:r>
        <w:rPr>
          <w:rFonts w:ascii="Arial" w:cs="Arial" w:eastAsia="Arial" w:hAnsi="Arial"/>
          <w:sz w:val="18"/>
          <w:szCs w:val="18"/>
          <w:color w:val="auto"/>
        </w:rPr>
        <w:t>$10.6 million from $8.6 million for the same period in 2015. The increase in research and development expenses for the six-month period in 2016 was primarily due to increased headcount, which resulted in higher personnel costs of approximately $1.8 million compared to the same period in 2015. We also incurred higher software and cloud-based subscription costs of $213,000 as compared to the same period in 2015 for continued investment in the infrastructure supporting our solutions. As a percentage of revenues, research and development expenses were 11% for each of the six months ended June 30, 2016 and 2015, respectively. As we enhance and expand our solutions and applications, we expect that research and development expenses will continue to increase in absolute dollars.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six months ended June 30, 2016 increased $2.5 million, or 21%, to</w:t>
      </w:r>
      <w:r>
        <w:rPr>
          <w:rFonts w:ascii="Arial" w:cs="Arial" w:eastAsia="Arial" w:hAnsi="Arial"/>
          <w:sz w:val="17"/>
          <w:szCs w:val="17"/>
          <w:i w:val="1"/>
          <w:iCs w:val="1"/>
          <w:color w:val="auto"/>
        </w:rPr>
        <w:t xml:space="preserve"> </w:t>
      </w:r>
      <w:r>
        <w:rPr>
          <w:rFonts w:ascii="Arial" w:cs="Arial" w:eastAsia="Arial" w:hAnsi="Arial"/>
          <w:sz w:val="17"/>
          <w:szCs w:val="17"/>
          <w:color w:val="auto"/>
        </w:rPr>
        <w:t>$14.4 million from $11.9 million for the same period in 2015. The increase in general and administrative expenses for the six-month period in 2016 was due to increased headcount, which resulted in higher personnel-related costs of approximately $920,000 and higher stock based compensation expenses of approximately $470,000 compared to the same period in 2015. We also incurred higher software subscription costs of approximately $233,000, higher legal and audit fees of approximately $218,000 primarily due to the acquisition of Toolbox Solutions and higher credit card fees of approximately $160,000 due to increase in customers paying by credit card compared to the same period in 2015. As a percentage of revenues, general and administrative expenses were 16% for each of the six months ended June 30, 2016 and 2015, respectively. Going forward, we expect that general and administrative expenses will continue to increase in absolute dollars as we expand our business.</w:t>
      </w:r>
    </w:p>
    <w:p>
      <w:pPr>
        <w:spacing w:after="0" w:line="17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the six months ended June 30, 2016 increased $681,000, or 41%, to $2.4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$1.7 million for the same period in 2015 primarily due to the acquisition of Toolbox Solutions in 2016.</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i w:val="1"/>
          <w:iCs w:val="1"/>
          <w:color w:val="auto"/>
        </w:rPr>
        <w:t xml:space="preserve">Total Other Income (Expense), net. </w:t>
      </w:r>
      <w:r>
        <w:rPr>
          <w:rFonts w:ascii="Arial" w:cs="Arial" w:eastAsia="Arial" w:hAnsi="Arial"/>
          <w:sz w:val="16"/>
          <w:szCs w:val="16"/>
          <w:color w:val="auto"/>
        </w:rPr>
        <w:t>Total other income (expense), net for the six months ended June 30, 2016 included $72,000 for an adjustment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Toolbox Solutions share-based earn-out liability due to the change in the stock price from date of acquisition through June 30, 2016.</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$1.0 million for the six months ended June 30, 2016. We recorded income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$617,000 for six months ended June 30, 2015. The increase in income tax expense for the three-month period in 2016 was primarily due to increased pretax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book income. For the full year 2016, we expect that our annual effective income tax rate will be approximately 40%.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400" w:type="dxa"/>
            <w:vAlign w:val="bottom"/>
          </w:tcPr>
          <w:p>
            <w:pPr>
              <w:spacing w:after="0"/>
              <w:rPr>
                <w:sz w:val="12"/>
                <w:szCs w:val="12"/>
                <w:color w:val="auto"/>
              </w:rPr>
            </w:pPr>
          </w:p>
        </w:tc>
        <w:tc>
          <w:tcPr>
            <w:tcW w:w="52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3,259</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(296)</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3,992</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11,651</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209"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Six Months Ended</w:t>
      </w:r>
    </w:p>
    <w:p>
      <w:pPr>
        <w:jc w:val="center"/>
        <w:ind w:left="680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17,100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June 30, 2016, our principal sources of liquidity were cash, cash equivalents and marketable securities of $135.8 million and accounts receivable, net of allowance for doubtful accounts, of $20.4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Net cash provided by operating activities was $8.8 million and $2.4 million for the six months ended June 30, 2016 and 2015, respectively. The increase in operating cash flows as compared to the same period in 2015 was primarily due to the increase 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revenue due to increased new business in 2016 and due to cash collected for post acquisition for annual Toolbox Solutions contracts invoiced prior to acquisition and the timing of payments for accounts payable, accrued compensation and accrued expenses, somewhat offset by increases in deferred costs for expenses related to increased implementation resources and commission payments for new business and other current and non-current assets for prepayments of discounted cloud based and security subscription-based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Net cash used in investing activities was $27.1 million and $15.1 million for the six months ended June 30, 2016 and 2015, respectively. The increase in net cash used in investing activities as compared to the same period in 2015 was primarily due to the acquisition of Toolbox Solutions for $18.1 million. For the six months ended June 30, 2016 and 2015, we purchased marketable securities, net of maturities, of $6.0 million and $10.0 million, respectively and had capital expenditures of $3.1 million and $5.1 million, respectively. Our capital expenditures are for supporting our business growth and existing customer base, as well as for our internal use such as equipment for our employees.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Net cash provided by financing activities was $4.0 million and $3.5 million for the six months ended June 30, 2016 and 2015, respectively, from the exercise of stock options, proceeds from employee stock purchase plan and excess tax benefit from the exercise of stock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12%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2016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June 30, 2016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color w:val="auto"/>
                <w:w w:val="93"/>
              </w:rPr>
              <w:t>Payments Due By Period (in thousands)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1"/>
              </w:rPr>
              <w:t>Less Than</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6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Total</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1 Year</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1-3 Years</w:t>
            </w: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3-5 Years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5 Years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$15,058</w:t>
            </w:r>
          </w:p>
        </w:tc>
        <w:tc>
          <w:tcPr>
            <w:tcW w:w="9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$ 1,770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$ 6,301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$ 4,936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2,051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outstanding debt as of June 30, 2016.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and Canadian dollars. As we expand internationally, our results of operations and cash flows will be impacted by foreign currency fluctuations. We have not used any forward contracts or currency borrowings to hedge our exposure to foreign currency exchange risk, although we may do so in the future.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2016.</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first quarter of 2016, we acquired the net assets of Toolbox Solutions. Toolbox Solutions represented approximately 10% of our total consolidated assets and 4% of our consolidated revenues for both the three and six months ended June 30, 2016, respectively. The scope of our assessment of the effectiveness of internal control over financial reporting does not include Toolbox Solutions. This exclusion is in accordance with the SEC’s general guidance that an assessment of a recently acquired business may be omitted from our scope in the year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2016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2015 as filed with the Securities and Exchange Commission on February 24,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July 29, 2016</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94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i w:val="1"/>
                <w:iCs w:val="1"/>
                <w:color w:val="auto"/>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7"/>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Certificate of Incorporation (incorporated by reference to Exhibit 4.1 to our Registration Statement on Form S-3 (File No. 333-182097) filed with</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the Commission on September 13, 2012).</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Bylaws (incorporated by reference to Exhibit 3.2 to our Registration Statement on Form S-1/A (File No. 333-163476) filed with the Commission</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on March 5, 2010).</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1"/>
              </w:rPr>
              <w:t>Certification of Principal Executive Officer pursuant to Rules 13a-14(a) under the Securities Exchange Act of 1934, as amended (filed herewith).</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Principal Financial Officer pursuant to Rules 13a-14(a) under the Securities Exchange Act of 1934, as amended (filed herewith).</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 1350, as adopted pursuant to Section 906 of the</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2016,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2019-12-29T10:09:06Z</dcterms:created>
  <dcterms:modified xsi:type="dcterms:W3CDTF">2019-12-29T10:09:06Z</dcterms:modified>
</cp:coreProperties>
</file>