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October 24, 2016 was 17,039,452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00" w:type="dxa"/>
            <w:vAlign w:val="bottom"/>
            <w:gridSpan w:val="9"/>
            <w:vMerge w:val="restart"/>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2"/>
            <w:vMerge w:val="continue"/>
          </w:tcPr>
          <w:p>
            <w:pPr>
              <w:spacing w:after="0"/>
              <w:rPr>
                <w:sz w:val="13"/>
                <w:szCs w:val="13"/>
                <w:color w:val="auto"/>
              </w:rPr>
            </w:pPr>
          </w:p>
        </w:tc>
        <w:tc>
          <w:tcPr>
            <w:tcW w:w="760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2016 (unaudited) and December 31, 2015</w:t>
              </w:r>
            </w:hyperlink>
          </w:p>
        </w:tc>
        <w:tc>
          <w:tcPr>
            <w:tcW w:w="20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 September 30, 2016</w:t>
              </w:r>
            </w:hyperlink>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2015 (unaudited)</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2016 and 2015 (unaudited)</w:t>
              </w:r>
            </w:hyperlink>
          </w:p>
        </w:tc>
        <w:tc>
          <w:tcPr>
            <w:tcW w:w="7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5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790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12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1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1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814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2015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340" w:type="dxa"/>
            <w:vAlign w:val="bottom"/>
          </w:tcPr>
          <w:p>
            <w:pPr>
              <w:jc w:val="center"/>
              <w:ind w:left="129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16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SPS COMMERCE, INC.</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340" w:type="dxa"/>
            <w:vAlign w:val="bottom"/>
          </w:tcPr>
          <w:p>
            <w:pPr>
              <w:jc w:val="center"/>
              <w:ind w:left="1270"/>
              <w:spacing w:after="0"/>
              <w:rPr>
                <w:sz w:val="20"/>
                <w:szCs w:val="20"/>
                <w:color w:val="auto"/>
              </w:rPr>
            </w:pPr>
            <w:r>
              <w:rPr>
                <w:rFonts w:ascii="Arial" w:cs="Arial" w:eastAsia="Arial" w:hAnsi="Arial"/>
                <w:sz w:val="18"/>
                <w:szCs w:val="18"/>
                <w:color w:val="auto"/>
                <w:w w:val="89"/>
              </w:rPr>
              <w:t>(Unaudited; in thousands, except share amounts)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3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340" w:type="dxa"/>
            <w:vAlign w:val="bottom"/>
            <w:shd w:val="clear" w:color="auto" w:fill="CCEEFF"/>
          </w:tcPr>
          <w:p>
            <w:pPr>
              <w:jc w:val="center"/>
              <w:ind w:right="1330"/>
              <w:spacing w:after="0" w:line="196" w:lineRule="exact"/>
              <w:rPr>
                <w:sz w:val="20"/>
                <w:szCs w:val="20"/>
                <w:color w:val="auto"/>
              </w:rPr>
            </w:pPr>
            <w:r>
              <w:rPr>
                <w:rFonts w:ascii="Arial" w:cs="Arial" w:eastAsia="Arial" w:hAnsi="Arial"/>
                <w:sz w:val="18"/>
                <w:szCs w:val="18"/>
                <w:b w:val="1"/>
                <w:bCs w:val="1"/>
                <w:color w:val="auto"/>
                <w:w w:val="94"/>
              </w:rPr>
              <w:t>ASSETS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109,635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15,616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$481 and $446, respectively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costs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18,647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172,582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51,005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MARKETABLE SECURITIES, non-current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12,529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costs, non-current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5,893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asset, non-current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2,130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292,274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40" w:type="dxa"/>
            <w:vAlign w:val="bottom"/>
            <w:vMerge w:val="restart"/>
          </w:tcPr>
          <w:p>
            <w:pPr>
              <w:jc w:val="center"/>
              <w:ind w:right="133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2,442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2,509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rent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24,234</w:t>
            </w:r>
          </w:p>
        </w:tc>
        <w:tc>
          <w:tcPr>
            <w:tcW w:w="0" w:type="dxa"/>
            <w:vAlign w:val="bottom"/>
          </w:tcPr>
          <w:p>
            <w:pPr>
              <w:spacing w:after="0"/>
              <w:rPr>
                <w:sz w:val="1"/>
                <w:szCs w:val="1"/>
                <w:color w:val="auto"/>
              </w:rPr>
            </w:pPr>
          </w:p>
        </w:tc>
      </w:tr>
      <w:tr>
        <w:trPr>
          <w:trHeight w:val="324"/>
        </w:trPr>
        <w:tc>
          <w:tcPr>
            <w:tcW w:w="870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Deferred rent, non-current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3,900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liability, non-current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47,464</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0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3"/>
              </w:rPr>
              <w:t>Common stock, $0.001 par value; 55,000,000 shares authorized; 17,039,014 and 16,723,994 shares issued and</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281,536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(35,544)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244,810</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292,274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49,284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40,354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142,234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revenues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12,700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47,024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27,654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79,563</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13,795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30,443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25,394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75,354</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16,605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16,916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17,054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Unrealized gain (loss) on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Comprehensive income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Nine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3,905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earn-out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w:t>
            </w: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w:t>
            </w:r>
          </w:p>
        </w:tc>
      </w:tr>
      <w:tr>
        <w:trPr>
          <w:trHeight w:val="216"/>
        </w:trPr>
        <w:tc>
          <w:tcPr>
            <w:tcW w:w="20" w:type="dxa"/>
            <w:vAlign w:val="bottom"/>
          </w:tcPr>
          <w:p>
            <w:pPr>
              <w:spacing w:after="0"/>
              <w:rPr>
                <w:sz w:val="18"/>
                <w:szCs w:val="18"/>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(3,427)</w:t>
            </w: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Deferred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(2,904)</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(2,056)</w:t>
            </w: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(1,494)</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r>
      <w:tr>
        <w:trPr>
          <w:trHeight w:val="223"/>
        </w:trPr>
        <w:tc>
          <w:tcPr>
            <w:tcW w:w="20" w:type="dxa"/>
            <w:vAlign w:val="bottom"/>
          </w:tcPr>
          <w:p>
            <w:pPr>
              <w:spacing w:after="0"/>
              <w:rPr>
                <w:sz w:val="19"/>
                <w:szCs w:val="19"/>
                <w:color w:val="auto"/>
              </w:rPr>
            </w:pPr>
          </w:p>
        </w:tc>
        <w:tc>
          <w:tcPr>
            <w:tcW w:w="960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(6,504)</w:t>
            </w: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(18,137)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(17,509)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Business acquisitions, net of cash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(18,062)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(29,671)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(24,013)</w:t>
            </w: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w:t>
            </w: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(11,903)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130,795</w:t>
            </w: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109,635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117,887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2015 condensed consolidated balance sheet data was derived from our audited financial statements at that date. For further information, refer to the consolidated financial statements and accompanying notes for the year ended December 31, 2015 included in our Annual Report on Form 10-K as filed with the Securities and Exchange Commission on February 24,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During the nine months ended September 30, 2016, there were no material changes in our significant accounting policies. See Note A to the consolidated financial statements included in our Annual Report on Form 10-K for the year ended December 31, 2015, as filed with the Securities and Exchange Commission on February 24, 2016, for additional information regarding our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an entity to recognize the amount of revenue to which it expects to be entitled for the transfer of promised goods or services to customers accounting requirements for the recognition of revenue from contracts with customers. This guidance will replace most existing revenue recognition guidance in U.S. GAAP when it becomes effective. These new requirements are effective for annual reporting periods beginning after December 15, 2017, and interim periods within those annual periods. We do not believe the new revenue recognition standard will materially impact our recognition of the primary fees received from customers for our cloud-based supply chain solutions. We believe the adoption of the new standard could impact our accounting for certain upfront set-up fees, but we are in the process of determining the financial statement impact and are currently unable to estimate the impact on our consolidated financial statements.</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amends the guidance requiring companies to separate deferred income tax liabilities and assets into current and non-current amounts in a classified statement of financial position. This accounting guidance simplifies the presentation of deferred income taxes, such that deferred tax liabilities and assets be classified as non-current in a classified statement of financial position. This accounting guidance is effective for us beginning in the first quarter of 2017, but we elected to early adopt this guidance prospectively as of December 31, 2015. As a result, we have classified all deferred tax liabilities and assets as non-current in the condensed consolidated balance sheet at September 30, 2016.</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which will simplify the income tax consequences, accounting for forfeitures and classification on the statements of consolidated cash flows. This standard is effective for fiscal years, and interim periods within those fiscal years, beginning after December 15, 2016, with early adoption permitted. We are currently evaluating the impact this guidance will have on the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Toolbox Solutions, Inc.</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January 5, 2016, we completed our acquisition of all of the outstanding common shares of Toolbox Solutions, Inc., (“Toolbox Solutions”) a privately held company providing point-of-sale analytics and category management services to retailers and consumer packaged goods suppliers in North America. This acquisition expands our retail network and strengthens our analytics offerings. Pursuant to the share purchase agreement, we paid $18.1 million in cash and issued $3.3 million in stock, or 48,668 shares of common stock, to the shareholders of Toolbox Solutions. The purchase agreement also allows the sellers to receive up to 16,222 additional shares of common stock, which could become payable contingent upon the completion of certain revenue milestones. See Note C for subsequent measurements of this contingent liability.</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The purchase price consists of the following (in thousands):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Estimated net working capital adjustments to be received from sellers</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SPS Commerce, Inc. common stock</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Fair value of share-based earn-out liability</w:t>
            </w:r>
          </w:p>
        </w:tc>
        <w:tc>
          <w:tcPr>
            <w:tcW w:w="10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final purchase price is subject to a net working capital adjustment to be determined by SPS Commerce and the sellers, pursuant to the terms of the purchase agreement. The number of shares of our common stock issued for the acquisition was 48,668 shares as calculated according to the terms of the purchase agreement. The fair value of the shares issued was determined using an volume weighted average trading price of our common stock over a 30-day period ending five days prior to the acquisition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net of cash acquired of $359,000, and liabilities assumed at the acquisition date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15,689</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(1,249)</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(2,221)</w:t>
            </w:r>
          </w:p>
        </w:tc>
      </w:tr>
      <w:tr>
        <w:trPr>
          <w:trHeight w:val="223"/>
        </w:trPr>
        <w:tc>
          <w:tcPr>
            <w:tcW w:w="7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22,298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Purchased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color w:val="auto"/>
                <w:w w:val="93"/>
              </w:rPr>
              <w:t>Estimated</w:t>
            </w:r>
          </w:p>
        </w:tc>
        <w:tc>
          <w:tcPr>
            <w:tcW w:w="920" w:type="dxa"/>
            <w:vAlign w:val="bottom"/>
            <w:gridSpan w:val="3"/>
          </w:tcPr>
          <w:p>
            <w:pPr>
              <w:jc w:val="center"/>
              <w:ind w:left="54"/>
              <w:spacing w:after="0"/>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62"/>
        </w:trPr>
        <w:tc>
          <w:tcPr>
            <w:tcW w:w="4520" w:type="dxa"/>
            <w:vAlign w:val="bottom"/>
            <w:gridSpan w:val="3"/>
            <w:vMerge w:val="restart"/>
          </w:tcPr>
          <w:p>
            <w:pPr>
              <w:spacing w:after="0"/>
              <w:rPr>
                <w:sz w:val="20"/>
                <w:szCs w:val="20"/>
                <w:color w:val="auto"/>
              </w:rPr>
            </w:pPr>
            <w:r>
              <w:rPr>
                <w:rFonts w:ascii="Arial" w:cs="Arial" w:eastAsia="Arial" w:hAnsi="Arial"/>
                <w:sz w:val="14"/>
                <w:szCs w:val="14"/>
                <w:color w:val="auto"/>
              </w:rPr>
              <w:t>Purchased Intangible Assets</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Arial" w:cs="Arial" w:eastAsia="Arial" w:hAnsi="Arial"/>
                <w:sz w:val="14"/>
                <w:szCs w:val="14"/>
                <w:color w:val="auto"/>
                <w:w w:val="93"/>
              </w:rPr>
              <w:t>Fair Value</w:t>
            </w:r>
          </w:p>
        </w:tc>
        <w:tc>
          <w:tcPr>
            <w:tcW w:w="24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67"/>
        </w:trPr>
        <w:tc>
          <w:tcPr>
            <w:tcW w:w="4520" w:type="dxa"/>
            <w:vAlign w:val="bottom"/>
            <w:gridSpan w:val="3"/>
            <w:vMerge w:val="continue"/>
          </w:tcPr>
          <w:p>
            <w:pPr>
              <w:spacing w:after="0"/>
              <w:rPr>
                <w:sz w:val="14"/>
                <w:szCs w:val="14"/>
                <w:color w:val="auto"/>
              </w:rPr>
            </w:pPr>
          </w:p>
        </w:tc>
        <w:tc>
          <w:tcPr>
            <w:tcW w:w="3240" w:type="dxa"/>
            <w:vAlign w:val="bottom"/>
            <w:gridSpan w:val="3"/>
          </w:tcPr>
          <w:p>
            <w:pPr>
              <w:ind w:left="2400"/>
              <w:spacing w:after="0"/>
              <w:rPr>
                <w:sz w:val="20"/>
                <w:szCs w:val="20"/>
                <w:color w:val="auto"/>
              </w:rPr>
            </w:pPr>
            <w:r>
              <w:rPr>
                <w:rFonts w:ascii="Arial" w:cs="Arial" w:eastAsia="Arial" w:hAnsi="Arial"/>
                <w:sz w:val="14"/>
                <w:szCs w:val="14"/>
                <w:color w:val="auto"/>
                <w:w w:val="92"/>
              </w:rPr>
              <w:t>(in thousands)</w:t>
            </w:r>
          </w:p>
        </w:tc>
        <w:tc>
          <w:tcPr>
            <w:tcW w:w="2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82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820" w:type="dxa"/>
            <w:vAlign w:val="bottom"/>
            <w:gridSpan w:val="2"/>
          </w:tcPr>
          <w:p>
            <w:pPr>
              <w:jc w:val="center"/>
              <w:ind w:left="174"/>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20" w:type="dxa"/>
            <w:vAlign w:val="bottom"/>
            <w:gridSpan w:val="2"/>
          </w:tcPr>
          <w:p>
            <w:pPr>
              <w:jc w:val="center"/>
              <w:ind w:left="174"/>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fair values of purchased intangible assets are preliminary and are subject to adjustment as additional information becomes available about the facts and circumstances that existed at the acquisition date. The purchased intangible assets are being amortized on a straight-line basis over their estimated useful lives. Amortization expense for the period from January 5, 2016 through September 30, 2016 was $1.1 million.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Acquisition-Related Costs and Post-Acquisition Operating Results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Acquisition-related costs were $147,000 and are included in our condensed consolidated statements of comprehensive income (loss) for the nine months ended September 30, 2016. No acquisition-related costs were incurred during the three months ended September 30, 2016. The operating results of Toolbox Solutions have been included in our condensed consolidated financial statements from January 5, 2016, the closing date of the acquisition. For the three months ended September 30, 2016 and the period from January 5, 2016 through September 30, 2016, approximately $2.2 million and $5.7 million of our revenues, respectively were derived from Toolbox Solutions’ products and services. The amount of operating income or loss from Toolbox Solutions was not separately identifiable due to our integration.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pro forma financial information in the table below presents the combined operating results of SPS Commerce and Toolbox Solutions as if the acquisition had occurred on January 1, 2015. The pro forma information includes the historical operating results of each company and pro forma adjustments for the approximate $1.5 million of annual amortization expense related to purchased intangible assets and the additional impact on the provision or benefit for income taxes, resulting from the combined income and intangible amortization expense, using our statutory blended income tax rate of 26.5%.</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67"/>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26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2016</w:t>
            </w:r>
          </w:p>
        </w:tc>
        <w:tc>
          <w:tcPr>
            <w:tcW w:w="11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 forma net income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4,171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Basic</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pro forma financial information is presented for informational purposes only and is not necessarily indicative of the results of operations that would have actually been reported had the acquisition occurred on January 1, 2015, nor is it necessarily indicative of our results of operations for any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w:t>
      </w:r>
    </w:p>
    <w:p>
      <w:pPr>
        <w:spacing w:after="0" w:line="19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fixed income investments are carried at fair value and unrealized gains and losses on these investments are included in other comprehensive income (loss) in the condensed consolidated statements of comprehensive income (loss).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consisted of the following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rPr>
              <w:t>September 30, 2016</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6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95"/>
              </w:rPr>
              <w:t>Amortized</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580" w:type="dxa"/>
            <w:vAlign w:val="bottom"/>
          </w:tcPr>
          <w:p>
            <w:pPr>
              <w:jc w:val="right"/>
              <w:ind w:right="99"/>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color w:val="auto"/>
                <w:w w:val="98"/>
              </w:rPr>
              <w:t>Gains</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Losses</w:t>
            </w:r>
          </w:p>
        </w:tc>
        <w:tc>
          <w:tcPr>
            <w:tcW w:w="2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800" w:type="dxa"/>
            <w:vAlign w:val="bottom"/>
            <w:gridSpan w:val="3"/>
          </w:tcPr>
          <w:p>
            <w:pPr>
              <w:jc w:val="right"/>
              <w:ind w:right="540"/>
              <w:spacing w:after="0"/>
              <w:rPr>
                <w:sz w:val="20"/>
                <w:szCs w:val="20"/>
                <w:color w:val="auto"/>
              </w:rPr>
            </w:pPr>
            <w:r>
              <w:rPr>
                <w:rFonts w:ascii="Arial" w:cs="Arial" w:eastAsia="Arial" w:hAnsi="Arial"/>
                <w:sz w:val="18"/>
                <w:szCs w:val="18"/>
                <w:color w:val="auto"/>
              </w:rPr>
              <w:t>$ 68,262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$68,262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3800" w:type="dxa"/>
            <w:vAlign w:val="bottom"/>
            <w:gridSpan w:val="3"/>
          </w:tcPr>
          <w:p>
            <w:pPr>
              <w:jc w:val="right"/>
              <w:ind w:right="540"/>
              <w:spacing w:after="0"/>
              <w:rPr>
                <w:sz w:val="20"/>
                <w:szCs w:val="20"/>
                <w:color w:val="auto"/>
              </w:rPr>
            </w:pPr>
            <w:r>
              <w:rPr>
                <w:rFonts w:ascii="Arial" w:cs="Arial" w:eastAsia="Arial" w:hAnsi="Arial"/>
                <w:sz w:val="18"/>
                <w:szCs w:val="18"/>
                <w:color w:val="auto"/>
              </w:rPr>
              <w:t>15,680</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3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3800" w:type="dxa"/>
            <w:vAlign w:val="bottom"/>
            <w:gridSpan w:val="3"/>
          </w:tcPr>
          <w:p>
            <w:pPr>
              <w:jc w:val="right"/>
              <w:ind w:right="540"/>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3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$ 96,425</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Due within two years</w:t>
            </w:r>
          </w:p>
        </w:tc>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40" w:type="dxa"/>
            <w:vAlign w:val="bottom"/>
            <w:vMerge w:val="restart"/>
          </w:tcPr>
          <w:p>
            <w:pPr>
              <w:jc w:val="right"/>
              <w:ind w:right="89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rPr>
              <w:t>December 31 , 2015</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8"/>
              </w:rPr>
              <w:t>Amortized</w:t>
            </w:r>
          </w:p>
        </w:tc>
        <w:tc>
          <w:tcPr>
            <w:tcW w:w="28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9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3"/>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79,717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79,717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102,244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color w:val="auto"/>
                <w:w w:val="71"/>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Due within two years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September 30, 2016. We expect to receive the full principal and interest on all of these cash equivalents and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discussed in Note B, Business Acquisitions, we recorded a share-based earn-out liability in connection with our acquisition of Toolbox Solutions. The valuation technique used to measure the fair value of the earn-out liability is based on the present value of probability-weighted future cash flows related to the contingent earn-out criteria and the fair value of our common stock on each reporting date. While the fair value of our common stock is an observable input, the probability-weighted future cash flows related to the outcome of the earn-out represent a significant unobservable input to the valuation methodology. Accordingly, we have classified the earn-out liability as a Level 3 measurement. During the third quarter, we reevaluated the probability that these revenue milestones will be achieved and determined it to be highly unlikely based on performance to date and future expectations. Accordingly, the fair value of the related contingent consideration liability has been reduced to zero. During the three and nine months ended September 30, 2016, we recognized income of $1.0 million and $1.1 million respectively, in other income, net and interest income, net in our condensed consolidated statements of comprehensive income (loss) due to the remeasurement of the earn-out liability to fair value.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Level 2</w:t>
            </w:r>
          </w:p>
        </w:tc>
        <w:tc>
          <w:tcPr>
            <w:tcW w:w="440" w:type="dxa"/>
            <w:vAlign w:val="bottom"/>
          </w:tcPr>
          <w:p>
            <w:pPr>
              <w:jc w:val="right"/>
              <w:spacing w:after="0"/>
              <w:rPr>
                <w:sz w:val="20"/>
                <w:szCs w:val="20"/>
                <w:color w:val="auto"/>
              </w:rPr>
            </w:pPr>
            <w:r>
              <w:rPr>
                <w:rFonts w:ascii="Arial" w:cs="Arial" w:eastAsia="Arial" w:hAnsi="Arial"/>
                <w:sz w:val="14"/>
                <w:szCs w:val="14"/>
                <w:color w:val="auto"/>
                <w:w w:val="92"/>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 at September 30, 2016: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Money market funds</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$68,262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bonds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15,645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Commercial paper</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U.S. agency obligations</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68,262</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28,146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96,408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Assets at December 31, 2015: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Money market funds</w:t>
            </w:r>
          </w:p>
        </w:tc>
        <w:tc>
          <w:tcPr>
            <w:tcW w:w="620" w:type="dxa"/>
            <w:vAlign w:val="bottom"/>
            <w:gridSpan w:val="2"/>
          </w:tcPr>
          <w:p>
            <w:pPr>
              <w:spacing w:after="0"/>
              <w:rPr>
                <w:sz w:val="20"/>
                <w:szCs w:val="20"/>
                <w:color w:val="auto"/>
              </w:rPr>
            </w:pPr>
            <w:r>
              <w:rPr>
                <w:rFonts w:ascii="Arial" w:cs="Arial" w:eastAsia="Arial" w:hAnsi="Arial"/>
                <w:sz w:val="18"/>
                <w:szCs w:val="18"/>
                <w:color w:val="auto"/>
                <w:w w:val="92"/>
              </w:rPr>
              <w:t>$79,717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Corporate bonds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10,008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paper</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7,462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agency obligations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79,717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22,468</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80" w:firstLine="456"/>
        <w:spacing w:after="0" w:line="277" w:lineRule="auto"/>
        <w:rPr>
          <w:sz w:val="20"/>
          <w:szCs w:val="20"/>
          <w:color w:val="auto"/>
        </w:rPr>
      </w:pPr>
      <w:r>
        <w:rPr>
          <w:rFonts w:ascii="Arial" w:cs="Arial" w:eastAsia="Arial" w:hAnsi="Arial"/>
          <w:sz w:val="18"/>
          <w:szCs w:val="18"/>
          <w:color w:val="auto"/>
        </w:rPr>
        <w:t>We classify our cash and cash equivalents and marketable securities within Level 1 or Level 2 because we use quoted market prices or alternative pricing sources and models utilizing market observable inputs to determine their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 net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change in goodwill for the nine months ended September 30, 2016 was due to the acquisition of Toolbox Solutions (see Note B) of $15.7 million, as well as the effect of foreign currency translation.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4"/>
              </w:rPr>
              <w:t>September 30, 2016</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4"/>
              </w:rPr>
              <w:t>December 31, 2015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0"/>
                <w:szCs w:val="10"/>
                <w:color w:val="auto"/>
              </w:rPr>
            </w:pPr>
          </w:p>
        </w:tc>
        <w:tc>
          <w:tcPr>
            <w:tcW w:w="108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1"/>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w w:val="95"/>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2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$34,385</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(14,779)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$19,606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(11,856)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680" w:type="dxa"/>
            <w:vAlign w:val="bottom"/>
            <w:gridSpan w:val="3"/>
          </w:tcPr>
          <w:p>
            <w:pPr>
              <w:jc w:val="right"/>
              <w:ind w:right="40"/>
              <w:spacing w:after="0"/>
              <w:rPr>
                <w:sz w:val="20"/>
                <w:szCs w:val="20"/>
                <w:color w:val="auto"/>
              </w:rPr>
            </w:pPr>
            <w:r>
              <w:rPr>
                <w:rFonts w:ascii="Arial" w:cs="Arial" w:eastAsia="Arial" w:hAnsi="Arial"/>
                <w:sz w:val="18"/>
                <w:szCs w:val="18"/>
                <w:color w:val="auto"/>
              </w:rPr>
              <w:t>2,267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(1,780)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487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(1,653)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2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38,864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(17,526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28,990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(13,909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4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2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640" w:type="dxa"/>
            <w:vAlign w:val="bottom"/>
            <w:gridSpan w:val="3"/>
          </w:tcPr>
          <w:p>
            <w:pPr>
              <w:spacing w:after="0"/>
              <w:rPr>
                <w:sz w:val="20"/>
                <w:szCs w:val="20"/>
                <w:color w:val="auto"/>
              </w:rPr>
            </w:pPr>
            <w:r>
              <w:rPr>
                <w:rFonts w:ascii="Arial" w:cs="Arial" w:eastAsia="Arial" w:hAnsi="Arial"/>
                <w:sz w:val="18"/>
                <w:szCs w:val="18"/>
                <w:color w:val="auto"/>
              </w:rPr>
              <w:t>At September 30, 2016, future amortization expense for intangible assets was as follows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E – Commitments and Contingencies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gridSpan w:val="3"/>
          </w:tcPr>
          <w:p>
            <w:pPr>
              <w:spacing w:after="0"/>
              <w:rPr>
                <w:sz w:val="20"/>
                <w:szCs w:val="20"/>
                <w:color w:val="auto"/>
              </w:rPr>
            </w:pPr>
            <w:r>
              <w:rPr>
                <w:rFonts w:ascii="Arial" w:cs="Arial" w:eastAsia="Arial" w:hAnsi="Arial"/>
                <w:sz w:val="18"/>
                <w:szCs w:val="18"/>
                <w:i w:val="1"/>
                <w:iCs w:val="1"/>
                <w:color w:val="auto"/>
              </w:rPr>
              <w:t>Operating Leases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gridSpan w:val="3"/>
          </w:tcPr>
          <w:p>
            <w:pPr>
              <w:ind w:left="460"/>
              <w:spacing w:after="0"/>
              <w:rPr>
                <w:sz w:val="20"/>
                <w:szCs w:val="20"/>
                <w:color w:val="auto"/>
              </w:rPr>
            </w:pPr>
            <w:r>
              <w:rPr>
                <w:rFonts w:ascii="Arial" w:cs="Arial" w:eastAsia="Arial" w:hAnsi="Arial"/>
                <w:sz w:val="18"/>
                <w:szCs w:val="18"/>
                <w:color w:val="auto"/>
                <w:w w:val="93"/>
              </w:rPr>
              <w:t>At September 30, 2016, our future minimum payments under operating leases were as follows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2016, 1,003,439 additional shares were reserved for future issuance under our 2010 Equity Incentive Plan. At September 30, 2016, there were approximately 3.9 million shares available for grant under approved equity compensation plans.</w:t>
      </w:r>
    </w:p>
    <w:p>
      <w:pPr>
        <w:spacing w:after="0" w:line="15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recorded stock-based compensation expense of $2.0 million and $6.0 million for the three and nine months ended September 30, 2016 and $1.6 million and $4.8 million for the three and nine months ended September 30, 2015, respectively. This expense was allocated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gridSpan w:val="7"/>
          </w:tcPr>
          <w:p>
            <w:pPr>
              <w:jc w:val="right"/>
              <w:ind w:right="220"/>
              <w:spacing w:after="0"/>
              <w:rPr>
                <w:sz w:val="20"/>
                <w:szCs w:val="20"/>
                <w:color w:val="auto"/>
              </w:rPr>
            </w:pPr>
            <w:r>
              <w:rPr>
                <w:rFonts w:ascii="Arial" w:cs="Arial" w:eastAsia="Arial" w:hAnsi="Arial"/>
                <w:sz w:val="14"/>
                <w:szCs w:val="14"/>
                <w:color w:val="auto"/>
                <w:w w:val="96"/>
              </w:rPr>
              <w:t>Three Months Ended</w:t>
            </w:r>
          </w:p>
        </w:tc>
        <w:tc>
          <w:tcPr>
            <w:tcW w:w="160" w:type="dxa"/>
            <w:vAlign w:val="bottom"/>
          </w:tcPr>
          <w:p>
            <w:pPr>
              <w:spacing w:after="0"/>
              <w:rPr>
                <w:sz w:val="14"/>
                <w:szCs w:val="1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40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89"/>
              </w:rPr>
              <w:t>2016</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9"/>
              </w:rPr>
              <w:t>2016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1,913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2,753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2,012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6,004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At September 30, 2016, there was approximately $15.6 million of unrecognized stock-based compensation expense under our equity compensation plans, which is expected to be recognized on a straight-line basis over a weighted average period of 2.7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6"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4"/>
          </w:tcPr>
          <w:p>
            <w:pPr>
              <w:jc w:val="center"/>
              <w:ind w:left="79"/>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943,103</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340,045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(193,015)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(43,093)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1,047,040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Of the total outstanding options at September 30, 2016, 578,813 were exercisable with a weighted average exercise price of $36.88 per share. The total outstanding options had a weighted average remaining contractual life of 4.8 years.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nine months of 2016 was $16.12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57"/>
              <w:spacing w:after="0"/>
              <w:rPr>
                <w:sz w:val="20"/>
                <w:szCs w:val="20"/>
                <w:color w:val="auto"/>
              </w:rPr>
            </w:pPr>
            <w:r>
              <w:rPr>
                <w:rFonts w:ascii="Arial" w:cs="Arial" w:eastAsia="Arial" w:hAnsi="Arial"/>
                <w:sz w:val="14"/>
                <w:szCs w:val="14"/>
                <w:color w:val="auto"/>
                <w:w w:val="92"/>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377"/>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140,565</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115,567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(14,047)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number of restricted stock units outstanding at September 30, 2016 included 24,995 units that have vested, but for which shares of common stock have not yet been issued pursuant to the terms of the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gridSpan w:val="3"/>
          </w:tcPr>
          <w:p>
            <w:pPr>
              <w:jc w:val="center"/>
              <w:ind w:left="996"/>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Awards</w:t>
            </w:r>
          </w:p>
        </w:tc>
        <w:tc>
          <w:tcPr>
            <w:tcW w:w="38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gridSpan w:val="2"/>
          </w:tcPr>
          <w:p>
            <w:pPr>
              <w:jc w:val="center"/>
              <w:ind w:left="1436"/>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6,078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1.1 million shares of common stock are reserved for issuance under the plan.</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For the offering period that began on January 1, 2016 and ended on June 30, 2016, we withheld approximately $794,000 from employees participating in the plan. On June 30, 2016, approximately $786,000 of these funds were used to purchase 15,260 shares on behalf of the employees participating in the plan. The remaining funds are expected to be refunded to employees pursuant to the requirements of the plan. For the offering period that began on July 1, 2016 and will end on December 31, 2016, we have withheld approximately $523,000 as of September 30, 2016 from employees participating in the plan.</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the three and nine months ended September 30, 2016, we recorded approximately $148,000 and $384,000,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0.43%</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we do not have any unrecognized tax benefits nor any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1,270</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17,001</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16,605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16,916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1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17,341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17,054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effect of approximately 4,353 and 2,000 outstanding potential common shares was excluded from the calculation of diluted net income per share for the three and nine months ended September 30, 2016 and 2015, respectively, as they were anti-dilutive.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September 30, 2016, our revenues were $49.3 million, an increase of 22% from the comparable period in 2015, and represented our 63</w:t>
      </w:r>
      <w:r>
        <w:rPr>
          <w:rFonts w:ascii="Arial" w:cs="Arial" w:eastAsia="Arial" w:hAnsi="Arial"/>
          <w:sz w:val="15"/>
          <w:szCs w:val="15"/>
          <w:color w:val="auto"/>
        </w:rPr>
        <w:t>rd</w:t>
      </w:r>
      <w:r>
        <w:rPr>
          <w:rFonts w:ascii="Arial" w:cs="Arial" w:eastAsia="Arial" w:hAnsi="Arial"/>
          <w:sz w:val="18"/>
          <w:szCs w:val="18"/>
          <w:color w:val="auto"/>
        </w:rPr>
        <w:t xml:space="preserve"> consecutive quarter of increased revenues. Total operating expenses increased 20% for the same period in 2016 from 2015. Similar results were experienced for the nine months ended September 30, 2016 with increased revenues of 22% and increased operating expenses of 20% compared to the same period in 2015.</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January 5, 2016, we entered into a share purchase agreement with Toolbox Solutions, Inc. (“Toolbox Solutions”), a privately-held information services company specializing in the collection, analysis and distribution of point-of-sale data used by retailers and suppliers to improve their supply chain efficiencies. Under the share purchase agreement, we purchased and acquired all of the outstanding common shares of Toolbox Solutions for $18.1 million in cash, 48,668 shares of our common stock, and a share-based earn-out liability at an original fair value of $1.0 million. We also assumed certain liabilities of Toolbox Solutions. This acquisition allows us to expand our point-of-sale analytic offerings, expand our base of recurring revenue customers and add suppliers to our network. See Note B to our condensed consolidated financial statements included in this Quarterly Report on Form 10-Q for additional information regarding the acquisition of Toolbox Solutions.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nine months ended September 30, 2016,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2015 as filed with the Securities and Exchange Commission on February 24, 2016.</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nine months ended September 30, 2016, there were no changes in our significant accounting policies or estimates. See Note A to our condensed consolidated financial statements included in this Quarterly Report on Form 10-Q and in our Annual Report on Form 10-K for the year ended December 31, 2015, as filed with the Securities and Exchange Commission on February 24, 2016, for additional information regarding our accounting policies.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2016 Compared to Three Months Ended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8"/>
          </w:tcPr>
          <w:p>
            <w:pPr>
              <w:jc w:val="right"/>
              <w:ind w:right="1180"/>
              <w:spacing w:after="0"/>
              <w:rPr>
                <w:sz w:val="20"/>
                <w:szCs w:val="20"/>
                <w:color w:val="auto"/>
              </w:rPr>
            </w:pPr>
            <w:r>
              <w:rPr>
                <w:rFonts w:ascii="Arial" w:cs="Arial" w:eastAsia="Arial" w:hAnsi="Arial"/>
                <w:sz w:val="14"/>
                <w:szCs w:val="14"/>
                <w:color w:val="auto"/>
                <w:w w:val="96"/>
              </w:rPr>
              <w:t>Three Months Ended September 30,</w:t>
            </w:r>
          </w:p>
        </w:tc>
        <w:tc>
          <w:tcPr>
            <w:tcW w:w="1580" w:type="dxa"/>
            <w:vAlign w:val="bottom"/>
            <w:gridSpan w:val="3"/>
            <w:vMerge w:val="restart"/>
          </w:tcPr>
          <w:p>
            <w:pPr>
              <w:jc w:val="right"/>
              <w:ind w:right="6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89"/>
              </w:rPr>
              <w:t>2016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5"/>
                <w:szCs w:val="15"/>
                <w:color w:val="auto"/>
              </w:rPr>
            </w:pPr>
          </w:p>
        </w:tc>
        <w:tc>
          <w:tcPr>
            <w:tcW w:w="7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49,284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40,354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8,930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16,171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12,700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31.5</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3,471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33,113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27,654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5,459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16,526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13,795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2,731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5,574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4,494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1,080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1,194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365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30,443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25,394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2,670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2,260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410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(1,033)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8"/>
              </w:rPr>
              <w:t>(1,096)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(2,962.2)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(1,220)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1,239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September 30, 2016 increased $8.9 million, or 22%, to $49.3 million from $40.4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right="22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15% to $7,399 for the three months ended September 30, 2016 from $6,436 for the same period in 2015. This increase in wallet share was primarily attributable to increased usage of our solutions by our recurring revenue customers and growth in larger customers.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24,583 at September 30, 2016 from 23,092 at September 30, 2015.</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92% of our total revenues, respectively, for the three months ended September 30, 2016, compared to 91% for the same period in 2015.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September 30, 2016 increased $3.5 million, or 27%, to $16.2 million from $12.7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2015. The increase in cost of revenues for the three-month period in 2016 was primarily due to increased headcount, which resulted in higher personnel-related costs of approximately $2.5 million and higher occupancy costs of approximately $223,000 compared to the same period in</w:t>
      </w:r>
    </w:p>
    <w:p>
      <w:pPr>
        <w:ind w:right="180"/>
        <w:spacing w:after="0" w:line="254" w:lineRule="auto"/>
        <w:rPr>
          <w:sz w:val="20"/>
          <w:szCs w:val="20"/>
          <w:color w:val="auto"/>
        </w:rPr>
      </w:pPr>
      <w:r>
        <w:rPr>
          <w:rFonts w:ascii="Arial" w:cs="Arial" w:eastAsia="Arial" w:hAnsi="Arial"/>
          <w:sz w:val="18"/>
          <w:szCs w:val="18"/>
          <w:color w:val="auto"/>
        </w:rPr>
        <w:t>2015. We also incurred higher software and cloud-based subscription costs of $617,000 as compared to the same period in 2015 for continued investment in the infrastructure supporting our solutions. As a percentage of revenues, cost of revenues were 33% for the three months ended September 30, 2016, compared to 32% for the same period in 2015. Going forward, we anticipate that cost of revenues will increase in absolute dollars as we continue to expand our business.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2016 increased $2.7 million, or 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$16.5 million from $13.8 million for the same period in 2015. The increase in sales and marketing expenses for the three-month period in 2016 was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headcount, which resulted in higher personnel-related costs of approximately $2.1 million and higher stock-based compensation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$155,000. We also incurred higher variable compensation of approximately $253,000 earned by sales personnel and referral partners from new business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promotional costs of approximately $126,000, partially offset by a decrease in depreciation expense of $125,000. As a percentage of revenues,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marketing expenses were 34% for the three months ended September 30, 2016, compared to 34% for the same period in 2015. As we expand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we will continue to add resources to our sales and marketing efforts over time, and we expect that these expenses will continue to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absolute dollars.</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months ended September 30, 2016 increased $1.1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24%, to $5.6 million from $4.5 million for the same period in 2015. The increase in research and development expenses for the three-month period in 2016 was primarily due to increased headcount, which resulted in higher personnel costs of approximately $951,000 compared to the same period in 2015. We also incurred higher software and cloud-based subscription costs of $120,000 as compared to the same period in 2015 for continued investment in the infrastructure supporting our solutions. As a percentage of revenues, research and development expenses were 11% for the three months ended September 30, 2016 compared to 11% for the same period in 2015. As we enhance and expand our solutions and applications, we expect that research and development expenses will continue to increase in absolute dollars.</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2016 increased $872,000, or</w:t>
      </w:r>
      <w:r>
        <w:rPr>
          <w:rFonts w:ascii="Arial" w:cs="Arial" w:eastAsia="Arial" w:hAnsi="Arial"/>
          <w:sz w:val="16"/>
          <w:szCs w:val="16"/>
          <w:i w:val="1"/>
          <w:iCs w:val="1"/>
          <w:color w:val="auto"/>
        </w:rPr>
        <w:t xml:space="preserve"> </w:t>
      </w:r>
      <w:r>
        <w:rPr>
          <w:rFonts w:ascii="Arial" w:cs="Arial" w:eastAsia="Arial" w:hAnsi="Arial"/>
          <w:sz w:val="16"/>
          <w:szCs w:val="16"/>
          <w:color w:val="auto"/>
        </w:rPr>
        <w:t>14%, to $7.2 million from $6.3 million for the same period in 2015. The increase in general and administrative expenses for the three-month period in 2016 was due to higher stock based compensation expenses of approximately $220,000 compared to the same period in 2015. We also incurred higher software subscription costs of approximately $309,000, higher hardware and associated maintenance fees of $104,000, higher bad debt expense of $57,000 as well as increased legal, audit and tax fees of $59,000 primarily related to the Toolbox Solutions acquisition compared to the same period in 2015. As a percentage of revenues, general and administrative expenses were 15% for the three months ended September 30, 2016, compared to 16% for the same period in 2015. Going forward, we expect that general and administrative expenses will continue to increase in absolute dollars as we expand our business.</w:t>
      </w:r>
    </w:p>
    <w:p>
      <w:pPr>
        <w:spacing w:after="0" w:line="16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the three months ended September 30, 2016 increased $365,000, or 44%, to</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from $829,000 for the same period in 2015 primarily due to the acquisition of Toolbox Solutions in 2016.</w:t>
      </w:r>
    </w:p>
    <w:p>
      <w:pPr>
        <w:spacing w:after="0" w:line="17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i w:val="1"/>
          <w:iCs w:val="1"/>
          <w:color w:val="auto"/>
        </w:rPr>
        <w:t xml:space="preserve">Total Other Income (Expense), net. </w:t>
      </w:r>
      <w:r>
        <w:rPr>
          <w:rFonts w:ascii="Arial" w:cs="Arial" w:eastAsia="Arial" w:hAnsi="Arial"/>
          <w:sz w:val="16"/>
          <w:szCs w:val="16"/>
          <w:color w:val="auto"/>
        </w:rPr>
        <w:t>Total other income (expense), net for the three months ended September 30, 2016 included $1.0 million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for the fair value of the Toolbox Solutions share-based earn-out liability due to the change in our estimate of probability of attainment.</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$1.2 million for the three months ended September 30, 2016. We recorded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$953,000 for the three months ended September 30, 2015. The increase in income tax expense for the three-month period ended September 30, 2016 was primarily due to the increase in pretax book income. For the full year 2016, we expect that our annual effective income tax rate will be approximately 40%.</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The other adjustment is the impact of the fair value adjustment for the Toolbox Solutions share-based earn-out liability. The following table provides a reconciliation of net income to Adjusted EBITDA (in thousands):</w:t>
      </w:r>
    </w:p>
    <w:p>
      <w:pPr>
        <w:spacing w:after="0" w:line="209" w:lineRule="exact"/>
        <w:rPr>
          <w:sz w:val="20"/>
          <w:szCs w:val="20"/>
          <w:color w:val="auto"/>
        </w:rPr>
      </w:pPr>
    </w:p>
    <w:p>
      <w:pPr>
        <w:jc w:val="center"/>
        <w:ind w:left="6880"/>
        <w:spacing w:after="0"/>
        <w:rPr>
          <w:sz w:val="20"/>
          <w:szCs w:val="20"/>
          <w:color w:val="auto"/>
        </w:rPr>
      </w:pPr>
      <w:r>
        <w:rPr>
          <w:rFonts w:ascii="Arial" w:cs="Arial" w:eastAsia="Arial" w:hAnsi="Arial"/>
          <w:sz w:val="14"/>
          <w:szCs w:val="14"/>
          <w:color w:val="auto"/>
        </w:rPr>
        <w:t>Three Months Ended</w:t>
      </w:r>
    </w:p>
    <w:p>
      <w:pPr>
        <w:jc w:val="center"/>
        <w:ind w:left="68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80" w:type="dxa"/>
            <w:vAlign w:val="bottom"/>
            <w:gridSpan w:val="3"/>
          </w:tcPr>
          <w:p>
            <w:pPr>
              <w:jc w:val="right"/>
              <w:ind w:right="220"/>
              <w:spacing w:after="0"/>
              <w:rPr>
                <w:sz w:val="20"/>
                <w:szCs w:val="20"/>
                <w:color w:val="auto"/>
              </w:rPr>
            </w:pPr>
            <w:r>
              <w:rPr>
                <w:rFonts w:ascii="Arial" w:cs="Arial" w:eastAsia="Arial" w:hAnsi="Arial"/>
                <w:sz w:val="18"/>
                <w:szCs w:val="18"/>
                <w:color w:val="auto"/>
              </w:rPr>
              <w:t>(112)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Other</w:t>
            </w:r>
          </w:p>
        </w:tc>
        <w:tc>
          <w:tcPr>
            <w:tcW w:w="2080" w:type="dxa"/>
            <w:vAlign w:val="bottom"/>
            <w:gridSpan w:val="3"/>
          </w:tcPr>
          <w:p>
            <w:pPr>
              <w:jc w:val="right"/>
              <w:ind w:right="22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$ 7,413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Non-GAAP Income per Share. </w:t>
      </w:r>
      <w:r>
        <w:rPr>
          <w:rFonts w:ascii="Arial" w:cs="Arial" w:eastAsia="Arial" w:hAnsi="Arial"/>
          <w:sz w:val="16"/>
          <w:szCs w:val="16"/>
          <w:color w:val="auto"/>
        </w:rPr>
        <w:t>Non-GAAP income per share, which is also a non-GAAP measure of financial performance, consists of net income plus</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expense and amortization expense related to intangible assets divided by the weighted average number of shares of common stock outstanding during each period. The other adjustment is the impact of the fair value adjustment for the Toolbox Solutions share-based earn-out liability. The following table provides a reconciliation of net income to non-GAAP income per share (in thousands, except per share amounts):</w:t>
      </w:r>
    </w:p>
    <w:p>
      <w:pPr>
        <w:spacing w:after="0" w:line="177"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non-GAAP income per share</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4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17,341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40" w:type="dxa"/>
            <w:vAlign w:val="bottom"/>
          </w:tcPr>
          <w:p>
            <w:pPr>
              <w:jc w:val="right"/>
              <w:ind w:right="237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2016 Compared to Nine Months Ended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color w:val="auto"/>
                <w:w w:val="96"/>
              </w:rPr>
              <w:t>Nine Months Ended September 30,</w:t>
            </w: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3"/>
            <w:vMerge w:val="restart"/>
          </w:tcPr>
          <w:p>
            <w:pPr>
              <w:jc w:val="right"/>
              <w:ind w:right="6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right"/>
              <w:ind w:right="652"/>
              <w:spacing w:after="0" w:line="142" w:lineRule="exact"/>
              <w:rPr>
                <w:sz w:val="20"/>
                <w:szCs w:val="20"/>
                <w:color w:val="auto"/>
              </w:rPr>
            </w:pPr>
            <w:r>
              <w:rPr>
                <w:rFonts w:ascii="Arial" w:cs="Arial" w:eastAsia="Arial" w:hAnsi="Arial"/>
                <w:sz w:val="14"/>
                <w:szCs w:val="14"/>
                <w:color w:val="auto"/>
              </w:rPr>
              <w:t>2016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right"/>
              <w:ind w:right="651"/>
              <w:spacing w:after="0" w:line="142" w:lineRule="exact"/>
              <w:rPr>
                <w:sz w:val="20"/>
                <w:szCs w:val="20"/>
                <w:color w:val="auto"/>
              </w:rPr>
            </w:pPr>
            <w:r>
              <w:rPr>
                <w:rFonts w:ascii="Arial" w:cs="Arial" w:eastAsia="Arial" w:hAnsi="Arial"/>
                <w:sz w:val="14"/>
                <w:szCs w:val="14"/>
                <w:color w:val="auto"/>
              </w:rPr>
              <w:t>2015</w:t>
            </w:r>
          </w:p>
        </w:tc>
        <w:tc>
          <w:tcPr>
            <w:tcW w:w="3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5"/>
                <w:szCs w:val="15"/>
                <w:color w:val="auto"/>
              </w:rPr>
            </w:pPr>
          </w:p>
        </w:tc>
        <w:tc>
          <w:tcPr>
            <w:tcW w:w="78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142,234</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116,170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26,064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47,024</w:t>
            </w:r>
          </w:p>
        </w:tc>
        <w:tc>
          <w:tcPr>
            <w:tcW w:w="1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36,607</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31.5</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10,417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79,563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15,647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49,092</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7,452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16,185</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13,058</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3,127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21,516</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3,367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2,507</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1,046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75,354</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14,992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4,864</w:t>
            </w:r>
          </w:p>
        </w:tc>
        <w:tc>
          <w:tcPr>
            <w:tcW w:w="14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4,209</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655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285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1,406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6,138</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(2,233)</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(1,570)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nine months ended September 30, 2016 increased $26.1 million, or 22%, to $142.2 million from $116.2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2015.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right="160" w:hanging="446"/>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16% to $7,227 for the nine months ended September 30, 2016 from $6,229 for the same period in 2015. This increase in wallet share was primarily attributable to increased fees resulting from increased usage of our solutions by our recurring revenue customers and growth in larger customers.</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24,583 at September 30, 2016 from 23,092 at September 30, 2015.</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92% of our total revenues, respectively, for the nine months ended September 30, 2016, compared to 91% for the same period in 2015.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nine months ended September 30, 2016 increased $10.4 million, or 28%, to $47.0 million from $36.6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2015. The increase in cost of revenues for the nine-month period in 2016 was primarily due to increased headcount, which resulted in higher personnel-related costs of approximately $7.3 million, higher occupancy costs of approximately $629,000 and higher stock based compensation expense of approximately $200,000 compared to the same period in 2015. We also incurred increases in software and cloud-based subscription costs of $1.5 million, depreciation expense of $467,000 and network costs of $164,000 as compared to the same period in 2015 for continued investment in the infrastructure supporting our solutions. As a percentage of revenues, cost of revenues were 33% for the nine months ended September 30, 2016, compared to 32% for the same period in 2015. Going forward, we anticipate that cost of revenues will increase in absolute dollars as we continue to expand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nine months ended September 30, 2016 increased $7.5 million, or 18%,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$49.1 million from $41.6 million for the same period in 2015. The increase in sales and marketing expenses for the nine-month period in 2016 was due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headcount, which resulted in higher personnel-related costs of approximately $5.9 million and higher stock 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$423,000. We also incurred higher variable compensation of approximately $828,000 earned by sales personnel and referral partners from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and higher promotional costs of $461,000 compared to the same period in 2015, partially offset by a decrease in depreciation expense of $458,000.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sales and marketing expenses were 35% for the nine months ended September 30, 2016, compared to 36% for the same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As we expand our business, we will continue to add resources to our sales and marketing efforts over time, and we expect that these expenses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to increase in absolute dollars.</w:t>
      </w:r>
    </w:p>
    <w:p>
      <w:pPr>
        <w:spacing w:after="0" w:line="21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nine months ended September 30, 2016 increased $3.1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24%, to $16.2 million from $13.1 million for the same period in 2015. The increase in research and development expenses for the nine-month period in 2016 was primarily due to increased headcount, which resulted in higher personnel costs of approximately $2.8 million compared to the same period in 2015. We also incurred higher software and cloud-based subscription costs of $332,000 as compared to the same period in 2015 for continued investment in the infrastructure supporting our solutions. As a percentage of revenues, research and development expenses were 11% for the nine months ended September 30, 2016 compared to 11% for the same period in 2015. As we enhance and expand our solutions and applications, we expect that research and development expenses will continue to increase in absolute dollars.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2016 increased $3.4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19%, to $21.5 million from $18.1 million for the same period in 2015. The increase in general and administrative expenses for the nine-month period in 2016 was due to increased headcount, which resulted in higher personnel-related costs of approximately $1.2 million and higher stock based compensation expenses of approximately $690,000 compared to the same period in 2015. We also incurred higher software subscription costs of approximately $542,000, higher consulting expenses of $305,000, higher legal and audit fees of approximately $277,000 primarily due to the acquisition of Toolbox Solutions and higher credit card fees of approximately $203,000 due to increase in customers paying by credit card compared to the same period in 2015. As a percentage of revenues, general and administrative expenses were 15% for the nine months ended September 30, 2016, compared to 16% for the same period in 2015. Going forward, we expect that general and administrative expenses will continue to increase in absolute dollars as we expand our business.</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the nine months ended September 30, 2016 increased $1.0 million, or 42%, to</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from $2.5 million for the same period in 2015 primarily due to the acquisition of Toolbox Solutions in 2016.</w:t>
      </w:r>
    </w:p>
    <w:p>
      <w:pPr>
        <w:spacing w:after="0" w:line="17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i w:val="1"/>
          <w:iCs w:val="1"/>
          <w:color w:val="auto"/>
        </w:rPr>
        <w:t xml:space="preserve">Total Other Income (Expense), net. </w:t>
      </w:r>
      <w:r>
        <w:rPr>
          <w:rFonts w:ascii="Arial" w:cs="Arial" w:eastAsia="Arial" w:hAnsi="Arial"/>
          <w:sz w:val="16"/>
          <w:szCs w:val="16"/>
          <w:color w:val="auto"/>
        </w:rPr>
        <w:t>Total other income (expense), net for the nine months ended September 30, 2016 included $1.0 million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the balance of the Toolbox Solutions share-based earn-out liability due to the change in our estimate of probability of attainment.</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income tax expense of $2.2 million for the nine months ended September 30, 2016. We recorded income tax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$1.6 million for nine months ended September 30, 2015. The increase in income tax expense for the nine-month period in 2016 was primarily due to increased pretax book income. For the full year 2016, we expect that our annual effective income tax rate will be approximately 40%.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The other adjustment is the impact of the fair value adjustment for the Toolbox Solutions share-based earn-out liability. The following table provides a reconciliation of net income to Adjusted EBITDA (in thousands):</w:t>
      </w:r>
    </w:p>
    <w:p>
      <w:pPr>
        <w:spacing w:after="0" w:line="209" w:lineRule="exact"/>
        <w:rPr>
          <w:sz w:val="20"/>
          <w:szCs w:val="20"/>
          <w:color w:val="auto"/>
        </w:rPr>
      </w:pPr>
    </w:p>
    <w:p>
      <w:pPr>
        <w:jc w:val="center"/>
        <w:ind w:left="6840"/>
        <w:spacing w:after="0"/>
        <w:rPr>
          <w:sz w:val="20"/>
          <w:szCs w:val="20"/>
          <w:color w:val="auto"/>
        </w:rPr>
      </w:pPr>
      <w:r>
        <w:rPr>
          <w:rFonts w:ascii="Arial" w:cs="Arial" w:eastAsia="Arial" w:hAnsi="Arial"/>
          <w:sz w:val="14"/>
          <w:szCs w:val="14"/>
          <w:color w:val="auto"/>
        </w:rPr>
        <w:t>Nine Months Ended</w:t>
      </w:r>
    </w:p>
    <w:p>
      <w:pPr>
        <w:jc w:val="center"/>
        <w:ind w:left="684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19,064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Non-GAAP Income per Share. </w:t>
      </w:r>
      <w:r>
        <w:rPr>
          <w:rFonts w:ascii="Arial" w:cs="Arial" w:eastAsia="Arial" w:hAnsi="Arial"/>
          <w:sz w:val="16"/>
          <w:szCs w:val="16"/>
          <w:color w:val="auto"/>
        </w:rPr>
        <w:t>Non-GAAP income per share, which is also a non-GAAP measure of financial performance, consists of net income plus</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expense and amortization expense related to intangible assets divided by the weighted average number of shares of common stock outstanding during each period. The other adjustment is the impact of the fair value adjustment for the Toolbox Solutions share-based earn-out liability. The following table provides a reconciliation of net income to non-GAAP income per share (in thousands, except per share amounts):</w:t>
      </w:r>
    </w:p>
    <w:p>
      <w:pPr>
        <w:spacing w:after="0" w:line="177" w:lineRule="exact"/>
        <w:rPr>
          <w:sz w:val="20"/>
          <w:szCs w:val="20"/>
          <w:color w:val="auto"/>
        </w:rPr>
      </w:pPr>
    </w:p>
    <w:p>
      <w:pPr>
        <w:jc w:val="center"/>
        <w:ind w:left="6780"/>
        <w:spacing w:after="0"/>
        <w:rPr>
          <w:sz w:val="20"/>
          <w:szCs w:val="20"/>
          <w:color w:val="auto"/>
        </w:rPr>
      </w:pPr>
      <w:r>
        <w:rPr>
          <w:rFonts w:ascii="Arial" w:cs="Arial" w:eastAsia="Arial" w:hAnsi="Arial"/>
          <w:sz w:val="14"/>
          <w:szCs w:val="14"/>
          <w:color w:val="auto"/>
        </w:rPr>
        <w:t>Nine Months Ended</w:t>
      </w:r>
    </w:p>
    <w:p>
      <w:pPr>
        <w:jc w:val="center"/>
        <w:ind w:left="67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12,356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0.73</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September 30, 2016, our principal sources of liquidity were cash, cash equivalents and marketable securities of $137.8 million and accounts receivable, net of allowance for doubtful accounts, of $21.4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Net cash provided by operating activities was $10.4 million and $6.9 million for the nine months ended September 30, 2016 and 2015, respectively. The increase in operating cash flows as compared to the same period in 2015 was primarily due to the increase in deferred revenue due to increased new business in 2016 and due to cash collected for post-acquisition for annual Toolbox Solutions contracts invoiced prior to acquisition and the timing of payments for accounts payable, accrued compensation and accrued expenses, somewhat offset by the timing of payments for accounts receivable and the increases in deferred costs for expenses related to increased implementation resources and commission payments for new business and other current and non-current assets for prepayments of discounted cloud based and security subscription-based services.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investing activities was $29.7 and $24.0 million for the nine months ended September 30, 2016 and 2015, respectively. The increase in net cash used in investing activities as compared to the same period in 2015 was primarily due to the acquisition of Toolbox Solutions for $18.1 million. For the nine months ended September 30, 2016 and 2015, we purchased marketable securities, net of maturities, of $5.6 million and $17.5 million, respectively and had capital expenditures of $6.0 million and $6.5 million, respectively. Our capital expenditures are for supporting our business growth and existing customer base, as well as for our internal use such as equipment for our employees.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Net cash provided by financing activities was $7.0 million and $5.2 million for the nine months ended September 30, 2016 and 2015, respectively, from the exercise of stock options, excess tax benefit from the exercise of stock options and proceeds from employee stock purchase plan.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11%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2016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September 30, 2016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color w:val="auto"/>
                <w:w w:val="93"/>
              </w:rPr>
              <w:t>Payments Due By Period (in thousands)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1"/>
              </w:rPr>
              <w:t>Less Than</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6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4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Total</w:t>
            </w:r>
          </w:p>
        </w:tc>
        <w:tc>
          <w:tcPr>
            <w:tcW w:w="2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1 Year</w:t>
            </w:r>
          </w:p>
        </w:tc>
        <w:tc>
          <w:tcPr>
            <w:tcW w:w="2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1-3 Years</w:t>
            </w:r>
          </w:p>
        </w:tc>
        <w:tc>
          <w:tcPr>
            <w:tcW w:w="2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3-5 Years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5 Years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$14,862</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884</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$ 6,567</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$ 5,215</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2,196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outstanding debt as of September 30, 2016.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and Canadian dollars. As we expand internationally, our results of operations and cash flows will be impacted by foreign currency fluctuations. We have not used any forward contracts or currency borrowings to hedge our exposure to foreign currency exchange risk, although we may do so in the future.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2016.</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the first quarter of 2016, we acquired the net assets of Toolbox Solutions. Toolbox Solutions represented approximately 10% of our total consolidated assets and 4% of our consolidated revenues for both the three and nine months ended September 30, 2016, respectively. The scope of our assessment of the effectiveness of internal control over financial reporting does not include Toolbox Solutions. This exclusion is in accordance with the SEC’s general guidance that an assessment of a recently acquired business may be omitted from our scope in the year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2016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2015 as filed with the Securities and Exchange Commission on February 24,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October 28, 2016</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459" w:right="299" w:bottom="1440" w:gutter="0" w:footer="0" w:header="0"/>
        </w:sect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Exhibit</w:t>
      </w:r>
    </w:p>
    <w:p>
      <w:pPr>
        <w:ind w:left="20"/>
        <w:spacing w:after="0"/>
        <w:rPr>
          <w:sz w:val="20"/>
          <w:szCs w:val="20"/>
          <w:color w:val="auto"/>
        </w:rPr>
      </w:pPr>
      <w:r>
        <w:rPr>
          <w:rFonts w:ascii="Arial" w:cs="Arial" w:eastAsia="Arial" w:hAnsi="Arial"/>
          <w:sz w:val="12"/>
          <w:szCs w:val="12"/>
          <w:i w:val="1"/>
          <w:iCs w:val="1"/>
          <w:u w:val="single" w:color="auto"/>
          <w:color w:val="auto"/>
        </w:rPr>
        <w:t>Number</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u w:val="single" w:color="auto"/>
          <w:color w:val="auto"/>
        </w:rPr>
        <w:t>Description</w:t>
      </w:r>
    </w:p>
    <w:p>
      <w:pPr>
        <w:spacing w:after="0" w:line="1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Certificate of Incorporation (incorporated by reference to Exhibit 4.1 to our Registration Statement on Form S-3 (File No. 333-182097) filed with the Commission on September 13, 2012).</w:t>
      </w:r>
    </w:p>
    <w:p>
      <w:pPr>
        <w:spacing w:after="0" w:line="62" w:lineRule="exact"/>
        <w:rPr>
          <w:sz w:val="20"/>
          <w:szCs w:val="20"/>
          <w:color w:val="auto"/>
        </w:rPr>
      </w:pPr>
    </w:p>
    <w:p>
      <w:pPr>
        <w:sectPr>
          <w:pgSz w:w="11900" w:h="16838" w:orient="portrait"/>
          <w:cols w:equalWidth="0" w:num="2">
            <w:col w:w="480" w:space="560"/>
            <w:col w:w="1032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10680" w:type="dxa"/>
            <w:vAlign w:val="bottom"/>
          </w:tcPr>
          <w:p>
            <w:pPr>
              <w:ind w:left="360"/>
              <w:spacing w:after="0"/>
              <w:rPr>
                <w:sz w:val="20"/>
                <w:szCs w:val="20"/>
                <w:color w:val="auto"/>
              </w:rPr>
            </w:pPr>
            <w:r>
              <w:rPr>
                <w:rFonts w:ascii="Arial" w:cs="Arial" w:eastAsia="Arial" w:hAnsi="Arial"/>
                <w:sz w:val="18"/>
                <w:szCs w:val="18"/>
                <w:color w:val="auto"/>
              </w:rPr>
              <w:t>Bylaws (incorporated by reference to Exhibit 3.2 to our Registration Statement on Form S-1/A (File No. 333-163476) filed with the</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Commission on March 5, 2010).</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360"/>
              <w:spacing w:after="0"/>
              <w:rPr>
                <w:sz w:val="20"/>
                <w:szCs w:val="20"/>
                <w:color w:val="auto"/>
              </w:rPr>
            </w:pPr>
            <w:r>
              <w:rPr>
                <w:rFonts w:ascii="Arial" w:cs="Arial" w:eastAsia="Arial" w:hAnsi="Arial"/>
                <w:sz w:val="18"/>
                <w:szCs w:val="18"/>
                <w:color w:val="auto"/>
                <w:w w:val="97"/>
              </w:rPr>
              <w:t>Certification of Principal Executive Officer pursuant to Rules 13a-14(a) under the Securities Exchange Act of 1934, as amended (filed</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0680" w:type="dxa"/>
            <w:vAlign w:val="bottom"/>
          </w:tcPr>
          <w:p>
            <w:pPr>
              <w:ind w:left="360"/>
              <w:spacing w:after="0"/>
              <w:rPr>
                <w:sz w:val="20"/>
                <w:szCs w:val="20"/>
                <w:color w:val="auto"/>
              </w:rPr>
            </w:pPr>
            <w:r>
              <w:rPr>
                <w:rFonts w:ascii="Arial" w:cs="Arial" w:eastAsia="Arial" w:hAnsi="Arial"/>
                <w:sz w:val="18"/>
                <w:szCs w:val="18"/>
                <w:color w:val="auto"/>
                <w:w w:val="97"/>
              </w:rPr>
              <w:t>Certification of Principal Financial Officer pursuant to Rules 13a-14(a) under the Securities Exchange Act of 1934, as amended (filed</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10680" w:type="dxa"/>
            <w:vAlign w:val="bottom"/>
          </w:tcPr>
          <w:p>
            <w:pPr>
              <w:ind w:left="36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 1350, as adopted pursuant to Section 906 of the</w:t>
            </w:r>
          </w:p>
        </w:tc>
      </w:tr>
      <w:tr>
        <w:trPr>
          <w:trHeight w:val="230"/>
        </w:trPr>
        <w:tc>
          <w:tcPr>
            <w:tcW w:w="680" w:type="dxa"/>
            <w:vAlign w:val="bottom"/>
          </w:tcPr>
          <w:p>
            <w:pPr>
              <w:spacing w:after="0"/>
              <w:rPr>
                <w:sz w:val="20"/>
                <w:szCs w:val="20"/>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680" w:type="dxa"/>
            <w:vAlign w:val="bottom"/>
          </w:tcPr>
          <w:p>
            <w:pPr>
              <w:jc w:val="right"/>
              <w:ind w:right="310"/>
              <w:spacing w:after="0"/>
              <w:rPr>
                <w:sz w:val="20"/>
                <w:szCs w:val="20"/>
                <w:color w:val="auto"/>
              </w:rPr>
            </w:pPr>
            <w:r>
              <w:rPr>
                <w:rFonts w:ascii="Arial" w:cs="Arial" w:eastAsia="Arial" w:hAnsi="Arial"/>
                <w:sz w:val="18"/>
                <w:szCs w:val="18"/>
                <w:color w:val="auto"/>
                <w:w w:val="86"/>
              </w:rPr>
              <w:t>101</w:t>
            </w:r>
          </w:p>
        </w:tc>
        <w:tc>
          <w:tcPr>
            <w:tcW w:w="10680" w:type="dxa"/>
            <w:vAlign w:val="bottom"/>
          </w:tcPr>
          <w:p>
            <w:pPr>
              <w:ind w:left="36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2016,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2019-12-29T10:23:36Z</dcterms:created>
  <dcterms:modified xsi:type="dcterms:W3CDTF">2019-12-29T10:23:36Z</dcterms:modified>
</cp:coreProperties>
</file>